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ink/ink1.xml" ContentType="application/inkml+xml"/>
  <Override PartName="/word/ink/ink2.xml" ContentType="application/inkml+xml"/>
  <Override PartName="/word/ink/ink3.xml" ContentType="application/inkml+xml"/>
  <Override PartName="/word/ink/ink4.xml" ContentType="application/inkml+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B78BE3B">
      <w:pPr>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drawing>
          <wp:inline distT="0" distB="0" distL="114300" distR="114300">
            <wp:extent cx="5608955" cy="7924800"/>
            <wp:effectExtent l="0" t="0" r="4445" b="0"/>
            <wp:docPr id="39" name="图片 39" descr="封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封面"/>
                    <pic:cNvPicPr>
                      <a:picLocks noChangeAspect="1"/>
                    </pic:cNvPicPr>
                  </pic:nvPicPr>
                  <pic:blipFill>
                    <a:blip r:embed="rId9"/>
                    <a:stretch>
                      <a:fillRect/>
                    </a:stretch>
                  </pic:blipFill>
                  <pic:spPr>
                    <a:xfrm>
                      <a:off x="0" y="0"/>
                      <a:ext cx="5608955" cy="7924800"/>
                    </a:xfrm>
                    <a:prstGeom prst="rect">
                      <a:avLst/>
                    </a:prstGeom>
                  </pic:spPr>
                </pic:pic>
              </a:graphicData>
            </a:graphic>
          </wp:inline>
        </w:drawing>
      </w:r>
      <w:bookmarkStart w:id="218" w:name="_GoBack"/>
      <w:bookmarkEnd w:id="218"/>
    </w:p>
    <w:p w14:paraId="61B1A0AC">
      <w:pPr>
        <w:rPr>
          <w:rFonts w:hint="eastAsia" w:ascii="Times New Roman" w:hAnsi="Times New Roman" w:eastAsia="宋体" w:cs="Times New Roman"/>
          <w:color w:val="auto"/>
          <w:highlight w:val="none"/>
          <w:lang w:eastAsia="zh-CN"/>
        </w:rPr>
      </w:pPr>
    </w:p>
    <w:p w14:paraId="2495CE35">
      <w:pPr>
        <w:rPr>
          <w:rFonts w:hint="eastAsia" w:ascii="Times New Roman" w:hAnsi="Times New Roman" w:eastAsia="宋体" w:cs="Times New Roman"/>
          <w:color w:val="auto"/>
          <w:highlight w:val="none"/>
          <w:lang w:eastAsia="zh-CN"/>
        </w:rPr>
      </w:pPr>
    </w:p>
    <w:p w14:paraId="6B3B2995">
      <w:pPr>
        <w:spacing w:line="240" w:lineRule="auto"/>
        <w:jc w:val="center"/>
        <w:rPr>
          <w:rFonts w:hint="eastAsia" w:ascii="仿宋" w:hAnsi="仿宋" w:eastAsia="仿宋" w:cs="仿宋"/>
          <w:b/>
          <w:bCs/>
          <w:color w:val="auto"/>
          <w:sz w:val="36"/>
          <w:szCs w:val="36"/>
          <w:highlight w:val="none"/>
        </w:rPr>
      </w:pPr>
      <w:r>
        <w:rPr>
          <w:rFonts w:hint="eastAsia" w:ascii="仿宋" w:hAnsi="仿宋" w:eastAsia="仿宋" w:cs="仿宋"/>
          <w:b/>
          <w:bCs/>
          <w:color w:val="auto"/>
          <w:sz w:val="36"/>
          <w:szCs w:val="36"/>
          <w:highlight w:val="none"/>
        </w:rPr>
        <w:t>目</w:t>
      </w:r>
      <w:r>
        <w:rPr>
          <w:rFonts w:hint="eastAsia" w:ascii="仿宋" w:hAnsi="仿宋" w:eastAsia="仿宋" w:cs="仿宋"/>
          <w:b/>
          <w:bCs/>
          <w:color w:val="auto"/>
          <w:sz w:val="36"/>
          <w:szCs w:val="36"/>
          <w:highlight w:val="none"/>
          <w:lang w:val="en-US" w:eastAsia="zh-CN"/>
        </w:rPr>
        <w:t xml:space="preserve"> </w:t>
      </w:r>
      <w:r>
        <w:rPr>
          <w:rFonts w:hint="eastAsia" w:ascii="仿宋" w:hAnsi="仿宋" w:eastAsia="仿宋" w:cs="仿宋"/>
          <w:b/>
          <w:bCs/>
          <w:color w:val="auto"/>
          <w:sz w:val="36"/>
          <w:szCs w:val="36"/>
          <w:highlight w:val="none"/>
        </w:rPr>
        <w:t>录</w:t>
      </w:r>
    </w:p>
    <w:p w14:paraId="24511621">
      <w:pPr>
        <w:pStyle w:val="31"/>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TOC \o "1-2" \h \u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_Toc15268 </w:instrText>
      </w:r>
      <w:r>
        <w:rPr>
          <w:rFonts w:hint="default" w:ascii="Times New Roman" w:hAnsi="Times New Roman" w:cs="Times New Roman"/>
          <w:color w:val="auto"/>
          <w:highlight w:val="none"/>
        </w:rPr>
        <w:fldChar w:fldCharType="separate"/>
      </w:r>
      <w:r>
        <w:rPr>
          <w:rFonts w:hint="eastAsia" w:ascii="方正小标宋_GBK" w:hAnsi="Times New Roman" w:eastAsia="方正小标宋_GBK" w:cs="Times New Roman"/>
          <w:bCs/>
          <w:color w:val="auto"/>
          <w:szCs w:val="72"/>
          <w:highlight w:val="none"/>
        </w:rPr>
        <w:t>建设项目环境影响报告表</w:t>
      </w:r>
      <w:r>
        <w:rPr>
          <w:color w:val="auto"/>
          <w:highlight w:val="none"/>
        </w:rPr>
        <w:tab/>
      </w:r>
      <w:r>
        <w:rPr>
          <w:color w:val="auto"/>
          <w:highlight w:val="none"/>
        </w:rPr>
        <w:fldChar w:fldCharType="begin"/>
      </w:r>
      <w:r>
        <w:rPr>
          <w:color w:val="auto"/>
          <w:highlight w:val="none"/>
        </w:rPr>
        <w:instrText xml:space="preserve"> PAGEREF _Toc15268 \h </w:instrText>
      </w:r>
      <w:r>
        <w:rPr>
          <w:color w:val="auto"/>
          <w:highlight w:val="none"/>
        </w:rPr>
        <w:fldChar w:fldCharType="separate"/>
      </w:r>
      <w:r>
        <w:rPr>
          <w:color w:val="auto"/>
          <w:highlight w:val="none"/>
        </w:rPr>
        <w:t>3</w:t>
      </w:r>
      <w:r>
        <w:rPr>
          <w:color w:val="auto"/>
          <w:highlight w:val="none"/>
        </w:rPr>
        <w:fldChar w:fldCharType="end"/>
      </w:r>
      <w:r>
        <w:rPr>
          <w:rFonts w:hint="default" w:ascii="Times New Roman" w:hAnsi="Times New Roman" w:cs="Times New Roman"/>
          <w:color w:val="auto"/>
          <w:highlight w:val="none"/>
        </w:rPr>
        <w:fldChar w:fldCharType="end"/>
      </w:r>
    </w:p>
    <w:p w14:paraId="0B8BFF16">
      <w:pPr>
        <w:pStyle w:val="31"/>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_Toc28092 </w:instrText>
      </w:r>
      <w:r>
        <w:rPr>
          <w:rFonts w:hint="default" w:ascii="Times New Roman" w:hAnsi="Times New Roman" w:cs="Times New Roman"/>
          <w:color w:val="auto"/>
          <w:highlight w:val="none"/>
        </w:rPr>
        <w:fldChar w:fldCharType="separate"/>
      </w:r>
      <w:r>
        <w:rPr>
          <w:rFonts w:hint="eastAsia" w:ascii="黑体" w:hAnsi="黑体" w:cs="黑体"/>
          <w:color w:val="auto"/>
          <w:highlight w:val="none"/>
        </w:rPr>
        <w:t>一、</w:t>
      </w:r>
      <w:r>
        <w:rPr>
          <w:rFonts w:cs="Times New Roman"/>
          <w:color w:val="auto"/>
          <w:highlight w:val="none"/>
        </w:rPr>
        <w:t>建设项目基本情况</w:t>
      </w:r>
      <w:r>
        <w:rPr>
          <w:color w:val="auto"/>
          <w:highlight w:val="none"/>
        </w:rPr>
        <w:tab/>
      </w:r>
      <w:r>
        <w:rPr>
          <w:color w:val="auto"/>
          <w:highlight w:val="none"/>
        </w:rPr>
        <w:fldChar w:fldCharType="begin"/>
      </w:r>
      <w:r>
        <w:rPr>
          <w:color w:val="auto"/>
          <w:highlight w:val="none"/>
        </w:rPr>
        <w:instrText xml:space="preserve"> PAGEREF _Toc28092 \h </w:instrText>
      </w:r>
      <w:r>
        <w:rPr>
          <w:color w:val="auto"/>
          <w:highlight w:val="none"/>
        </w:rPr>
        <w:fldChar w:fldCharType="separate"/>
      </w:r>
      <w:r>
        <w:rPr>
          <w:color w:val="auto"/>
          <w:highlight w:val="none"/>
        </w:rPr>
        <w:t>- 1 -</w:t>
      </w:r>
      <w:r>
        <w:rPr>
          <w:color w:val="auto"/>
          <w:highlight w:val="none"/>
        </w:rPr>
        <w:fldChar w:fldCharType="end"/>
      </w:r>
      <w:r>
        <w:rPr>
          <w:rFonts w:hint="default" w:ascii="Times New Roman" w:hAnsi="Times New Roman" w:cs="Times New Roman"/>
          <w:color w:val="auto"/>
          <w:highlight w:val="none"/>
        </w:rPr>
        <w:fldChar w:fldCharType="end"/>
      </w:r>
    </w:p>
    <w:p w14:paraId="24AFF63D">
      <w:pPr>
        <w:pStyle w:val="31"/>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_Toc12334 </w:instrText>
      </w:r>
      <w:r>
        <w:rPr>
          <w:rFonts w:hint="default" w:ascii="Times New Roman" w:hAnsi="Times New Roman" w:cs="Times New Roman"/>
          <w:color w:val="auto"/>
          <w:highlight w:val="none"/>
        </w:rPr>
        <w:fldChar w:fldCharType="separate"/>
      </w:r>
      <w:r>
        <w:rPr>
          <w:rFonts w:hint="eastAsia" w:cs="Times New Roman"/>
          <w:bCs/>
          <w:color w:val="auto"/>
          <w:highlight w:val="none"/>
        </w:rPr>
        <w:t>二、</w:t>
      </w:r>
      <w:r>
        <w:rPr>
          <w:rFonts w:cs="Times New Roman"/>
          <w:bCs/>
          <w:color w:val="auto"/>
          <w:highlight w:val="none"/>
        </w:rPr>
        <w:t>建设项目工程分析</w:t>
      </w:r>
      <w:r>
        <w:rPr>
          <w:color w:val="auto"/>
          <w:highlight w:val="none"/>
        </w:rPr>
        <w:tab/>
      </w:r>
      <w:r>
        <w:rPr>
          <w:color w:val="auto"/>
          <w:highlight w:val="none"/>
        </w:rPr>
        <w:fldChar w:fldCharType="begin"/>
      </w:r>
      <w:r>
        <w:rPr>
          <w:color w:val="auto"/>
          <w:highlight w:val="none"/>
        </w:rPr>
        <w:instrText xml:space="preserve"> PAGEREF _Toc12334 \h </w:instrText>
      </w:r>
      <w:r>
        <w:rPr>
          <w:color w:val="auto"/>
          <w:highlight w:val="none"/>
        </w:rPr>
        <w:fldChar w:fldCharType="separate"/>
      </w:r>
      <w:r>
        <w:rPr>
          <w:color w:val="auto"/>
          <w:highlight w:val="none"/>
        </w:rPr>
        <w:t>- 19 -</w:t>
      </w:r>
      <w:r>
        <w:rPr>
          <w:color w:val="auto"/>
          <w:highlight w:val="none"/>
        </w:rPr>
        <w:fldChar w:fldCharType="end"/>
      </w:r>
      <w:r>
        <w:rPr>
          <w:rFonts w:hint="default" w:ascii="Times New Roman" w:hAnsi="Times New Roman" w:cs="Times New Roman"/>
          <w:color w:val="auto"/>
          <w:highlight w:val="none"/>
        </w:rPr>
        <w:fldChar w:fldCharType="end"/>
      </w:r>
    </w:p>
    <w:p w14:paraId="3D5A79E0">
      <w:pPr>
        <w:pStyle w:val="31"/>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_Toc6041 </w:instrText>
      </w:r>
      <w:r>
        <w:rPr>
          <w:rFonts w:hint="default" w:ascii="Times New Roman" w:hAnsi="Times New Roman" w:cs="Times New Roman"/>
          <w:color w:val="auto"/>
          <w:highlight w:val="none"/>
        </w:rPr>
        <w:fldChar w:fldCharType="separate"/>
      </w:r>
      <w:r>
        <w:rPr>
          <w:rFonts w:hint="eastAsia" w:ascii="黑体" w:hAnsi="黑体" w:cs="黑体"/>
          <w:bCs/>
          <w:color w:val="auto"/>
          <w:highlight w:val="none"/>
        </w:rPr>
        <w:t>三、</w:t>
      </w:r>
      <w:r>
        <w:rPr>
          <w:rFonts w:cs="Times New Roman"/>
          <w:bCs/>
          <w:color w:val="auto"/>
          <w:highlight w:val="none"/>
        </w:rPr>
        <w:t>区域环境质量现状、环境保护目标及评价标准</w:t>
      </w:r>
      <w:r>
        <w:rPr>
          <w:color w:val="auto"/>
          <w:highlight w:val="none"/>
        </w:rPr>
        <w:tab/>
      </w:r>
      <w:r>
        <w:rPr>
          <w:color w:val="auto"/>
          <w:highlight w:val="none"/>
        </w:rPr>
        <w:fldChar w:fldCharType="begin"/>
      </w:r>
      <w:r>
        <w:rPr>
          <w:color w:val="auto"/>
          <w:highlight w:val="none"/>
        </w:rPr>
        <w:instrText xml:space="preserve"> PAGEREF _Toc6041 \h </w:instrText>
      </w:r>
      <w:r>
        <w:rPr>
          <w:color w:val="auto"/>
          <w:highlight w:val="none"/>
        </w:rPr>
        <w:fldChar w:fldCharType="separate"/>
      </w:r>
      <w:r>
        <w:rPr>
          <w:color w:val="auto"/>
          <w:highlight w:val="none"/>
        </w:rPr>
        <w:t>- 39 -</w:t>
      </w:r>
      <w:r>
        <w:rPr>
          <w:color w:val="auto"/>
          <w:highlight w:val="none"/>
        </w:rPr>
        <w:fldChar w:fldCharType="end"/>
      </w:r>
      <w:r>
        <w:rPr>
          <w:rFonts w:hint="default" w:ascii="Times New Roman" w:hAnsi="Times New Roman" w:cs="Times New Roman"/>
          <w:color w:val="auto"/>
          <w:highlight w:val="none"/>
        </w:rPr>
        <w:fldChar w:fldCharType="end"/>
      </w:r>
    </w:p>
    <w:p w14:paraId="7B5FEF42">
      <w:pPr>
        <w:pStyle w:val="31"/>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_Toc22544 </w:instrText>
      </w:r>
      <w:r>
        <w:rPr>
          <w:rFonts w:hint="default" w:ascii="Times New Roman" w:hAnsi="Times New Roman" w:cs="Times New Roman"/>
          <w:color w:val="auto"/>
          <w:highlight w:val="none"/>
        </w:rPr>
        <w:fldChar w:fldCharType="separate"/>
      </w:r>
      <w:r>
        <w:rPr>
          <w:rFonts w:hint="eastAsia" w:cs="Times New Roman"/>
          <w:bCs/>
          <w:color w:val="auto"/>
          <w:highlight w:val="none"/>
        </w:rPr>
        <w:t>四、</w:t>
      </w:r>
      <w:r>
        <w:rPr>
          <w:rFonts w:cs="Times New Roman"/>
          <w:bCs/>
          <w:color w:val="auto"/>
          <w:highlight w:val="none"/>
        </w:rPr>
        <w:t>主要环境影响和保护措施</w:t>
      </w:r>
      <w:r>
        <w:rPr>
          <w:color w:val="auto"/>
          <w:highlight w:val="none"/>
        </w:rPr>
        <w:tab/>
      </w:r>
      <w:r>
        <w:rPr>
          <w:color w:val="auto"/>
          <w:highlight w:val="none"/>
        </w:rPr>
        <w:fldChar w:fldCharType="begin"/>
      </w:r>
      <w:r>
        <w:rPr>
          <w:color w:val="auto"/>
          <w:highlight w:val="none"/>
        </w:rPr>
        <w:instrText xml:space="preserve"> PAGEREF _Toc22544 \h </w:instrText>
      </w:r>
      <w:r>
        <w:rPr>
          <w:color w:val="auto"/>
          <w:highlight w:val="none"/>
        </w:rPr>
        <w:fldChar w:fldCharType="separate"/>
      </w:r>
      <w:r>
        <w:rPr>
          <w:color w:val="auto"/>
          <w:highlight w:val="none"/>
        </w:rPr>
        <w:t>- 46 -</w:t>
      </w:r>
      <w:r>
        <w:rPr>
          <w:color w:val="auto"/>
          <w:highlight w:val="none"/>
        </w:rPr>
        <w:fldChar w:fldCharType="end"/>
      </w:r>
      <w:r>
        <w:rPr>
          <w:rFonts w:hint="default" w:ascii="Times New Roman" w:hAnsi="Times New Roman" w:cs="Times New Roman"/>
          <w:color w:val="auto"/>
          <w:highlight w:val="none"/>
        </w:rPr>
        <w:fldChar w:fldCharType="end"/>
      </w:r>
    </w:p>
    <w:p w14:paraId="080FBDB0">
      <w:pPr>
        <w:pStyle w:val="31"/>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_Toc7179 </w:instrText>
      </w:r>
      <w:r>
        <w:rPr>
          <w:rFonts w:hint="default" w:ascii="Times New Roman" w:hAnsi="Times New Roman" w:cs="Times New Roman"/>
          <w:color w:val="auto"/>
          <w:highlight w:val="none"/>
        </w:rPr>
        <w:fldChar w:fldCharType="separate"/>
      </w:r>
      <w:r>
        <w:rPr>
          <w:rFonts w:hint="eastAsia" w:cs="Times New Roman"/>
          <w:bCs/>
          <w:color w:val="auto"/>
          <w:highlight w:val="none"/>
        </w:rPr>
        <w:t>五、</w:t>
      </w:r>
      <w:r>
        <w:rPr>
          <w:rFonts w:cs="Times New Roman"/>
          <w:bCs/>
          <w:color w:val="auto"/>
          <w:highlight w:val="none"/>
        </w:rPr>
        <w:t>环境保护措施监督检查清单</w:t>
      </w:r>
      <w:r>
        <w:rPr>
          <w:color w:val="auto"/>
          <w:highlight w:val="none"/>
        </w:rPr>
        <w:tab/>
      </w:r>
      <w:r>
        <w:rPr>
          <w:color w:val="auto"/>
          <w:highlight w:val="none"/>
        </w:rPr>
        <w:fldChar w:fldCharType="begin"/>
      </w:r>
      <w:r>
        <w:rPr>
          <w:color w:val="auto"/>
          <w:highlight w:val="none"/>
        </w:rPr>
        <w:instrText xml:space="preserve"> PAGEREF _Toc7179 \h </w:instrText>
      </w:r>
      <w:r>
        <w:rPr>
          <w:color w:val="auto"/>
          <w:highlight w:val="none"/>
        </w:rPr>
        <w:fldChar w:fldCharType="separate"/>
      </w:r>
      <w:r>
        <w:rPr>
          <w:color w:val="auto"/>
          <w:highlight w:val="none"/>
        </w:rPr>
        <w:t>- 91 -</w:t>
      </w:r>
      <w:r>
        <w:rPr>
          <w:color w:val="auto"/>
          <w:highlight w:val="none"/>
        </w:rPr>
        <w:fldChar w:fldCharType="end"/>
      </w:r>
      <w:r>
        <w:rPr>
          <w:rFonts w:hint="default" w:ascii="Times New Roman" w:hAnsi="Times New Roman" w:cs="Times New Roman"/>
          <w:color w:val="auto"/>
          <w:highlight w:val="none"/>
        </w:rPr>
        <w:fldChar w:fldCharType="end"/>
      </w:r>
    </w:p>
    <w:p w14:paraId="47E45CF3">
      <w:pPr>
        <w:pStyle w:val="31"/>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_Toc11193 </w:instrText>
      </w:r>
      <w:r>
        <w:rPr>
          <w:rFonts w:hint="default" w:ascii="Times New Roman" w:hAnsi="Times New Roman" w:cs="Times New Roman"/>
          <w:color w:val="auto"/>
          <w:highlight w:val="none"/>
        </w:rPr>
        <w:fldChar w:fldCharType="separate"/>
      </w:r>
      <w:r>
        <w:rPr>
          <w:rFonts w:hint="eastAsia" w:cs="Times New Roman"/>
          <w:color w:val="auto"/>
          <w:highlight w:val="none"/>
        </w:rPr>
        <w:t>六、</w:t>
      </w:r>
      <w:r>
        <w:rPr>
          <w:rFonts w:cs="Times New Roman"/>
          <w:color w:val="auto"/>
          <w:highlight w:val="none"/>
        </w:rPr>
        <w:t xml:space="preserve"> 结论</w:t>
      </w:r>
      <w:r>
        <w:rPr>
          <w:color w:val="auto"/>
          <w:highlight w:val="none"/>
        </w:rPr>
        <w:tab/>
      </w:r>
      <w:r>
        <w:rPr>
          <w:color w:val="auto"/>
          <w:highlight w:val="none"/>
        </w:rPr>
        <w:fldChar w:fldCharType="begin"/>
      </w:r>
      <w:r>
        <w:rPr>
          <w:color w:val="auto"/>
          <w:highlight w:val="none"/>
        </w:rPr>
        <w:instrText xml:space="preserve"> PAGEREF _Toc11193 \h </w:instrText>
      </w:r>
      <w:r>
        <w:rPr>
          <w:color w:val="auto"/>
          <w:highlight w:val="none"/>
        </w:rPr>
        <w:fldChar w:fldCharType="separate"/>
      </w:r>
      <w:r>
        <w:rPr>
          <w:color w:val="auto"/>
          <w:highlight w:val="none"/>
        </w:rPr>
        <w:t>- 93 -</w:t>
      </w:r>
      <w:r>
        <w:rPr>
          <w:color w:val="auto"/>
          <w:highlight w:val="none"/>
        </w:rPr>
        <w:fldChar w:fldCharType="end"/>
      </w:r>
      <w:r>
        <w:rPr>
          <w:rFonts w:hint="default" w:ascii="Times New Roman" w:hAnsi="Times New Roman" w:cs="Times New Roman"/>
          <w:color w:val="auto"/>
          <w:highlight w:val="none"/>
        </w:rPr>
        <w:fldChar w:fldCharType="end"/>
      </w:r>
    </w:p>
    <w:p w14:paraId="55801786">
      <w:pPr>
        <w:pStyle w:val="31"/>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_Toc7680 </w:instrText>
      </w:r>
      <w:r>
        <w:rPr>
          <w:rFonts w:hint="default" w:ascii="Times New Roman" w:hAnsi="Times New Roman" w:cs="Times New Roman"/>
          <w:color w:val="auto"/>
          <w:highlight w:val="none"/>
        </w:rPr>
        <w:fldChar w:fldCharType="separate"/>
      </w:r>
      <w:r>
        <w:rPr>
          <w:rFonts w:ascii="Times New Roman"/>
          <w:color w:val="auto"/>
          <w:szCs w:val="24"/>
          <w:highlight w:val="none"/>
        </w:rPr>
        <w:t>附图1项目地理位置图</w:t>
      </w:r>
      <w:r>
        <w:rPr>
          <w:color w:val="auto"/>
          <w:highlight w:val="none"/>
        </w:rPr>
        <w:tab/>
      </w:r>
      <w:r>
        <w:rPr>
          <w:color w:val="auto"/>
          <w:highlight w:val="none"/>
        </w:rPr>
        <w:fldChar w:fldCharType="begin"/>
      </w:r>
      <w:r>
        <w:rPr>
          <w:color w:val="auto"/>
          <w:highlight w:val="none"/>
        </w:rPr>
        <w:instrText xml:space="preserve"> PAGEREF _Toc7680 \h </w:instrText>
      </w:r>
      <w:r>
        <w:rPr>
          <w:color w:val="auto"/>
          <w:highlight w:val="none"/>
        </w:rPr>
        <w:fldChar w:fldCharType="separate"/>
      </w:r>
      <w:r>
        <w:rPr>
          <w:color w:val="auto"/>
          <w:highlight w:val="none"/>
        </w:rPr>
        <w:t>- 94 -</w:t>
      </w:r>
      <w:r>
        <w:rPr>
          <w:color w:val="auto"/>
          <w:highlight w:val="none"/>
        </w:rPr>
        <w:fldChar w:fldCharType="end"/>
      </w:r>
      <w:r>
        <w:rPr>
          <w:rFonts w:hint="default" w:ascii="Times New Roman" w:hAnsi="Times New Roman" w:cs="Times New Roman"/>
          <w:color w:val="auto"/>
          <w:highlight w:val="none"/>
        </w:rPr>
        <w:fldChar w:fldCharType="end"/>
      </w:r>
    </w:p>
    <w:p w14:paraId="4533550F">
      <w:pPr>
        <w:pStyle w:val="31"/>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_Toc1702 </w:instrText>
      </w:r>
      <w:r>
        <w:rPr>
          <w:rFonts w:hint="default" w:ascii="Times New Roman" w:hAnsi="Times New Roman" w:cs="Times New Roman"/>
          <w:color w:val="auto"/>
          <w:highlight w:val="none"/>
        </w:rPr>
        <w:fldChar w:fldCharType="separate"/>
      </w:r>
      <w:r>
        <w:rPr>
          <w:rFonts w:ascii="Times New Roman"/>
          <w:color w:val="auto"/>
          <w:szCs w:val="24"/>
          <w:highlight w:val="none"/>
        </w:rPr>
        <w:t>附图2 项目四至情况</w:t>
      </w:r>
      <w:r>
        <w:rPr>
          <w:color w:val="auto"/>
          <w:highlight w:val="none"/>
        </w:rPr>
        <w:tab/>
      </w:r>
      <w:r>
        <w:rPr>
          <w:color w:val="auto"/>
          <w:highlight w:val="none"/>
        </w:rPr>
        <w:fldChar w:fldCharType="begin"/>
      </w:r>
      <w:r>
        <w:rPr>
          <w:color w:val="auto"/>
          <w:highlight w:val="none"/>
        </w:rPr>
        <w:instrText xml:space="preserve"> PAGEREF _Toc1702 \h </w:instrText>
      </w:r>
      <w:r>
        <w:rPr>
          <w:color w:val="auto"/>
          <w:highlight w:val="none"/>
        </w:rPr>
        <w:fldChar w:fldCharType="separate"/>
      </w:r>
      <w:r>
        <w:rPr>
          <w:color w:val="auto"/>
          <w:highlight w:val="none"/>
        </w:rPr>
        <w:t>- 95 -</w:t>
      </w:r>
      <w:r>
        <w:rPr>
          <w:color w:val="auto"/>
          <w:highlight w:val="none"/>
        </w:rPr>
        <w:fldChar w:fldCharType="end"/>
      </w:r>
      <w:r>
        <w:rPr>
          <w:rFonts w:hint="default" w:ascii="Times New Roman" w:hAnsi="Times New Roman" w:cs="Times New Roman"/>
          <w:color w:val="auto"/>
          <w:highlight w:val="none"/>
        </w:rPr>
        <w:fldChar w:fldCharType="end"/>
      </w:r>
    </w:p>
    <w:p w14:paraId="76E86517">
      <w:pPr>
        <w:pStyle w:val="31"/>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_Toc25589 </w:instrText>
      </w:r>
      <w:r>
        <w:rPr>
          <w:rFonts w:hint="default" w:ascii="Times New Roman" w:hAnsi="Times New Roman" w:cs="Times New Roman"/>
          <w:color w:val="auto"/>
          <w:highlight w:val="none"/>
        </w:rPr>
        <w:fldChar w:fldCharType="separate"/>
      </w:r>
      <w:r>
        <w:rPr>
          <w:rFonts w:hint="eastAsia" w:ascii="Times New Roman"/>
          <w:bCs/>
          <w:color w:val="auto"/>
          <w:szCs w:val="24"/>
          <w:highlight w:val="none"/>
        </w:rPr>
        <w:t>附图</w:t>
      </w:r>
      <w:r>
        <w:rPr>
          <w:rFonts w:hint="eastAsia" w:ascii="Times New Roman" w:eastAsia="宋体"/>
          <w:bCs/>
          <w:color w:val="auto"/>
          <w:szCs w:val="24"/>
          <w:highlight w:val="none"/>
        </w:rPr>
        <w:t>3</w:t>
      </w:r>
      <w:r>
        <w:rPr>
          <w:rFonts w:hint="eastAsia"/>
          <w:bCs/>
          <w:color w:val="auto"/>
          <w:szCs w:val="24"/>
          <w:highlight w:val="none"/>
          <w:lang w:val="en-US" w:eastAsia="zh-CN"/>
        </w:rPr>
        <w:t>-1</w:t>
      </w:r>
      <w:r>
        <w:rPr>
          <w:rFonts w:hint="eastAsia" w:ascii="Times New Roman" w:eastAsia="宋体"/>
          <w:bCs/>
          <w:color w:val="auto"/>
          <w:szCs w:val="24"/>
          <w:highlight w:val="none"/>
        </w:rPr>
        <w:t xml:space="preserve"> </w:t>
      </w:r>
      <w:r>
        <w:rPr>
          <w:rFonts w:hint="eastAsia" w:ascii="Times New Roman" w:eastAsia="宋体"/>
          <w:bCs/>
          <w:color w:val="auto"/>
          <w:szCs w:val="24"/>
          <w:highlight w:val="none"/>
          <w:lang w:val="en-US" w:eastAsia="zh-CN"/>
        </w:rPr>
        <w:t>厂区总</w:t>
      </w:r>
      <w:r>
        <w:rPr>
          <w:rFonts w:hint="eastAsia" w:ascii="Times New Roman" w:eastAsia="宋体"/>
          <w:bCs/>
          <w:color w:val="auto"/>
          <w:szCs w:val="24"/>
          <w:highlight w:val="none"/>
        </w:rPr>
        <w:t>平面布置图</w:t>
      </w:r>
      <w:r>
        <w:rPr>
          <w:color w:val="auto"/>
          <w:highlight w:val="none"/>
        </w:rPr>
        <w:tab/>
      </w:r>
      <w:r>
        <w:rPr>
          <w:color w:val="auto"/>
          <w:highlight w:val="none"/>
        </w:rPr>
        <w:fldChar w:fldCharType="begin"/>
      </w:r>
      <w:r>
        <w:rPr>
          <w:color w:val="auto"/>
          <w:highlight w:val="none"/>
        </w:rPr>
        <w:instrText xml:space="preserve"> PAGEREF _Toc25589 \h </w:instrText>
      </w:r>
      <w:r>
        <w:rPr>
          <w:color w:val="auto"/>
          <w:highlight w:val="none"/>
        </w:rPr>
        <w:fldChar w:fldCharType="separate"/>
      </w:r>
      <w:r>
        <w:rPr>
          <w:color w:val="auto"/>
          <w:highlight w:val="none"/>
        </w:rPr>
        <w:t>- 96 -</w:t>
      </w:r>
      <w:r>
        <w:rPr>
          <w:color w:val="auto"/>
          <w:highlight w:val="none"/>
        </w:rPr>
        <w:fldChar w:fldCharType="end"/>
      </w:r>
      <w:r>
        <w:rPr>
          <w:rFonts w:hint="default" w:ascii="Times New Roman" w:hAnsi="Times New Roman" w:cs="Times New Roman"/>
          <w:color w:val="auto"/>
          <w:highlight w:val="none"/>
        </w:rPr>
        <w:fldChar w:fldCharType="end"/>
      </w:r>
    </w:p>
    <w:p w14:paraId="026E6A5A">
      <w:pPr>
        <w:pStyle w:val="31"/>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_Toc17711 </w:instrText>
      </w:r>
      <w:r>
        <w:rPr>
          <w:rFonts w:hint="default" w:ascii="Times New Roman" w:hAnsi="Times New Roman" w:cs="Times New Roman"/>
          <w:color w:val="auto"/>
          <w:highlight w:val="none"/>
        </w:rPr>
        <w:fldChar w:fldCharType="separate"/>
      </w:r>
      <w:r>
        <w:rPr>
          <w:rFonts w:hint="eastAsia" w:ascii="Times New Roman"/>
          <w:bCs/>
          <w:color w:val="auto"/>
          <w:szCs w:val="24"/>
          <w:highlight w:val="none"/>
        </w:rPr>
        <w:t>附图</w:t>
      </w:r>
      <w:r>
        <w:rPr>
          <w:rFonts w:hint="eastAsia" w:ascii="Times New Roman" w:eastAsia="宋体"/>
          <w:bCs/>
          <w:color w:val="auto"/>
          <w:szCs w:val="24"/>
          <w:highlight w:val="none"/>
        </w:rPr>
        <w:t>3</w:t>
      </w:r>
      <w:r>
        <w:rPr>
          <w:rFonts w:hint="default" w:ascii="Times New Roman" w:hAnsi="Times New Roman" w:cs="Times New Roman"/>
          <w:bCs/>
          <w:color w:val="auto"/>
          <w:szCs w:val="24"/>
          <w:highlight w:val="none"/>
          <w:lang w:val="en-US" w:eastAsia="zh-CN"/>
        </w:rPr>
        <w:t>-2</w:t>
      </w:r>
      <w:r>
        <w:rPr>
          <w:rFonts w:hint="eastAsia" w:ascii="Times New Roman" w:eastAsia="宋体"/>
          <w:bCs/>
          <w:color w:val="auto"/>
          <w:szCs w:val="24"/>
          <w:highlight w:val="none"/>
        </w:rPr>
        <w:t xml:space="preserve"> </w:t>
      </w:r>
      <w:r>
        <w:rPr>
          <w:rFonts w:hint="eastAsia" w:ascii="Times New Roman" w:eastAsia="宋体"/>
          <w:bCs/>
          <w:color w:val="auto"/>
          <w:szCs w:val="24"/>
          <w:highlight w:val="none"/>
          <w:lang w:val="en-US" w:eastAsia="zh-CN"/>
        </w:rPr>
        <w:t>厂区</w:t>
      </w:r>
      <w:r>
        <w:rPr>
          <w:rFonts w:hint="eastAsia" w:ascii="Times New Roman"/>
          <w:bCs/>
          <w:color w:val="auto"/>
          <w:szCs w:val="24"/>
          <w:highlight w:val="none"/>
          <w:lang w:val="en-US" w:eastAsia="zh-CN"/>
        </w:rPr>
        <w:t>雨污管网</w:t>
      </w:r>
      <w:r>
        <w:rPr>
          <w:rFonts w:hint="eastAsia" w:ascii="Times New Roman" w:eastAsia="宋体"/>
          <w:bCs/>
          <w:color w:val="auto"/>
          <w:szCs w:val="24"/>
          <w:highlight w:val="none"/>
        </w:rPr>
        <w:t>图</w:t>
      </w:r>
      <w:r>
        <w:rPr>
          <w:color w:val="auto"/>
          <w:highlight w:val="none"/>
        </w:rPr>
        <w:tab/>
      </w:r>
      <w:r>
        <w:rPr>
          <w:color w:val="auto"/>
          <w:highlight w:val="none"/>
        </w:rPr>
        <w:fldChar w:fldCharType="begin"/>
      </w:r>
      <w:r>
        <w:rPr>
          <w:color w:val="auto"/>
          <w:highlight w:val="none"/>
        </w:rPr>
        <w:instrText xml:space="preserve"> PAGEREF _Toc17711 \h </w:instrText>
      </w:r>
      <w:r>
        <w:rPr>
          <w:color w:val="auto"/>
          <w:highlight w:val="none"/>
        </w:rPr>
        <w:fldChar w:fldCharType="separate"/>
      </w:r>
      <w:r>
        <w:rPr>
          <w:color w:val="auto"/>
          <w:highlight w:val="none"/>
        </w:rPr>
        <w:t>- 97 -</w:t>
      </w:r>
      <w:r>
        <w:rPr>
          <w:color w:val="auto"/>
          <w:highlight w:val="none"/>
        </w:rPr>
        <w:fldChar w:fldCharType="end"/>
      </w:r>
      <w:r>
        <w:rPr>
          <w:rFonts w:hint="default" w:ascii="Times New Roman" w:hAnsi="Times New Roman" w:cs="Times New Roman"/>
          <w:color w:val="auto"/>
          <w:highlight w:val="none"/>
        </w:rPr>
        <w:fldChar w:fldCharType="end"/>
      </w:r>
    </w:p>
    <w:p w14:paraId="74124524">
      <w:pPr>
        <w:pStyle w:val="31"/>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_Toc14653 </w:instrText>
      </w:r>
      <w:r>
        <w:rPr>
          <w:rFonts w:hint="default" w:ascii="Times New Roman" w:hAnsi="Times New Roman" w:cs="Times New Roman"/>
          <w:color w:val="auto"/>
          <w:highlight w:val="none"/>
        </w:rPr>
        <w:fldChar w:fldCharType="separate"/>
      </w:r>
      <w:r>
        <w:rPr>
          <w:rFonts w:hint="eastAsia" w:ascii="Times New Roman"/>
          <w:bCs/>
          <w:color w:val="auto"/>
          <w:szCs w:val="24"/>
          <w:highlight w:val="none"/>
        </w:rPr>
        <w:t>附图4 环境保护目标分布图</w:t>
      </w:r>
      <w:r>
        <w:rPr>
          <w:color w:val="auto"/>
          <w:highlight w:val="none"/>
        </w:rPr>
        <w:tab/>
      </w:r>
      <w:r>
        <w:rPr>
          <w:color w:val="auto"/>
          <w:highlight w:val="none"/>
        </w:rPr>
        <w:fldChar w:fldCharType="begin"/>
      </w:r>
      <w:r>
        <w:rPr>
          <w:color w:val="auto"/>
          <w:highlight w:val="none"/>
        </w:rPr>
        <w:instrText xml:space="preserve"> PAGEREF _Toc14653 \h </w:instrText>
      </w:r>
      <w:r>
        <w:rPr>
          <w:color w:val="auto"/>
          <w:highlight w:val="none"/>
        </w:rPr>
        <w:fldChar w:fldCharType="separate"/>
      </w:r>
      <w:r>
        <w:rPr>
          <w:color w:val="auto"/>
          <w:highlight w:val="none"/>
        </w:rPr>
        <w:t>- 98 -</w:t>
      </w:r>
      <w:r>
        <w:rPr>
          <w:color w:val="auto"/>
          <w:highlight w:val="none"/>
        </w:rPr>
        <w:fldChar w:fldCharType="end"/>
      </w:r>
      <w:r>
        <w:rPr>
          <w:rFonts w:hint="default" w:ascii="Times New Roman" w:hAnsi="Times New Roman" w:cs="Times New Roman"/>
          <w:color w:val="auto"/>
          <w:highlight w:val="none"/>
        </w:rPr>
        <w:fldChar w:fldCharType="end"/>
      </w:r>
    </w:p>
    <w:p w14:paraId="23D5C731">
      <w:pPr>
        <w:pStyle w:val="31"/>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_Toc19538 </w:instrText>
      </w:r>
      <w:r>
        <w:rPr>
          <w:rFonts w:hint="default" w:ascii="Times New Roman" w:hAnsi="Times New Roman" w:cs="Times New Roman"/>
          <w:color w:val="auto"/>
          <w:highlight w:val="none"/>
        </w:rPr>
        <w:fldChar w:fldCharType="separate"/>
      </w:r>
      <w:r>
        <w:rPr>
          <w:bCs/>
          <w:color w:val="auto"/>
          <w:szCs w:val="22"/>
          <w:highlight w:val="none"/>
        </w:rPr>
        <w:t>附图</w:t>
      </w:r>
      <w:r>
        <w:rPr>
          <w:rFonts w:hint="eastAsia"/>
          <w:bCs/>
          <w:color w:val="auto"/>
          <w:szCs w:val="22"/>
          <w:highlight w:val="none"/>
        </w:rPr>
        <w:t>5</w:t>
      </w:r>
      <w:r>
        <w:rPr>
          <w:bCs/>
          <w:color w:val="auto"/>
          <w:szCs w:val="22"/>
          <w:highlight w:val="none"/>
        </w:rPr>
        <w:t xml:space="preserve"> </w:t>
      </w:r>
      <w:r>
        <w:rPr>
          <w:rFonts w:hint="eastAsia"/>
          <w:bCs/>
          <w:color w:val="auto"/>
          <w:szCs w:val="22"/>
          <w:highlight w:val="none"/>
        </w:rPr>
        <w:t>建设项目土地利用规划图</w:t>
      </w:r>
      <w:r>
        <w:rPr>
          <w:color w:val="auto"/>
          <w:highlight w:val="none"/>
        </w:rPr>
        <w:tab/>
      </w:r>
      <w:r>
        <w:rPr>
          <w:color w:val="auto"/>
          <w:highlight w:val="none"/>
        </w:rPr>
        <w:fldChar w:fldCharType="begin"/>
      </w:r>
      <w:r>
        <w:rPr>
          <w:color w:val="auto"/>
          <w:highlight w:val="none"/>
        </w:rPr>
        <w:instrText xml:space="preserve"> PAGEREF _Toc19538 \h </w:instrText>
      </w:r>
      <w:r>
        <w:rPr>
          <w:color w:val="auto"/>
          <w:highlight w:val="none"/>
        </w:rPr>
        <w:fldChar w:fldCharType="separate"/>
      </w:r>
      <w:r>
        <w:rPr>
          <w:color w:val="auto"/>
          <w:highlight w:val="none"/>
        </w:rPr>
        <w:t>- 99 -</w:t>
      </w:r>
      <w:r>
        <w:rPr>
          <w:color w:val="auto"/>
          <w:highlight w:val="none"/>
        </w:rPr>
        <w:fldChar w:fldCharType="end"/>
      </w:r>
      <w:r>
        <w:rPr>
          <w:rFonts w:hint="default" w:ascii="Times New Roman" w:hAnsi="Times New Roman" w:cs="Times New Roman"/>
          <w:color w:val="auto"/>
          <w:highlight w:val="none"/>
        </w:rPr>
        <w:fldChar w:fldCharType="end"/>
      </w:r>
    </w:p>
    <w:p w14:paraId="0FB991E0">
      <w:pPr>
        <w:pStyle w:val="31"/>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_Toc25092 </w:instrText>
      </w:r>
      <w:r>
        <w:rPr>
          <w:rFonts w:hint="default" w:ascii="Times New Roman" w:hAnsi="Times New Roman" w:cs="Times New Roman"/>
          <w:color w:val="auto"/>
          <w:highlight w:val="none"/>
        </w:rPr>
        <w:fldChar w:fldCharType="separate"/>
      </w:r>
      <w:r>
        <w:rPr>
          <w:bCs/>
          <w:color w:val="auto"/>
          <w:szCs w:val="22"/>
          <w:highlight w:val="none"/>
        </w:rPr>
        <w:t>附图</w:t>
      </w:r>
      <w:r>
        <w:rPr>
          <w:rFonts w:hint="eastAsia"/>
          <w:bCs/>
          <w:color w:val="auto"/>
          <w:szCs w:val="22"/>
          <w:highlight w:val="none"/>
        </w:rPr>
        <w:t>6</w:t>
      </w:r>
      <w:r>
        <w:rPr>
          <w:bCs/>
          <w:color w:val="auto"/>
          <w:szCs w:val="22"/>
          <w:highlight w:val="none"/>
        </w:rPr>
        <w:t xml:space="preserve"> </w:t>
      </w:r>
      <w:r>
        <w:rPr>
          <w:rFonts w:hint="eastAsia"/>
          <w:bCs/>
          <w:color w:val="auto"/>
          <w:szCs w:val="22"/>
          <w:highlight w:val="none"/>
        </w:rPr>
        <w:t>大气环境功能区划图</w:t>
      </w:r>
      <w:r>
        <w:rPr>
          <w:color w:val="auto"/>
          <w:highlight w:val="none"/>
        </w:rPr>
        <w:tab/>
      </w:r>
      <w:r>
        <w:rPr>
          <w:color w:val="auto"/>
          <w:highlight w:val="none"/>
        </w:rPr>
        <w:fldChar w:fldCharType="begin"/>
      </w:r>
      <w:r>
        <w:rPr>
          <w:color w:val="auto"/>
          <w:highlight w:val="none"/>
        </w:rPr>
        <w:instrText xml:space="preserve"> PAGEREF _Toc25092 \h </w:instrText>
      </w:r>
      <w:r>
        <w:rPr>
          <w:color w:val="auto"/>
          <w:highlight w:val="none"/>
        </w:rPr>
        <w:fldChar w:fldCharType="separate"/>
      </w:r>
      <w:r>
        <w:rPr>
          <w:color w:val="auto"/>
          <w:highlight w:val="none"/>
        </w:rPr>
        <w:t>- 100 -</w:t>
      </w:r>
      <w:r>
        <w:rPr>
          <w:color w:val="auto"/>
          <w:highlight w:val="none"/>
        </w:rPr>
        <w:fldChar w:fldCharType="end"/>
      </w:r>
      <w:r>
        <w:rPr>
          <w:rFonts w:hint="default" w:ascii="Times New Roman" w:hAnsi="Times New Roman" w:cs="Times New Roman"/>
          <w:color w:val="auto"/>
          <w:highlight w:val="none"/>
        </w:rPr>
        <w:fldChar w:fldCharType="end"/>
      </w:r>
    </w:p>
    <w:p w14:paraId="71BCCCB2">
      <w:pPr>
        <w:pStyle w:val="31"/>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_Toc7689 </w:instrText>
      </w:r>
      <w:r>
        <w:rPr>
          <w:rFonts w:hint="default" w:ascii="Times New Roman" w:hAnsi="Times New Roman" w:cs="Times New Roman"/>
          <w:color w:val="auto"/>
          <w:highlight w:val="none"/>
        </w:rPr>
        <w:fldChar w:fldCharType="separate"/>
      </w:r>
      <w:r>
        <w:rPr>
          <w:rFonts w:hint="default" w:ascii="Times New Roman" w:hAnsi="Times New Roman" w:cs="Times New Roman"/>
          <w:bCs/>
          <w:color w:val="auto"/>
          <w:szCs w:val="22"/>
          <w:highlight w:val="none"/>
        </w:rPr>
        <w:t>附图7 水环境功能区划图</w:t>
      </w:r>
      <w:r>
        <w:rPr>
          <w:color w:val="auto"/>
          <w:highlight w:val="none"/>
        </w:rPr>
        <w:tab/>
      </w:r>
      <w:r>
        <w:rPr>
          <w:color w:val="auto"/>
          <w:highlight w:val="none"/>
        </w:rPr>
        <w:fldChar w:fldCharType="begin"/>
      </w:r>
      <w:r>
        <w:rPr>
          <w:color w:val="auto"/>
          <w:highlight w:val="none"/>
        </w:rPr>
        <w:instrText xml:space="preserve"> PAGEREF _Toc7689 \h </w:instrText>
      </w:r>
      <w:r>
        <w:rPr>
          <w:color w:val="auto"/>
          <w:highlight w:val="none"/>
        </w:rPr>
        <w:fldChar w:fldCharType="separate"/>
      </w:r>
      <w:r>
        <w:rPr>
          <w:color w:val="auto"/>
          <w:highlight w:val="none"/>
        </w:rPr>
        <w:t>- 101 -</w:t>
      </w:r>
      <w:r>
        <w:rPr>
          <w:color w:val="auto"/>
          <w:highlight w:val="none"/>
        </w:rPr>
        <w:fldChar w:fldCharType="end"/>
      </w:r>
      <w:r>
        <w:rPr>
          <w:rFonts w:hint="default" w:ascii="Times New Roman" w:hAnsi="Times New Roman" w:cs="Times New Roman"/>
          <w:color w:val="auto"/>
          <w:highlight w:val="none"/>
        </w:rPr>
        <w:fldChar w:fldCharType="end"/>
      </w:r>
    </w:p>
    <w:p w14:paraId="05746DA3">
      <w:pPr>
        <w:pStyle w:val="31"/>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_Toc29915 </w:instrText>
      </w:r>
      <w:r>
        <w:rPr>
          <w:rFonts w:hint="default" w:ascii="Times New Roman" w:hAnsi="Times New Roman" w:cs="Times New Roman"/>
          <w:color w:val="auto"/>
          <w:highlight w:val="none"/>
        </w:rPr>
        <w:fldChar w:fldCharType="separate"/>
      </w:r>
      <w:r>
        <w:rPr>
          <w:rFonts w:hint="default" w:ascii="Times New Roman" w:hAnsi="Times New Roman" w:cs="Times New Roman"/>
          <w:bCs/>
          <w:color w:val="auto"/>
          <w:szCs w:val="22"/>
          <w:highlight w:val="none"/>
        </w:rPr>
        <w:t>附图8 生态</w:t>
      </w:r>
      <w:r>
        <w:rPr>
          <w:rFonts w:hint="eastAsia" w:ascii="Times New Roman" w:hAnsi="Times New Roman" w:cs="Times New Roman"/>
          <w:bCs/>
          <w:color w:val="auto"/>
          <w:szCs w:val="22"/>
          <w:highlight w:val="none"/>
          <w:lang w:val="en-US" w:eastAsia="zh-CN"/>
        </w:rPr>
        <w:t>保护</w:t>
      </w:r>
      <w:r>
        <w:rPr>
          <w:rFonts w:hint="default" w:ascii="Times New Roman" w:hAnsi="Times New Roman" w:cs="Times New Roman"/>
          <w:bCs/>
          <w:color w:val="auto"/>
          <w:szCs w:val="22"/>
          <w:highlight w:val="none"/>
        </w:rPr>
        <w:t>红线分布图</w:t>
      </w:r>
      <w:r>
        <w:rPr>
          <w:color w:val="auto"/>
          <w:highlight w:val="none"/>
        </w:rPr>
        <w:tab/>
      </w:r>
      <w:r>
        <w:rPr>
          <w:color w:val="auto"/>
          <w:highlight w:val="none"/>
        </w:rPr>
        <w:fldChar w:fldCharType="begin"/>
      </w:r>
      <w:r>
        <w:rPr>
          <w:color w:val="auto"/>
          <w:highlight w:val="none"/>
        </w:rPr>
        <w:instrText xml:space="preserve"> PAGEREF _Toc29915 \h </w:instrText>
      </w:r>
      <w:r>
        <w:rPr>
          <w:color w:val="auto"/>
          <w:highlight w:val="none"/>
        </w:rPr>
        <w:fldChar w:fldCharType="separate"/>
      </w:r>
      <w:r>
        <w:rPr>
          <w:color w:val="auto"/>
          <w:highlight w:val="none"/>
        </w:rPr>
        <w:t>- 102 -</w:t>
      </w:r>
      <w:r>
        <w:rPr>
          <w:color w:val="auto"/>
          <w:highlight w:val="none"/>
        </w:rPr>
        <w:fldChar w:fldCharType="end"/>
      </w:r>
      <w:r>
        <w:rPr>
          <w:rFonts w:hint="default" w:ascii="Times New Roman" w:hAnsi="Times New Roman" w:cs="Times New Roman"/>
          <w:color w:val="auto"/>
          <w:highlight w:val="none"/>
        </w:rPr>
        <w:fldChar w:fldCharType="end"/>
      </w:r>
    </w:p>
    <w:p w14:paraId="4A67ECC7">
      <w:pPr>
        <w:pStyle w:val="31"/>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_Toc2359 </w:instrText>
      </w:r>
      <w:r>
        <w:rPr>
          <w:rFonts w:hint="default" w:ascii="Times New Roman" w:hAnsi="Times New Roman" w:cs="Times New Roman"/>
          <w:color w:val="auto"/>
          <w:highlight w:val="none"/>
        </w:rPr>
        <w:fldChar w:fldCharType="separate"/>
      </w:r>
      <w:r>
        <w:rPr>
          <w:rFonts w:hint="default" w:ascii="Times New Roman" w:hAnsi="Times New Roman" w:cs="Times New Roman"/>
          <w:bCs/>
          <w:color w:val="auto"/>
          <w:szCs w:val="22"/>
          <w:highlight w:val="none"/>
        </w:rPr>
        <w:t xml:space="preserve">附图9 </w:t>
      </w:r>
      <w:r>
        <w:rPr>
          <w:rFonts w:hint="default" w:ascii="Times New Roman" w:hAnsi="Times New Roman" w:cs="Times New Roman"/>
          <w:bCs/>
          <w:color w:val="auto"/>
          <w:highlight w:val="none"/>
        </w:rPr>
        <w:t>水环境管控单元</w:t>
      </w:r>
      <w:r>
        <w:rPr>
          <w:rFonts w:hint="eastAsia" w:ascii="Times New Roman" w:hAnsi="Times New Roman" w:cs="Times New Roman"/>
          <w:bCs/>
          <w:color w:val="auto"/>
          <w:highlight w:val="none"/>
          <w:lang w:val="en-US" w:eastAsia="zh-CN"/>
        </w:rPr>
        <w:t>分区</w:t>
      </w:r>
      <w:r>
        <w:rPr>
          <w:rFonts w:hint="default" w:ascii="Times New Roman" w:hAnsi="Times New Roman" w:cs="Times New Roman"/>
          <w:bCs/>
          <w:color w:val="auto"/>
          <w:szCs w:val="22"/>
          <w:highlight w:val="none"/>
        </w:rPr>
        <w:t>图</w:t>
      </w:r>
      <w:r>
        <w:rPr>
          <w:color w:val="auto"/>
          <w:highlight w:val="none"/>
        </w:rPr>
        <w:tab/>
      </w:r>
      <w:r>
        <w:rPr>
          <w:color w:val="auto"/>
          <w:highlight w:val="none"/>
        </w:rPr>
        <w:fldChar w:fldCharType="begin"/>
      </w:r>
      <w:r>
        <w:rPr>
          <w:color w:val="auto"/>
          <w:highlight w:val="none"/>
        </w:rPr>
        <w:instrText xml:space="preserve"> PAGEREF _Toc2359 \h </w:instrText>
      </w:r>
      <w:r>
        <w:rPr>
          <w:color w:val="auto"/>
          <w:highlight w:val="none"/>
        </w:rPr>
        <w:fldChar w:fldCharType="separate"/>
      </w:r>
      <w:r>
        <w:rPr>
          <w:color w:val="auto"/>
          <w:highlight w:val="none"/>
        </w:rPr>
        <w:t>- 103 -</w:t>
      </w:r>
      <w:r>
        <w:rPr>
          <w:color w:val="auto"/>
          <w:highlight w:val="none"/>
        </w:rPr>
        <w:fldChar w:fldCharType="end"/>
      </w:r>
      <w:r>
        <w:rPr>
          <w:rFonts w:hint="default" w:ascii="Times New Roman" w:hAnsi="Times New Roman" w:cs="Times New Roman"/>
          <w:color w:val="auto"/>
          <w:highlight w:val="none"/>
        </w:rPr>
        <w:fldChar w:fldCharType="end"/>
      </w:r>
    </w:p>
    <w:p w14:paraId="36D0C3A7">
      <w:pPr>
        <w:pStyle w:val="31"/>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_Toc5472 </w:instrText>
      </w:r>
      <w:r>
        <w:rPr>
          <w:rFonts w:hint="default" w:ascii="Times New Roman" w:hAnsi="Times New Roman" w:cs="Times New Roman"/>
          <w:color w:val="auto"/>
          <w:highlight w:val="none"/>
        </w:rPr>
        <w:fldChar w:fldCharType="separate"/>
      </w:r>
      <w:r>
        <w:rPr>
          <w:rFonts w:hint="default" w:ascii="Times New Roman" w:hAnsi="Times New Roman" w:cs="Times New Roman"/>
          <w:bCs/>
          <w:color w:val="auto"/>
          <w:szCs w:val="22"/>
          <w:highlight w:val="none"/>
        </w:rPr>
        <w:t>附图10 大气环境管控单元图</w:t>
      </w:r>
      <w:r>
        <w:rPr>
          <w:color w:val="auto"/>
          <w:highlight w:val="none"/>
        </w:rPr>
        <w:tab/>
      </w:r>
      <w:r>
        <w:rPr>
          <w:color w:val="auto"/>
          <w:highlight w:val="none"/>
        </w:rPr>
        <w:fldChar w:fldCharType="begin"/>
      </w:r>
      <w:r>
        <w:rPr>
          <w:color w:val="auto"/>
          <w:highlight w:val="none"/>
        </w:rPr>
        <w:instrText xml:space="preserve"> PAGEREF _Toc5472 \h </w:instrText>
      </w:r>
      <w:r>
        <w:rPr>
          <w:color w:val="auto"/>
          <w:highlight w:val="none"/>
        </w:rPr>
        <w:fldChar w:fldCharType="separate"/>
      </w:r>
      <w:r>
        <w:rPr>
          <w:color w:val="auto"/>
          <w:highlight w:val="none"/>
        </w:rPr>
        <w:t>- 104 -</w:t>
      </w:r>
      <w:r>
        <w:rPr>
          <w:color w:val="auto"/>
          <w:highlight w:val="none"/>
        </w:rPr>
        <w:fldChar w:fldCharType="end"/>
      </w:r>
      <w:r>
        <w:rPr>
          <w:rFonts w:hint="default" w:ascii="Times New Roman" w:hAnsi="Times New Roman" w:cs="Times New Roman"/>
          <w:color w:val="auto"/>
          <w:highlight w:val="none"/>
        </w:rPr>
        <w:fldChar w:fldCharType="end"/>
      </w:r>
    </w:p>
    <w:p w14:paraId="2A08BD7B">
      <w:pPr>
        <w:pStyle w:val="31"/>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_Toc6687 </w:instrText>
      </w:r>
      <w:r>
        <w:rPr>
          <w:rFonts w:hint="default" w:ascii="Times New Roman" w:hAnsi="Times New Roman" w:cs="Times New Roman"/>
          <w:color w:val="auto"/>
          <w:highlight w:val="none"/>
        </w:rPr>
        <w:fldChar w:fldCharType="separate"/>
      </w:r>
      <w:r>
        <w:rPr>
          <w:bCs/>
          <w:color w:val="auto"/>
          <w:szCs w:val="22"/>
          <w:highlight w:val="none"/>
        </w:rPr>
        <w:t>附图1</w:t>
      </w:r>
      <w:r>
        <w:rPr>
          <w:rFonts w:hint="eastAsia"/>
          <w:bCs/>
          <w:color w:val="auto"/>
          <w:szCs w:val="22"/>
          <w:highlight w:val="none"/>
        </w:rPr>
        <w:t>1</w:t>
      </w:r>
      <w:r>
        <w:rPr>
          <w:bCs/>
          <w:color w:val="auto"/>
          <w:szCs w:val="22"/>
          <w:highlight w:val="none"/>
        </w:rPr>
        <w:t xml:space="preserve"> </w:t>
      </w:r>
      <w:r>
        <w:rPr>
          <w:rFonts w:hint="eastAsia"/>
          <w:bCs/>
          <w:color w:val="auto"/>
          <w:szCs w:val="22"/>
          <w:highlight w:val="none"/>
        </w:rPr>
        <w:t>生态管控单元分区图</w:t>
      </w:r>
      <w:r>
        <w:rPr>
          <w:color w:val="auto"/>
          <w:highlight w:val="none"/>
        </w:rPr>
        <w:tab/>
      </w:r>
      <w:r>
        <w:rPr>
          <w:color w:val="auto"/>
          <w:highlight w:val="none"/>
        </w:rPr>
        <w:fldChar w:fldCharType="begin"/>
      </w:r>
      <w:r>
        <w:rPr>
          <w:color w:val="auto"/>
          <w:highlight w:val="none"/>
        </w:rPr>
        <w:instrText xml:space="preserve"> PAGEREF _Toc6687 \h </w:instrText>
      </w:r>
      <w:r>
        <w:rPr>
          <w:color w:val="auto"/>
          <w:highlight w:val="none"/>
        </w:rPr>
        <w:fldChar w:fldCharType="separate"/>
      </w:r>
      <w:r>
        <w:rPr>
          <w:color w:val="auto"/>
          <w:highlight w:val="none"/>
        </w:rPr>
        <w:t>- 105 -</w:t>
      </w:r>
      <w:r>
        <w:rPr>
          <w:color w:val="auto"/>
          <w:highlight w:val="none"/>
        </w:rPr>
        <w:fldChar w:fldCharType="end"/>
      </w:r>
      <w:r>
        <w:rPr>
          <w:rFonts w:hint="default" w:ascii="Times New Roman" w:hAnsi="Times New Roman" w:cs="Times New Roman"/>
          <w:color w:val="auto"/>
          <w:highlight w:val="none"/>
        </w:rPr>
        <w:fldChar w:fldCharType="end"/>
      </w:r>
    </w:p>
    <w:p w14:paraId="6A469523">
      <w:pPr>
        <w:pStyle w:val="31"/>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_Toc16737 </w:instrText>
      </w:r>
      <w:r>
        <w:rPr>
          <w:rFonts w:hint="default" w:ascii="Times New Roman" w:hAnsi="Times New Roman" w:cs="Times New Roman"/>
          <w:color w:val="auto"/>
          <w:highlight w:val="none"/>
        </w:rPr>
        <w:fldChar w:fldCharType="separate"/>
      </w:r>
      <w:r>
        <w:rPr>
          <w:bCs/>
          <w:color w:val="auto"/>
          <w:szCs w:val="22"/>
          <w:highlight w:val="none"/>
        </w:rPr>
        <w:t>附图</w:t>
      </w:r>
      <w:r>
        <w:rPr>
          <w:rFonts w:hint="eastAsia"/>
          <w:bCs/>
          <w:color w:val="auto"/>
          <w:szCs w:val="22"/>
          <w:highlight w:val="none"/>
        </w:rPr>
        <w:t>1</w:t>
      </w:r>
      <w:r>
        <w:rPr>
          <w:rFonts w:hint="eastAsia"/>
          <w:bCs/>
          <w:color w:val="auto"/>
          <w:szCs w:val="22"/>
          <w:highlight w:val="none"/>
          <w:lang w:val="en-US" w:eastAsia="zh-CN"/>
        </w:rPr>
        <w:t>2</w:t>
      </w:r>
      <w:r>
        <w:rPr>
          <w:bCs/>
          <w:color w:val="auto"/>
          <w:szCs w:val="22"/>
          <w:highlight w:val="none"/>
        </w:rPr>
        <w:t xml:space="preserve"> 项目</w:t>
      </w:r>
      <w:r>
        <w:rPr>
          <w:rFonts w:hint="eastAsia"/>
          <w:bCs/>
          <w:color w:val="auto"/>
          <w:szCs w:val="22"/>
          <w:highlight w:val="none"/>
          <w:lang w:val="en-US" w:eastAsia="zh-CN"/>
        </w:rPr>
        <w:t>和项目</w:t>
      </w:r>
      <w:r>
        <w:rPr>
          <w:bCs/>
          <w:color w:val="auto"/>
          <w:szCs w:val="22"/>
          <w:highlight w:val="none"/>
        </w:rPr>
        <w:t>周边现状</w:t>
      </w:r>
      <w:r>
        <w:rPr>
          <w:rFonts w:hint="eastAsia"/>
          <w:bCs/>
          <w:color w:val="auto"/>
          <w:szCs w:val="22"/>
          <w:highlight w:val="none"/>
        </w:rPr>
        <w:t>图</w:t>
      </w:r>
      <w:r>
        <w:rPr>
          <w:color w:val="auto"/>
          <w:highlight w:val="none"/>
        </w:rPr>
        <w:tab/>
      </w:r>
      <w:r>
        <w:rPr>
          <w:color w:val="auto"/>
          <w:highlight w:val="none"/>
        </w:rPr>
        <w:fldChar w:fldCharType="begin"/>
      </w:r>
      <w:r>
        <w:rPr>
          <w:color w:val="auto"/>
          <w:highlight w:val="none"/>
        </w:rPr>
        <w:instrText xml:space="preserve"> PAGEREF _Toc16737 \h </w:instrText>
      </w:r>
      <w:r>
        <w:rPr>
          <w:color w:val="auto"/>
          <w:highlight w:val="none"/>
        </w:rPr>
        <w:fldChar w:fldCharType="separate"/>
      </w:r>
      <w:r>
        <w:rPr>
          <w:color w:val="auto"/>
          <w:highlight w:val="none"/>
        </w:rPr>
        <w:t>- 106 -</w:t>
      </w:r>
      <w:r>
        <w:rPr>
          <w:color w:val="auto"/>
          <w:highlight w:val="none"/>
        </w:rPr>
        <w:fldChar w:fldCharType="end"/>
      </w:r>
      <w:r>
        <w:rPr>
          <w:rFonts w:hint="default" w:ascii="Times New Roman" w:hAnsi="Times New Roman" w:cs="Times New Roman"/>
          <w:color w:val="auto"/>
          <w:highlight w:val="none"/>
        </w:rPr>
        <w:fldChar w:fldCharType="end"/>
      </w:r>
    </w:p>
    <w:p w14:paraId="5287F48E">
      <w:pPr>
        <w:pStyle w:val="31"/>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_Toc22409 </w:instrText>
      </w:r>
      <w:r>
        <w:rPr>
          <w:rFonts w:hint="default" w:ascii="Times New Roman" w:hAnsi="Times New Roman" w:cs="Times New Roman"/>
          <w:color w:val="auto"/>
          <w:highlight w:val="none"/>
        </w:rPr>
        <w:fldChar w:fldCharType="separate"/>
      </w:r>
      <w:r>
        <w:rPr>
          <w:rFonts w:hint="eastAsia" w:ascii="Times New Roman" w:cs="Times New Roman"/>
          <w:bCs/>
          <w:color w:val="auto"/>
          <w:highlight w:val="none"/>
        </w:rPr>
        <w:t>附图1</w:t>
      </w:r>
      <w:r>
        <w:rPr>
          <w:rFonts w:hint="eastAsia" w:ascii="Times New Roman" w:cs="Times New Roman"/>
          <w:bCs/>
          <w:color w:val="auto"/>
          <w:highlight w:val="none"/>
          <w:lang w:val="en-US" w:eastAsia="zh-CN"/>
        </w:rPr>
        <w:t>3-1</w:t>
      </w:r>
      <w:r>
        <w:rPr>
          <w:rFonts w:hint="eastAsia" w:ascii="Times New Roman" w:cs="Times New Roman"/>
          <w:bCs/>
          <w:color w:val="auto"/>
          <w:highlight w:val="none"/>
        </w:rPr>
        <w:t xml:space="preserve"> 广东省“三线一单”</w:t>
      </w:r>
      <w:r>
        <w:rPr>
          <w:rFonts w:hint="eastAsia" w:ascii="Times New Roman" w:cs="Times New Roman"/>
          <w:bCs/>
          <w:color w:val="auto"/>
          <w:highlight w:val="none"/>
          <w:lang w:val="en-US" w:eastAsia="zh-CN"/>
        </w:rPr>
        <w:t>平台陆域环境管控单元</w:t>
      </w:r>
      <w:r>
        <w:rPr>
          <w:rFonts w:hint="eastAsia" w:ascii="Times New Roman" w:cs="Times New Roman"/>
          <w:bCs/>
          <w:color w:val="auto"/>
          <w:highlight w:val="none"/>
        </w:rPr>
        <w:t>截图</w:t>
      </w:r>
      <w:r>
        <w:rPr>
          <w:color w:val="auto"/>
          <w:highlight w:val="none"/>
        </w:rPr>
        <w:tab/>
      </w:r>
      <w:r>
        <w:rPr>
          <w:color w:val="auto"/>
          <w:highlight w:val="none"/>
        </w:rPr>
        <w:fldChar w:fldCharType="begin"/>
      </w:r>
      <w:r>
        <w:rPr>
          <w:color w:val="auto"/>
          <w:highlight w:val="none"/>
        </w:rPr>
        <w:instrText xml:space="preserve"> PAGEREF _Toc22409 \h </w:instrText>
      </w:r>
      <w:r>
        <w:rPr>
          <w:color w:val="auto"/>
          <w:highlight w:val="none"/>
        </w:rPr>
        <w:fldChar w:fldCharType="separate"/>
      </w:r>
      <w:r>
        <w:rPr>
          <w:color w:val="auto"/>
          <w:highlight w:val="none"/>
        </w:rPr>
        <w:t>- 107 -</w:t>
      </w:r>
      <w:r>
        <w:rPr>
          <w:color w:val="auto"/>
          <w:highlight w:val="none"/>
        </w:rPr>
        <w:fldChar w:fldCharType="end"/>
      </w:r>
      <w:r>
        <w:rPr>
          <w:rFonts w:hint="default" w:ascii="Times New Roman" w:hAnsi="Times New Roman" w:cs="Times New Roman"/>
          <w:color w:val="auto"/>
          <w:highlight w:val="none"/>
        </w:rPr>
        <w:fldChar w:fldCharType="end"/>
      </w:r>
    </w:p>
    <w:p w14:paraId="39F6C103">
      <w:pPr>
        <w:pStyle w:val="31"/>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_Toc11254 </w:instrText>
      </w:r>
      <w:r>
        <w:rPr>
          <w:rFonts w:hint="default" w:ascii="Times New Roman" w:hAnsi="Times New Roman" w:cs="Times New Roman"/>
          <w:color w:val="auto"/>
          <w:highlight w:val="none"/>
        </w:rPr>
        <w:fldChar w:fldCharType="separate"/>
      </w:r>
      <w:r>
        <w:rPr>
          <w:rFonts w:hint="eastAsia" w:ascii="Times New Roman" w:cs="Times New Roman"/>
          <w:bCs/>
          <w:color w:val="auto"/>
          <w:highlight w:val="none"/>
        </w:rPr>
        <w:t>附图1</w:t>
      </w:r>
      <w:r>
        <w:rPr>
          <w:rFonts w:hint="eastAsia" w:ascii="Times New Roman" w:cs="Times New Roman"/>
          <w:bCs/>
          <w:color w:val="auto"/>
          <w:highlight w:val="none"/>
          <w:lang w:val="en-US" w:eastAsia="zh-CN"/>
        </w:rPr>
        <w:t>3-2</w:t>
      </w:r>
      <w:r>
        <w:rPr>
          <w:rFonts w:hint="eastAsia" w:ascii="Times New Roman" w:cs="Times New Roman"/>
          <w:bCs/>
          <w:color w:val="auto"/>
          <w:highlight w:val="none"/>
        </w:rPr>
        <w:t xml:space="preserve"> 广东省“三线一单”</w:t>
      </w:r>
      <w:r>
        <w:rPr>
          <w:rFonts w:hint="eastAsia" w:ascii="Times New Roman" w:cs="Times New Roman"/>
          <w:bCs/>
          <w:color w:val="auto"/>
          <w:highlight w:val="none"/>
          <w:lang w:val="en-US" w:eastAsia="zh-CN"/>
        </w:rPr>
        <w:t>平台生态空间一般管控区</w:t>
      </w:r>
      <w:r>
        <w:rPr>
          <w:rFonts w:hint="eastAsia" w:ascii="Times New Roman" w:cs="Times New Roman"/>
          <w:bCs/>
          <w:color w:val="auto"/>
          <w:highlight w:val="none"/>
        </w:rPr>
        <w:t>截图</w:t>
      </w:r>
      <w:r>
        <w:rPr>
          <w:color w:val="auto"/>
          <w:highlight w:val="none"/>
        </w:rPr>
        <w:tab/>
      </w:r>
      <w:r>
        <w:rPr>
          <w:color w:val="auto"/>
          <w:highlight w:val="none"/>
        </w:rPr>
        <w:fldChar w:fldCharType="begin"/>
      </w:r>
      <w:r>
        <w:rPr>
          <w:color w:val="auto"/>
          <w:highlight w:val="none"/>
        </w:rPr>
        <w:instrText xml:space="preserve"> PAGEREF _Toc11254 \h </w:instrText>
      </w:r>
      <w:r>
        <w:rPr>
          <w:color w:val="auto"/>
          <w:highlight w:val="none"/>
        </w:rPr>
        <w:fldChar w:fldCharType="separate"/>
      </w:r>
      <w:r>
        <w:rPr>
          <w:color w:val="auto"/>
          <w:highlight w:val="none"/>
        </w:rPr>
        <w:t>- 108 -</w:t>
      </w:r>
      <w:r>
        <w:rPr>
          <w:color w:val="auto"/>
          <w:highlight w:val="none"/>
        </w:rPr>
        <w:fldChar w:fldCharType="end"/>
      </w:r>
      <w:r>
        <w:rPr>
          <w:rFonts w:hint="default" w:ascii="Times New Roman" w:hAnsi="Times New Roman" w:cs="Times New Roman"/>
          <w:color w:val="auto"/>
          <w:highlight w:val="none"/>
        </w:rPr>
        <w:fldChar w:fldCharType="end"/>
      </w:r>
    </w:p>
    <w:p w14:paraId="041FD851">
      <w:pPr>
        <w:pStyle w:val="31"/>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_Toc31222 </w:instrText>
      </w:r>
      <w:r>
        <w:rPr>
          <w:rFonts w:hint="default" w:ascii="Times New Roman" w:hAnsi="Times New Roman" w:cs="Times New Roman"/>
          <w:color w:val="auto"/>
          <w:highlight w:val="none"/>
        </w:rPr>
        <w:fldChar w:fldCharType="separate"/>
      </w:r>
      <w:r>
        <w:rPr>
          <w:rFonts w:hint="eastAsia" w:ascii="Times New Roman" w:cs="Times New Roman"/>
          <w:bCs/>
          <w:color w:val="auto"/>
          <w:highlight w:val="none"/>
        </w:rPr>
        <w:t>附图1</w:t>
      </w:r>
      <w:r>
        <w:rPr>
          <w:rFonts w:hint="eastAsia" w:ascii="Times New Roman" w:cs="Times New Roman"/>
          <w:bCs/>
          <w:color w:val="auto"/>
          <w:highlight w:val="none"/>
          <w:lang w:val="en-US" w:eastAsia="zh-CN"/>
        </w:rPr>
        <w:t>3-3</w:t>
      </w:r>
      <w:r>
        <w:rPr>
          <w:rFonts w:hint="eastAsia" w:ascii="Times New Roman" w:cs="Times New Roman"/>
          <w:bCs/>
          <w:color w:val="auto"/>
          <w:highlight w:val="none"/>
        </w:rPr>
        <w:t xml:space="preserve"> 广东省“三线一单”</w:t>
      </w:r>
      <w:r>
        <w:rPr>
          <w:rFonts w:hint="eastAsia" w:ascii="Times New Roman" w:cs="Times New Roman"/>
          <w:bCs/>
          <w:color w:val="auto"/>
          <w:highlight w:val="none"/>
          <w:lang w:val="en-US" w:eastAsia="zh-CN"/>
        </w:rPr>
        <w:t>平台水环境管控分区</w:t>
      </w:r>
      <w:r>
        <w:rPr>
          <w:rFonts w:hint="eastAsia" w:ascii="Times New Roman" w:cs="Times New Roman"/>
          <w:bCs/>
          <w:color w:val="auto"/>
          <w:highlight w:val="none"/>
        </w:rPr>
        <w:t>截图</w:t>
      </w:r>
      <w:r>
        <w:rPr>
          <w:color w:val="auto"/>
          <w:highlight w:val="none"/>
        </w:rPr>
        <w:tab/>
      </w:r>
      <w:r>
        <w:rPr>
          <w:color w:val="auto"/>
          <w:highlight w:val="none"/>
        </w:rPr>
        <w:fldChar w:fldCharType="begin"/>
      </w:r>
      <w:r>
        <w:rPr>
          <w:color w:val="auto"/>
          <w:highlight w:val="none"/>
        </w:rPr>
        <w:instrText xml:space="preserve"> PAGEREF _Toc31222 \h </w:instrText>
      </w:r>
      <w:r>
        <w:rPr>
          <w:color w:val="auto"/>
          <w:highlight w:val="none"/>
        </w:rPr>
        <w:fldChar w:fldCharType="separate"/>
      </w:r>
      <w:r>
        <w:rPr>
          <w:color w:val="auto"/>
          <w:highlight w:val="none"/>
        </w:rPr>
        <w:t>- 109 -</w:t>
      </w:r>
      <w:r>
        <w:rPr>
          <w:color w:val="auto"/>
          <w:highlight w:val="none"/>
        </w:rPr>
        <w:fldChar w:fldCharType="end"/>
      </w:r>
      <w:r>
        <w:rPr>
          <w:rFonts w:hint="default" w:ascii="Times New Roman" w:hAnsi="Times New Roman" w:cs="Times New Roman"/>
          <w:color w:val="auto"/>
          <w:highlight w:val="none"/>
        </w:rPr>
        <w:fldChar w:fldCharType="end"/>
      </w:r>
    </w:p>
    <w:p w14:paraId="587C4677">
      <w:pPr>
        <w:pStyle w:val="31"/>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_Toc15954 </w:instrText>
      </w:r>
      <w:r>
        <w:rPr>
          <w:rFonts w:hint="default" w:ascii="Times New Roman" w:hAnsi="Times New Roman" w:cs="Times New Roman"/>
          <w:color w:val="auto"/>
          <w:highlight w:val="none"/>
        </w:rPr>
        <w:fldChar w:fldCharType="separate"/>
      </w:r>
      <w:r>
        <w:rPr>
          <w:rFonts w:hint="eastAsia" w:ascii="Times New Roman" w:cs="Times New Roman"/>
          <w:bCs/>
          <w:color w:val="auto"/>
          <w:highlight w:val="none"/>
        </w:rPr>
        <w:t>附图1</w:t>
      </w:r>
      <w:r>
        <w:rPr>
          <w:rFonts w:hint="eastAsia" w:ascii="Times New Roman" w:cs="Times New Roman"/>
          <w:bCs/>
          <w:color w:val="auto"/>
          <w:highlight w:val="none"/>
          <w:lang w:val="en-US" w:eastAsia="zh-CN"/>
        </w:rPr>
        <w:t>3-4</w:t>
      </w:r>
      <w:r>
        <w:rPr>
          <w:rFonts w:hint="eastAsia" w:ascii="Times New Roman" w:cs="Times New Roman"/>
          <w:bCs/>
          <w:color w:val="auto"/>
          <w:highlight w:val="none"/>
        </w:rPr>
        <w:t xml:space="preserve"> 广东省“三线一单”</w:t>
      </w:r>
      <w:r>
        <w:rPr>
          <w:rFonts w:hint="eastAsia" w:ascii="Times New Roman" w:cs="Times New Roman"/>
          <w:bCs/>
          <w:color w:val="auto"/>
          <w:highlight w:val="none"/>
          <w:lang w:val="en-US" w:eastAsia="zh-CN"/>
        </w:rPr>
        <w:t>平台大气环境管控分区</w:t>
      </w:r>
      <w:r>
        <w:rPr>
          <w:rFonts w:hint="eastAsia" w:ascii="Times New Roman" w:cs="Times New Roman"/>
          <w:bCs/>
          <w:color w:val="auto"/>
          <w:highlight w:val="none"/>
        </w:rPr>
        <w:t>截图</w:t>
      </w:r>
      <w:r>
        <w:rPr>
          <w:color w:val="auto"/>
          <w:highlight w:val="none"/>
        </w:rPr>
        <w:tab/>
      </w:r>
      <w:r>
        <w:rPr>
          <w:color w:val="auto"/>
          <w:highlight w:val="none"/>
        </w:rPr>
        <w:fldChar w:fldCharType="begin"/>
      </w:r>
      <w:r>
        <w:rPr>
          <w:color w:val="auto"/>
          <w:highlight w:val="none"/>
        </w:rPr>
        <w:instrText xml:space="preserve"> PAGEREF _Toc15954 \h </w:instrText>
      </w:r>
      <w:r>
        <w:rPr>
          <w:color w:val="auto"/>
          <w:highlight w:val="none"/>
        </w:rPr>
        <w:fldChar w:fldCharType="separate"/>
      </w:r>
      <w:r>
        <w:rPr>
          <w:color w:val="auto"/>
          <w:highlight w:val="none"/>
        </w:rPr>
        <w:t>- 110 -</w:t>
      </w:r>
      <w:r>
        <w:rPr>
          <w:color w:val="auto"/>
          <w:highlight w:val="none"/>
        </w:rPr>
        <w:fldChar w:fldCharType="end"/>
      </w:r>
      <w:r>
        <w:rPr>
          <w:rFonts w:hint="default" w:ascii="Times New Roman" w:hAnsi="Times New Roman" w:cs="Times New Roman"/>
          <w:color w:val="auto"/>
          <w:highlight w:val="none"/>
        </w:rPr>
        <w:fldChar w:fldCharType="end"/>
      </w:r>
    </w:p>
    <w:p w14:paraId="2AFC1F1E">
      <w:pPr>
        <w:pStyle w:val="31"/>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_Toc30103 </w:instrText>
      </w:r>
      <w:r>
        <w:rPr>
          <w:rFonts w:hint="default" w:ascii="Times New Roman" w:hAnsi="Times New Roman" w:cs="Times New Roman"/>
          <w:color w:val="auto"/>
          <w:highlight w:val="none"/>
        </w:rPr>
        <w:fldChar w:fldCharType="separate"/>
      </w:r>
      <w:r>
        <w:rPr>
          <w:rFonts w:hint="eastAsia" w:ascii="Times New Roman" w:cs="Times New Roman"/>
          <w:bCs/>
          <w:color w:val="auto"/>
          <w:highlight w:val="none"/>
        </w:rPr>
        <w:t>附图1</w:t>
      </w:r>
      <w:r>
        <w:rPr>
          <w:rFonts w:hint="eastAsia" w:ascii="Times New Roman" w:cs="Times New Roman"/>
          <w:bCs/>
          <w:color w:val="auto"/>
          <w:highlight w:val="none"/>
          <w:lang w:val="en-US" w:eastAsia="zh-CN"/>
        </w:rPr>
        <w:t>3-5</w:t>
      </w:r>
      <w:r>
        <w:rPr>
          <w:rFonts w:hint="eastAsia" w:ascii="Times New Roman" w:cs="Times New Roman"/>
          <w:bCs/>
          <w:color w:val="auto"/>
          <w:highlight w:val="none"/>
        </w:rPr>
        <w:t xml:space="preserve"> 广东省“三线一单”</w:t>
      </w:r>
      <w:r>
        <w:rPr>
          <w:rFonts w:hint="eastAsia" w:ascii="Times New Roman" w:cs="Times New Roman"/>
          <w:bCs/>
          <w:color w:val="auto"/>
          <w:highlight w:val="none"/>
          <w:lang w:val="en-US" w:eastAsia="zh-CN"/>
        </w:rPr>
        <w:t>平台自然资源管控分区</w:t>
      </w:r>
      <w:r>
        <w:rPr>
          <w:rFonts w:hint="eastAsia" w:ascii="Times New Roman" w:cs="Times New Roman"/>
          <w:bCs/>
          <w:color w:val="auto"/>
          <w:highlight w:val="none"/>
        </w:rPr>
        <w:t>截图</w:t>
      </w:r>
      <w:r>
        <w:rPr>
          <w:color w:val="auto"/>
          <w:highlight w:val="none"/>
        </w:rPr>
        <w:tab/>
      </w:r>
      <w:r>
        <w:rPr>
          <w:color w:val="auto"/>
          <w:highlight w:val="none"/>
        </w:rPr>
        <w:fldChar w:fldCharType="begin"/>
      </w:r>
      <w:r>
        <w:rPr>
          <w:color w:val="auto"/>
          <w:highlight w:val="none"/>
        </w:rPr>
        <w:instrText xml:space="preserve"> PAGEREF _Toc30103 \h </w:instrText>
      </w:r>
      <w:r>
        <w:rPr>
          <w:color w:val="auto"/>
          <w:highlight w:val="none"/>
        </w:rPr>
        <w:fldChar w:fldCharType="separate"/>
      </w:r>
      <w:r>
        <w:rPr>
          <w:color w:val="auto"/>
          <w:highlight w:val="none"/>
        </w:rPr>
        <w:t>- 111 -</w:t>
      </w:r>
      <w:r>
        <w:rPr>
          <w:color w:val="auto"/>
          <w:highlight w:val="none"/>
        </w:rPr>
        <w:fldChar w:fldCharType="end"/>
      </w:r>
      <w:r>
        <w:rPr>
          <w:rFonts w:hint="default" w:ascii="Times New Roman" w:hAnsi="Times New Roman" w:cs="Times New Roman"/>
          <w:color w:val="auto"/>
          <w:highlight w:val="none"/>
        </w:rPr>
        <w:fldChar w:fldCharType="end"/>
      </w:r>
    </w:p>
    <w:p w14:paraId="3E6807B2">
      <w:pPr>
        <w:pStyle w:val="31"/>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_Toc21615 </w:instrText>
      </w:r>
      <w:r>
        <w:rPr>
          <w:rFonts w:hint="default" w:ascii="Times New Roman" w:hAnsi="Times New Roman" w:cs="Times New Roman"/>
          <w:color w:val="auto"/>
          <w:highlight w:val="none"/>
        </w:rPr>
        <w:fldChar w:fldCharType="separate"/>
      </w:r>
      <w:r>
        <w:rPr>
          <w:rFonts w:hint="eastAsia"/>
          <w:bCs/>
          <w:color w:val="auto"/>
          <w:highlight w:val="none"/>
        </w:rPr>
        <w:t>附图1</w:t>
      </w:r>
      <w:r>
        <w:rPr>
          <w:rFonts w:hint="eastAsia"/>
          <w:bCs/>
          <w:color w:val="auto"/>
          <w:highlight w:val="none"/>
          <w:lang w:val="en-US" w:eastAsia="zh-CN"/>
        </w:rPr>
        <w:t>4</w:t>
      </w:r>
      <w:r>
        <w:rPr>
          <w:rFonts w:hint="eastAsia"/>
          <w:bCs/>
          <w:color w:val="auto"/>
          <w:highlight w:val="none"/>
        </w:rPr>
        <w:t>项目与大气补充监测点位置图</w:t>
      </w:r>
      <w:r>
        <w:rPr>
          <w:color w:val="auto"/>
          <w:highlight w:val="none"/>
        </w:rPr>
        <w:tab/>
      </w:r>
      <w:r>
        <w:rPr>
          <w:color w:val="auto"/>
          <w:highlight w:val="none"/>
        </w:rPr>
        <w:fldChar w:fldCharType="begin"/>
      </w:r>
      <w:r>
        <w:rPr>
          <w:color w:val="auto"/>
          <w:highlight w:val="none"/>
        </w:rPr>
        <w:instrText xml:space="preserve"> PAGEREF _Toc21615 \h </w:instrText>
      </w:r>
      <w:r>
        <w:rPr>
          <w:color w:val="auto"/>
          <w:highlight w:val="none"/>
        </w:rPr>
        <w:fldChar w:fldCharType="separate"/>
      </w:r>
      <w:r>
        <w:rPr>
          <w:color w:val="auto"/>
          <w:highlight w:val="none"/>
        </w:rPr>
        <w:t>- 112 -</w:t>
      </w:r>
      <w:r>
        <w:rPr>
          <w:color w:val="auto"/>
          <w:highlight w:val="none"/>
        </w:rPr>
        <w:fldChar w:fldCharType="end"/>
      </w:r>
      <w:r>
        <w:rPr>
          <w:rFonts w:hint="default" w:ascii="Times New Roman" w:hAnsi="Times New Roman" w:cs="Times New Roman"/>
          <w:color w:val="auto"/>
          <w:highlight w:val="none"/>
        </w:rPr>
        <w:fldChar w:fldCharType="end"/>
      </w:r>
    </w:p>
    <w:p w14:paraId="6309E2DD">
      <w:pPr>
        <w:pStyle w:val="31"/>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_Toc13540 </w:instrText>
      </w:r>
      <w:r>
        <w:rPr>
          <w:rFonts w:hint="default" w:ascii="Times New Roman" w:hAnsi="Times New Roman" w:cs="Times New Roman"/>
          <w:color w:val="auto"/>
          <w:highlight w:val="none"/>
        </w:rPr>
        <w:fldChar w:fldCharType="separate"/>
      </w:r>
      <w:r>
        <w:rPr>
          <w:rFonts w:hint="default" w:ascii="Times New Roman" w:hAnsi="Times New Roman" w:cs="Times New Roman"/>
          <w:bCs/>
          <w:color w:val="auto"/>
          <w:highlight w:val="none"/>
          <w:lang w:eastAsia="zh-CN"/>
        </w:rPr>
        <w:t>附图</w:t>
      </w:r>
      <w:r>
        <w:rPr>
          <w:rFonts w:hint="default" w:ascii="Times New Roman" w:hAnsi="Times New Roman" w:cs="Times New Roman"/>
          <w:bCs/>
          <w:color w:val="auto"/>
          <w:highlight w:val="none"/>
          <w:lang w:val="en-US" w:eastAsia="zh-CN"/>
        </w:rPr>
        <w:t>15 乐昌产业转移工业园管网分布图</w:t>
      </w:r>
      <w:r>
        <w:rPr>
          <w:color w:val="auto"/>
          <w:highlight w:val="none"/>
        </w:rPr>
        <w:tab/>
      </w:r>
      <w:r>
        <w:rPr>
          <w:color w:val="auto"/>
          <w:highlight w:val="none"/>
        </w:rPr>
        <w:fldChar w:fldCharType="begin"/>
      </w:r>
      <w:r>
        <w:rPr>
          <w:color w:val="auto"/>
          <w:highlight w:val="none"/>
        </w:rPr>
        <w:instrText xml:space="preserve"> PAGEREF _Toc13540 \h </w:instrText>
      </w:r>
      <w:r>
        <w:rPr>
          <w:color w:val="auto"/>
          <w:highlight w:val="none"/>
        </w:rPr>
        <w:fldChar w:fldCharType="separate"/>
      </w:r>
      <w:r>
        <w:rPr>
          <w:color w:val="auto"/>
          <w:highlight w:val="none"/>
        </w:rPr>
        <w:t>- 113 -</w:t>
      </w:r>
      <w:r>
        <w:rPr>
          <w:color w:val="auto"/>
          <w:highlight w:val="none"/>
        </w:rPr>
        <w:fldChar w:fldCharType="end"/>
      </w:r>
      <w:r>
        <w:rPr>
          <w:rFonts w:hint="default" w:ascii="Times New Roman" w:hAnsi="Times New Roman" w:cs="Times New Roman"/>
          <w:color w:val="auto"/>
          <w:highlight w:val="none"/>
        </w:rPr>
        <w:fldChar w:fldCharType="end"/>
      </w:r>
    </w:p>
    <w:p w14:paraId="6F590840">
      <w:pPr>
        <w:pStyle w:val="31"/>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_Toc15290 </w:instrText>
      </w:r>
      <w:r>
        <w:rPr>
          <w:rFonts w:hint="default" w:ascii="Times New Roman" w:hAnsi="Times New Roman" w:cs="Times New Roman"/>
          <w:color w:val="auto"/>
          <w:highlight w:val="none"/>
        </w:rPr>
        <w:fldChar w:fldCharType="separate"/>
      </w:r>
      <w:r>
        <w:rPr>
          <w:rFonts w:ascii="Times New Roman"/>
          <w:bCs/>
          <w:color w:val="auto"/>
          <w:szCs w:val="24"/>
          <w:highlight w:val="none"/>
        </w:rPr>
        <w:t>附件1营业执照</w:t>
      </w:r>
      <w:r>
        <w:rPr>
          <w:color w:val="auto"/>
          <w:highlight w:val="none"/>
        </w:rPr>
        <w:tab/>
      </w:r>
      <w:r>
        <w:rPr>
          <w:color w:val="auto"/>
          <w:highlight w:val="none"/>
        </w:rPr>
        <w:fldChar w:fldCharType="begin"/>
      </w:r>
      <w:r>
        <w:rPr>
          <w:color w:val="auto"/>
          <w:highlight w:val="none"/>
        </w:rPr>
        <w:instrText xml:space="preserve"> PAGEREF _Toc15290 \h </w:instrText>
      </w:r>
      <w:r>
        <w:rPr>
          <w:color w:val="auto"/>
          <w:highlight w:val="none"/>
        </w:rPr>
        <w:fldChar w:fldCharType="separate"/>
      </w:r>
      <w:r>
        <w:rPr>
          <w:color w:val="auto"/>
          <w:highlight w:val="none"/>
        </w:rPr>
        <w:t>- 114 -</w:t>
      </w:r>
      <w:r>
        <w:rPr>
          <w:color w:val="auto"/>
          <w:highlight w:val="none"/>
        </w:rPr>
        <w:fldChar w:fldCharType="end"/>
      </w:r>
      <w:r>
        <w:rPr>
          <w:rFonts w:hint="default" w:ascii="Times New Roman" w:hAnsi="Times New Roman" w:cs="Times New Roman"/>
          <w:color w:val="auto"/>
          <w:highlight w:val="none"/>
        </w:rPr>
        <w:fldChar w:fldCharType="end"/>
      </w:r>
    </w:p>
    <w:p w14:paraId="0A2C3583">
      <w:pPr>
        <w:pStyle w:val="31"/>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_Toc4360 </w:instrText>
      </w:r>
      <w:r>
        <w:rPr>
          <w:rFonts w:hint="default" w:ascii="Times New Roman" w:hAnsi="Times New Roman" w:cs="Times New Roman"/>
          <w:color w:val="auto"/>
          <w:highlight w:val="none"/>
        </w:rPr>
        <w:fldChar w:fldCharType="separate"/>
      </w:r>
      <w:r>
        <w:rPr>
          <w:bCs/>
          <w:color w:val="auto"/>
          <w:highlight w:val="none"/>
        </w:rPr>
        <w:t>附件2 法人身份证复印件</w:t>
      </w:r>
      <w:r>
        <w:rPr>
          <w:color w:val="auto"/>
          <w:highlight w:val="none"/>
        </w:rPr>
        <w:tab/>
      </w:r>
      <w:r>
        <w:rPr>
          <w:color w:val="auto"/>
          <w:highlight w:val="none"/>
        </w:rPr>
        <w:fldChar w:fldCharType="begin"/>
      </w:r>
      <w:r>
        <w:rPr>
          <w:color w:val="auto"/>
          <w:highlight w:val="none"/>
        </w:rPr>
        <w:instrText xml:space="preserve"> PAGEREF _Toc4360 \h </w:instrText>
      </w:r>
      <w:r>
        <w:rPr>
          <w:color w:val="auto"/>
          <w:highlight w:val="none"/>
        </w:rPr>
        <w:fldChar w:fldCharType="separate"/>
      </w:r>
      <w:r>
        <w:rPr>
          <w:color w:val="auto"/>
          <w:highlight w:val="none"/>
        </w:rPr>
        <w:t>- 115 -</w:t>
      </w:r>
      <w:r>
        <w:rPr>
          <w:color w:val="auto"/>
          <w:highlight w:val="none"/>
        </w:rPr>
        <w:fldChar w:fldCharType="end"/>
      </w:r>
      <w:r>
        <w:rPr>
          <w:rFonts w:hint="default" w:ascii="Times New Roman" w:hAnsi="Times New Roman" w:cs="Times New Roman"/>
          <w:color w:val="auto"/>
          <w:highlight w:val="none"/>
        </w:rPr>
        <w:fldChar w:fldCharType="end"/>
      </w:r>
    </w:p>
    <w:p w14:paraId="51D633A9">
      <w:pPr>
        <w:pStyle w:val="31"/>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_Toc27746 </w:instrText>
      </w:r>
      <w:r>
        <w:rPr>
          <w:rFonts w:hint="default" w:ascii="Times New Roman" w:hAnsi="Times New Roman" w:cs="Times New Roman"/>
          <w:color w:val="auto"/>
          <w:highlight w:val="none"/>
        </w:rPr>
        <w:fldChar w:fldCharType="separate"/>
      </w:r>
      <w:r>
        <w:rPr>
          <w:bCs/>
          <w:color w:val="auto"/>
          <w:highlight w:val="none"/>
        </w:rPr>
        <w:t>附件3</w:t>
      </w:r>
      <w:r>
        <w:rPr>
          <w:bCs/>
          <w:color w:val="auto"/>
          <w:szCs w:val="28"/>
          <w:highlight w:val="none"/>
        </w:rPr>
        <w:t xml:space="preserve"> </w:t>
      </w:r>
      <w:r>
        <w:rPr>
          <w:rFonts w:hint="eastAsia"/>
          <w:bCs/>
          <w:color w:val="auto"/>
          <w:highlight w:val="none"/>
          <w:lang w:eastAsia="zh-CN"/>
        </w:rPr>
        <w:t>建设用地</w:t>
      </w:r>
      <w:r>
        <w:rPr>
          <w:rFonts w:hint="eastAsia"/>
          <w:bCs/>
          <w:color w:val="auto"/>
          <w:highlight w:val="none"/>
          <w:lang w:val="en-US" w:eastAsia="zh-CN"/>
        </w:rPr>
        <w:t>不动产权证</w:t>
      </w:r>
      <w:r>
        <w:rPr>
          <w:color w:val="auto"/>
          <w:highlight w:val="none"/>
        </w:rPr>
        <w:tab/>
      </w:r>
      <w:r>
        <w:rPr>
          <w:color w:val="auto"/>
          <w:highlight w:val="none"/>
        </w:rPr>
        <w:fldChar w:fldCharType="begin"/>
      </w:r>
      <w:r>
        <w:rPr>
          <w:color w:val="auto"/>
          <w:highlight w:val="none"/>
        </w:rPr>
        <w:instrText xml:space="preserve"> PAGEREF _Toc27746 \h </w:instrText>
      </w:r>
      <w:r>
        <w:rPr>
          <w:color w:val="auto"/>
          <w:highlight w:val="none"/>
        </w:rPr>
        <w:fldChar w:fldCharType="separate"/>
      </w:r>
      <w:r>
        <w:rPr>
          <w:color w:val="auto"/>
          <w:highlight w:val="none"/>
        </w:rPr>
        <w:t>- 116 -</w:t>
      </w:r>
      <w:r>
        <w:rPr>
          <w:color w:val="auto"/>
          <w:highlight w:val="none"/>
        </w:rPr>
        <w:fldChar w:fldCharType="end"/>
      </w:r>
      <w:r>
        <w:rPr>
          <w:rFonts w:hint="default" w:ascii="Times New Roman" w:hAnsi="Times New Roman" w:cs="Times New Roman"/>
          <w:color w:val="auto"/>
          <w:highlight w:val="none"/>
        </w:rPr>
        <w:fldChar w:fldCharType="end"/>
      </w:r>
    </w:p>
    <w:p w14:paraId="2F18C8BA">
      <w:pPr>
        <w:pStyle w:val="31"/>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_Toc15989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szCs w:val="24"/>
          <w:highlight w:val="none"/>
          <w:lang w:eastAsia="zh-CN"/>
        </w:rPr>
        <w:t>附件</w:t>
      </w:r>
      <w:r>
        <w:rPr>
          <w:rFonts w:hint="default" w:ascii="Times New Roman" w:hAnsi="Times New Roman" w:cs="Times New Roman"/>
          <w:color w:val="auto"/>
          <w:szCs w:val="24"/>
          <w:highlight w:val="none"/>
          <w:lang w:val="en-US" w:eastAsia="zh-CN"/>
        </w:rPr>
        <w:t>4 备案证</w:t>
      </w:r>
      <w:r>
        <w:rPr>
          <w:color w:val="auto"/>
          <w:highlight w:val="none"/>
        </w:rPr>
        <w:tab/>
      </w:r>
      <w:r>
        <w:rPr>
          <w:color w:val="auto"/>
          <w:highlight w:val="none"/>
        </w:rPr>
        <w:fldChar w:fldCharType="begin"/>
      </w:r>
      <w:r>
        <w:rPr>
          <w:color w:val="auto"/>
          <w:highlight w:val="none"/>
        </w:rPr>
        <w:instrText xml:space="preserve"> PAGEREF _Toc15989 \h </w:instrText>
      </w:r>
      <w:r>
        <w:rPr>
          <w:color w:val="auto"/>
          <w:highlight w:val="none"/>
        </w:rPr>
        <w:fldChar w:fldCharType="separate"/>
      </w:r>
      <w:r>
        <w:rPr>
          <w:color w:val="auto"/>
          <w:highlight w:val="none"/>
        </w:rPr>
        <w:t>- 119 -</w:t>
      </w:r>
      <w:r>
        <w:rPr>
          <w:color w:val="auto"/>
          <w:highlight w:val="none"/>
        </w:rPr>
        <w:fldChar w:fldCharType="end"/>
      </w:r>
      <w:r>
        <w:rPr>
          <w:rFonts w:hint="default" w:ascii="Times New Roman" w:hAnsi="Times New Roman" w:cs="Times New Roman"/>
          <w:color w:val="auto"/>
          <w:highlight w:val="none"/>
        </w:rPr>
        <w:fldChar w:fldCharType="end"/>
      </w:r>
    </w:p>
    <w:p w14:paraId="34F39AA6">
      <w:pPr>
        <w:pStyle w:val="31"/>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_Toc31238 </w:instrText>
      </w:r>
      <w:r>
        <w:rPr>
          <w:rFonts w:hint="default" w:ascii="Times New Roman" w:hAnsi="Times New Roman" w:cs="Times New Roman"/>
          <w:color w:val="auto"/>
          <w:highlight w:val="none"/>
        </w:rPr>
        <w:fldChar w:fldCharType="separate"/>
      </w:r>
      <w:r>
        <w:rPr>
          <w:rFonts w:hint="eastAsia"/>
          <w:bCs/>
          <w:color w:val="auto"/>
          <w:highlight w:val="none"/>
          <w:lang w:eastAsia="zh-CN"/>
        </w:rPr>
        <w:t>附件</w:t>
      </w:r>
      <w:r>
        <w:rPr>
          <w:rFonts w:hint="eastAsia"/>
          <w:bCs/>
          <w:color w:val="auto"/>
          <w:highlight w:val="none"/>
          <w:lang w:val="en-US" w:eastAsia="zh-CN"/>
        </w:rPr>
        <w:t>5 环境质量现状监测报告（摘录部分）</w:t>
      </w:r>
      <w:r>
        <w:rPr>
          <w:color w:val="auto"/>
          <w:highlight w:val="none"/>
        </w:rPr>
        <w:tab/>
      </w:r>
      <w:r>
        <w:rPr>
          <w:color w:val="auto"/>
          <w:highlight w:val="none"/>
        </w:rPr>
        <w:fldChar w:fldCharType="begin"/>
      </w:r>
      <w:r>
        <w:rPr>
          <w:color w:val="auto"/>
          <w:highlight w:val="none"/>
        </w:rPr>
        <w:instrText xml:space="preserve"> PAGEREF _Toc31238 \h </w:instrText>
      </w:r>
      <w:r>
        <w:rPr>
          <w:color w:val="auto"/>
          <w:highlight w:val="none"/>
        </w:rPr>
        <w:fldChar w:fldCharType="separate"/>
      </w:r>
      <w:r>
        <w:rPr>
          <w:color w:val="auto"/>
          <w:highlight w:val="none"/>
        </w:rPr>
        <w:t>- 120 -</w:t>
      </w:r>
      <w:r>
        <w:rPr>
          <w:color w:val="auto"/>
          <w:highlight w:val="none"/>
        </w:rPr>
        <w:fldChar w:fldCharType="end"/>
      </w:r>
      <w:r>
        <w:rPr>
          <w:rFonts w:hint="default" w:ascii="Times New Roman" w:hAnsi="Times New Roman" w:cs="Times New Roman"/>
          <w:color w:val="auto"/>
          <w:highlight w:val="none"/>
        </w:rPr>
        <w:fldChar w:fldCharType="end"/>
      </w:r>
    </w:p>
    <w:p w14:paraId="00AAF6C4">
      <w:pPr>
        <w:pStyle w:val="31"/>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_Toc22372 </w:instrText>
      </w:r>
      <w:r>
        <w:rPr>
          <w:rFonts w:hint="default" w:ascii="Times New Roman" w:hAnsi="Times New Roman" w:cs="Times New Roman"/>
          <w:color w:val="auto"/>
          <w:highlight w:val="none"/>
        </w:rPr>
        <w:fldChar w:fldCharType="separate"/>
      </w:r>
      <w:r>
        <w:rPr>
          <w:rFonts w:eastAsia="黑体"/>
          <w:bCs/>
          <w:color w:val="auto"/>
          <w:szCs w:val="40"/>
          <w:highlight w:val="none"/>
        </w:rPr>
        <w:t>建设项目污染物排放量汇总表</w:t>
      </w:r>
      <w:r>
        <w:rPr>
          <w:color w:val="auto"/>
          <w:highlight w:val="none"/>
        </w:rPr>
        <w:tab/>
      </w:r>
      <w:r>
        <w:rPr>
          <w:color w:val="auto"/>
          <w:highlight w:val="none"/>
        </w:rPr>
        <w:fldChar w:fldCharType="begin"/>
      </w:r>
      <w:r>
        <w:rPr>
          <w:color w:val="auto"/>
          <w:highlight w:val="none"/>
        </w:rPr>
        <w:instrText xml:space="preserve"> PAGEREF _Toc22372 \h </w:instrText>
      </w:r>
      <w:r>
        <w:rPr>
          <w:color w:val="auto"/>
          <w:highlight w:val="none"/>
        </w:rPr>
        <w:fldChar w:fldCharType="separate"/>
      </w:r>
      <w:r>
        <w:rPr>
          <w:color w:val="auto"/>
          <w:highlight w:val="none"/>
        </w:rPr>
        <w:t>- 124 -</w:t>
      </w:r>
      <w:r>
        <w:rPr>
          <w:color w:val="auto"/>
          <w:highlight w:val="none"/>
        </w:rPr>
        <w:fldChar w:fldCharType="end"/>
      </w:r>
      <w:r>
        <w:rPr>
          <w:rFonts w:hint="default" w:ascii="Times New Roman" w:hAnsi="Times New Roman" w:cs="Times New Roman"/>
          <w:color w:val="auto"/>
          <w:highlight w:val="none"/>
        </w:rPr>
        <w:fldChar w:fldCharType="end"/>
      </w:r>
    </w:p>
    <w:p w14:paraId="6E7C2F51">
      <w:pPr>
        <w:pStyle w:val="31"/>
        <w:keepNext w:val="0"/>
        <w:keepLines w:val="0"/>
        <w:pageBreakBefore w:val="0"/>
        <w:widowControl w:val="0"/>
        <w:tabs>
          <w:tab w:val="right" w:leader="dot" w:pos="8844"/>
        </w:tabs>
        <w:kinsoku/>
        <w:wordWrap/>
        <w:overflowPunct/>
        <w:topLinePunct w:val="0"/>
        <w:autoSpaceDE/>
        <w:autoSpaceDN/>
        <w:bidi w:val="0"/>
        <w:adjustRightInd/>
        <w:snapToGrid w:val="0"/>
        <w:textAlignment w:val="auto"/>
        <w:rPr>
          <w:color w:val="auto"/>
          <w:highlight w:val="none"/>
        </w:rPr>
      </w:pPr>
      <w:r>
        <w:rPr>
          <w:rFonts w:hint="default" w:ascii="Times New Roman" w:hAnsi="Times New Roman" w:cs="Times New Roman"/>
          <w:color w:val="auto"/>
          <w:highlight w:val="none"/>
        </w:rPr>
        <w:fldChar w:fldCharType="end"/>
      </w:r>
    </w:p>
    <w:p w14:paraId="310DC0D8">
      <w:pPr>
        <w:adjustRightInd w:val="0"/>
        <w:spacing w:line="288" w:lineRule="auto"/>
        <w:rPr>
          <w:rFonts w:eastAsia="楷体_GB2312"/>
          <w:color w:val="auto"/>
          <w:sz w:val="36"/>
          <w:szCs w:val="36"/>
          <w:highlight w:val="none"/>
        </w:rPr>
      </w:pPr>
    </w:p>
    <w:p w14:paraId="2EFDF69E">
      <w:pPr>
        <w:rPr>
          <w:color w:val="auto"/>
          <w:highlight w:val="none"/>
        </w:rPr>
        <w:sectPr>
          <w:headerReference r:id="rId5" w:type="default"/>
          <w:footerReference r:id="rId6" w:type="default"/>
          <w:pgSz w:w="11906" w:h="16838"/>
          <w:pgMar w:top="1701" w:right="1531" w:bottom="1701" w:left="1531" w:header="851" w:footer="1077" w:gutter="0"/>
          <w:pgBorders>
            <w:top w:val="none" w:sz="0" w:space="0"/>
            <w:left w:val="none" w:sz="0" w:space="0"/>
            <w:bottom w:val="none" w:sz="0" w:space="0"/>
            <w:right w:val="none" w:sz="0" w:space="0"/>
          </w:pgBorders>
          <w:pgNumType w:fmt="upperRoman" w:start="1"/>
          <w:cols w:space="0" w:num="1"/>
          <w:docGrid w:linePitch="312" w:charSpace="0"/>
        </w:sectPr>
      </w:pPr>
    </w:p>
    <w:p w14:paraId="4628F7E8">
      <w:pPr>
        <w:pStyle w:val="2"/>
        <w:numPr>
          <w:ilvl w:val="0"/>
          <w:numId w:val="0"/>
        </w:numPr>
        <w:rPr>
          <w:rFonts w:cs="Times New Roman"/>
          <w:color w:val="auto"/>
          <w:highlight w:val="none"/>
        </w:rPr>
      </w:pPr>
      <w:bookmarkStart w:id="0" w:name="_Toc28092"/>
      <w:bookmarkStart w:id="1" w:name="_Toc2620"/>
      <w:bookmarkStart w:id="2" w:name="_Toc20765"/>
      <w:r>
        <w:rPr>
          <w:rFonts w:hint="eastAsia" w:ascii="黑体" w:hAnsi="黑体" w:cs="黑体"/>
          <w:color w:val="auto"/>
          <w:highlight w:val="none"/>
        </w:rPr>
        <w:t>一、</w:t>
      </w:r>
      <w:r>
        <w:rPr>
          <w:rFonts w:cs="Times New Roman"/>
          <w:color w:val="auto"/>
          <w:highlight w:val="none"/>
        </w:rPr>
        <w:t>建设项目基本情况</w:t>
      </w:r>
      <w:bookmarkEnd w:id="0"/>
      <w:bookmarkEnd w:id="1"/>
      <w:bookmarkEnd w:id="2"/>
    </w:p>
    <w:tbl>
      <w:tblPr>
        <w:tblStyle w:val="4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1"/>
        <w:gridCol w:w="1244"/>
        <w:gridCol w:w="2627"/>
        <w:gridCol w:w="592"/>
        <w:gridCol w:w="1345"/>
        <w:gridCol w:w="1136"/>
        <w:gridCol w:w="2537"/>
      </w:tblGrid>
      <w:tr w14:paraId="568096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66" w:type="pct"/>
            <w:gridSpan w:val="2"/>
            <w:vAlign w:val="center"/>
          </w:tcPr>
          <w:p w14:paraId="3D02EF39">
            <w:pPr>
              <w:pStyle w:val="60"/>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建设项目名称</w:t>
            </w:r>
          </w:p>
        </w:tc>
        <w:tc>
          <w:tcPr>
            <w:tcW w:w="4133" w:type="pct"/>
            <w:gridSpan w:val="5"/>
            <w:vAlign w:val="center"/>
          </w:tcPr>
          <w:p w14:paraId="48614816">
            <w:pPr>
              <w:keepNext w:val="0"/>
              <w:keepLines w:val="0"/>
              <w:pageBreakBefore w:val="0"/>
              <w:suppressLineNumbers w:val="0"/>
              <w:kinsoku/>
              <w:overflowPunct/>
              <w:topLinePunct w:val="0"/>
              <w:bidi w:val="0"/>
              <w:adjustRightInd/>
              <w:snapToGrid/>
              <w:spacing w:before="0" w:beforeAutospacing="0" w:after="0" w:afterAutospacing="0" w:line="276" w:lineRule="auto"/>
              <w:ind w:left="0" w:right="0"/>
              <w:jc w:val="center"/>
              <w:outlineLvl w:val="9"/>
              <w:rPr>
                <w:rFonts w:hint="default" w:ascii="Times New Roman" w:hAnsi="Times New Roman" w:eastAsia="宋体" w:cs="Times New Roman"/>
                <w:color w:val="auto"/>
                <w:sz w:val="24"/>
                <w:szCs w:val="24"/>
                <w:highlight w:val="none"/>
                <w:lang w:eastAsia="zh-CN"/>
              </w:rPr>
            </w:pPr>
            <w:r>
              <w:rPr>
                <w:rFonts w:hint="eastAsia" w:cs="Times New Roman"/>
                <w:color w:val="auto"/>
                <w:sz w:val="24"/>
                <w:szCs w:val="24"/>
                <w:highlight w:val="none"/>
                <w:lang w:eastAsia="zh-CN"/>
              </w:rPr>
              <w:t>乐昌市运南新材料项目</w:t>
            </w:r>
          </w:p>
        </w:tc>
      </w:tr>
      <w:tr w14:paraId="6A82A1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66" w:type="pct"/>
            <w:gridSpan w:val="2"/>
            <w:vAlign w:val="center"/>
          </w:tcPr>
          <w:p w14:paraId="0EE4B1F7">
            <w:pPr>
              <w:pStyle w:val="60"/>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项目代码</w:t>
            </w:r>
          </w:p>
        </w:tc>
        <w:tc>
          <w:tcPr>
            <w:tcW w:w="4133" w:type="pct"/>
            <w:gridSpan w:val="5"/>
            <w:vAlign w:val="center"/>
          </w:tcPr>
          <w:p w14:paraId="72825C5E">
            <w:pPr>
              <w:pStyle w:val="60"/>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eastAsia" w:ascii="Times New Roman" w:hAnsi="Times New Roman" w:eastAsia="宋体" w:cs="Times New Roman"/>
                <w:color w:val="auto"/>
                <w:kern w:val="2"/>
                <w:sz w:val="24"/>
                <w:szCs w:val="24"/>
                <w:highlight w:val="none"/>
                <w:lang w:eastAsia="zh-CN"/>
              </w:rPr>
            </w:pPr>
            <w:r>
              <w:rPr>
                <w:rFonts w:hint="eastAsia" w:cs="Times New Roman"/>
                <w:color w:val="auto"/>
                <w:kern w:val="2"/>
                <w:sz w:val="24"/>
                <w:szCs w:val="24"/>
                <w:highlight w:val="none"/>
                <w:lang w:eastAsia="zh-CN"/>
              </w:rPr>
              <w:t>2412-440281-04-01-492808</w:t>
            </w:r>
          </w:p>
        </w:tc>
      </w:tr>
      <w:tr w14:paraId="26F902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66" w:type="pct"/>
            <w:gridSpan w:val="2"/>
            <w:vAlign w:val="center"/>
          </w:tcPr>
          <w:p w14:paraId="36248204">
            <w:pPr>
              <w:pStyle w:val="60"/>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建设单位联系人</w:t>
            </w:r>
          </w:p>
        </w:tc>
        <w:tc>
          <w:tcPr>
            <w:tcW w:w="1615" w:type="pct"/>
            <w:gridSpan w:val="2"/>
            <w:vAlign w:val="center"/>
          </w:tcPr>
          <w:p w14:paraId="1CF39C3C">
            <w:pPr>
              <w:pStyle w:val="60"/>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eastAsia="宋体" w:cs="Times New Roman"/>
                <w:color w:val="auto"/>
                <w:kern w:val="2"/>
                <w:sz w:val="24"/>
                <w:szCs w:val="24"/>
                <w:highlight w:val="none"/>
                <w:lang w:val="en-US" w:eastAsia="zh-CN"/>
              </w:rPr>
            </w:pPr>
            <w:r>
              <w:rPr>
                <w:rFonts w:hint="eastAsia"/>
                <w:color w:val="auto"/>
                <w:kern w:val="2"/>
                <w:highlight w:val="none"/>
                <w:lang w:val="en-US" w:eastAsia="zh-CN"/>
              </w:rPr>
              <w:t>彭</w:t>
            </w:r>
          </w:p>
        </w:tc>
        <w:tc>
          <w:tcPr>
            <w:tcW w:w="1245" w:type="pct"/>
            <w:gridSpan w:val="2"/>
            <w:vAlign w:val="center"/>
          </w:tcPr>
          <w:p w14:paraId="006E197F">
            <w:pPr>
              <w:pStyle w:val="60"/>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color w:val="auto"/>
                <w:kern w:val="2"/>
                <w:sz w:val="24"/>
                <w:szCs w:val="24"/>
                <w:highlight w:val="none"/>
              </w:rPr>
            </w:pPr>
            <w:r>
              <w:rPr>
                <w:rFonts w:hint="default" w:ascii="Times New Roman" w:hAnsi="Times New Roman" w:cs="Times New Roman"/>
                <w:b/>
                <w:bCs/>
                <w:color w:val="auto"/>
                <w:kern w:val="2"/>
                <w:sz w:val="24"/>
                <w:szCs w:val="24"/>
                <w:highlight w:val="none"/>
              </w:rPr>
              <w:t>联系方式</w:t>
            </w:r>
          </w:p>
        </w:tc>
        <w:tc>
          <w:tcPr>
            <w:tcW w:w="1273" w:type="pct"/>
            <w:vAlign w:val="center"/>
          </w:tcPr>
          <w:p w14:paraId="6CE8BF38">
            <w:pPr>
              <w:pStyle w:val="60"/>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eastAsia="宋体" w:cs="Times New Roman"/>
                <w:color w:val="auto"/>
                <w:kern w:val="2"/>
                <w:sz w:val="24"/>
                <w:szCs w:val="24"/>
                <w:highlight w:val="none"/>
                <w:lang w:eastAsia="zh-CN"/>
              </w:rPr>
            </w:pPr>
          </w:p>
        </w:tc>
      </w:tr>
      <w:tr w14:paraId="664AA5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66" w:type="pct"/>
            <w:gridSpan w:val="2"/>
            <w:vAlign w:val="center"/>
          </w:tcPr>
          <w:p w14:paraId="0366994B">
            <w:pPr>
              <w:pStyle w:val="60"/>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建设地点</w:t>
            </w:r>
          </w:p>
        </w:tc>
        <w:tc>
          <w:tcPr>
            <w:tcW w:w="4133" w:type="pct"/>
            <w:gridSpan w:val="5"/>
            <w:vAlign w:val="center"/>
          </w:tcPr>
          <w:p w14:paraId="483A9AC6">
            <w:pPr>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jc w:val="center"/>
              <w:outlineLvl w:val="9"/>
              <w:rPr>
                <w:rFonts w:hint="default" w:ascii="Times New Roman" w:hAnsi="Times New Roman" w:cs="Times New Roman"/>
                <w:color w:val="auto"/>
                <w:highlight w:val="none"/>
              </w:rPr>
            </w:pPr>
            <w:r>
              <w:rPr>
                <w:rFonts w:hint="eastAsia" w:cs="Times New Roman"/>
                <w:color w:val="auto"/>
                <w:highlight w:val="none"/>
                <w:lang w:val="en-US" w:eastAsia="zh-CN"/>
              </w:rPr>
              <w:t>韶关市乐昌市乐昌产业转移工业园GL-02-04-02-03地块</w:t>
            </w:r>
          </w:p>
        </w:tc>
      </w:tr>
      <w:tr w14:paraId="1690EE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66" w:type="pct"/>
            <w:gridSpan w:val="2"/>
            <w:vAlign w:val="center"/>
          </w:tcPr>
          <w:p w14:paraId="0F1B0E38">
            <w:pPr>
              <w:pStyle w:val="60"/>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地理坐标</w:t>
            </w:r>
          </w:p>
        </w:tc>
        <w:tc>
          <w:tcPr>
            <w:tcW w:w="4133" w:type="pct"/>
            <w:gridSpan w:val="5"/>
            <w:vAlign w:val="center"/>
          </w:tcPr>
          <w:p w14:paraId="11C040B8">
            <w:pPr>
              <w:pStyle w:val="60"/>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color w:val="auto"/>
                <w:kern w:val="2"/>
                <w:sz w:val="24"/>
                <w:highlight w:val="none"/>
              </w:rPr>
            </w:pPr>
            <w:r>
              <w:rPr>
                <w:rFonts w:hint="default" w:ascii="Times New Roman" w:hAnsi="Times New Roman" w:cs="Times New Roman"/>
                <w:color w:val="auto"/>
                <w:kern w:val="2"/>
                <w:sz w:val="24"/>
                <w:highlight w:val="none"/>
              </w:rPr>
              <w:t>E</w:t>
            </w:r>
            <w:r>
              <w:rPr>
                <w:rFonts w:hint="eastAsia" w:cs="Times New Roman"/>
                <w:color w:val="auto"/>
                <w:kern w:val="2"/>
                <w:sz w:val="24"/>
                <w:highlight w:val="none"/>
                <w:lang w:eastAsia="zh-CN"/>
              </w:rPr>
              <w:t>113°24′25.321″</w:t>
            </w:r>
            <w:r>
              <w:rPr>
                <w:rFonts w:hint="default" w:ascii="Times New Roman" w:hAnsi="Times New Roman" w:cs="Times New Roman"/>
                <w:color w:val="auto"/>
                <w:kern w:val="2"/>
                <w:sz w:val="24"/>
                <w:highlight w:val="none"/>
              </w:rPr>
              <w:t>、N</w:t>
            </w:r>
            <w:r>
              <w:rPr>
                <w:rFonts w:hint="eastAsia" w:cs="Times New Roman"/>
                <w:color w:val="auto"/>
                <w:kern w:val="2"/>
                <w:sz w:val="24"/>
                <w:highlight w:val="none"/>
                <w:lang w:eastAsia="zh-CN"/>
              </w:rPr>
              <w:t>25°9′13.930″</w:t>
            </w:r>
          </w:p>
        </w:tc>
      </w:tr>
      <w:tr w14:paraId="38F798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1" w:hRule="atLeast"/>
          <w:jc w:val="center"/>
        </w:trPr>
        <w:tc>
          <w:tcPr>
            <w:tcW w:w="866" w:type="pct"/>
            <w:gridSpan w:val="2"/>
            <w:vAlign w:val="center"/>
          </w:tcPr>
          <w:p w14:paraId="60448B25">
            <w:pPr>
              <w:pStyle w:val="60"/>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国民经济</w:t>
            </w:r>
          </w:p>
          <w:p w14:paraId="2BA7DBDB">
            <w:pPr>
              <w:pStyle w:val="60"/>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行业类别</w:t>
            </w:r>
          </w:p>
        </w:tc>
        <w:tc>
          <w:tcPr>
            <w:tcW w:w="1318" w:type="pct"/>
            <w:vAlign w:val="center"/>
          </w:tcPr>
          <w:p w14:paraId="55D32A81">
            <w:pPr>
              <w:pStyle w:val="60"/>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eastAsia" w:ascii="Times New Roman" w:hAnsi="Times New Roman" w:eastAsia="宋体" w:cs="Times New Roman"/>
                <w:color w:val="auto"/>
                <w:kern w:val="2"/>
                <w:sz w:val="24"/>
                <w:szCs w:val="24"/>
                <w:highlight w:val="none"/>
                <w:lang w:eastAsia="zh-CN"/>
              </w:rPr>
            </w:pPr>
            <w:r>
              <w:rPr>
                <w:rFonts w:hint="eastAsia" w:cs="Times New Roman"/>
                <w:color w:val="auto"/>
                <w:kern w:val="2"/>
                <w:sz w:val="24"/>
                <w:szCs w:val="24"/>
                <w:highlight w:val="none"/>
                <w:lang w:eastAsia="zh-CN"/>
              </w:rPr>
              <w:t>C4220 非金属废料和碎屑加工处理</w:t>
            </w:r>
          </w:p>
        </w:tc>
        <w:tc>
          <w:tcPr>
            <w:tcW w:w="972" w:type="pct"/>
            <w:gridSpan w:val="2"/>
            <w:vAlign w:val="center"/>
          </w:tcPr>
          <w:p w14:paraId="197183AC">
            <w:pPr>
              <w:pStyle w:val="60"/>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建设项目</w:t>
            </w:r>
          </w:p>
          <w:p w14:paraId="2009776D">
            <w:pPr>
              <w:pStyle w:val="60"/>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行业类别</w:t>
            </w:r>
          </w:p>
        </w:tc>
        <w:tc>
          <w:tcPr>
            <w:tcW w:w="1843" w:type="pct"/>
            <w:gridSpan w:val="2"/>
            <w:vAlign w:val="center"/>
          </w:tcPr>
          <w:p w14:paraId="68FACFC2">
            <w:pPr>
              <w:pStyle w:val="60"/>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eastAsia" w:ascii="Times New Roman" w:hAnsi="Times New Roman" w:eastAsia="宋体" w:cs="Times New Roman"/>
                <w:color w:val="auto"/>
                <w:kern w:val="2"/>
                <w:sz w:val="24"/>
                <w:szCs w:val="24"/>
                <w:highlight w:val="none"/>
                <w:lang w:eastAsia="zh-CN"/>
              </w:rPr>
            </w:pPr>
            <w:r>
              <w:rPr>
                <w:rFonts w:hint="eastAsia" w:cs="Times New Roman"/>
                <w:color w:val="auto"/>
                <w:kern w:val="2"/>
                <w:sz w:val="24"/>
                <w:szCs w:val="24"/>
                <w:highlight w:val="none"/>
                <w:lang w:eastAsia="zh-CN"/>
              </w:rPr>
              <w:t>三十九、废弃资源综合利用业42—85非金属废料和碎屑加工处理422</w:t>
            </w:r>
          </w:p>
        </w:tc>
      </w:tr>
      <w:tr w14:paraId="7E43DD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2" w:hRule="atLeast"/>
          <w:jc w:val="center"/>
        </w:trPr>
        <w:tc>
          <w:tcPr>
            <w:tcW w:w="866" w:type="pct"/>
            <w:gridSpan w:val="2"/>
            <w:vAlign w:val="center"/>
          </w:tcPr>
          <w:p w14:paraId="5058D211">
            <w:pPr>
              <w:pStyle w:val="60"/>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建设性质</w:t>
            </w:r>
          </w:p>
        </w:tc>
        <w:tc>
          <w:tcPr>
            <w:tcW w:w="1318" w:type="pct"/>
            <w:vAlign w:val="center"/>
          </w:tcPr>
          <w:p w14:paraId="50545AA6">
            <w:pPr>
              <w:keepNext w:val="0"/>
              <w:keepLines w:val="0"/>
              <w:pageBreakBefore w:val="0"/>
              <w:suppressLineNumbers w:val="0"/>
              <w:kinsoku/>
              <w:overflowPunct/>
              <w:topLinePunct w:val="0"/>
              <w:bidi w:val="0"/>
              <w:adjustRightInd/>
              <w:snapToGrid/>
              <w:spacing w:before="0" w:beforeAutospacing="0" w:after="0" w:afterAutospacing="0" w:line="276" w:lineRule="auto"/>
              <w:ind w:left="0" w:right="0"/>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FE"/>
            </w:r>
            <w:r>
              <w:rPr>
                <w:rFonts w:hint="default" w:ascii="Times New Roman" w:hAnsi="Times New Roman" w:cs="Times New Roman"/>
                <w:color w:val="auto"/>
                <w:highlight w:val="none"/>
              </w:rPr>
              <w:t>新建（迁建）</w:t>
            </w:r>
          </w:p>
          <w:p w14:paraId="43A0931D">
            <w:pPr>
              <w:keepNext w:val="0"/>
              <w:keepLines w:val="0"/>
              <w:pageBreakBefore w:val="0"/>
              <w:suppressLineNumbers w:val="0"/>
              <w:kinsoku/>
              <w:overflowPunct/>
              <w:topLinePunct w:val="0"/>
              <w:bidi w:val="0"/>
              <w:adjustRightInd/>
              <w:snapToGrid/>
              <w:spacing w:before="0" w:beforeAutospacing="0" w:after="0" w:afterAutospacing="0" w:line="276" w:lineRule="auto"/>
              <w:ind w:left="0" w:right="0"/>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改建</w:t>
            </w:r>
          </w:p>
          <w:p w14:paraId="18DB3323">
            <w:pPr>
              <w:keepNext w:val="0"/>
              <w:keepLines w:val="0"/>
              <w:pageBreakBefore w:val="0"/>
              <w:suppressLineNumbers w:val="0"/>
              <w:kinsoku/>
              <w:overflowPunct/>
              <w:topLinePunct w:val="0"/>
              <w:bidi w:val="0"/>
              <w:adjustRightInd/>
              <w:snapToGrid/>
              <w:spacing w:before="0" w:beforeAutospacing="0" w:after="0" w:afterAutospacing="0" w:line="276" w:lineRule="auto"/>
              <w:ind w:left="0" w:right="0"/>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扩建</w:t>
            </w:r>
          </w:p>
          <w:p w14:paraId="4C62C6A2">
            <w:pPr>
              <w:keepNext w:val="0"/>
              <w:keepLines w:val="0"/>
              <w:pageBreakBefore w:val="0"/>
              <w:suppressLineNumbers w:val="0"/>
              <w:kinsoku/>
              <w:overflowPunct/>
              <w:topLinePunct w:val="0"/>
              <w:bidi w:val="0"/>
              <w:adjustRightInd/>
              <w:snapToGrid/>
              <w:spacing w:before="0" w:beforeAutospacing="0" w:after="0" w:afterAutospacing="0" w:line="276" w:lineRule="auto"/>
              <w:ind w:left="0" w:right="0"/>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技术改造</w:t>
            </w:r>
          </w:p>
        </w:tc>
        <w:tc>
          <w:tcPr>
            <w:tcW w:w="972" w:type="pct"/>
            <w:gridSpan w:val="2"/>
            <w:vAlign w:val="center"/>
          </w:tcPr>
          <w:p w14:paraId="707FB6C8">
            <w:pPr>
              <w:pStyle w:val="60"/>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建设项目</w:t>
            </w:r>
          </w:p>
          <w:p w14:paraId="5A65AA1C">
            <w:pPr>
              <w:pStyle w:val="60"/>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申报情形</w:t>
            </w:r>
          </w:p>
        </w:tc>
        <w:tc>
          <w:tcPr>
            <w:tcW w:w="1843" w:type="pct"/>
            <w:gridSpan w:val="2"/>
            <w:vAlign w:val="center"/>
          </w:tcPr>
          <w:p w14:paraId="63AFFF2A">
            <w:pPr>
              <w:keepNext w:val="0"/>
              <w:keepLines w:val="0"/>
              <w:pageBreakBefore w:val="0"/>
              <w:suppressLineNumbers w:val="0"/>
              <w:kinsoku/>
              <w:overflowPunct/>
              <w:topLinePunct w:val="0"/>
              <w:bidi w:val="0"/>
              <w:adjustRightInd/>
              <w:snapToGrid/>
              <w:spacing w:before="0" w:beforeAutospacing="0" w:after="0" w:afterAutospacing="0" w:line="276" w:lineRule="auto"/>
              <w:ind w:left="0" w:right="0"/>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FE"/>
            </w:r>
            <w:r>
              <w:rPr>
                <w:rFonts w:hint="default" w:ascii="Times New Roman" w:hAnsi="Times New Roman" w:cs="Times New Roman"/>
                <w:color w:val="auto"/>
                <w:highlight w:val="none"/>
              </w:rPr>
              <w:t>首次申报项目</w:t>
            </w:r>
          </w:p>
          <w:p w14:paraId="22D9118F">
            <w:pPr>
              <w:keepNext w:val="0"/>
              <w:keepLines w:val="0"/>
              <w:pageBreakBefore w:val="0"/>
              <w:suppressLineNumbers w:val="0"/>
              <w:kinsoku/>
              <w:overflowPunct/>
              <w:topLinePunct w:val="0"/>
              <w:bidi w:val="0"/>
              <w:adjustRightInd/>
              <w:snapToGrid/>
              <w:spacing w:before="0" w:beforeAutospacing="0" w:after="0" w:afterAutospacing="0" w:line="276" w:lineRule="auto"/>
              <w:ind w:left="0" w:right="0"/>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不予批准后再次申报项目</w:t>
            </w:r>
          </w:p>
          <w:p w14:paraId="671C49AD">
            <w:pPr>
              <w:keepNext w:val="0"/>
              <w:keepLines w:val="0"/>
              <w:pageBreakBefore w:val="0"/>
              <w:suppressLineNumbers w:val="0"/>
              <w:kinsoku/>
              <w:overflowPunct/>
              <w:topLinePunct w:val="0"/>
              <w:bidi w:val="0"/>
              <w:adjustRightInd/>
              <w:snapToGrid/>
              <w:spacing w:before="0" w:beforeAutospacing="0" w:after="0" w:afterAutospacing="0" w:line="276" w:lineRule="auto"/>
              <w:ind w:left="0" w:right="0"/>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超五年重新审核项目</w:t>
            </w:r>
          </w:p>
          <w:p w14:paraId="77CF627E">
            <w:pPr>
              <w:keepNext w:val="0"/>
              <w:keepLines w:val="0"/>
              <w:pageBreakBefore w:val="0"/>
              <w:suppressLineNumbers w:val="0"/>
              <w:kinsoku/>
              <w:overflowPunct/>
              <w:topLinePunct w:val="0"/>
              <w:bidi w:val="0"/>
              <w:adjustRightInd/>
              <w:snapToGrid/>
              <w:spacing w:before="0" w:beforeAutospacing="0" w:after="0" w:afterAutospacing="0" w:line="276" w:lineRule="auto"/>
              <w:ind w:left="0" w:right="0"/>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重大变动重新报批项目</w:t>
            </w:r>
          </w:p>
        </w:tc>
      </w:tr>
      <w:tr w14:paraId="4C3EB6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4" w:hRule="atLeast"/>
          <w:jc w:val="center"/>
        </w:trPr>
        <w:tc>
          <w:tcPr>
            <w:tcW w:w="866" w:type="pct"/>
            <w:gridSpan w:val="2"/>
            <w:vAlign w:val="center"/>
          </w:tcPr>
          <w:p w14:paraId="53385451">
            <w:pPr>
              <w:pStyle w:val="60"/>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项目审批（核准/备案）部门（选填）</w:t>
            </w:r>
          </w:p>
        </w:tc>
        <w:tc>
          <w:tcPr>
            <w:tcW w:w="1318" w:type="pct"/>
            <w:vAlign w:val="center"/>
          </w:tcPr>
          <w:p w14:paraId="0496A4E5">
            <w:pPr>
              <w:pStyle w:val="60"/>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color w:val="auto"/>
                <w:kern w:val="2"/>
                <w:sz w:val="24"/>
                <w:szCs w:val="24"/>
                <w:highlight w:val="none"/>
              </w:rPr>
            </w:pPr>
            <w:r>
              <w:rPr>
                <w:rFonts w:hint="default" w:ascii="Times New Roman" w:hAnsi="Times New Roman" w:cs="Times New Roman"/>
                <w:color w:val="auto"/>
                <w:kern w:val="2"/>
                <w:sz w:val="24"/>
                <w:szCs w:val="24"/>
                <w:highlight w:val="none"/>
              </w:rPr>
              <w:t>/</w:t>
            </w:r>
          </w:p>
        </w:tc>
        <w:tc>
          <w:tcPr>
            <w:tcW w:w="972" w:type="pct"/>
            <w:gridSpan w:val="2"/>
            <w:vAlign w:val="center"/>
          </w:tcPr>
          <w:p w14:paraId="33345C6C">
            <w:pPr>
              <w:pStyle w:val="60"/>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项目审批（核准/备案）文号（选填）</w:t>
            </w:r>
          </w:p>
        </w:tc>
        <w:tc>
          <w:tcPr>
            <w:tcW w:w="1843" w:type="pct"/>
            <w:gridSpan w:val="2"/>
            <w:vAlign w:val="center"/>
          </w:tcPr>
          <w:p w14:paraId="2D38D343">
            <w:pPr>
              <w:pStyle w:val="60"/>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color w:val="auto"/>
                <w:kern w:val="2"/>
                <w:sz w:val="24"/>
                <w:szCs w:val="24"/>
                <w:highlight w:val="none"/>
              </w:rPr>
            </w:pPr>
            <w:r>
              <w:rPr>
                <w:rFonts w:hint="default" w:ascii="Times New Roman" w:hAnsi="Times New Roman" w:cs="Times New Roman"/>
                <w:color w:val="auto"/>
                <w:kern w:val="2"/>
                <w:sz w:val="24"/>
                <w:szCs w:val="24"/>
                <w:highlight w:val="none"/>
              </w:rPr>
              <w:t>/</w:t>
            </w:r>
          </w:p>
        </w:tc>
      </w:tr>
      <w:tr w14:paraId="12AEC0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jc w:val="center"/>
        </w:trPr>
        <w:tc>
          <w:tcPr>
            <w:tcW w:w="866" w:type="pct"/>
            <w:gridSpan w:val="2"/>
            <w:vAlign w:val="center"/>
          </w:tcPr>
          <w:p w14:paraId="261B7895">
            <w:pPr>
              <w:pStyle w:val="60"/>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总投资（万元）</w:t>
            </w:r>
          </w:p>
        </w:tc>
        <w:tc>
          <w:tcPr>
            <w:tcW w:w="1318" w:type="pct"/>
            <w:vAlign w:val="center"/>
          </w:tcPr>
          <w:p w14:paraId="4AAD9DBD">
            <w:pPr>
              <w:pStyle w:val="60"/>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eastAsia="宋体" w:cs="Times New Roman"/>
                <w:color w:val="auto"/>
                <w:kern w:val="2"/>
                <w:sz w:val="24"/>
                <w:szCs w:val="24"/>
                <w:highlight w:val="none"/>
                <w:lang w:val="en-US" w:eastAsia="zh-CN"/>
              </w:rPr>
            </w:pPr>
            <w:r>
              <w:rPr>
                <w:rFonts w:hint="eastAsia" w:cs="Times New Roman"/>
                <w:color w:val="auto"/>
                <w:kern w:val="2"/>
                <w:sz w:val="24"/>
                <w:szCs w:val="24"/>
                <w:highlight w:val="none"/>
                <w:lang w:val="en-US" w:eastAsia="zh-CN"/>
              </w:rPr>
              <w:t>15000</w:t>
            </w:r>
          </w:p>
        </w:tc>
        <w:tc>
          <w:tcPr>
            <w:tcW w:w="972" w:type="pct"/>
            <w:gridSpan w:val="2"/>
            <w:vAlign w:val="center"/>
          </w:tcPr>
          <w:p w14:paraId="31A79BE1">
            <w:pPr>
              <w:pStyle w:val="60"/>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环保投资</w:t>
            </w:r>
          </w:p>
          <w:p w14:paraId="7385F809">
            <w:pPr>
              <w:pStyle w:val="60"/>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（万元）</w:t>
            </w:r>
          </w:p>
        </w:tc>
        <w:tc>
          <w:tcPr>
            <w:tcW w:w="1843" w:type="pct"/>
            <w:gridSpan w:val="2"/>
            <w:vAlign w:val="center"/>
          </w:tcPr>
          <w:p w14:paraId="7794B2CB">
            <w:pPr>
              <w:pStyle w:val="60"/>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color w:val="auto"/>
                <w:kern w:val="2"/>
                <w:sz w:val="24"/>
                <w:szCs w:val="24"/>
                <w:highlight w:val="none"/>
              </w:rPr>
            </w:pPr>
            <w:r>
              <w:rPr>
                <w:rFonts w:hint="default" w:ascii="Times New Roman" w:hAnsi="Times New Roman" w:cs="Times New Roman"/>
                <w:color w:val="auto"/>
                <w:kern w:val="2"/>
                <w:sz w:val="24"/>
                <w:szCs w:val="24"/>
                <w:highlight w:val="none"/>
              </w:rPr>
              <w:t>100</w:t>
            </w:r>
          </w:p>
        </w:tc>
      </w:tr>
      <w:tr w14:paraId="6DE1A9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5" w:hRule="atLeast"/>
          <w:jc w:val="center"/>
        </w:trPr>
        <w:tc>
          <w:tcPr>
            <w:tcW w:w="866" w:type="pct"/>
            <w:gridSpan w:val="2"/>
            <w:vAlign w:val="center"/>
          </w:tcPr>
          <w:p w14:paraId="3952AF39">
            <w:pPr>
              <w:pStyle w:val="60"/>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环保投资占比（%）</w:t>
            </w:r>
          </w:p>
        </w:tc>
        <w:tc>
          <w:tcPr>
            <w:tcW w:w="1318" w:type="pct"/>
            <w:vAlign w:val="center"/>
          </w:tcPr>
          <w:p w14:paraId="630CB50E">
            <w:pPr>
              <w:pStyle w:val="60"/>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eastAsia="宋体" w:cs="Times New Roman"/>
                <w:color w:val="auto"/>
                <w:kern w:val="2"/>
                <w:sz w:val="24"/>
                <w:szCs w:val="24"/>
                <w:highlight w:val="none"/>
                <w:lang w:val="en-US" w:eastAsia="zh-CN"/>
              </w:rPr>
            </w:pPr>
            <w:r>
              <w:rPr>
                <w:rFonts w:hint="eastAsia"/>
                <w:color w:val="auto"/>
                <w:kern w:val="2"/>
                <w:sz w:val="24"/>
                <w:szCs w:val="24"/>
                <w:highlight w:val="none"/>
                <w:lang w:val="en-US" w:eastAsia="zh-CN"/>
              </w:rPr>
              <w:t>0.67</w:t>
            </w:r>
          </w:p>
        </w:tc>
        <w:tc>
          <w:tcPr>
            <w:tcW w:w="972" w:type="pct"/>
            <w:gridSpan w:val="2"/>
            <w:vAlign w:val="center"/>
          </w:tcPr>
          <w:p w14:paraId="6EC97350">
            <w:pPr>
              <w:pStyle w:val="60"/>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施工工期</w:t>
            </w:r>
          </w:p>
        </w:tc>
        <w:tc>
          <w:tcPr>
            <w:tcW w:w="1843" w:type="pct"/>
            <w:gridSpan w:val="2"/>
            <w:vAlign w:val="center"/>
          </w:tcPr>
          <w:p w14:paraId="78D2FAEE">
            <w:pPr>
              <w:pStyle w:val="60"/>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eastAsia="宋体" w:cs="Times New Roman"/>
                <w:color w:val="auto"/>
                <w:kern w:val="2"/>
                <w:sz w:val="24"/>
                <w:szCs w:val="24"/>
                <w:highlight w:val="none"/>
                <w:lang w:eastAsia="zh-CN"/>
              </w:rPr>
            </w:pPr>
            <w:r>
              <w:rPr>
                <w:rFonts w:hint="eastAsia" w:cs="Times New Roman"/>
                <w:color w:val="auto"/>
                <w:kern w:val="2"/>
                <w:sz w:val="24"/>
                <w:szCs w:val="24"/>
                <w:highlight w:val="none"/>
                <w:lang w:val="en-US" w:eastAsia="zh-CN"/>
              </w:rPr>
              <w:t>4</w:t>
            </w:r>
            <w:r>
              <w:rPr>
                <w:rFonts w:hint="default" w:ascii="Times New Roman" w:hAnsi="Times New Roman" w:cs="Times New Roman"/>
                <w:color w:val="auto"/>
                <w:kern w:val="2"/>
                <w:sz w:val="24"/>
                <w:szCs w:val="24"/>
                <w:highlight w:val="none"/>
                <w:lang w:eastAsia="zh-CN"/>
              </w:rPr>
              <w:t>个月</w:t>
            </w:r>
          </w:p>
        </w:tc>
      </w:tr>
      <w:tr w14:paraId="5910C3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5" w:hRule="atLeast"/>
          <w:jc w:val="center"/>
        </w:trPr>
        <w:tc>
          <w:tcPr>
            <w:tcW w:w="866" w:type="pct"/>
            <w:gridSpan w:val="2"/>
            <w:vAlign w:val="center"/>
          </w:tcPr>
          <w:p w14:paraId="380E4C09">
            <w:pPr>
              <w:pStyle w:val="60"/>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是否开工建设</w:t>
            </w:r>
          </w:p>
        </w:tc>
        <w:tc>
          <w:tcPr>
            <w:tcW w:w="1318" w:type="pct"/>
            <w:vAlign w:val="center"/>
          </w:tcPr>
          <w:p w14:paraId="2D5EDAEF">
            <w:pPr>
              <w:keepNext w:val="0"/>
              <w:keepLines w:val="0"/>
              <w:pageBreakBefore w:val="0"/>
              <w:suppressLineNumbers w:val="0"/>
              <w:kinsoku/>
              <w:overflowPunct/>
              <w:topLinePunct w:val="0"/>
              <w:bidi w:val="0"/>
              <w:adjustRightInd/>
              <w:snapToGrid/>
              <w:spacing w:before="0" w:beforeAutospacing="0" w:after="0" w:afterAutospacing="0" w:line="276" w:lineRule="auto"/>
              <w:ind w:left="0" w:right="0"/>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FE"/>
            </w:r>
            <w:r>
              <w:rPr>
                <w:rFonts w:hint="default" w:ascii="Times New Roman" w:hAnsi="Times New Roman" w:cs="Times New Roman"/>
                <w:color w:val="auto"/>
                <w:highlight w:val="none"/>
              </w:rPr>
              <w:t>否</w:t>
            </w:r>
          </w:p>
          <w:p w14:paraId="0E47FC67">
            <w:pPr>
              <w:keepNext w:val="0"/>
              <w:keepLines w:val="0"/>
              <w:pageBreakBefore w:val="0"/>
              <w:suppressLineNumbers w:val="0"/>
              <w:kinsoku/>
              <w:overflowPunct/>
              <w:topLinePunct w:val="0"/>
              <w:bidi w:val="0"/>
              <w:adjustRightInd/>
              <w:snapToGrid/>
              <w:spacing w:before="0" w:beforeAutospacing="0" w:after="0" w:afterAutospacing="0" w:line="276" w:lineRule="auto"/>
              <w:ind w:left="0" w:right="0"/>
              <w:jc w:val="left"/>
              <w:outlineLvl w:val="9"/>
              <w:rPr>
                <w:rFonts w:hint="default" w:ascii="Times New Roman" w:hAnsi="Times New Roman" w:cs="Times New Roman"/>
                <w:color w:val="auto"/>
                <w:highlight w:val="none"/>
                <w:u w:val="single"/>
              </w:rPr>
            </w:pP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是：</w:t>
            </w:r>
          </w:p>
        </w:tc>
        <w:tc>
          <w:tcPr>
            <w:tcW w:w="972" w:type="pct"/>
            <w:gridSpan w:val="2"/>
            <w:vAlign w:val="center"/>
          </w:tcPr>
          <w:p w14:paraId="69FD37C4">
            <w:pPr>
              <w:pStyle w:val="60"/>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用地（用海）面积（m</w:t>
            </w:r>
            <w:r>
              <w:rPr>
                <w:rFonts w:hint="default" w:ascii="Times New Roman" w:hAnsi="Times New Roman" w:cs="Times New Roman"/>
                <w:b/>
                <w:bCs/>
                <w:color w:val="auto"/>
                <w:kern w:val="2"/>
                <w:sz w:val="24"/>
                <w:szCs w:val="24"/>
                <w:highlight w:val="none"/>
                <w:vertAlign w:val="superscript"/>
              </w:rPr>
              <w:t>2</w:t>
            </w:r>
            <w:r>
              <w:rPr>
                <w:rFonts w:hint="default" w:ascii="Times New Roman" w:hAnsi="Times New Roman" w:cs="Times New Roman"/>
                <w:b/>
                <w:bCs/>
                <w:color w:val="auto"/>
                <w:kern w:val="2"/>
                <w:sz w:val="24"/>
                <w:szCs w:val="24"/>
                <w:highlight w:val="none"/>
              </w:rPr>
              <w:t>）</w:t>
            </w:r>
          </w:p>
        </w:tc>
        <w:tc>
          <w:tcPr>
            <w:tcW w:w="1843" w:type="pct"/>
            <w:gridSpan w:val="2"/>
            <w:vAlign w:val="center"/>
          </w:tcPr>
          <w:p w14:paraId="4C6023CB">
            <w:pPr>
              <w:pStyle w:val="60"/>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eastAsia="宋体" w:cs="Times New Roman"/>
                <w:color w:val="auto"/>
                <w:kern w:val="2"/>
                <w:sz w:val="24"/>
                <w:szCs w:val="24"/>
                <w:highlight w:val="none"/>
                <w:lang w:val="en-US" w:eastAsia="zh-CN"/>
              </w:rPr>
            </w:pPr>
            <w:r>
              <w:rPr>
                <w:rFonts w:hint="eastAsia" w:cs="Times New Roman"/>
                <w:color w:val="auto"/>
                <w:kern w:val="2"/>
                <w:sz w:val="24"/>
                <w:szCs w:val="24"/>
                <w:highlight w:val="none"/>
                <w:lang w:val="en-US" w:eastAsia="zh-CN"/>
              </w:rPr>
              <w:t>37346.12</w:t>
            </w:r>
          </w:p>
        </w:tc>
      </w:tr>
      <w:tr w14:paraId="5012D3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866" w:type="pct"/>
            <w:gridSpan w:val="2"/>
            <w:vAlign w:val="center"/>
          </w:tcPr>
          <w:p w14:paraId="32895A98">
            <w:pPr>
              <w:pStyle w:val="60"/>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2"/>
                <w:highlight w:val="none"/>
              </w:rPr>
            </w:pPr>
            <w:r>
              <w:rPr>
                <w:rFonts w:hint="default" w:ascii="Times New Roman" w:hAnsi="Times New Roman" w:cs="Times New Roman"/>
                <w:b/>
                <w:bCs/>
                <w:color w:val="auto"/>
                <w:kern w:val="2"/>
                <w:sz w:val="24"/>
                <w:szCs w:val="22"/>
                <w:highlight w:val="none"/>
              </w:rPr>
              <w:t>专项评价设置情况</w:t>
            </w:r>
          </w:p>
        </w:tc>
        <w:tc>
          <w:tcPr>
            <w:tcW w:w="4133" w:type="pct"/>
            <w:gridSpan w:val="5"/>
            <w:vAlign w:val="center"/>
          </w:tcPr>
          <w:p w14:paraId="079D9DA5">
            <w:pPr>
              <w:pStyle w:val="102"/>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项目专项评价设置情况一览表</w:t>
            </w:r>
          </w:p>
          <w:tbl>
            <w:tblPr>
              <w:tblStyle w:val="10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826"/>
              <w:gridCol w:w="3449"/>
              <w:gridCol w:w="2986"/>
              <w:gridCol w:w="750"/>
            </w:tblGrid>
            <w:tr w14:paraId="5DAA74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blHeader/>
                <w:jc w:val="center"/>
              </w:trPr>
              <w:tc>
                <w:tcPr>
                  <w:tcW w:w="516" w:type="pct"/>
                  <w:tcBorders>
                    <w:top w:val="single" w:color="auto" w:sz="4" w:space="0"/>
                    <w:left w:val="single" w:color="auto" w:sz="4" w:space="0"/>
                    <w:bottom w:val="single" w:color="auto" w:sz="4" w:space="0"/>
                    <w:right w:val="single" w:color="auto" w:sz="4" w:space="0"/>
                  </w:tcBorders>
                  <w:shd w:val="clear" w:color="auto" w:fill="auto"/>
                  <w:vAlign w:val="center"/>
                </w:tcPr>
                <w:p w14:paraId="109AC509">
                  <w:pPr>
                    <w:pStyle w:val="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lang w:val="en-US"/>
                    </w:rPr>
                  </w:pPr>
                  <w:r>
                    <w:rPr>
                      <w:rFonts w:hint="default" w:ascii="Times New Roman" w:hAnsi="Times New Roman" w:cs="Times New Roman"/>
                      <w:b/>
                      <w:bCs/>
                      <w:color w:val="auto"/>
                      <w:sz w:val="21"/>
                      <w:szCs w:val="21"/>
                      <w:highlight w:val="none"/>
                      <w:lang w:val="en-US" w:eastAsia="zh-CN"/>
                    </w:rPr>
                    <w:t>专项评价</w:t>
                  </w:r>
                </w:p>
              </w:tc>
              <w:tc>
                <w:tcPr>
                  <w:tcW w:w="2152" w:type="pct"/>
                  <w:tcBorders>
                    <w:top w:val="single" w:color="auto" w:sz="4" w:space="0"/>
                    <w:left w:val="single" w:color="auto" w:sz="4" w:space="0"/>
                    <w:bottom w:val="single" w:color="auto" w:sz="4" w:space="0"/>
                    <w:right w:val="single" w:color="auto" w:sz="4" w:space="0"/>
                  </w:tcBorders>
                  <w:shd w:val="clear" w:color="auto" w:fill="auto"/>
                  <w:vAlign w:val="center"/>
                </w:tcPr>
                <w:p w14:paraId="1FE7ED04">
                  <w:pPr>
                    <w:pStyle w:val="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lang w:val="en-US"/>
                    </w:rPr>
                  </w:pPr>
                  <w:r>
                    <w:rPr>
                      <w:rFonts w:hint="default" w:ascii="Times New Roman" w:hAnsi="Times New Roman" w:cs="Times New Roman"/>
                      <w:b/>
                      <w:bCs/>
                      <w:color w:val="auto"/>
                      <w:sz w:val="21"/>
                      <w:szCs w:val="21"/>
                      <w:highlight w:val="none"/>
                      <w:lang w:val="en-US" w:eastAsia="zh-CN"/>
                    </w:rPr>
                    <w:t>设置原则</w:t>
                  </w:r>
                </w:p>
              </w:tc>
              <w:tc>
                <w:tcPr>
                  <w:tcW w:w="1863" w:type="pct"/>
                  <w:tcBorders>
                    <w:top w:val="single" w:color="auto" w:sz="4" w:space="0"/>
                    <w:left w:val="single" w:color="auto" w:sz="4" w:space="0"/>
                    <w:bottom w:val="single" w:color="auto" w:sz="4" w:space="0"/>
                    <w:right w:val="single" w:color="auto" w:sz="4" w:space="0"/>
                  </w:tcBorders>
                  <w:shd w:val="clear" w:color="auto" w:fill="auto"/>
                  <w:vAlign w:val="center"/>
                </w:tcPr>
                <w:p w14:paraId="17C9A730">
                  <w:pPr>
                    <w:pStyle w:val="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lang w:val="en-US"/>
                    </w:rPr>
                  </w:pPr>
                  <w:r>
                    <w:rPr>
                      <w:rFonts w:hint="default" w:ascii="Times New Roman" w:hAnsi="Times New Roman" w:cs="Times New Roman"/>
                      <w:b/>
                      <w:bCs/>
                      <w:color w:val="auto"/>
                      <w:sz w:val="21"/>
                      <w:szCs w:val="21"/>
                      <w:highlight w:val="none"/>
                      <w:lang w:val="en-US" w:eastAsia="zh-CN"/>
                    </w:rPr>
                    <w:t>本项目情况</w:t>
                  </w:r>
                </w:p>
              </w:tc>
              <w:tc>
                <w:tcPr>
                  <w:tcW w:w="468" w:type="pct"/>
                  <w:tcBorders>
                    <w:top w:val="single" w:color="auto" w:sz="4" w:space="0"/>
                    <w:left w:val="single" w:color="auto" w:sz="4" w:space="0"/>
                    <w:bottom w:val="single" w:color="auto" w:sz="4" w:space="0"/>
                    <w:right w:val="single" w:color="auto" w:sz="4" w:space="0"/>
                  </w:tcBorders>
                  <w:shd w:val="clear" w:color="auto" w:fill="auto"/>
                  <w:vAlign w:val="center"/>
                </w:tcPr>
                <w:p w14:paraId="5F7FDB57">
                  <w:pPr>
                    <w:pStyle w:val="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lang w:val="en-US"/>
                    </w:rPr>
                  </w:pPr>
                  <w:r>
                    <w:rPr>
                      <w:rFonts w:hint="default" w:ascii="Times New Roman" w:hAnsi="Times New Roman" w:cs="Times New Roman"/>
                      <w:b/>
                      <w:bCs/>
                      <w:color w:val="auto"/>
                      <w:sz w:val="21"/>
                      <w:szCs w:val="21"/>
                      <w:highlight w:val="none"/>
                      <w:lang w:val="en-US" w:eastAsia="zh-CN"/>
                    </w:rPr>
                    <w:t>判定结果</w:t>
                  </w:r>
                </w:p>
              </w:tc>
            </w:tr>
            <w:tr w14:paraId="4C9051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blHeader/>
                <w:jc w:val="center"/>
              </w:trPr>
              <w:tc>
                <w:tcPr>
                  <w:tcW w:w="516" w:type="pct"/>
                  <w:tcBorders>
                    <w:top w:val="single" w:color="auto" w:sz="4" w:space="0"/>
                    <w:left w:val="single" w:color="auto" w:sz="4" w:space="0"/>
                    <w:bottom w:val="single" w:color="auto" w:sz="4" w:space="0"/>
                    <w:right w:val="single" w:color="auto" w:sz="4" w:space="0"/>
                  </w:tcBorders>
                  <w:shd w:val="clear" w:color="auto" w:fill="auto"/>
                  <w:vAlign w:val="center"/>
                </w:tcPr>
                <w:p w14:paraId="51E9F475">
                  <w:pPr>
                    <w:pStyle w:val="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大气</w:t>
                  </w:r>
                </w:p>
              </w:tc>
              <w:tc>
                <w:tcPr>
                  <w:tcW w:w="2152" w:type="pct"/>
                  <w:tcBorders>
                    <w:top w:val="single" w:color="auto" w:sz="4" w:space="0"/>
                    <w:left w:val="single" w:color="auto" w:sz="4" w:space="0"/>
                    <w:bottom w:val="single" w:color="auto" w:sz="4" w:space="0"/>
                    <w:right w:val="single" w:color="auto" w:sz="4" w:space="0"/>
                  </w:tcBorders>
                  <w:shd w:val="clear" w:color="auto" w:fill="auto"/>
                  <w:vAlign w:val="center"/>
                </w:tcPr>
                <w:p w14:paraId="480C467B">
                  <w:pPr>
                    <w:pStyle w:val="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排放废气含有毒有害污染物、二噁英、苯并芘、氰化物、氯气且厂界外500米范围内有环境空气保护目标的建设项目</w:t>
                  </w:r>
                </w:p>
              </w:tc>
              <w:tc>
                <w:tcPr>
                  <w:tcW w:w="1863" w:type="pct"/>
                  <w:tcBorders>
                    <w:top w:val="single" w:color="auto" w:sz="4" w:space="0"/>
                    <w:left w:val="single" w:color="auto" w:sz="4" w:space="0"/>
                    <w:bottom w:val="single" w:color="auto" w:sz="4" w:space="0"/>
                    <w:right w:val="single" w:color="auto" w:sz="4" w:space="0"/>
                  </w:tcBorders>
                  <w:shd w:val="clear" w:color="auto" w:fill="auto"/>
                  <w:vAlign w:val="center"/>
                </w:tcPr>
                <w:p w14:paraId="35BF51A7">
                  <w:pPr>
                    <w:pStyle w:val="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本项目排放的</w:t>
                  </w:r>
                  <w:r>
                    <w:rPr>
                      <w:rFonts w:hint="eastAsia" w:ascii="Times New Roman" w:cs="Times New Roman"/>
                      <w:color w:val="auto"/>
                      <w:sz w:val="21"/>
                      <w:szCs w:val="21"/>
                      <w:highlight w:val="none"/>
                      <w:lang w:val="en-US" w:eastAsia="zh-CN"/>
                    </w:rPr>
                    <w:t>废气</w:t>
                  </w:r>
                  <w:r>
                    <w:rPr>
                      <w:rFonts w:hint="default" w:ascii="Times New Roman" w:hAnsi="Times New Roman" w:cs="Times New Roman"/>
                      <w:color w:val="auto"/>
                      <w:sz w:val="21"/>
                      <w:szCs w:val="21"/>
                      <w:highlight w:val="none"/>
                      <w:lang w:val="en-US" w:eastAsia="zh-CN"/>
                    </w:rPr>
                    <w:t>不涉及技术指南规定的有毒有害废气污染物</w:t>
                  </w:r>
                </w:p>
              </w:tc>
              <w:tc>
                <w:tcPr>
                  <w:tcW w:w="468" w:type="pct"/>
                  <w:tcBorders>
                    <w:top w:val="single" w:color="auto" w:sz="4" w:space="0"/>
                    <w:left w:val="single" w:color="auto" w:sz="4" w:space="0"/>
                    <w:bottom w:val="single" w:color="auto" w:sz="4" w:space="0"/>
                    <w:right w:val="single" w:color="auto" w:sz="4" w:space="0"/>
                  </w:tcBorders>
                  <w:shd w:val="clear" w:color="auto" w:fill="auto"/>
                  <w:vAlign w:val="center"/>
                </w:tcPr>
                <w:p w14:paraId="17EC5AD2">
                  <w:pPr>
                    <w:pStyle w:val="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不需设置</w:t>
                  </w:r>
                </w:p>
              </w:tc>
            </w:tr>
            <w:tr w14:paraId="2EB8BC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blHeader/>
                <w:jc w:val="center"/>
              </w:trPr>
              <w:tc>
                <w:tcPr>
                  <w:tcW w:w="516" w:type="pct"/>
                  <w:tcBorders>
                    <w:top w:val="single" w:color="auto" w:sz="4" w:space="0"/>
                    <w:left w:val="single" w:color="auto" w:sz="4" w:space="0"/>
                    <w:bottom w:val="single" w:color="auto" w:sz="4" w:space="0"/>
                    <w:right w:val="single" w:color="auto" w:sz="4" w:space="0"/>
                  </w:tcBorders>
                  <w:shd w:val="clear" w:color="auto" w:fill="auto"/>
                  <w:vAlign w:val="center"/>
                </w:tcPr>
                <w:p w14:paraId="3DCBF664">
                  <w:pPr>
                    <w:pStyle w:val="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地表水</w:t>
                  </w:r>
                </w:p>
              </w:tc>
              <w:tc>
                <w:tcPr>
                  <w:tcW w:w="2152" w:type="pct"/>
                  <w:tcBorders>
                    <w:top w:val="single" w:color="auto" w:sz="4" w:space="0"/>
                    <w:left w:val="single" w:color="auto" w:sz="4" w:space="0"/>
                    <w:bottom w:val="single" w:color="auto" w:sz="4" w:space="0"/>
                    <w:right w:val="single" w:color="auto" w:sz="4" w:space="0"/>
                  </w:tcBorders>
                  <w:shd w:val="clear" w:color="auto" w:fill="auto"/>
                  <w:vAlign w:val="center"/>
                </w:tcPr>
                <w:p w14:paraId="2A80BA5A">
                  <w:pPr>
                    <w:pStyle w:val="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新增工业废水直排建设项目（槽罐车外送污水处理厂的除外）；新增废水直排的污水集中处理厂</w:t>
                  </w:r>
                </w:p>
              </w:tc>
              <w:tc>
                <w:tcPr>
                  <w:tcW w:w="1863" w:type="pct"/>
                  <w:tcBorders>
                    <w:top w:val="single" w:color="auto" w:sz="4" w:space="0"/>
                    <w:left w:val="single" w:color="auto" w:sz="4" w:space="0"/>
                    <w:bottom w:val="single" w:color="auto" w:sz="4" w:space="0"/>
                    <w:right w:val="single" w:color="auto" w:sz="4" w:space="0"/>
                  </w:tcBorders>
                  <w:shd w:val="clear" w:color="auto" w:fill="auto"/>
                  <w:vAlign w:val="center"/>
                </w:tcPr>
                <w:p w14:paraId="04781ED6">
                  <w:pPr>
                    <w:pStyle w:val="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项目废水自处理后依托园区污水处理厂进一步处理，达标后排放至武江，不直排</w:t>
                  </w:r>
                </w:p>
              </w:tc>
              <w:tc>
                <w:tcPr>
                  <w:tcW w:w="468" w:type="pct"/>
                  <w:tcBorders>
                    <w:top w:val="single" w:color="auto" w:sz="4" w:space="0"/>
                    <w:left w:val="single" w:color="auto" w:sz="4" w:space="0"/>
                    <w:bottom w:val="single" w:color="auto" w:sz="4" w:space="0"/>
                    <w:right w:val="single" w:color="auto" w:sz="4" w:space="0"/>
                  </w:tcBorders>
                  <w:shd w:val="clear" w:color="auto" w:fill="auto"/>
                  <w:vAlign w:val="center"/>
                </w:tcPr>
                <w:p w14:paraId="7196D346">
                  <w:pPr>
                    <w:pStyle w:val="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不需设置</w:t>
                  </w:r>
                </w:p>
              </w:tc>
            </w:tr>
            <w:tr w14:paraId="490157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blHeader/>
                <w:jc w:val="center"/>
              </w:trPr>
              <w:tc>
                <w:tcPr>
                  <w:tcW w:w="516" w:type="pct"/>
                  <w:tcBorders>
                    <w:top w:val="single" w:color="auto" w:sz="4" w:space="0"/>
                    <w:left w:val="single" w:color="auto" w:sz="4" w:space="0"/>
                    <w:bottom w:val="single" w:color="auto" w:sz="4" w:space="0"/>
                    <w:right w:val="single" w:color="auto" w:sz="4" w:space="0"/>
                  </w:tcBorders>
                  <w:shd w:val="clear" w:color="auto" w:fill="auto"/>
                  <w:vAlign w:val="center"/>
                </w:tcPr>
                <w:p w14:paraId="0DC88ABA">
                  <w:pPr>
                    <w:pStyle w:val="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环境风险</w:t>
                  </w:r>
                </w:p>
              </w:tc>
              <w:tc>
                <w:tcPr>
                  <w:tcW w:w="2152" w:type="pct"/>
                  <w:tcBorders>
                    <w:top w:val="single" w:color="auto" w:sz="4" w:space="0"/>
                    <w:left w:val="single" w:color="auto" w:sz="4" w:space="0"/>
                    <w:bottom w:val="single" w:color="auto" w:sz="4" w:space="0"/>
                    <w:right w:val="single" w:color="auto" w:sz="4" w:space="0"/>
                  </w:tcBorders>
                  <w:shd w:val="clear" w:color="auto" w:fill="auto"/>
                  <w:vAlign w:val="center"/>
                </w:tcPr>
                <w:p w14:paraId="19A69566">
                  <w:pPr>
                    <w:pStyle w:val="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有毒有害和易燃易爆危险物质存储量超过临界量的建设项目</w:t>
                  </w:r>
                </w:p>
              </w:tc>
              <w:tc>
                <w:tcPr>
                  <w:tcW w:w="1863" w:type="pct"/>
                  <w:tcBorders>
                    <w:top w:val="single" w:color="auto" w:sz="4" w:space="0"/>
                    <w:left w:val="single" w:color="auto" w:sz="4" w:space="0"/>
                    <w:bottom w:val="single" w:color="auto" w:sz="4" w:space="0"/>
                    <w:right w:val="single" w:color="auto" w:sz="4" w:space="0"/>
                  </w:tcBorders>
                  <w:shd w:val="clear" w:color="auto" w:fill="auto"/>
                  <w:vAlign w:val="center"/>
                </w:tcPr>
                <w:p w14:paraId="04482EED">
                  <w:pPr>
                    <w:pStyle w:val="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经分析，本项目危险物质存储量总计未超过临界量</w:t>
                  </w:r>
                </w:p>
              </w:tc>
              <w:tc>
                <w:tcPr>
                  <w:tcW w:w="468" w:type="pct"/>
                  <w:tcBorders>
                    <w:top w:val="single" w:color="auto" w:sz="4" w:space="0"/>
                    <w:left w:val="single" w:color="auto" w:sz="4" w:space="0"/>
                    <w:bottom w:val="single" w:color="auto" w:sz="4" w:space="0"/>
                    <w:right w:val="single" w:color="auto" w:sz="4" w:space="0"/>
                  </w:tcBorders>
                  <w:shd w:val="clear" w:color="auto" w:fill="auto"/>
                  <w:vAlign w:val="center"/>
                </w:tcPr>
                <w:p w14:paraId="5C9BDC8F">
                  <w:pPr>
                    <w:pStyle w:val="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不需设置</w:t>
                  </w:r>
                </w:p>
              </w:tc>
            </w:tr>
            <w:tr w14:paraId="11C5BE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blHeader/>
                <w:jc w:val="center"/>
              </w:trPr>
              <w:tc>
                <w:tcPr>
                  <w:tcW w:w="516" w:type="pct"/>
                  <w:tcBorders>
                    <w:top w:val="single" w:color="auto" w:sz="4" w:space="0"/>
                    <w:left w:val="single" w:color="auto" w:sz="4" w:space="0"/>
                    <w:bottom w:val="single" w:color="auto" w:sz="4" w:space="0"/>
                    <w:right w:val="single" w:color="auto" w:sz="4" w:space="0"/>
                  </w:tcBorders>
                  <w:shd w:val="clear" w:color="auto" w:fill="auto"/>
                  <w:vAlign w:val="center"/>
                </w:tcPr>
                <w:p w14:paraId="5C20006E">
                  <w:pPr>
                    <w:pStyle w:val="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生态</w:t>
                  </w:r>
                </w:p>
              </w:tc>
              <w:tc>
                <w:tcPr>
                  <w:tcW w:w="2152" w:type="pct"/>
                  <w:tcBorders>
                    <w:top w:val="single" w:color="auto" w:sz="4" w:space="0"/>
                    <w:left w:val="single" w:color="auto" w:sz="4" w:space="0"/>
                    <w:bottom w:val="single" w:color="auto" w:sz="4" w:space="0"/>
                    <w:right w:val="single" w:color="auto" w:sz="4" w:space="0"/>
                  </w:tcBorders>
                  <w:shd w:val="clear" w:color="auto" w:fill="auto"/>
                  <w:vAlign w:val="center"/>
                </w:tcPr>
                <w:p w14:paraId="3646EF7A">
                  <w:pPr>
                    <w:pStyle w:val="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取水口下游500米范围内有重要水生生物的自然产卵场、索饵场、越冬场和洄游通道的新增河道取水的污染类建设项目</w:t>
                  </w:r>
                </w:p>
              </w:tc>
              <w:tc>
                <w:tcPr>
                  <w:tcW w:w="1863" w:type="pct"/>
                  <w:tcBorders>
                    <w:top w:val="single" w:color="auto" w:sz="4" w:space="0"/>
                    <w:left w:val="single" w:color="auto" w:sz="4" w:space="0"/>
                    <w:bottom w:val="single" w:color="auto" w:sz="4" w:space="0"/>
                    <w:right w:val="single" w:color="auto" w:sz="4" w:space="0"/>
                  </w:tcBorders>
                  <w:shd w:val="clear" w:color="auto" w:fill="auto"/>
                  <w:vAlign w:val="center"/>
                </w:tcPr>
                <w:p w14:paraId="50C9219A">
                  <w:pPr>
                    <w:pStyle w:val="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本项目不涉及直接从河道取水</w:t>
                  </w:r>
                </w:p>
              </w:tc>
              <w:tc>
                <w:tcPr>
                  <w:tcW w:w="468" w:type="pct"/>
                  <w:tcBorders>
                    <w:top w:val="single" w:color="auto" w:sz="4" w:space="0"/>
                    <w:left w:val="single" w:color="auto" w:sz="4" w:space="0"/>
                    <w:bottom w:val="single" w:color="auto" w:sz="4" w:space="0"/>
                    <w:right w:val="single" w:color="auto" w:sz="4" w:space="0"/>
                  </w:tcBorders>
                  <w:shd w:val="clear" w:color="auto" w:fill="auto"/>
                  <w:vAlign w:val="center"/>
                </w:tcPr>
                <w:p w14:paraId="221559E1">
                  <w:pPr>
                    <w:pStyle w:val="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不需设置</w:t>
                  </w:r>
                </w:p>
              </w:tc>
            </w:tr>
            <w:tr w14:paraId="2C574D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blHeader/>
                <w:jc w:val="center"/>
              </w:trPr>
              <w:tc>
                <w:tcPr>
                  <w:tcW w:w="516" w:type="pct"/>
                  <w:tcBorders>
                    <w:top w:val="single" w:color="auto" w:sz="4" w:space="0"/>
                    <w:left w:val="single" w:color="auto" w:sz="4" w:space="0"/>
                    <w:bottom w:val="single" w:color="auto" w:sz="4" w:space="0"/>
                    <w:right w:val="single" w:color="auto" w:sz="4" w:space="0"/>
                  </w:tcBorders>
                  <w:shd w:val="clear" w:color="auto" w:fill="auto"/>
                  <w:vAlign w:val="center"/>
                </w:tcPr>
                <w:p w14:paraId="711F1525">
                  <w:pPr>
                    <w:pStyle w:val="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海洋</w:t>
                  </w:r>
                </w:p>
              </w:tc>
              <w:tc>
                <w:tcPr>
                  <w:tcW w:w="2152" w:type="pct"/>
                  <w:tcBorders>
                    <w:top w:val="single" w:color="auto" w:sz="4" w:space="0"/>
                    <w:left w:val="single" w:color="auto" w:sz="4" w:space="0"/>
                    <w:bottom w:val="single" w:color="auto" w:sz="4" w:space="0"/>
                    <w:right w:val="single" w:color="auto" w:sz="4" w:space="0"/>
                  </w:tcBorders>
                  <w:shd w:val="clear" w:color="auto" w:fill="auto"/>
                  <w:vAlign w:val="center"/>
                </w:tcPr>
                <w:p w14:paraId="04C52663">
                  <w:pPr>
                    <w:pStyle w:val="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直接向海排放污染物的海洋工程建设项目</w:t>
                  </w:r>
                </w:p>
              </w:tc>
              <w:tc>
                <w:tcPr>
                  <w:tcW w:w="1863" w:type="pct"/>
                  <w:tcBorders>
                    <w:top w:val="single" w:color="auto" w:sz="4" w:space="0"/>
                    <w:left w:val="single" w:color="auto" w:sz="4" w:space="0"/>
                    <w:bottom w:val="single" w:color="auto" w:sz="4" w:space="0"/>
                    <w:right w:val="single" w:color="auto" w:sz="4" w:space="0"/>
                  </w:tcBorders>
                  <w:shd w:val="clear" w:color="auto" w:fill="auto"/>
                  <w:vAlign w:val="center"/>
                </w:tcPr>
                <w:p w14:paraId="7A4D35DB">
                  <w:pPr>
                    <w:pStyle w:val="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本项目污水排放不涉及海洋</w:t>
                  </w:r>
                </w:p>
              </w:tc>
              <w:tc>
                <w:tcPr>
                  <w:tcW w:w="468" w:type="pct"/>
                  <w:tcBorders>
                    <w:top w:val="single" w:color="auto" w:sz="4" w:space="0"/>
                    <w:left w:val="single" w:color="auto" w:sz="4" w:space="0"/>
                    <w:bottom w:val="single" w:color="auto" w:sz="4" w:space="0"/>
                    <w:right w:val="single" w:color="auto" w:sz="4" w:space="0"/>
                  </w:tcBorders>
                  <w:shd w:val="clear" w:color="auto" w:fill="auto"/>
                  <w:vAlign w:val="center"/>
                </w:tcPr>
                <w:p w14:paraId="6D145FDB">
                  <w:pPr>
                    <w:pStyle w:val="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不需设置</w:t>
                  </w:r>
                </w:p>
              </w:tc>
            </w:tr>
          </w:tbl>
          <w:p w14:paraId="2427A7B3">
            <w:pPr>
              <w:pStyle w:val="60"/>
              <w:keepNext w:val="0"/>
              <w:keepLines w:val="0"/>
              <w:pageBreakBefore w:val="0"/>
              <w:widowControl/>
              <w:suppressLineNumbers w:val="0"/>
              <w:kinsoku/>
              <w:overflowPunct/>
              <w:topLinePunct w:val="0"/>
              <w:bidi w:val="0"/>
              <w:adjustRightInd/>
              <w:snapToGrid/>
              <w:spacing w:before="0" w:beforeAutospacing="0" w:after="0" w:afterAutospacing="0"/>
              <w:ind w:left="0" w:right="0"/>
              <w:jc w:val="both"/>
              <w:outlineLvl w:val="9"/>
              <w:rPr>
                <w:rFonts w:hint="default" w:ascii="Times New Roman" w:hAnsi="Times New Roman" w:eastAsia="宋体" w:cs="Times New Roman"/>
                <w:color w:val="auto"/>
                <w:kern w:val="2"/>
                <w:sz w:val="24"/>
                <w:szCs w:val="22"/>
                <w:highlight w:val="none"/>
                <w:lang w:val="en-US" w:eastAsia="zh-CN"/>
              </w:rPr>
            </w:pPr>
            <w:r>
              <w:rPr>
                <w:rFonts w:hint="default" w:ascii="Times New Roman" w:hAnsi="Times New Roman" w:cs="Times New Roman"/>
                <w:color w:val="auto"/>
                <w:kern w:val="2"/>
                <w:sz w:val="24"/>
                <w:szCs w:val="22"/>
                <w:highlight w:val="none"/>
                <w:lang w:val="en-US" w:eastAsia="zh-CN"/>
              </w:rPr>
              <w:t xml:space="preserve"> </w:t>
            </w:r>
          </w:p>
        </w:tc>
      </w:tr>
      <w:tr w14:paraId="3C591A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8" w:hRule="atLeast"/>
          <w:jc w:val="center"/>
        </w:trPr>
        <w:tc>
          <w:tcPr>
            <w:tcW w:w="866" w:type="pct"/>
            <w:gridSpan w:val="2"/>
            <w:vAlign w:val="center"/>
          </w:tcPr>
          <w:p w14:paraId="2E8CE91C">
            <w:pPr>
              <w:pStyle w:val="60"/>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2"/>
                <w:highlight w:val="none"/>
              </w:rPr>
            </w:pPr>
            <w:r>
              <w:rPr>
                <w:rFonts w:hint="default" w:ascii="Times New Roman" w:hAnsi="Times New Roman" w:cs="Times New Roman"/>
                <w:b/>
                <w:bCs/>
                <w:color w:val="auto"/>
                <w:kern w:val="2"/>
                <w:sz w:val="24"/>
                <w:szCs w:val="22"/>
                <w:highlight w:val="none"/>
              </w:rPr>
              <w:t>规划情况</w:t>
            </w:r>
          </w:p>
        </w:tc>
        <w:tc>
          <w:tcPr>
            <w:tcW w:w="4133" w:type="pct"/>
            <w:gridSpan w:val="5"/>
            <w:vAlign w:val="center"/>
          </w:tcPr>
          <w:p w14:paraId="6E1F13B5">
            <w:pPr>
              <w:pStyle w:val="60"/>
              <w:keepNext w:val="0"/>
              <w:keepLines w:val="0"/>
              <w:pageBreakBefore w:val="0"/>
              <w:widowControl/>
              <w:suppressLineNumbers w:val="0"/>
              <w:kinsoku/>
              <w:overflowPunct/>
              <w:topLinePunct w:val="0"/>
              <w:bidi w:val="0"/>
              <w:adjustRightInd/>
              <w:snapToGrid/>
              <w:spacing w:before="0" w:beforeAutospacing="0" w:after="0" w:afterAutospacing="0"/>
              <w:ind w:left="0" w:right="0"/>
              <w:outlineLvl w:val="9"/>
              <w:rPr>
                <w:rFonts w:hint="default" w:ascii="Times New Roman" w:hAnsi="Times New Roman" w:cs="Times New Roman"/>
                <w:color w:val="auto"/>
                <w:kern w:val="2"/>
                <w:sz w:val="24"/>
                <w:szCs w:val="22"/>
                <w:highlight w:val="none"/>
              </w:rPr>
            </w:pPr>
            <w:r>
              <w:rPr>
                <w:rFonts w:hint="default" w:ascii="Times New Roman" w:hAnsi="Times New Roman" w:cs="Times New Roman"/>
                <w:color w:val="auto"/>
                <w:spacing w:val="-1"/>
                <w:kern w:val="2"/>
                <w:sz w:val="24"/>
                <w:szCs w:val="24"/>
                <w:highlight w:val="none"/>
              </w:rPr>
              <w:t>《乐昌产业转移工业园</w:t>
            </w:r>
            <w:r>
              <w:rPr>
                <w:rFonts w:hint="default" w:ascii="Times New Roman" w:hAnsi="Times New Roman" w:cs="Times New Roman"/>
                <w:color w:val="auto"/>
                <w:spacing w:val="-1"/>
                <w:kern w:val="2"/>
                <w:sz w:val="24"/>
                <w:szCs w:val="24"/>
                <w:highlight w:val="none"/>
                <w:lang w:val="en-US" w:eastAsia="zh-CN"/>
              </w:rPr>
              <w:t>城东片区控制性详细规划修编</w:t>
            </w:r>
            <w:r>
              <w:rPr>
                <w:rFonts w:hint="default" w:ascii="Times New Roman" w:hAnsi="Times New Roman" w:cs="Times New Roman"/>
                <w:color w:val="auto"/>
                <w:spacing w:val="-1"/>
                <w:kern w:val="2"/>
                <w:sz w:val="24"/>
                <w:szCs w:val="24"/>
                <w:highlight w:val="none"/>
              </w:rPr>
              <w:t>》</w:t>
            </w:r>
          </w:p>
        </w:tc>
      </w:tr>
      <w:tr w14:paraId="0E9276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866" w:type="pct"/>
            <w:gridSpan w:val="2"/>
            <w:vAlign w:val="center"/>
          </w:tcPr>
          <w:p w14:paraId="16351832">
            <w:pPr>
              <w:pStyle w:val="60"/>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2"/>
                <w:highlight w:val="none"/>
              </w:rPr>
            </w:pPr>
            <w:r>
              <w:rPr>
                <w:rFonts w:hint="default" w:ascii="Times New Roman" w:hAnsi="Times New Roman" w:cs="Times New Roman"/>
                <w:b/>
                <w:bCs/>
                <w:color w:val="auto"/>
                <w:kern w:val="2"/>
                <w:sz w:val="24"/>
                <w:szCs w:val="22"/>
                <w:highlight w:val="none"/>
              </w:rPr>
              <w:t>规划环境影响评价情况</w:t>
            </w:r>
          </w:p>
        </w:tc>
        <w:tc>
          <w:tcPr>
            <w:tcW w:w="4133" w:type="pct"/>
            <w:gridSpan w:val="5"/>
            <w:vAlign w:val="center"/>
          </w:tcPr>
          <w:p w14:paraId="7399F12D">
            <w:pPr>
              <w:pStyle w:val="60"/>
              <w:keepNext w:val="0"/>
              <w:keepLines w:val="0"/>
              <w:pageBreakBefore w:val="0"/>
              <w:widowControl/>
              <w:suppressLineNumbers w:val="0"/>
              <w:kinsoku/>
              <w:overflowPunct/>
              <w:topLinePunct w:val="0"/>
              <w:bidi w:val="0"/>
              <w:adjustRightInd/>
              <w:snapToGrid/>
              <w:spacing w:before="0" w:beforeAutospacing="0" w:after="0" w:afterAutospacing="0" w:line="360" w:lineRule="auto"/>
              <w:ind w:left="0" w:right="0"/>
              <w:jc w:val="left"/>
              <w:outlineLvl w:val="9"/>
              <w:rPr>
                <w:rFonts w:hint="default" w:ascii="Times New Roman" w:hAnsi="Times New Roman" w:cs="Times New Roman"/>
                <w:color w:val="auto"/>
                <w:kern w:val="2"/>
                <w:sz w:val="24"/>
                <w:szCs w:val="22"/>
                <w:highlight w:val="none"/>
              </w:rPr>
            </w:pPr>
            <w:r>
              <w:rPr>
                <w:rFonts w:hint="default" w:ascii="Times New Roman" w:hAnsi="Times New Roman" w:cs="Times New Roman"/>
                <w:color w:val="auto"/>
                <w:spacing w:val="-1"/>
                <w:kern w:val="2"/>
                <w:sz w:val="24"/>
                <w:szCs w:val="24"/>
                <w:highlight w:val="none"/>
              </w:rPr>
              <w:t>《广东乐昌经济开发区区位调整规划环境影响报告书》，</w:t>
            </w:r>
            <w:r>
              <w:rPr>
                <w:rFonts w:hint="default" w:ascii="Times New Roman" w:hAnsi="Times New Roman" w:cs="Times New Roman"/>
                <w:color w:val="auto"/>
                <w:spacing w:val="-1"/>
                <w:kern w:val="2"/>
                <w:sz w:val="24"/>
                <w:szCs w:val="24"/>
                <w:highlight w:val="none"/>
                <w:lang w:eastAsia="zh-CN"/>
              </w:rPr>
              <w:t>审查单位：</w:t>
            </w:r>
            <w:r>
              <w:rPr>
                <w:rFonts w:hint="default" w:ascii="Times New Roman" w:hAnsi="Times New Roman" w:cs="Times New Roman"/>
                <w:color w:val="auto"/>
                <w:spacing w:val="-1"/>
                <w:kern w:val="2"/>
                <w:sz w:val="24"/>
                <w:szCs w:val="24"/>
                <w:highlight w:val="none"/>
              </w:rPr>
              <w:t>广东省环保厅，广东省环保厅关于印发《广东乐昌经济开发区区位调整规划环境影响报告书审查小组意见》的函（粤环函</w:t>
            </w:r>
            <w:r>
              <w:rPr>
                <w:rFonts w:hint="default" w:ascii="Times New Roman" w:hAnsi="Times New Roman" w:cs="Times New Roman"/>
                <w:color w:val="auto"/>
                <w:spacing w:val="-1"/>
                <w:kern w:val="2"/>
                <w:sz w:val="24"/>
                <w:szCs w:val="24"/>
                <w:highlight w:val="none"/>
                <w:lang w:eastAsia="zh-CN"/>
              </w:rPr>
              <w:t>〔</w:t>
            </w:r>
            <w:r>
              <w:rPr>
                <w:rFonts w:hint="default" w:ascii="Times New Roman" w:hAnsi="Times New Roman" w:cs="Times New Roman"/>
                <w:color w:val="auto"/>
                <w:spacing w:val="-1"/>
                <w:kern w:val="2"/>
                <w:sz w:val="24"/>
                <w:szCs w:val="24"/>
                <w:highlight w:val="none"/>
              </w:rPr>
              <w:t>2016</w:t>
            </w:r>
            <w:r>
              <w:rPr>
                <w:rFonts w:hint="default" w:ascii="Times New Roman" w:hAnsi="Times New Roman" w:cs="Times New Roman"/>
                <w:color w:val="auto"/>
                <w:spacing w:val="-1"/>
                <w:kern w:val="2"/>
                <w:sz w:val="24"/>
                <w:szCs w:val="24"/>
                <w:highlight w:val="none"/>
                <w:lang w:eastAsia="zh-CN"/>
              </w:rPr>
              <w:t>〕</w:t>
            </w:r>
            <w:r>
              <w:rPr>
                <w:rFonts w:hint="default" w:ascii="Times New Roman" w:hAnsi="Times New Roman" w:cs="Times New Roman"/>
                <w:color w:val="auto"/>
                <w:spacing w:val="-1"/>
                <w:kern w:val="2"/>
                <w:sz w:val="24"/>
                <w:szCs w:val="24"/>
                <w:highlight w:val="none"/>
              </w:rPr>
              <w:t>186号）</w:t>
            </w:r>
          </w:p>
        </w:tc>
      </w:tr>
      <w:tr w14:paraId="0321D0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0" w:hRule="atLeast"/>
          <w:jc w:val="center"/>
        </w:trPr>
        <w:tc>
          <w:tcPr>
            <w:tcW w:w="866" w:type="pct"/>
            <w:gridSpan w:val="2"/>
            <w:vAlign w:val="center"/>
          </w:tcPr>
          <w:p w14:paraId="644433B3">
            <w:pPr>
              <w:pStyle w:val="60"/>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2"/>
                <w:highlight w:val="none"/>
              </w:rPr>
            </w:pPr>
            <w:r>
              <w:rPr>
                <w:rFonts w:hint="default" w:ascii="Times New Roman" w:hAnsi="Times New Roman" w:cs="Times New Roman"/>
                <w:b/>
                <w:bCs/>
                <w:color w:val="auto"/>
                <w:kern w:val="2"/>
                <w:sz w:val="24"/>
                <w:szCs w:val="22"/>
                <w:highlight w:val="none"/>
              </w:rPr>
              <w:t>规划及规划环境影响评价符合性分析</w:t>
            </w:r>
          </w:p>
        </w:tc>
        <w:tc>
          <w:tcPr>
            <w:tcW w:w="4133" w:type="pct"/>
            <w:gridSpan w:val="5"/>
            <w:vAlign w:val="center"/>
          </w:tcPr>
          <w:p w14:paraId="45D322B8">
            <w:pPr>
              <w:keepNext w:val="0"/>
              <w:keepLines w:val="0"/>
              <w:pageBreakBefore w:val="0"/>
              <w:widowControl/>
              <w:numPr>
                <w:ilvl w:val="0"/>
                <w:numId w:val="0"/>
              </w:numPr>
              <w:suppressLineNumbers w:val="0"/>
              <w:tabs>
                <w:tab w:val="left" w:pos="0"/>
              </w:tabs>
              <w:kinsoku/>
              <w:overflowPunct/>
              <w:topLinePunct w:val="0"/>
              <w:bidi w:val="0"/>
              <w:adjustRightInd/>
              <w:snapToGrid/>
              <w:spacing w:before="0" w:beforeAutospacing="0" w:after="0" w:afterAutospacing="0" w:line="360" w:lineRule="auto"/>
              <w:ind w:left="0" w:right="0" w:firstLine="476" w:firstLineChars="200"/>
              <w:jc w:val="left"/>
              <w:outlineLvl w:val="9"/>
              <w:rPr>
                <w:rFonts w:hint="default" w:ascii="Times New Roman" w:hAnsi="Times New Roman" w:eastAsia="宋体" w:cs="Times New Roman"/>
                <w:color w:val="auto"/>
                <w:spacing w:val="-1"/>
                <w:sz w:val="24"/>
                <w:szCs w:val="24"/>
                <w:highlight w:val="none"/>
              </w:rPr>
            </w:pPr>
            <w:bookmarkStart w:id="3" w:name="_Toc24148"/>
            <w:bookmarkStart w:id="4" w:name="_Toc9596"/>
            <w:r>
              <w:rPr>
                <w:rFonts w:hint="default" w:ascii="Times New Roman" w:hAnsi="Times New Roman" w:eastAsia="宋体" w:cs="Times New Roman"/>
                <w:color w:val="auto"/>
                <w:spacing w:val="-1"/>
                <w:sz w:val="24"/>
                <w:szCs w:val="24"/>
                <w:highlight w:val="none"/>
              </w:rPr>
              <w:t>根据《广东乐昌经济开发区区位调整规划环境影响报告书》及其审查意见，新引入企业不得包括《产业结构调整指导目录》（2011年本，2013年修订）、《广东省生态发展区产业发展指导目录（2014年本）》限制类和禁止类行业、工艺设备、产品。根据规划的主导产业类型和清洁生产要求，重点发展机械、电子、纺织产业，优先引进无污染物或轻污染项目，严禁引入电镀、化学制浆、漂染、鞣革等水污染物排放量大或排放一类水污染物、</w:t>
            </w:r>
            <w:r>
              <w:rPr>
                <w:rFonts w:hint="default" w:ascii="Times New Roman" w:hAnsi="Times New Roman" w:eastAsia="宋体" w:cs="Times New Roman"/>
                <w:color w:val="auto"/>
                <w:spacing w:val="-1"/>
                <w:sz w:val="24"/>
                <w:szCs w:val="24"/>
                <w:highlight w:val="none"/>
                <w:lang w:eastAsia="zh-CN"/>
              </w:rPr>
              <w:t>持</w:t>
            </w:r>
            <w:r>
              <w:rPr>
                <w:rFonts w:hint="default" w:ascii="Times New Roman" w:hAnsi="Times New Roman" w:eastAsia="宋体" w:cs="Times New Roman"/>
                <w:color w:val="auto"/>
                <w:spacing w:val="-1"/>
                <w:sz w:val="24"/>
                <w:szCs w:val="24"/>
                <w:highlight w:val="none"/>
              </w:rPr>
              <w:t>久性有机污染物的项目。</w:t>
            </w:r>
            <w:bookmarkEnd w:id="3"/>
            <w:bookmarkEnd w:id="4"/>
          </w:p>
          <w:p w14:paraId="3637924F">
            <w:pPr>
              <w:pStyle w:val="60"/>
              <w:keepNext w:val="0"/>
              <w:keepLines w:val="0"/>
              <w:pageBreakBefore w:val="0"/>
              <w:widowControl/>
              <w:suppressLineNumbers w:val="0"/>
              <w:kinsoku/>
              <w:overflowPunct/>
              <w:topLinePunct w:val="0"/>
              <w:bidi w:val="0"/>
              <w:adjustRightInd/>
              <w:snapToGrid/>
              <w:spacing w:before="0" w:beforeAutospacing="0" w:after="0" w:afterAutospacing="0" w:line="360" w:lineRule="auto"/>
              <w:ind w:left="0" w:right="0" w:firstLine="476" w:firstLineChars="200"/>
              <w:jc w:val="left"/>
              <w:outlineLvl w:val="9"/>
              <w:rPr>
                <w:rFonts w:hint="default" w:ascii="Times New Roman" w:hAnsi="Times New Roman" w:cs="Times New Roman"/>
                <w:color w:val="auto"/>
                <w:spacing w:val="-1"/>
                <w:kern w:val="2"/>
                <w:sz w:val="24"/>
                <w:szCs w:val="24"/>
                <w:highlight w:val="none"/>
              </w:rPr>
            </w:pPr>
            <w:r>
              <w:rPr>
                <w:rFonts w:hint="default" w:ascii="Times New Roman" w:hAnsi="Times New Roman" w:cs="Times New Roman"/>
                <w:color w:val="auto"/>
                <w:spacing w:val="-1"/>
                <w:kern w:val="2"/>
                <w:sz w:val="24"/>
                <w:szCs w:val="24"/>
                <w:highlight w:val="none"/>
              </w:rPr>
              <w:t>本项目满足国家和地方相关产业政策，不排放一类污染物和有毒有害物质，不向河流排放含汞、砷、镉、铬、铅等重金属污染物和持久性有机污染物，不属于园区禁止项目，符合园区准入条件。</w:t>
            </w:r>
          </w:p>
          <w:p w14:paraId="726F1D0D">
            <w:pPr>
              <w:pStyle w:val="60"/>
              <w:keepNext w:val="0"/>
              <w:keepLines w:val="0"/>
              <w:pageBreakBefore w:val="0"/>
              <w:widowControl/>
              <w:suppressLineNumbers w:val="0"/>
              <w:kinsoku/>
              <w:overflowPunct/>
              <w:topLinePunct w:val="0"/>
              <w:bidi w:val="0"/>
              <w:adjustRightInd/>
              <w:snapToGrid/>
              <w:spacing w:before="0" w:beforeAutospacing="0" w:after="0" w:afterAutospacing="0" w:line="360" w:lineRule="auto"/>
              <w:ind w:left="0" w:right="0"/>
              <w:jc w:val="left"/>
              <w:outlineLvl w:val="9"/>
              <w:rPr>
                <w:rFonts w:hint="eastAsia" w:ascii="Times New Roman" w:hAnsi="Times New Roman" w:eastAsia="宋体" w:cs="Times New Roman"/>
                <w:color w:val="auto"/>
                <w:kern w:val="2"/>
                <w:sz w:val="24"/>
                <w:szCs w:val="22"/>
                <w:highlight w:val="none"/>
                <w:lang w:val="en-US" w:eastAsia="zh-CN"/>
              </w:rPr>
            </w:pPr>
          </w:p>
          <w:p w14:paraId="6DA75234">
            <w:pPr>
              <w:pStyle w:val="60"/>
              <w:keepNext w:val="0"/>
              <w:keepLines w:val="0"/>
              <w:pageBreakBefore w:val="0"/>
              <w:widowControl/>
              <w:suppressLineNumbers w:val="0"/>
              <w:kinsoku/>
              <w:overflowPunct/>
              <w:topLinePunct w:val="0"/>
              <w:bidi w:val="0"/>
              <w:adjustRightInd/>
              <w:snapToGrid/>
              <w:spacing w:before="0" w:beforeAutospacing="0" w:after="0" w:afterAutospacing="0" w:line="360" w:lineRule="auto"/>
              <w:ind w:left="0" w:right="0"/>
              <w:jc w:val="left"/>
              <w:outlineLvl w:val="9"/>
              <w:rPr>
                <w:rFonts w:hint="eastAsia" w:ascii="Times New Roman" w:hAnsi="Times New Roman" w:eastAsia="宋体" w:cs="Times New Roman"/>
                <w:color w:val="auto"/>
                <w:kern w:val="2"/>
                <w:sz w:val="24"/>
                <w:szCs w:val="22"/>
                <w:highlight w:val="none"/>
                <w:lang w:val="en-US" w:eastAsia="zh-CN"/>
              </w:rPr>
            </w:pPr>
          </w:p>
          <w:p w14:paraId="12764CFA">
            <w:pPr>
              <w:pStyle w:val="60"/>
              <w:keepNext w:val="0"/>
              <w:keepLines w:val="0"/>
              <w:pageBreakBefore w:val="0"/>
              <w:widowControl/>
              <w:suppressLineNumbers w:val="0"/>
              <w:kinsoku/>
              <w:overflowPunct/>
              <w:topLinePunct w:val="0"/>
              <w:bidi w:val="0"/>
              <w:adjustRightInd/>
              <w:snapToGrid/>
              <w:spacing w:before="0" w:beforeAutospacing="0" w:after="0" w:afterAutospacing="0" w:line="360" w:lineRule="auto"/>
              <w:ind w:left="0" w:right="0"/>
              <w:jc w:val="left"/>
              <w:outlineLvl w:val="9"/>
              <w:rPr>
                <w:rFonts w:hint="eastAsia" w:ascii="Times New Roman" w:hAnsi="Times New Roman" w:eastAsia="宋体" w:cs="Times New Roman"/>
                <w:color w:val="auto"/>
                <w:kern w:val="2"/>
                <w:sz w:val="24"/>
                <w:szCs w:val="22"/>
                <w:highlight w:val="none"/>
                <w:lang w:val="en-US" w:eastAsia="zh-CN"/>
              </w:rPr>
            </w:pPr>
          </w:p>
          <w:p w14:paraId="077180E0">
            <w:pPr>
              <w:pStyle w:val="60"/>
              <w:keepNext w:val="0"/>
              <w:keepLines w:val="0"/>
              <w:pageBreakBefore w:val="0"/>
              <w:widowControl/>
              <w:suppressLineNumbers w:val="0"/>
              <w:kinsoku/>
              <w:overflowPunct/>
              <w:topLinePunct w:val="0"/>
              <w:bidi w:val="0"/>
              <w:adjustRightInd/>
              <w:snapToGrid/>
              <w:spacing w:before="0" w:beforeAutospacing="0" w:after="0" w:afterAutospacing="0" w:line="360" w:lineRule="auto"/>
              <w:ind w:left="0" w:right="0"/>
              <w:jc w:val="left"/>
              <w:outlineLvl w:val="9"/>
              <w:rPr>
                <w:rFonts w:hint="eastAsia" w:ascii="Times New Roman" w:hAnsi="Times New Roman" w:eastAsia="宋体" w:cs="Times New Roman"/>
                <w:color w:val="auto"/>
                <w:kern w:val="2"/>
                <w:sz w:val="24"/>
                <w:szCs w:val="22"/>
                <w:highlight w:val="none"/>
                <w:lang w:val="en-US" w:eastAsia="zh-CN"/>
              </w:rPr>
            </w:pPr>
          </w:p>
        </w:tc>
      </w:tr>
      <w:tr w14:paraId="13C7FB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89" w:hRule="atLeast"/>
          <w:jc w:val="center"/>
        </w:trPr>
        <w:tc>
          <w:tcPr>
            <w:tcW w:w="242" w:type="pct"/>
            <w:vAlign w:val="center"/>
          </w:tcPr>
          <w:p w14:paraId="708F452C">
            <w:pPr>
              <w:keepNext/>
              <w:keepLines w:val="0"/>
              <w:pageBreakBefore w:val="0"/>
              <w:widowControl/>
              <w:numPr>
                <w:ilvl w:val="1"/>
                <w:numId w:val="0"/>
              </w:numPr>
              <w:suppressLineNumbers w:val="0"/>
              <w:tabs>
                <w:tab w:val="left" w:pos="420"/>
              </w:tabs>
              <w:kinsoku/>
              <w:wordWrap/>
              <w:overflowPunct/>
              <w:topLinePunct w:val="0"/>
              <w:autoSpaceDE/>
              <w:autoSpaceDN/>
              <w:bidi w:val="0"/>
              <w:adjustRightInd/>
              <w:snapToGrid/>
              <w:spacing w:before="0" w:beforeAutospacing="0" w:after="0" w:afterAutospacing="0"/>
              <w:ind w:left="0" w:right="0"/>
              <w:textAlignment w:val="auto"/>
              <w:outlineLvl w:val="9"/>
              <w:rPr>
                <w:rFonts w:hint="default" w:ascii="Times New Roman" w:hAnsi="Times New Roman" w:cs="Times New Roman"/>
                <w:color w:val="auto"/>
                <w:highlight w:val="none"/>
              </w:rPr>
            </w:pPr>
            <w:bookmarkStart w:id="5" w:name="_Toc27052"/>
            <w:bookmarkStart w:id="6" w:name="_Toc28749"/>
            <w:bookmarkStart w:id="7" w:name="_Toc22642"/>
            <w:bookmarkStart w:id="8" w:name="_Toc2999"/>
            <w:bookmarkStart w:id="9" w:name="_Toc11884"/>
            <w:r>
              <w:rPr>
                <w:rFonts w:hint="default" w:ascii="Times New Roman" w:hAnsi="Times New Roman" w:cs="Times New Roman"/>
                <w:b/>
                <w:bCs/>
                <w:color w:val="auto"/>
                <w:highlight w:val="none"/>
              </w:rPr>
              <w:t>其他符合性分析</w:t>
            </w:r>
            <w:bookmarkEnd w:id="5"/>
            <w:bookmarkEnd w:id="6"/>
            <w:bookmarkEnd w:id="7"/>
            <w:bookmarkEnd w:id="8"/>
            <w:bookmarkEnd w:id="9"/>
          </w:p>
        </w:tc>
        <w:tc>
          <w:tcPr>
            <w:tcW w:w="4757" w:type="pct"/>
            <w:gridSpan w:val="6"/>
            <w:vAlign w:val="center"/>
          </w:tcPr>
          <w:p w14:paraId="0605E24E">
            <w:pPr>
              <w:keepNext/>
              <w:keepLines/>
              <w:pageBreakBefore w:val="0"/>
              <w:suppressLineNumbers w:val="0"/>
              <w:tabs>
                <w:tab w:val="left" w:pos="0"/>
              </w:tabs>
              <w:kinsoku/>
              <w:overflowPunct/>
              <w:topLinePunct w:val="0"/>
              <w:bidi w:val="0"/>
              <w:snapToGrid/>
              <w:spacing w:before="0" w:beforeAutospacing="0" w:after="0" w:afterAutospacing="0"/>
              <w:ind w:left="-2" w:right="0" w:firstLine="480" w:firstLineChars="200"/>
              <w:outlineLvl w:val="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一、产业政策相符性分析</w:t>
            </w:r>
          </w:p>
          <w:p w14:paraId="18C494CF">
            <w:pPr>
              <w:keepNext/>
              <w:keepLines/>
              <w:pageBreakBefore w:val="0"/>
              <w:widowControl w:val="0"/>
              <w:suppressLineNumbers w:val="0"/>
              <w:tabs>
                <w:tab w:val="left" w:pos="0"/>
              </w:tabs>
              <w:kinsoku/>
              <w:wordWrap/>
              <w:overflowPunct/>
              <w:topLinePunct w:val="0"/>
              <w:autoSpaceDE/>
              <w:autoSpaceDN/>
              <w:bidi w:val="0"/>
              <w:snapToGrid/>
              <w:spacing w:before="0" w:beforeAutospacing="0" w:after="0" w:afterAutospacing="0"/>
              <w:ind w:left="0" w:right="0" w:firstLine="480" w:firstLineChars="200"/>
              <w:textAlignment w:val="auto"/>
              <w:outlineLvl w:val="2"/>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本项目所属行业类别为</w:t>
            </w:r>
            <w:r>
              <w:rPr>
                <w:rFonts w:hint="eastAsia" w:cs="Times New Roman"/>
                <w:color w:val="auto"/>
                <w:highlight w:val="none"/>
                <w:lang w:eastAsia="zh-CN"/>
              </w:rPr>
              <w:t>C4220 非金属废料和碎屑加工处理</w:t>
            </w:r>
            <w:r>
              <w:rPr>
                <w:rFonts w:hint="default" w:ascii="Times New Roman" w:hAnsi="Times New Roman" w:cs="Times New Roman"/>
                <w:color w:val="auto"/>
                <w:highlight w:val="none"/>
              </w:rPr>
              <w:t>，根据《产业结构调整指导目录（2024年本）》（国家发展和改革委员会令 第7号），本项目不属于指导目录中的鼓励类、限制类和淘汰类产业，符合国家有关法律、法规和政策规定，属于允许类。</w:t>
            </w:r>
          </w:p>
          <w:p w14:paraId="36E72C07">
            <w:pPr>
              <w:pStyle w:val="24"/>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right="0" w:firstLine="480" w:firstLineChars="200"/>
              <w:textAlignment w:val="auto"/>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根据《国家发展改革委商务部关于印发&lt;市场准入负面清单（202</w:t>
            </w:r>
            <w:r>
              <w:rPr>
                <w:rFonts w:hint="eastAsia" w:cs="Times New Roman"/>
                <w:color w:val="auto"/>
                <w:kern w:val="0"/>
                <w:highlight w:val="none"/>
                <w:lang w:val="en-US" w:eastAsia="zh-CN"/>
              </w:rPr>
              <w:t>5</w:t>
            </w:r>
            <w:r>
              <w:rPr>
                <w:rFonts w:hint="default" w:ascii="Times New Roman" w:hAnsi="Times New Roman" w:cs="Times New Roman"/>
                <w:color w:val="auto"/>
                <w:kern w:val="0"/>
                <w:highlight w:val="none"/>
              </w:rPr>
              <w:t>年版）&gt;的通知》（发改体改规〔2025〕466号）</w:t>
            </w:r>
            <w:r>
              <w:rPr>
                <w:rFonts w:hint="default" w:ascii="Times New Roman" w:hAnsi="Times New Roman" w:cs="Times New Roman"/>
                <w:color w:val="auto"/>
                <w:kern w:val="0"/>
                <w:highlight w:val="none"/>
                <w:lang w:eastAsia="zh-CN"/>
              </w:rPr>
              <w:t>、</w:t>
            </w:r>
            <w:r>
              <w:rPr>
                <w:rFonts w:hint="default" w:ascii="Times New Roman" w:hAnsi="Times New Roman" w:cs="Times New Roman"/>
                <w:color w:val="auto"/>
                <w:kern w:val="0"/>
                <w:highlight w:val="none"/>
              </w:rPr>
              <w:t>《广东省国家重点生态功能区产业准入负面清单（试行）》（粤发改规划</w:t>
            </w:r>
            <w:r>
              <w:rPr>
                <w:rFonts w:hint="default" w:ascii="Times New Roman" w:hAnsi="Times New Roman" w:cs="Times New Roman"/>
                <w:color w:val="auto"/>
                <w:kern w:val="0"/>
                <w:highlight w:val="none"/>
                <w:lang w:eastAsia="zh-CN"/>
              </w:rPr>
              <w:t>〔2017〕331号</w:t>
            </w:r>
            <w:r>
              <w:rPr>
                <w:rFonts w:hint="default" w:ascii="Times New Roman" w:hAnsi="Times New Roman" w:cs="Times New Roman"/>
                <w:color w:val="auto"/>
                <w:kern w:val="0"/>
                <w:highlight w:val="none"/>
              </w:rPr>
              <w:t>），</w:t>
            </w:r>
            <w:r>
              <w:rPr>
                <w:rFonts w:hint="default" w:ascii="Times New Roman" w:hAnsi="Times New Roman" w:cs="Times New Roman"/>
                <w:color w:val="auto"/>
                <w:kern w:val="0"/>
                <w:highlight w:val="none"/>
                <w:lang w:eastAsia="zh-CN"/>
              </w:rPr>
              <w:t>项目</w:t>
            </w:r>
            <w:r>
              <w:rPr>
                <w:rFonts w:hint="default" w:ascii="Times New Roman" w:hAnsi="Times New Roman" w:cs="Times New Roman"/>
                <w:color w:val="auto"/>
                <w:kern w:val="0"/>
                <w:highlight w:val="none"/>
              </w:rPr>
              <w:t>不属于</w:t>
            </w:r>
            <w:r>
              <w:rPr>
                <w:rFonts w:hint="default" w:ascii="Times New Roman" w:hAnsi="Times New Roman" w:cs="Times New Roman"/>
                <w:color w:val="auto"/>
                <w:highlight w:val="none"/>
                <w:lang w:val="en-US" w:eastAsia="zh-CN"/>
              </w:rPr>
              <w:t>负面清单所列行业，也不属于许可准入事项</w:t>
            </w:r>
            <w:r>
              <w:rPr>
                <w:rFonts w:hint="default" w:ascii="Times New Roman" w:hAnsi="Times New Roman" w:cs="Times New Roman"/>
                <w:color w:val="auto"/>
                <w:kern w:val="0"/>
                <w:highlight w:val="none"/>
              </w:rPr>
              <w:t>。因此，本项目可依法进行建设和投产。</w:t>
            </w:r>
          </w:p>
          <w:p w14:paraId="0BDE5D87">
            <w:pPr>
              <w:keepNext w:val="0"/>
              <w:keepLines w:val="0"/>
              <w:pageBreakBefore w:val="0"/>
              <w:suppressLineNumbers w:val="0"/>
              <w:kinsoku/>
              <w:overflowPunct/>
              <w:topLinePunct w:val="0"/>
              <w:bidi w:val="0"/>
              <w:adjustRightInd w:val="0"/>
              <w:snapToGrid/>
              <w:spacing w:before="0" w:beforeAutospacing="0" w:after="0" w:afterAutospacing="0"/>
              <w:ind w:left="0" w:right="0" w:firstLine="480" w:firstLineChars="200"/>
              <w:jc w:val="left"/>
              <w:rPr>
                <w:rFonts w:hint="default" w:cs="Times New Roman"/>
                <w:b w:val="0"/>
                <w:bCs w:val="0"/>
                <w:color w:val="auto"/>
                <w:kern w:val="0"/>
                <w:highlight w:val="none"/>
                <w:lang w:val="en-US" w:eastAsia="zh-CN"/>
              </w:rPr>
            </w:pPr>
            <w:r>
              <w:rPr>
                <w:rFonts w:hint="default" w:ascii="Times New Roman" w:hAnsi="Times New Roman" w:cs="Times New Roman"/>
                <w:color w:val="auto"/>
                <w:kern w:val="0"/>
                <w:highlight w:val="none"/>
              </w:rPr>
              <w:t>根据</w:t>
            </w:r>
            <w:r>
              <w:rPr>
                <w:rFonts w:hint="eastAsia" w:cs="Times New Roman"/>
                <w:color w:val="auto"/>
                <w:kern w:val="0"/>
                <w:highlight w:val="none"/>
                <w:lang w:eastAsia="zh-CN"/>
              </w:rPr>
              <w:t>《国务院办公厅关于加快构建废弃物循环利用体系的意见</w:t>
            </w:r>
            <w:r>
              <w:rPr>
                <w:rFonts w:hint="eastAsia" w:cs="Times New Roman"/>
                <w:b w:val="0"/>
                <w:bCs w:val="0"/>
                <w:color w:val="auto"/>
                <w:kern w:val="0"/>
                <w:highlight w:val="none"/>
                <w:lang w:val="en-US" w:eastAsia="zh-CN"/>
              </w:rPr>
              <w:t>》（国办发〔2024〕7号）：“（五）加强再生资源高效利用。鼓励废钢铁、废有色金属、废纸、废塑料等再生资源精深加工产业链合理延伸。支持现有再生资源加工利用项目绿色化、机械化、智能化提质改造。鼓励企业和科研机构加强技术装备研发，支持先进技术推广应用。”本项目主要从事废塑料破碎分选，项目建成后有助于</w:t>
            </w:r>
            <w:r>
              <w:rPr>
                <w:rFonts w:hint="eastAsia" w:cs="Times New Roman"/>
                <w:color w:val="auto"/>
                <w:kern w:val="0"/>
                <w:highlight w:val="none"/>
                <w:lang w:eastAsia="zh-CN"/>
              </w:rPr>
              <w:t>加快构建废弃物循环利用体系。</w:t>
            </w:r>
          </w:p>
          <w:p w14:paraId="539D174B">
            <w:pPr>
              <w:keepNext w:val="0"/>
              <w:keepLines w:val="0"/>
              <w:pageBreakBefore w:val="0"/>
              <w:suppressLineNumbers w:val="0"/>
              <w:kinsoku/>
              <w:overflowPunct/>
              <w:topLinePunct w:val="0"/>
              <w:bidi w:val="0"/>
              <w:adjustRightInd w:val="0"/>
              <w:snapToGrid/>
              <w:spacing w:before="0" w:beforeAutospacing="0" w:after="0" w:afterAutospacing="0"/>
              <w:ind w:left="0" w:right="0" w:firstLine="480" w:firstLineChars="200"/>
              <w:jc w:val="left"/>
              <w:rPr>
                <w:rFonts w:hint="eastAsia" w:cs="Times New Roman"/>
                <w:b w:val="0"/>
                <w:bCs w:val="0"/>
                <w:color w:val="auto"/>
                <w:kern w:val="0"/>
                <w:highlight w:val="none"/>
                <w:lang w:val="en-US" w:eastAsia="zh-CN"/>
              </w:rPr>
            </w:pPr>
            <w:r>
              <w:rPr>
                <w:rFonts w:hint="eastAsia" w:cs="Times New Roman"/>
                <w:b w:val="0"/>
                <w:bCs w:val="0"/>
                <w:color w:val="auto"/>
                <w:kern w:val="0"/>
                <w:highlight w:val="none"/>
                <w:lang w:val="en-US" w:eastAsia="zh-CN"/>
              </w:rPr>
              <w:t>根据乐昌产业转移工业园规划修编公示等资料，整合优化后的乐昌经济开发区，明确了重点发展方向，以金属制品业、橡胶和塑料制品业以及计算机、通信和其他电子设备制造业 “2+1” 为主导产业，同时兼顾推动食品加工等传统产业转型升级。本项目主要从事废塑料破碎分选，属于主导产业范畴。</w:t>
            </w:r>
          </w:p>
          <w:p w14:paraId="3D0FA136">
            <w:pPr>
              <w:keepNext w:val="0"/>
              <w:keepLines w:val="0"/>
              <w:pageBreakBefore w:val="0"/>
              <w:suppressLineNumbers w:val="0"/>
              <w:kinsoku/>
              <w:overflowPunct/>
              <w:topLinePunct w:val="0"/>
              <w:bidi w:val="0"/>
              <w:adjustRightInd w:val="0"/>
              <w:snapToGrid/>
              <w:spacing w:before="0" w:beforeAutospacing="0" w:after="0" w:afterAutospacing="0"/>
              <w:ind w:left="0" w:right="0" w:firstLine="480" w:firstLineChars="200"/>
              <w:jc w:val="left"/>
              <w:rPr>
                <w:rFonts w:hint="default"/>
                <w:color w:val="auto"/>
                <w:highlight w:val="none"/>
                <w:lang w:val="en-US"/>
              </w:rPr>
            </w:pPr>
            <w:r>
              <w:rPr>
                <w:rFonts w:hint="eastAsia" w:cs="Times New Roman"/>
                <w:b w:val="0"/>
                <w:bCs w:val="0"/>
                <w:color w:val="auto"/>
                <w:kern w:val="0"/>
                <w:highlight w:val="none"/>
                <w:lang w:val="en-US" w:eastAsia="zh-CN"/>
              </w:rPr>
              <w:t>本项目的建设能够积极响应以上产业政策，为乐昌市产业集群发展提供助力。</w:t>
            </w:r>
          </w:p>
          <w:p w14:paraId="72276B48">
            <w:pPr>
              <w:keepNext w:val="0"/>
              <w:keepLines w:val="0"/>
              <w:pageBreakBefore w:val="0"/>
              <w:suppressLineNumbers w:val="0"/>
              <w:kinsoku/>
              <w:overflowPunct/>
              <w:topLinePunct w:val="0"/>
              <w:bidi w:val="0"/>
              <w:adjustRightInd w:val="0"/>
              <w:snapToGrid/>
              <w:spacing w:before="0" w:beforeAutospacing="0" w:after="0" w:afterAutospacing="0"/>
              <w:ind w:left="0" w:right="0" w:firstLine="480" w:firstLineChars="200"/>
              <w:jc w:val="left"/>
              <w:rPr>
                <w:rFonts w:hint="default" w:ascii="Times New Roman" w:hAnsi="Times New Roman" w:cs="Times New Roman"/>
                <w:b/>
                <w:bCs/>
                <w:color w:val="auto"/>
                <w:kern w:val="0"/>
                <w:highlight w:val="none"/>
              </w:rPr>
            </w:pPr>
            <w:r>
              <w:rPr>
                <w:rFonts w:hint="default" w:ascii="Times New Roman" w:hAnsi="Times New Roman" w:cs="Times New Roman"/>
                <w:b/>
                <w:bCs/>
                <w:color w:val="auto"/>
                <w:kern w:val="0"/>
                <w:highlight w:val="none"/>
                <w:lang w:val="en-US" w:eastAsia="zh-CN"/>
              </w:rPr>
              <w:t>二</w:t>
            </w:r>
            <w:r>
              <w:rPr>
                <w:rFonts w:hint="default" w:ascii="Times New Roman" w:hAnsi="Times New Roman" w:cs="Times New Roman"/>
                <w:b/>
                <w:bCs/>
                <w:color w:val="auto"/>
                <w:kern w:val="0"/>
                <w:highlight w:val="none"/>
              </w:rPr>
              <w:t>、与城市规划相符性分析</w:t>
            </w:r>
          </w:p>
          <w:p w14:paraId="5DC07481">
            <w:pPr>
              <w:keepNext w:val="0"/>
              <w:keepLines w:val="0"/>
              <w:pageBreakBefore w:val="0"/>
              <w:suppressLineNumbers w:val="0"/>
              <w:kinsoku/>
              <w:overflowPunct/>
              <w:topLinePunct w:val="0"/>
              <w:bidi w:val="0"/>
              <w:adjustRightInd w:val="0"/>
              <w:snapToGrid/>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项目位于</w:t>
            </w:r>
            <w:r>
              <w:rPr>
                <w:rFonts w:hint="eastAsia" w:cs="Times New Roman"/>
                <w:color w:val="auto"/>
                <w:kern w:val="0"/>
                <w:highlight w:val="none"/>
                <w:lang w:eastAsia="zh-CN"/>
              </w:rPr>
              <w:t>韶关市乐昌市乐昌产业转移工业园GL-02-04-02-03地块</w:t>
            </w:r>
            <w:r>
              <w:rPr>
                <w:rFonts w:hint="default" w:ascii="Times New Roman" w:hAnsi="Times New Roman" w:cs="Times New Roman"/>
                <w:color w:val="auto"/>
                <w:kern w:val="0"/>
                <w:highlight w:val="none"/>
                <w:lang w:eastAsia="zh-CN"/>
              </w:rPr>
              <w:t>（</w:t>
            </w:r>
            <w:r>
              <w:rPr>
                <w:rFonts w:hint="eastAsia" w:cs="Times New Roman"/>
                <w:color w:val="auto"/>
                <w:kern w:val="0"/>
                <w:highlight w:val="none"/>
                <w:lang w:eastAsia="zh-CN"/>
              </w:rPr>
              <w:t>广东乐昌经济开发区内</w:t>
            </w:r>
            <w:r>
              <w:rPr>
                <w:rFonts w:hint="default" w:ascii="Times New Roman" w:hAnsi="Times New Roman" w:cs="Times New Roman"/>
                <w:color w:val="auto"/>
                <w:kern w:val="0"/>
                <w:highlight w:val="none"/>
                <w:lang w:eastAsia="zh-CN"/>
              </w:rPr>
              <w:t>）</w:t>
            </w:r>
            <w:r>
              <w:rPr>
                <w:rFonts w:hint="default" w:ascii="Times New Roman" w:hAnsi="Times New Roman" w:cs="Times New Roman"/>
                <w:color w:val="auto"/>
                <w:kern w:val="0"/>
                <w:highlight w:val="none"/>
              </w:rPr>
              <w:t>，根据《乐昌产业转移工业园控制性详细规划》（详见附图</w:t>
            </w:r>
            <w:r>
              <w:rPr>
                <w:rFonts w:hint="default" w:ascii="Times New Roman" w:hAnsi="Times New Roman" w:cs="Times New Roman"/>
                <w:color w:val="auto"/>
                <w:kern w:val="0"/>
                <w:highlight w:val="none"/>
                <w:lang w:val="en-US" w:eastAsia="zh-CN"/>
              </w:rPr>
              <w:t>5</w:t>
            </w:r>
            <w:r>
              <w:rPr>
                <w:rFonts w:hint="default" w:ascii="Times New Roman" w:hAnsi="Times New Roman" w:cs="Times New Roman"/>
                <w:color w:val="auto"/>
                <w:kern w:val="0"/>
                <w:highlight w:val="none"/>
              </w:rPr>
              <w:t>），项目所在地为工业用地，项目所在地没有占用基本农业用地和林地，符合韶关市城市建设和环境功能区规划的要求，且具有水、电等供应保障，交通便利等条件。项目周围没有风景名胜区、生态脆弱带等。故项目选址是合理的。</w:t>
            </w:r>
            <w:bookmarkStart w:id="10" w:name="_Toc459880767"/>
          </w:p>
          <w:bookmarkEnd w:id="10"/>
          <w:p w14:paraId="5A55B95F">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ind w:left="0" w:right="0" w:firstLine="480" w:firstLineChars="200"/>
              <w:jc w:val="left"/>
              <w:textAlignment w:val="auto"/>
              <w:rPr>
                <w:rFonts w:hint="default" w:ascii="Times New Roman" w:hAnsi="Times New Roman" w:cs="Times New Roman"/>
                <w:b/>
                <w:bCs/>
                <w:color w:val="auto"/>
                <w:kern w:val="0"/>
                <w:highlight w:val="none"/>
              </w:rPr>
            </w:pPr>
            <w:r>
              <w:rPr>
                <w:rFonts w:hint="default" w:ascii="Times New Roman" w:hAnsi="Times New Roman" w:cs="Times New Roman"/>
                <w:b/>
                <w:bCs/>
                <w:color w:val="auto"/>
                <w:kern w:val="0"/>
                <w:highlight w:val="none"/>
                <w:lang w:val="en-US" w:eastAsia="zh-CN"/>
              </w:rPr>
              <w:t>三</w:t>
            </w:r>
            <w:r>
              <w:rPr>
                <w:rFonts w:hint="default" w:ascii="Times New Roman" w:hAnsi="Times New Roman" w:cs="Times New Roman"/>
                <w:b/>
                <w:bCs/>
                <w:color w:val="auto"/>
                <w:kern w:val="0"/>
                <w:highlight w:val="none"/>
              </w:rPr>
              <w:t>、与环境功能区划相符性分析</w:t>
            </w:r>
          </w:p>
          <w:p w14:paraId="4CDD91AF">
            <w:pPr>
              <w:pStyle w:val="2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firstLineChars="200"/>
              <w:textAlignment w:val="auto"/>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1）根据《广东省人民政府关于印发部分市乡镇集中式饮用水源保护区划分方案的通知》（粤府函〔2015〕17号）及《广东省人民政府关于韶关市部分饮用水水源保护区调整方案的批复》（粤府函〔2024〕31号），项目所在地不属于韶关市</w:t>
            </w:r>
            <w:r>
              <w:rPr>
                <w:rFonts w:hint="eastAsia" w:cs="Times New Roman"/>
                <w:color w:val="auto"/>
                <w:kern w:val="0"/>
                <w:highlight w:val="none"/>
                <w:lang w:val="en-US" w:eastAsia="zh-CN"/>
              </w:rPr>
              <w:t>韶关市区武江饮用水水源地一级保护区、二级保护区、准保护区范围内</w:t>
            </w:r>
            <w:r>
              <w:rPr>
                <w:rFonts w:hint="default" w:ascii="Times New Roman" w:hAnsi="Times New Roman" w:cs="Times New Roman"/>
                <w:color w:val="auto"/>
                <w:kern w:val="0"/>
                <w:highlight w:val="none"/>
              </w:rPr>
              <w:t>，符合</w:t>
            </w:r>
            <w:r>
              <w:rPr>
                <w:rFonts w:hint="default" w:ascii="Times New Roman" w:hAnsi="Times New Roman" w:cs="Times New Roman"/>
                <w:color w:val="auto"/>
                <w:highlight w:val="none"/>
              </w:rPr>
              <w:t>水污染防治条例</w:t>
            </w:r>
            <w:r>
              <w:rPr>
                <w:rFonts w:hint="default" w:ascii="Times New Roman" w:hAnsi="Times New Roman" w:cs="Times New Roman"/>
                <w:color w:val="auto"/>
                <w:kern w:val="0"/>
                <w:highlight w:val="none"/>
              </w:rPr>
              <w:t>的有关要求。</w:t>
            </w:r>
          </w:p>
          <w:p w14:paraId="78D0BC37">
            <w:pPr>
              <w:keepNext w:val="0"/>
              <w:keepLines w:val="0"/>
              <w:pageBreakBefore w:val="0"/>
              <w:widowControl/>
              <w:suppressLineNumbers w:val="0"/>
              <w:kinsoku/>
              <w:wordWrap/>
              <w:overflowPunct/>
              <w:topLinePunct w:val="0"/>
              <w:autoSpaceDE/>
              <w:autoSpaceDN/>
              <w:bidi w:val="0"/>
              <w:snapToGrid/>
              <w:spacing w:before="0" w:beforeAutospacing="0" w:after="0" w:afterAutospacing="0"/>
              <w:ind w:left="0" w:right="0" w:firstLine="480" w:firstLineChars="200"/>
              <w:jc w:val="left"/>
              <w:textAlignment w:val="auto"/>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2）根据《乐昌市人民政府办公室关于印发乐昌市生态环境保护“十四五”规划的通知》（乐府办〔2022〕16号）中《乐昌市“十四五”生态环境保护规划大气环境功能区划图》，项目所在区域为环境空气质量二类功能区（详见附图6），不属于环境空气质量一类功能区中的自然保护区风景名胜区和</w:t>
            </w:r>
            <w:r>
              <w:rPr>
                <w:rFonts w:hint="default" w:ascii="Times New Roman" w:hAnsi="Times New Roman" w:cs="Times New Roman"/>
                <w:color w:val="auto"/>
                <w:kern w:val="0"/>
                <w:highlight w:val="none"/>
                <w:lang w:eastAsia="zh-CN"/>
              </w:rPr>
              <w:t>其他需要</w:t>
            </w:r>
            <w:r>
              <w:rPr>
                <w:rFonts w:hint="default" w:ascii="Times New Roman" w:hAnsi="Times New Roman" w:cs="Times New Roman"/>
                <w:color w:val="auto"/>
                <w:kern w:val="0"/>
                <w:highlight w:val="none"/>
              </w:rPr>
              <w:t>特殊保护的区域。</w:t>
            </w:r>
          </w:p>
          <w:p w14:paraId="48772F53">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ind w:left="0" w:right="0" w:firstLine="480" w:firstLineChars="200"/>
              <w:jc w:val="left"/>
              <w:textAlignment w:val="auto"/>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（3）根据《乐昌产业转移工业园控制性详细规划》及不动产权证，项目所在地</w:t>
            </w:r>
            <w:r>
              <w:rPr>
                <w:rFonts w:hint="eastAsia" w:cs="Times New Roman"/>
                <w:color w:val="auto"/>
                <w:kern w:val="0"/>
                <w:highlight w:val="none"/>
                <w:lang w:val="en-US" w:eastAsia="zh-CN"/>
              </w:rPr>
              <w:t>土地用途</w:t>
            </w:r>
            <w:r>
              <w:rPr>
                <w:rFonts w:hint="default" w:ascii="Times New Roman" w:hAnsi="Times New Roman" w:cs="Times New Roman"/>
                <w:color w:val="auto"/>
                <w:kern w:val="0"/>
                <w:highlight w:val="none"/>
              </w:rPr>
              <w:t>为工业用地，项目所在区域为声环境3类区，不属于声环境1类区。</w:t>
            </w:r>
          </w:p>
          <w:p w14:paraId="3D1F686A">
            <w:pPr>
              <w:keepNext w:val="0"/>
              <w:keepLines w:val="0"/>
              <w:pageBreakBefore w:val="0"/>
              <w:suppressLineNumbers w:val="0"/>
              <w:kinsoku/>
              <w:overflowPunct/>
              <w:topLinePunct w:val="0"/>
              <w:bidi w:val="0"/>
              <w:snapToGrid/>
              <w:spacing w:before="0" w:beforeAutospacing="0" w:after="0" w:afterAutospacing="0"/>
              <w:ind w:left="0" w:right="0"/>
              <w:rPr>
                <w:rFonts w:hint="default" w:ascii="Times New Roman" w:hAnsi="Times New Roman" w:cs="Times New Roman"/>
                <w:color w:val="auto"/>
                <w:highlight w:val="none"/>
                <w:lang w:val="en-US" w:eastAsia="zh-CN"/>
              </w:rPr>
            </w:pPr>
          </w:p>
          <w:p w14:paraId="41E550FD">
            <w:pPr>
              <w:keepNext w:val="0"/>
              <w:keepLines w:val="0"/>
              <w:pageBreakBefore w:val="0"/>
              <w:suppressLineNumbers w:val="0"/>
              <w:kinsoku/>
              <w:overflowPunct/>
              <w:topLinePunct w:val="0"/>
              <w:bidi w:val="0"/>
              <w:snapToGrid/>
              <w:spacing w:before="0" w:beforeAutospacing="0" w:after="0" w:afterAutospacing="0"/>
              <w:ind w:left="0" w:right="0"/>
              <w:rPr>
                <w:rFonts w:hint="default" w:ascii="Times New Roman" w:hAnsi="Times New Roman" w:cs="Times New Roman"/>
                <w:color w:val="auto"/>
                <w:highlight w:val="none"/>
                <w:lang w:val="en-US" w:eastAsia="zh-CN"/>
              </w:rPr>
            </w:pPr>
          </w:p>
          <w:p w14:paraId="1793C198">
            <w:pPr>
              <w:keepNext w:val="0"/>
              <w:keepLines w:val="0"/>
              <w:pageBreakBefore w:val="0"/>
              <w:suppressLineNumbers w:val="0"/>
              <w:kinsoku/>
              <w:overflowPunct/>
              <w:topLinePunct w:val="0"/>
              <w:bidi w:val="0"/>
              <w:snapToGrid/>
              <w:spacing w:before="0" w:beforeAutospacing="0" w:after="0" w:afterAutospacing="0"/>
              <w:ind w:left="0" w:right="0"/>
              <w:rPr>
                <w:rFonts w:hint="default" w:ascii="Times New Roman" w:hAnsi="Times New Roman" w:cs="Times New Roman"/>
                <w:color w:val="auto"/>
                <w:highlight w:val="none"/>
              </w:rPr>
            </w:pPr>
          </w:p>
        </w:tc>
      </w:tr>
    </w:tbl>
    <w:p w14:paraId="6F386421">
      <w:pPr>
        <w:rPr>
          <w:color w:val="auto"/>
          <w:highlight w:val="none"/>
        </w:rPr>
        <w:sectPr>
          <w:footerReference r:id="rId7" w:type="default"/>
          <w:pgSz w:w="11906" w:h="16838"/>
          <w:pgMar w:top="1440" w:right="1080" w:bottom="1440" w:left="1080" w:header="851" w:footer="680" w:gutter="0"/>
          <w:pgBorders>
            <w:top w:val="none" w:sz="0" w:space="0"/>
            <w:left w:val="none" w:sz="0" w:space="0"/>
            <w:bottom w:val="none" w:sz="0" w:space="0"/>
            <w:right w:val="none" w:sz="0" w:space="0"/>
          </w:pgBorders>
          <w:pgNumType w:fmt="numberInDash" w:start="1"/>
          <w:cols w:space="720" w:num="1"/>
          <w:docGrid w:type="linesAndChars" w:linePitch="312" w:charSpace="0"/>
        </w:sectPr>
      </w:pPr>
    </w:p>
    <w:tbl>
      <w:tblPr>
        <w:tblStyle w:val="4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7"/>
        <w:gridCol w:w="13717"/>
      </w:tblGrid>
      <w:tr w14:paraId="497737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294" w:hRule="atLeast"/>
          <w:jc w:val="center"/>
        </w:trPr>
        <w:tc>
          <w:tcPr>
            <w:tcW w:w="186" w:type="pct"/>
            <w:vAlign w:val="center"/>
          </w:tcPr>
          <w:p w14:paraId="672828CC">
            <w:pPr>
              <w:keepNext/>
              <w:keepLines w:val="0"/>
              <w:pageBreakBefore w:val="0"/>
              <w:widowControl/>
              <w:numPr>
                <w:ilvl w:val="1"/>
                <w:numId w:val="0"/>
              </w:numPr>
              <w:suppressLineNumbers w:val="0"/>
              <w:tabs>
                <w:tab w:val="left" w:pos="420"/>
              </w:tabs>
              <w:kinsoku/>
              <w:wordWrap/>
              <w:overflowPunct/>
              <w:topLinePunct w:val="0"/>
              <w:autoSpaceDE/>
              <w:autoSpaceDN/>
              <w:bidi w:val="0"/>
              <w:adjustRightInd/>
              <w:snapToGrid w:val="0"/>
              <w:spacing w:before="0" w:beforeAutospacing="0" w:after="0" w:afterAutospacing="0" w:line="276" w:lineRule="auto"/>
              <w:ind w:left="0" w:right="0"/>
              <w:jc w:val="center"/>
              <w:textAlignment w:val="auto"/>
              <w:outlineLvl w:val="9"/>
              <w:rPr>
                <w:rFonts w:hint="eastAsia"/>
                <w:color w:val="auto"/>
                <w:highlight w:val="none"/>
              </w:rPr>
            </w:pPr>
            <w:r>
              <w:rPr>
                <w:rFonts w:hint="eastAsia"/>
                <w:b/>
                <w:bCs/>
                <w:color w:val="auto"/>
                <w:highlight w:val="none"/>
              </w:rPr>
              <w:t>其他符合性分析</w:t>
            </w:r>
          </w:p>
        </w:tc>
        <w:tc>
          <w:tcPr>
            <w:tcW w:w="4813" w:type="pct"/>
            <w:vAlign w:val="center"/>
          </w:tcPr>
          <w:p w14:paraId="35B6E9B2">
            <w:pPr>
              <w:keepNext/>
              <w:keepLines/>
              <w:pageBreakBefore w:val="0"/>
              <w:suppressLineNumbers w:val="0"/>
              <w:tabs>
                <w:tab w:val="left" w:pos="0"/>
              </w:tabs>
              <w:kinsoku/>
              <w:overflowPunct/>
              <w:topLinePunct w:val="0"/>
              <w:bidi w:val="0"/>
              <w:snapToGrid/>
              <w:spacing w:before="0" w:beforeAutospacing="0" w:after="0" w:afterAutospacing="0"/>
              <w:ind w:left="-2" w:right="0" w:firstLine="480" w:firstLineChars="200"/>
              <w:outlineLvl w:val="2"/>
              <w:rPr>
                <w:rFonts w:hint="eastAsia"/>
                <w:b/>
                <w:bCs/>
                <w:color w:val="auto"/>
                <w:highlight w:val="none"/>
              </w:rPr>
            </w:pPr>
            <w:r>
              <w:rPr>
                <w:rFonts w:hint="eastAsia"/>
                <w:b/>
                <w:bCs/>
                <w:color w:val="auto"/>
                <w:highlight w:val="none"/>
              </w:rPr>
              <w:t>四、与《</w:t>
            </w:r>
            <w:r>
              <w:rPr>
                <w:rFonts w:hint="eastAsia"/>
                <w:b/>
                <w:bCs/>
                <w:color w:val="auto"/>
                <w:szCs w:val="28"/>
                <w:highlight w:val="none"/>
              </w:rPr>
              <w:t>工业和信息化部发布&lt;限期淘汰产生严重污染环境的工业固体废物的落后生产工艺设备名录&gt;公告》（中华人民共和国工业和信息化部公告 2021年第25号）相符性分析</w:t>
            </w:r>
          </w:p>
          <w:p w14:paraId="56019CF8">
            <w:pPr>
              <w:pStyle w:val="46"/>
              <w:keepNext w:val="0"/>
              <w:keepLines w:val="0"/>
              <w:pageBreakBefore w:val="0"/>
              <w:suppressLineNumbers w:val="0"/>
              <w:kinsoku/>
              <w:overflowPunct/>
              <w:topLinePunct w:val="0"/>
              <w:bidi w:val="0"/>
              <w:snapToGrid/>
              <w:spacing w:before="0" w:beforeAutospacing="0" w:after="0" w:afterAutospacing="0"/>
              <w:ind w:left="0" w:right="0" w:firstLine="480" w:firstLineChars="200"/>
              <w:rPr>
                <w:rFonts w:hint="eastAsia" w:ascii="Times New Roman" w:cs="Times New Roman"/>
                <w:color w:val="auto"/>
                <w:highlight w:val="none"/>
              </w:rPr>
            </w:pPr>
            <w:r>
              <w:rPr>
                <w:rFonts w:hint="eastAsia" w:ascii="Times New Roman" w:cs="Times New Roman"/>
                <w:color w:val="auto"/>
                <w:szCs w:val="28"/>
                <w:highlight w:val="none"/>
              </w:rPr>
              <w:t>本项目所用生产工艺及设备不属于《限期淘汰产生严重污染环境的工业固体废物的落后生产工艺设备名录》中限期淘汰的落后生产工艺设备，故与《工业和信息化部发布&lt;限期淘汰产生严重污染环境的工业固体废物的落后生产工艺设备名录&gt;公告》（中华人民共和国工业和信息化部公告 2021年第25号）相符。</w:t>
            </w:r>
          </w:p>
          <w:p w14:paraId="44C5613C">
            <w:pPr>
              <w:keepNext/>
              <w:keepLines/>
              <w:pageBreakBefore w:val="0"/>
              <w:suppressLineNumbers w:val="0"/>
              <w:tabs>
                <w:tab w:val="left" w:pos="0"/>
              </w:tabs>
              <w:kinsoku/>
              <w:overflowPunct/>
              <w:topLinePunct w:val="0"/>
              <w:bidi w:val="0"/>
              <w:snapToGrid/>
              <w:spacing w:before="0" w:beforeAutospacing="0" w:after="0" w:afterAutospacing="0"/>
              <w:ind w:left="-2" w:right="0" w:firstLine="480" w:firstLineChars="200"/>
              <w:outlineLvl w:val="2"/>
              <w:rPr>
                <w:rFonts w:hint="eastAsia"/>
                <w:b/>
                <w:bCs/>
                <w:color w:val="auto"/>
                <w:highlight w:val="none"/>
              </w:rPr>
            </w:pPr>
            <w:r>
              <w:rPr>
                <w:rFonts w:hint="eastAsia"/>
                <w:b/>
                <w:bCs/>
                <w:color w:val="auto"/>
                <w:highlight w:val="none"/>
              </w:rPr>
              <w:t>五、</w:t>
            </w:r>
            <w:r>
              <w:rPr>
                <w:rFonts w:hint="eastAsia"/>
                <w:b/>
                <w:bCs/>
                <w:color w:val="auto"/>
                <w:highlight w:val="none"/>
                <w:lang w:val="en-US" w:eastAsia="zh-CN"/>
              </w:rPr>
              <w:t>与《广东省“三线一单”生态环境分区管控方案》</w:t>
            </w:r>
            <w:r>
              <w:rPr>
                <w:rFonts w:hint="eastAsia"/>
                <w:b/>
                <w:bCs/>
                <w:color w:val="auto"/>
                <w:highlight w:val="none"/>
              </w:rPr>
              <w:t>相符性分析</w:t>
            </w:r>
          </w:p>
          <w:p w14:paraId="074CE754">
            <w:pPr>
              <w:pStyle w:val="5"/>
              <w:pageBreakBefore w:val="0"/>
              <w:numPr>
                <w:ilvl w:val="3"/>
                <w:numId w:val="0"/>
              </w:numPr>
              <w:suppressLineNumbers w:val="0"/>
              <w:kinsoku/>
              <w:overflowPunct/>
              <w:topLinePunct w:val="0"/>
              <w:bidi w:val="0"/>
              <w:snapToGrid/>
              <w:spacing w:before="0" w:beforeAutospacing="0" w:after="0" w:afterAutospacing="0"/>
              <w:ind w:right="0" w:firstLine="480" w:firstLineChars="200"/>
              <w:rPr>
                <w:rFonts w:hint="eastAsia"/>
                <w:color w:val="auto"/>
                <w:highlight w:val="none"/>
              </w:rPr>
            </w:pPr>
            <w:r>
              <w:rPr>
                <w:rFonts w:hint="eastAsia"/>
                <w:color w:val="auto"/>
                <w:highlight w:val="none"/>
              </w:rPr>
              <w:t>1、《关于印发广东省“三线一单”生态环境分区管控方案的通知》（粤府〔2020〕71号）</w:t>
            </w:r>
          </w:p>
          <w:p w14:paraId="3807EFF2">
            <w:pPr>
              <w:pStyle w:val="102"/>
              <w:keepNext w:val="0"/>
              <w:keepLines w:val="0"/>
              <w:pageBreakBefore w:val="0"/>
              <w:suppressLineNumbers w:val="0"/>
              <w:kinsoku/>
              <w:overflowPunct/>
              <w:topLinePunct w:val="0"/>
              <w:bidi w:val="0"/>
              <w:snapToGrid/>
              <w:spacing w:before="0" w:beforeAutospacing="0" w:after="0" w:afterAutospacing="0"/>
              <w:ind w:left="0" w:leftChars="0" w:right="0" w:firstLine="0" w:firstLineChars="0"/>
              <w:rPr>
                <w:rFonts w:hint="eastAsia"/>
                <w:color w:val="auto"/>
                <w:highlight w:val="none"/>
              </w:rPr>
            </w:pPr>
            <w:r>
              <w:rPr>
                <w:rFonts w:hint="eastAsia"/>
                <w:color w:val="auto"/>
                <w:sz w:val="21"/>
                <w:szCs w:val="21"/>
                <w:highlight w:val="none"/>
                <w:lang w:val="en-US" w:eastAsia="zh-CN"/>
              </w:rPr>
              <w:t>与</w:t>
            </w:r>
            <w:r>
              <w:rPr>
                <w:rFonts w:hint="eastAsia"/>
                <w:color w:val="auto"/>
                <w:sz w:val="21"/>
                <w:szCs w:val="21"/>
                <w:highlight w:val="none"/>
              </w:rPr>
              <w:t>广东省“三线一单”相符性分析一览表</w:t>
            </w:r>
          </w:p>
          <w:tbl>
            <w:tblPr>
              <w:tblStyle w:val="40"/>
              <w:tblW w:w="1347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638"/>
              <w:gridCol w:w="1071"/>
              <w:gridCol w:w="4947"/>
              <w:gridCol w:w="5847"/>
              <w:gridCol w:w="967"/>
            </w:tblGrid>
            <w:tr w14:paraId="2536AF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7" w:hRule="atLeast"/>
                <w:jc w:val="center"/>
              </w:trPr>
              <w:tc>
                <w:tcPr>
                  <w:tcW w:w="638" w:type="dxa"/>
                  <w:tcBorders>
                    <w:top w:val="single" w:color="auto" w:sz="4" w:space="0"/>
                    <w:left w:val="single" w:color="auto" w:sz="4" w:space="0"/>
                    <w:bottom w:val="single" w:color="auto" w:sz="4" w:space="0"/>
                    <w:right w:val="single" w:color="auto" w:sz="4" w:space="0"/>
                  </w:tcBorders>
                  <w:shd w:val="clear" w:color="auto" w:fill="auto"/>
                  <w:vAlign w:val="center"/>
                </w:tcPr>
                <w:p w14:paraId="28D44D04">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textAlignment w:val="center"/>
                    <w:rPr>
                      <w:rFonts w:hint="default" w:ascii="Times New Roman" w:hAnsi="Times New Roman" w:cs="Times New Roman"/>
                      <w:b/>
                      <w:bCs/>
                      <w:color w:val="auto"/>
                      <w:sz w:val="21"/>
                      <w:szCs w:val="21"/>
                      <w:highlight w:val="none"/>
                      <w:lang w:val="en-US"/>
                    </w:rPr>
                  </w:pPr>
                  <w:r>
                    <w:rPr>
                      <w:rFonts w:hint="default" w:ascii="Times New Roman" w:hAnsi="Times New Roman" w:cs="Times New Roman"/>
                      <w:b/>
                      <w:bCs/>
                      <w:color w:val="auto"/>
                      <w:sz w:val="21"/>
                      <w:szCs w:val="21"/>
                      <w:highlight w:val="none"/>
                      <w:lang w:val="en-US" w:eastAsia="zh-CN"/>
                    </w:rPr>
                    <w:t>序号</w:t>
                  </w:r>
                </w:p>
              </w:tc>
              <w:tc>
                <w:tcPr>
                  <w:tcW w:w="1071" w:type="dxa"/>
                  <w:tcBorders>
                    <w:top w:val="single" w:color="auto" w:sz="4" w:space="0"/>
                    <w:left w:val="single" w:color="auto" w:sz="4" w:space="0"/>
                    <w:bottom w:val="single" w:color="auto" w:sz="4" w:space="0"/>
                    <w:right w:val="single" w:color="auto" w:sz="4" w:space="0"/>
                  </w:tcBorders>
                  <w:shd w:val="clear" w:color="auto" w:fill="auto"/>
                  <w:vAlign w:val="center"/>
                </w:tcPr>
                <w:p w14:paraId="1291BE00">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textAlignment w:val="center"/>
                    <w:rPr>
                      <w:rFonts w:hint="default" w:ascii="Times New Roman" w:hAnsi="Times New Roman" w:cs="Times New Roman"/>
                      <w:b/>
                      <w:bCs/>
                      <w:color w:val="auto"/>
                      <w:sz w:val="21"/>
                      <w:szCs w:val="21"/>
                      <w:highlight w:val="none"/>
                      <w:lang w:val="en-US"/>
                    </w:rPr>
                  </w:pPr>
                  <w:r>
                    <w:rPr>
                      <w:rFonts w:hint="default" w:ascii="Times New Roman" w:hAnsi="Times New Roman" w:cs="Times New Roman"/>
                      <w:b/>
                      <w:bCs/>
                      <w:color w:val="auto"/>
                      <w:sz w:val="21"/>
                      <w:szCs w:val="21"/>
                      <w:highlight w:val="none"/>
                      <w:lang w:val="en-US" w:eastAsia="zh-CN"/>
                    </w:rPr>
                    <w:t>管控要求</w:t>
                  </w:r>
                </w:p>
              </w:tc>
              <w:tc>
                <w:tcPr>
                  <w:tcW w:w="4947" w:type="dxa"/>
                  <w:tcBorders>
                    <w:top w:val="single" w:color="auto" w:sz="4" w:space="0"/>
                    <w:left w:val="single" w:color="auto" w:sz="4" w:space="0"/>
                    <w:bottom w:val="single" w:color="auto" w:sz="4" w:space="0"/>
                    <w:right w:val="single" w:color="auto" w:sz="4" w:space="0"/>
                  </w:tcBorders>
                  <w:shd w:val="clear" w:color="auto" w:fill="auto"/>
                  <w:vAlign w:val="center"/>
                </w:tcPr>
                <w:p w14:paraId="1FB0B67D">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textAlignment w:val="center"/>
                    <w:rPr>
                      <w:rFonts w:hint="default" w:ascii="Times New Roman" w:hAnsi="Times New Roman" w:cs="Times New Roman"/>
                      <w:b/>
                      <w:bCs/>
                      <w:color w:val="auto"/>
                      <w:sz w:val="21"/>
                      <w:szCs w:val="21"/>
                      <w:highlight w:val="none"/>
                      <w:lang w:val="en-US"/>
                    </w:rPr>
                  </w:pPr>
                  <w:r>
                    <w:rPr>
                      <w:rFonts w:hint="default" w:ascii="Times New Roman" w:hAnsi="Times New Roman" w:cs="Times New Roman"/>
                      <w:b/>
                      <w:bCs/>
                      <w:color w:val="auto"/>
                      <w:sz w:val="21"/>
                      <w:szCs w:val="21"/>
                      <w:highlight w:val="none"/>
                      <w:lang w:val="en-US" w:eastAsia="zh-CN"/>
                    </w:rPr>
                    <w:t>具体内容</w:t>
                  </w:r>
                </w:p>
              </w:tc>
              <w:tc>
                <w:tcPr>
                  <w:tcW w:w="5847" w:type="dxa"/>
                  <w:tcBorders>
                    <w:top w:val="single" w:color="auto" w:sz="4" w:space="0"/>
                    <w:left w:val="single" w:color="auto" w:sz="4" w:space="0"/>
                    <w:bottom w:val="single" w:color="auto" w:sz="4" w:space="0"/>
                    <w:right w:val="single" w:color="auto" w:sz="4" w:space="0"/>
                  </w:tcBorders>
                  <w:shd w:val="clear" w:color="auto" w:fill="auto"/>
                  <w:vAlign w:val="center"/>
                </w:tcPr>
                <w:p w14:paraId="269DC6AF">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textAlignment w:val="center"/>
                    <w:rPr>
                      <w:rFonts w:hint="default" w:ascii="Times New Roman" w:hAnsi="Times New Roman" w:cs="Times New Roman"/>
                      <w:b/>
                      <w:bCs/>
                      <w:color w:val="auto"/>
                      <w:sz w:val="21"/>
                      <w:szCs w:val="21"/>
                      <w:highlight w:val="none"/>
                      <w:lang w:val="en-US"/>
                    </w:rPr>
                  </w:pPr>
                  <w:r>
                    <w:rPr>
                      <w:rFonts w:hint="default" w:ascii="Times New Roman" w:hAnsi="Times New Roman" w:cs="Times New Roman"/>
                      <w:b/>
                      <w:bCs/>
                      <w:color w:val="auto"/>
                      <w:sz w:val="21"/>
                      <w:szCs w:val="21"/>
                      <w:highlight w:val="none"/>
                      <w:lang w:val="en-US" w:eastAsia="zh-CN"/>
                    </w:rPr>
                    <w:t>本项目情况</w:t>
                  </w:r>
                </w:p>
              </w:tc>
              <w:tc>
                <w:tcPr>
                  <w:tcW w:w="967" w:type="dxa"/>
                  <w:tcBorders>
                    <w:top w:val="single" w:color="auto" w:sz="4" w:space="0"/>
                    <w:left w:val="single" w:color="auto" w:sz="4" w:space="0"/>
                    <w:bottom w:val="single" w:color="auto" w:sz="4" w:space="0"/>
                    <w:right w:val="single" w:color="auto" w:sz="4" w:space="0"/>
                  </w:tcBorders>
                  <w:shd w:val="clear" w:color="auto" w:fill="auto"/>
                  <w:vAlign w:val="center"/>
                </w:tcPr>
                <w:p w14:paraId="712ABE8E">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textAlignment w:val="center"/>
                    <w:rPr>
                      <w:rFonts w:hint="default" w:ascii="Times New Roman" w:hAnsi="Times New Roman" w:cs="Times New Roman"/>
                      <w:b/>
                      <w:bCs/>
                      <w:color w:val="auto"/>
                      <w:sz w:val="21"/>
                      <w:szCs w:val="21"/>
                      <w:highlight w:val="none"/>
                      <w:lang w:val="en-US"/>
                    </w:rPr>
                  </w:pPr>
                  <w:r>
                    <w:rPr>
                      <w:rFonts w:hint="default" w:ascii="Times New Roman" w:hAnsi="Times New Roman" w:cs="Times New Roman"/>
                      <w:b/>
                      <w:bCs/>
                      <w:color w:val="auto"/>
                      <w:sz w:val="21"/>
                      <w:szCs w:val="21"/>
                      <w:highlight w:val="none"/>
                      <w:lang w:val="en-US" w:eastAsia="zh-CN"/>
                    </w:rPr>
                    <w:t>符合性</w:t>
                  </w:r>
                </w:p>
              </w:tc>
            </w:tr>
            <w:tr w14:paraId="53FAF7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7" w:hRule="atLeast"/>
                <w:jc w:val="center"/>
              </w:trPr>
              <w:tc>
                <w:tcPr>
                  <w:tcW w:w="638" w:type="dxa"/>
                  <w:tcBorders>
                    <w:top w:val="single" w:color="auto" w:sz="4" w:space="0"/>
                    <w:left w:val="single" w:color="auto" w:sz="4" w:space="0"/>
                    <w:bottom w:val="single" w:color="auto" w:sz="4" w:space="0"/>
                    <w:right w:val="single" w:color="auto" w:sz="4" w:space="0"/>
                  </w:tcBorders>
                  <w:shd w:val="clear" w:color="auto" w:fill="auto"/>
                  <w:vAlign w:val="center"/>
                </w:tcPr>
                <w:p w14:paraId="7B8D0456">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1</w:t>
                  </w:r>
                </w:p>
              </w:tc>
              <w:tc>
                <w:tcPr>
                  <w:tcW w:w="1071" w:type="dxa"/>
                  <w:tcBorders>
                    <w:top w:val="single" w:color="auto" w:sz="4" w:space="0"/>
                    <w:left w:val="single" w:color="auto" w:sz="4" w:space="0"/>
                    <w:bottom w:val="single" w:color="auto" w:sz="4" w:space="0"/>
                    <w:right w:val="single" w:color="auto" w:sz="4" w:space="0"/>
                  </w:tcBorders>
                  <w:shd w:val="clear" w:color="auto" w:fill="auto"/>
                  <w:vAlign w:val="center"/>
                </w:tcPr>
                <w:p w14:paraId="6DCED692">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生态保护红线</w:t>
                  </w:r>
                </w:p>
              </w:tc>
              <w:tc>
                <w:tcPr>
                  <w:tcW w:w="4947" w:type="dxa"/>
                  <w:tcBorders>
                    <w:top w:val="single" w:color="auto" w:sz="4" w:space="0"/>
                    <w:left w:val="single" w:color="auto" w:sz="4" w:space="0"/>
                    <w:bottom w:val="single" w:color="auto" w:sz="4" w:space="0"/>
                    <w:right w:val="single" w:color="auto" w:sz="4" w:space="0"/>
                  </w:tcBorders>
                  <w:shd w:val="clear" w:color="auto" w:fill="auto"/>
                  <w:vAlign w:val="center"/>
                </w:tcPr>
                <w:p w14:paraId="2B375CB0">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jc w:val="both"/>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生态保护红线是生态空间范围内具有特殊重要生态功能必须实行强制性严格保护的区域。除受自然条件限制、确实无法避让的铁路、公路、航道、防洪、管道、干渠、通讯、输变电等重要基础设施项目外，在生态保护红线范围内，严控各类开发建设活动，依法不予审批新建工业项目和矿产开发项目的环评文件。</w:t>
                  </w:r>
                </w:p>
              </w:tc>
              <w:tc>
                <w:tcPr>
                  <w:tcW w:w="5847" w:type="dxa"/>
                  <w:tcBorders>
                    <w:top w:val="single" w:color="auto" w:sz="4" w:space="0"/>
                    <w:left w:val="single" w:color="auto" w:sz="4" w:space="0"/>
                    <w:bottom w:val="single" w:color="auto" w:sz="4" w:space="0"/>
                    <w:right w:val="single" w:color="auto" w:sz="4" w:space="0"/>
                  </w:tcBorders>
                  <w:shd w:val="clear" w:color="auto" w:fill="auto"/>
                  <w:vAlign w:val="center"/>
                </w:tcPr>
                <w:p w14:paraId="11A8B0D3">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jc w:val="both"/>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项目用地用途为工业</w:t>
                  </w:r>
                  <w:r>
                    <w:rPr>
                      <w:rFonts w:hint="eastAsia" w:ascii="Times New Roman" w:cs="Times New Roman"/>
                      <w:color w:val="auto"/>
                      <w:sz w:val="21"/>
                      <w:szCs w:val="21"/>
                      <w:highlight w:val="none"/>
                      <w:lang w:val="en-US" w:eastAsia="zh-CN"/>
                    </w:rPr>
                    <w:t>用地</w:t>
                  </w:r>
                  <w:r>
                    <w:rPr>
                      <w:rFonts w:hint="default" w:ascii="Times New Roman" w:hAnsi="Times New Roman" w:cs="Times New Roman"/>
                      <w:color w:val="auto"/>
                      <w:sz w:val="21"/>
                      <w:szCs w:val="21"/>
                      <w:highlight w:val="none"/>
                      <w:lang w:val="en-US"/>
                    </w:rPr>
                    <w:t>，不在生态保护红线和生态环境空间管控区内，符合生态保护红线要求。</w:t>
                  </w:r>
                </w:p>
              </w:tc>
              <w:tc>
                <w:tcPr>
                  <w:tcW w:w="967" w:type="dxa"/>
                  <w:tcBorders>
                    <w:top w:val="single" w:color="auto" w:sz="4" w:space="0"/>
                    <w:left w:val="single" w:color="auto" w:sz="4" w:space="0"/>
                    <w:bottom w:val="single" w:color="auto" w:sz="4" w:space="0"/>
                    <w:right w:val="single" w:color="auto" w:sz="4" w:space="0"/>
                  </w:tcBorders>
                  <w:shd w:val="clear" w:color="auto" w:fill="auto"/>
                  <w:vAlign w:val="center"/>
                </w:tcPr>
                <w:p w14:paraId="74346D31">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符合</w:t>
                  </w:r>
                </w:p>
              </w:tc>
            </w:tr>
            <w:tr w14:paraId="0200C5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7" w:hRule="atLeast"/>
                <w:jc w:val="center"/>
              </w:trPr>
              <w:tc>
                <w:tcPr>
                  <w:tcW w:w="638" w:type="dxa"/>
                  <w:tcBorders>
                    <w:top w:val="single" w:color="auto" w:sz="4" w:space="0"/>
                    <w:left w:val="single" w:color="auto" w:sz="4" w:space="0"/>
                    <w:bottom w:val="single" w:color="auto" w:sz="4" w:space="0"/>
                    <w:right w:val="single" w:color="auto" w:sz="4" w:space="0"/>
                  </w:tcBorders>
                  <w:shd w:val="clear" w:color="auto" w:fill="auto"/>
                  <w:vAlign w:val="center"/>
                </w:tcPr>
                <w:p w14:paraId="612C5B10">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2</w:t>
                  </w:r>
                </w:p>
              </w:tc>
              <w:tc>
                <w:tcPr>
                  <w:tcW w:w="1071" w:type="dxa"/>
                  <w:tcBorders>
                    <w:top w:val="single" w:color="auto" w:sz="4" w:space="0"/>
                    <w:left w:val="single" w:color="auto" w:sz="4" w:space="0"/>
                    <w:bottom w:val="single" w:color="auto" w:sz="4" w:space="0"/>
                    <w:right w:val="single" w:color="auto" w:sz="4" w:space="0"/>
                  </w:tcBorders>
                  <w:shd w:val="clear" w:color="auto" w:fill="auto"/>
                  <w:vAlign w:val="center"/>
                </w:tcPr>
                <w:p w14:paraId="41566EC3">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环境质量底线</w:t>
                  </w:r>
                </w:p>
              </w:tc>
              <w:tc>
                <w:tcPr>
                  <w:tcW w:w="4947" w:type="dxa"/>
                  <w:tcBorders>
                    <w:top w:val="single" w:color="auto" w:sz="4" w:space="0"/>
                    <w:left w:val="single" w:color="auto" w:sz="4" w:space="0"/>
                    <w:bottom w:val="single" w:color="auto" w:sz="4" w:space="0"/>
                    <w:right w:val="single" w:color="auto" w:sz="4" w:space="0"/>
                  </w:tcBorders>
                  <w:shd w:val="clear" w:color="auto" w:fill="auto"/>
                  <w:vAlign w:val="center"/>
                </w:tcPr>
                <w:p w14:paraId="78D65796">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jc w:val="both"/>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全省水环境质量持续改善，国考、省考断面优良水质比例稳步提升，全面消除劣Ⅳ类水体。大气环境质量继续领跑先行，PM</w:t>
                  </w:r>
                  <w:r>
                    <w:rPr>
                      <w:rFonts w:hint="default" w:ascii="Times New Roman" w:hAnsi="Times New Roman" w:cs="Times New Roman"/>
                      <w:color w:val="auto"/>
                      <w:sz w:val="21"/>
                      <w:szCs w:val="21"/>
                      <w:highlight w:val="none"/>
                      <w:vertAlign w:val="subscript"/>
                      <w:lang w:val="en-US" w:eastAsia="zh-CN"/>
                    </w:rPr>
                    <w:t>2.5</w:t>
                  </w:r>
                  <w:r>
                    <w:rPr>
                      <w:rFonts w:hint="default" w:ascii="Times New Roman" w:hAnsi="Times New Roman" w:cs="Times New Roman"/>
                      <w:color w:val="auto"/>
                      <w:sz w:val="21"/>
                      <w:szCs w:val="21"/>
                      <w:highlight w:val="none"/>
                      <w:lang w:val="en-US" w:eastAsia="zh-CN"/>
                    </w:rPr>
                    <w:t>年均浓度率先达到世界卫生组织过渡期二阶段目标值（25微克/立方米），臭氧污染得到有效遏制。土壤环境质量稳中向好，土壤环境风险得到管控。近岸海域水体质量稳步提升。</w:t>
                  </w:r>
                </w:p>
              </w:tc>
              <w:tc>
                <w:tcPr>
                  <w:tcW w:w="5847" w:type="dxa"/>
                  <w:tcBorders>
                    <w:top w:val="single" w:color="auto" w:sz="4" w:space="0"/>
                    <w:left w:val="single" w:color="auto" w:sz="4" w:space="0"/>
                    <w:bottom w:val="single" w:color="auto" w:sz="4" w:space="0"/>
                    <w:right w:val="single" w:color="auto" w:sz="4" w:space="0"/>
                  </w:tcBorders>
                  <w:shd w:val="clear" w:color="auto" w:fill="auto"/>
                  <w:vAlign w:val="center"/>
                </w:tcPr>
                <w:p w14:paraId="51AC2888">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jc w:val="both"/>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根据《202</w:t>
                  </w:r>
                  <w:r>
                    <w:rPr>
                      <w:rFonts w:hint="eastAsia" w:ascii="Times New Roman" w:cs="Times New Roman"/>
                      <w:color w:val="auto"/>
                      <w:sz w:val="21"/>
                      <w:szCs w:val="21"/>
                      <w:highlight w:val="none"/>
                      <w:lang w:val="en-US" w:eastAsia="zh-CN"/>
                    </w:rPr>
                    <w:t>4</w:t>
                  </w:r>
                  <w:r>
                    <w:rPr>
                      <w:rFonts w:hint="default" w:ascii="Times New Roman" w:hAnsi="Times New Roman" w:cs="Times New Roman"/>
                      <w:color w:val="auto"/>
                      <w:sz w:val="21"/>
                      <w:szCs w:val="21"/>
                      <w:highlight w:val="none"/>
                      <w:lang w:val="en-US"/>
                    </w:rPr>
                    <w:t>年韶关市生态环境状况公报》，可知项目所在地大气环境质量属于达标区，地表水环境质量现状良好。生活污水、生产废水经预处理后引入园区污水处理厂处理，不直接排入水体。在严格落实各项污染防治措施的前提下，本项目的建设对周边环境影响较小，建成后不会突破当地环境质量底线，符合环境质量底线要求。</w:t>
                  </w:r>
                </w:p>
              </w:tc>
              <w:tc>
                <w:tcPr>
                  <w:tcW w:w="967" w:type="dxa"/>
                  <w:tcBorders>
                    <w:top w:val="single" w:color="auto" w:sz="4" w:space="0"/>
                    <w:left w:val="single" w:color="auto" w:sz="4" w:space="0"/>
                    <w:bottom w:val="single" w:color="auto" w:sz="4" w:space="0"/>
                    <w:right w:val="single" w:color="auto" w:sz="4" w:space="0"/>
                  </w:tcBorders>
                  <w:shd w:val="clear" w:color="auto" w:fill="auto"/>
                  <w:vAlign w:val="center"/>
                </w:tcPr>
                <w:p w14:paraId="5DE28138">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符合</w:t>
                  </w:r>
                </w:p>
              </w:tc>
            </w:tr>
            <w:tr w14:paraId="757A0E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7" w:hRule="atLeast"/>
                <w:jc w:val="center"/>
              </w:trPr>
              <w:tc>
                <w:tcPr>
                  <w:tcW w:w="638" w:type="dxa"/>
                  <w:tcBorders>
                    <w:top w:val="single" w:color="auto" w:sz="4" w:space="0"/>
                    <w:left w:val="single" w:color="auto" w:sz="4" w:space="0"/>
                    <w:bottom w:val="single" w:color="auto" w:sz="4" w:space="0"/>
                    <w:right w:val="single" w:color="auto" w:sz="4" w:space="0"/>
                  </w:tcBorders>
                  <w:shd w:val="clear" w:color="auto" w:fill="auto"/>
                  <w:vAlign w:val="center"/>
                </w:tcPr>
                <w:p w14:paraId="25DC4B71">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3</w:t>
                  </w:r>
                </w:p>
              </w:tc>
              <w:tc>
                <w:tcPr>
                  <w:tcW w:w="1071" w:type="dxa"/>
                  <w:tcBorders>
                    <w:top w:val="single" w:color="auto" w:sz="4" w:space="0"/>
                    <w:left w:val="single" w:color="auto" w:sz="4" w:space="0"/>
                    <w:bottom w:val="single" w:color="auto" w:sz="4" w:space="0"/>
                    <w:right w:val="single" w:color="auto" w:sz="4" w:space="0"/>
                  </w:tcBorders>
                  <w:shd w:val="clear" w:color="auto" w:fill="auto"/>
                  <w:vAlign w:val="center"/>
                </w:tcPr>
                <w:p w14:paraId="36A78E8E">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资源利用上线</w:t>
                  </w:r>
                </w:p>
              </w:tc>
              <w:tc>
                <w:tcPr>
                  <w:tcW w:w="4947" w:type="dxa"/>
                  <w:tcBorders>
                    <w:top w:val="single" w:color="auto" w:sz="4" w:space="0"/>
                    <w:left w:val="single" w:color="auto" w:sz="4" w:space="0"/>
                    <w:bottom w:val="single" w:color="auto" w:sz="4" w:space="0"/>
                    <w:right w:val="single" w:color="auto" w:sz="4" w:space="0"/>
                  </w:tcBorders>
                  <w:shd w:val="clear" w:color="auto" w:fill="auto"/>
                  <w:vAlign w:val="center"/>
                </w:tcPr>
                <w:p w14:paraId="79C3F8BB">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jc w:val="both"/>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强化节约集约利用，持续提升资源能源利用效率</w:t>
                  </w:r>
                  <w:r>
                    <w:rPr>
                      <w:rFonts w:hint="eastAsia" w:asci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水资源、土地资源、岸线资源、能源消耗等达到或优于国家下达的总量和强度控制目标。</w:t>
                  </w:r>
                </w:p>
              </w:tc>
              <w:tc>
                <w:tcPr>
                  <w:tcW w:w="5847" w:type="dxa"/>
                  <w:tcBorders>
                    <w:top w:val="single" w:color="auto" w:sz="4" w:space="0"/>
                    <w:left w:val="single" w:color="auto" w:sz="4" w:space="0"/>
                    <w:bottom w:val="single" w:color="auto" w:sz="4" w:space="0"/>
                    <w:right w:val="single" w:color="auto" w:sz="4" w:space="0"/>
                  </w:tcBorders>
                  <w:shd w:val="clear" w:color="auto" w:fill="auto"/>
                  <w:vAlign w:val="center"/>
                </w:tcPr>
                <w:p w14:paraId="73221D12">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jc w:val="both"/>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本项目不占用基本农田等，土地资源消耗符合要求；生产所用资源主要为水、电，由市政自来水管网供水，由市政电网供电，不会突破当地的资源利用上线。生产及辅助设备均使用电能源，资源消耗量相对较少，不属于“三高”行业建设项目。</w:t>
                  </w:r>
                </w:p>
              </w:tc>
              <w:tc>
                <w:tcPr>
                  <w:tcW w:w="967" w:type="dxa"/>
                  <w:tcBorders>
                    <w:top w:val="single" w:color="auto" w:sz="4" w:space="0"/>
                    <w:left w:val="single" w:color="auto" w:sz="4" w:space="0"/>
                    <w:bottom w:val="single" w:color="auto" w:sz="4" w:space="0"/>
                    <w:right w:val="single" w:color="auto" w:sz="4" w:space="0"/>
                  </w:tcBorders>
                  <w:shd w:val="clear" w:color="auto" w:fill="auto"/>
                  <w:vAlign w:val="center"/>
                </w:tcPr>
                <w:p w14:paraId="2491DD46">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符合</w:t>
                  </w:r>
                </w:p>
              </w:tc>
            </w:tr>
            <w:tr w14:paraId="477444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7" w:hRule="atLeast"/>
                <w:jc w:val="center"/>
              </w:trPr>
              <w:tc>
                <w:tcPr>
                  <w:tcW w:w="638" w:type="dxa"/>
                  <w:tcBorders>
                    <w:top w:val="single" w:color="auto" w:sz="4" w:space="0"/>
                    <w:left w:val="single" w:color="auto" w:sz="4" w:space="0"/>
                    <w:bottom w:val="single" w:color="auto" w:sz="4" w:space="0"/>
                    <w:right w:val="single" w:color="auto" w:sz="4" w:space="0"/>
                  </w:tcBorders>
                  <w:shd w:val="clear" w:color="auto" w:fill="auto"/>
                  <w:vAlign w:val="center"/>
                </w:tcPr>
                <w:p w14:paraId="1BFB8F89">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4</w:t>
                  </w:r>
                </w:p>
              </w:tc>
              <w:tc>
                <w:tcPr>
                  <w:tcW w:w="1071" w:type="dxa"/>
                  <w:tcBorders>
                    <w:top w:val="single" w:color="auto" w:sz="4" w:space="0"/>
                    <w:left w:val="single" w:color="auto" w:sz="4" w:space="0"/>
                    <w:bottom w:val="single" w:color="auto" w:sz="4" w:space="0"/>
                    <w:right w:val="single" w:color="auto" w:sz="4" w:space="0"/>
                  </w:tcBorders>
                  <w:shd w:val="clear" w:color="auto" w:fill="auto"/>
                  <w:vAlign w:val="center"/>
                </w:tcPr>
                <w:p w14:paraId="73E0B6CA">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生态环境准入清单</w:t>
                  </w:r>
                </w:p>
              </w:tc>
              <w:tc>
                <w:tcPr>
                  <w:tcW w:w="4947" w:type="dxa"/>
                  <w:tcBorders>
                    <w:top w:val="single" w:color="auto" w:sz="4" w:space="0"/>
                    <w:left w:val="single" w:color="auto" w:sz="4" w:space="0"/>
                    <w:bottom w:val="single" w:color="auto" w:sz="4" w:space="0"/>
                    <w:right w:val="single" w:color="auto" w:sz="4" w:space="0"/>
                  </w:tcBorders>
                  <w:shd w:val="clear" w:color="auto" w:fill="auto"/>
                  <w:vAlign w:val="center"/>
                </w:tcPr>
                <w:p w14:paraId="26CAF7FE">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jc w:val="both"/>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从区域布局管控、能源资源利用、污染物排放管控和环境风险防控等方面明确准入要求，建立“1+3+N”三级生态环境准入清单体系。“1”为全省总体管控要求，“3”为“一核一带一区”区域管控要求，“N”为1912个陆域环境管控单元和471个海域环境管控单元的管控要求。</w:t>
                  </w:r>
                </w:p>
              </w:tc>
              <w:tc>
                <w:tcPr>
                  <w:tcW w:w="5847" w:type="dxa"/>
                  <w:tcBorders>
                    <w:top w:val="single" w:color="auto" w:sz="4" w:space="0"/>
                    <w:left w:val="single" w:color="auto" w:sz="4" w:space="0"/>
                    <w:bottom w:val="single" w:color="auto" w:sz="4" w:space="0"/>
                    <w:right w:val="single" w:color="auto" w:sz="4" w:space="0"/>
                  </w:tcBorders>
                  <w:shd w:val="clear" w:color="auto" w:fill="auto"/>
                  <w:vAlign w:val="center"/>
                </w:tcPr>
                <w:p w14:paraId="5440002E">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jc w:val="both"/>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本项目营运期主要污染物为废水、废气、噪声和固体废物，分别经处理后均能实现达标排放，固体废物经有效的分类收集、处置，对周围环境影响较小，故本项目可与周围环境相容，</w:t>
                  </w:r>
                  <w:r>
                    <w:rPr>
                      <w:rFonts w:hint="eastAsia" w:ascii="Times New Roman" w:cs="Times New Roman"/>
                      <w:color w:val="auto"/>
                      <w:sz w:val="21"/>
                      <w:szCs w:val="21"/>
                      <w:highlight w:val="none"/>
                      <w:lang w:val="en-US" w:eastAsia="zh-CN"/>
                    </w:rPr>
                    <w:t>对照</w:t>
                  </w:r>
                  <w:r>
                    <w:rPr>
                      <w:rFonts w:hint="default" w:ascii="Times New Roman" w:hAnsi="Times New Roman" w:cs="Times New Roman"/>
                      <w:color w:val="auto"/>
                      <w:sz w:val="21"/>
                      <w:szCs w:val="21"/>
                      <w:highlight w:val="none"/>
                      <w:lang w:val="en-US"/>
                    </w:rPr>
                    <w:t>《国家发展改革委商务部关于印发&lt;市场准入负面清单（2025年版）&gt;的通知》（发改体改规〔2025〕466号）</w:t>
                  </w:r>
                  <w:r>
                    <w:rPr>
                      <w:rFonts w:hint="eastAsia" w:ascii="Times New Roman" w:cs="Times New Roman"/>
                      <w:color w:val="auto"/>
                      <w:sz w:val="21"/>
                      <w:szCs w:val="21"/>
                      <w:highlight w:val="none"/>
                      <w:lang w:val="en-US" w:eastAsia="zh-CN"/>
                    </w:rPr>
                    <w:t>，本项目无</w:t>
                  </w:r>
                  <w:r>
                    <w:rPr>
                      <w:rFonts w:hint="default" w:ascii="Times New Roman" w:hAnsi="Times New Roman" w:cs="Times New Roman"/>
                      <w:color w:val="auto"/>
                      <w:sz w:val="21"/>
                      <w:szCs w:val="21"/>
                      <w:highlight w:val="none"/>
                      <w:lang w:val="en-US"/>
                    </w:rPr>
                    <w:t>禁止</w:t>
                  </w:r>
                  <w:r>
                    <w:rPr>
                      <w:rFonts w:hint="eastAsia" w:ascii="Times New Roman" w:cs="Times New Roman"/>
                      <w:color w:val="auto"/>
                      <w:sz w:val="21"/>
                      <w:szCs w:val="21"/>
                      <w:highlight w:val="none"/>
                      <w:lang w:val="en-US" w:eastAsia="zh-CN"/>
                    </w:rPr>
                    <w:t>或许可事项</w:t>
                  </w:r>
                  <w:r>
                    <w:rPr>
                      <w:rFonts w:hint="default" w:ascii="Times New Roman" w:hAnsi="Times New Roman" w:cs="Times New Roman"/>
                      <w:color w:val="auto"/>
                      <w:sz w:val="21"/>
                      <w:szCs w:val="21"/>
                      <w:highlight w:val="none"/>
                      <w:lang w:val="en-US"/>
                    </w:rPr>
                    <w:t>。</w:t>
                  </w:r>
                </w:p>
              </w:tc>
              <w:tc>
                <w:tcPr>
                  <w:tcW w:w="967" w:type="dxa"/>
                  <w:tcBorders>
                    <w:top w:val="single" w:color="auto" w:sz="4" w:space="0"/>
                    <w:left w:val="single" w:color="auto" w:sz="4" w:space="0"/>
                    <w:bottom w:val="single" w:color="auto" w:sz="4" w:space="0"/>
                    <w:right w:val="single" w:color="auto" w:sz="4" w:space="0"/>
                  </w:tcBorders>
                  <w:shd w:val="clear" w:color="auto" w:fill="auto"/>
                  <w:vAlign w:val="center"/>
                </w:tcPr>
                <w:p w14:paraId="39C87697">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符合</w:t>
                  </w:r>
                </w:p>
              </w:tc>
            </w:tr>
          </w:tbl>
          <w:p w14:paraId="20CFACB0">
            <w:pPr>
              <w:pStyle w:val="102"/>
              <w:keepNext w:val="0"/>
              <w:keepLines w:val="0"/>
              <w:suppressLineNumbers w:val="0"/>
              <w:bidi w:val="0"/>
              <w:spacing w:before="0" w:beforeAutospacing="0" w:after="0" w:afterAutospacing="0"/>
              <w:ind w:left="0" w:leftChars="0" w:right="0" w:firstLine="0" w:firstLineChars="0"/>
              <w:rPr>
                <w:rFonts w:hint="eastAsia"/>
                <w:color w:val="auto"/>
                <w:sz w:val="21"/>
                <w:szCs w:val="21"/>
                <w:highlight w:val="none"/>
              </w:rPr>
            </w:pPr>
            <w:r>
              <w:rPr>
                <w:rFonts w:hint="eastAsia"/>
                <w:color w:val="auto"/>
                <w:sz w:val="21"/>
                <w:szCs w:val="21"/>
                <w:highlight w:val="none"/>
              </w:rPr>
              <w:t>环境管控单元要求一览表</w:t>
            </w:r>
          </w:p>
          <w:tbl>
            <w:tblPr>
              <w:tblStyle w:val="40"/>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3"/>
              <w:gridCol w:w="7050"/>
              <w:gridCol w:w="4398"/>
              <w:gridCol w:w="1175"/>
            </w:tblGrid>
            <w:tr w14:paraId="236091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0" w:type="pct"/>
                  <w:vAlign w:val="center"/>
                </w:tcPr>
                <w:p w14:paraId="1F65B821">
                  <w:pPr>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jc w:val="center"/>
                    <w:textAlignment w:val="center"/>
                    <w:rPr>
                      <w:rFonts w:hint="eastAsia"/>
                      <w:b/>
                      <w:bCs/>
                      <w:color w:val="auto"/>
                      <w:position w:val="-10"/>
                      <w:sz w:val="21"/>
                      <w:szCs w:val="21"/>
                      <w:highlight w:val="none"/>
                    </w:rPr>
                  </w:pPr>
                  <w:r>
                    <w:rPr>
                      <w:rFonts w:hint="eastAsia"/>
                      <w:b/>
                      <w:bCs/>
                      <w:color w:val="auto"/>
                      <w:position w:val="-10"/>
                      <w:sz w:val="21"/>
                      <w:szCs w:val="21"/>
                      <w:highlight w:val="none"/>
                    </w:rPr>
                    <w:t>单元</w:t>
                  </w:r>
                </w:p>
              </w:tc>
              <w:tc>
                <w:tcPr>
                  <w:tcW w:w="2613" w:type="pct"/>
                  <w:vAlign w:val="center"/>
                </w:tcPr>
                <w:p w14:paraId="118CF8B3">
                  <w:pPr>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jc w:val="center"/>
                    <w:textAlignment w:val="center"/>
                    <w:rPr>
                      <w:rFonts w:hint="eastAsia"/>
                      <w:b/>
                      <w:bCs/>
                      <w:color w:val="auto"/>
                      <w:position w:val="-10"/>
                      <w:sz w:val="21"/>
                      <w:szCs w:val="21"/>
                      <w:highlight w:val="none"/>
                    </w:rPr>
                  </w:pPr>
                  <w:r>
                    <w:rPr>
                      <w:rFonts w:hint="eastAsia"/>
                      <w:b/>
                      <w:bCs/>
                      <w:color w:val="auto"/>
                      <w:position w:val="-10"/>
                      <w:sz w:val="21"/>
                      <w:szCs w:val="21"/>
                      <w:highlight w:val="none"/>
                    </w:rPr>
                    <w:t>保护和管控分区或相关要求（节选）</w:t>
                  </w:r>
                </w:p>
              </w:tc>
              <w:tc>
                <w:tcPr>
                  <w:tcW w:w="1630" w:type="pct"/>
                  <w:vAlign w:val="center"/>
                </w:tcPr>
                <w:p w14:paraId="4809C9E0">
                  <w:pPr>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jc w:val="center"/>
                    <w:textAlignment w:val="center"/>
                    <w:rPr>
                      <w:rFonts w:hint="eastAsia"/>
                      <w:b/>
                      <w:bCs/>
                      <w:color w:val="auto"/>
                      <w:position w:val="-10"/>
                      <w:sz w:val="21"/>
                      <w:szCs w:val="21"/>
                      <w:highlight w:val="none"/>
                    </w:rPr>
                  </w:pPr>
                  <w:r>
                    <w:rPr>
                      <w:rFonts w:hint="eastAsia"/>
                      <w:b/>
                      <w:bCs/>
                      <w:color w:val="auto"/>
                      <w:position w:val="-10"/>
                      <w:sz w:val="21"/>
                      <w:szCs w:val="21"/>
                      <w:highlight w:val="none"/>
                    </w:rPr>
                    <w:t>项目情况</w:t>
                  </w:r>
                </w:p>
              </w:tc>
              <w:tc>
                <w:tcPr>
                  <w:tcW w:w="435" w:type="pct"/>
                  <w:vAlign w:val="center"/>
                </w:tcPr>
                <w:p w14:paraId="661DDE39">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b/>
                      <w:bCs/>
                      <w:color w:val="auto"/>
                      <w:kern w:val="2"/>
                      <w:highlight w:val="none"/>
                    </w:rPr>
                  </w:pPr>
                  <w:r>
                    <w:rPr>
                      <w:rFonts w:hint="eastAsia"/>
                      <w:b/>
                      <w:bCs/>
                      <w:color w:val="auto"/>
                      <w:kern w:val="2"/>
                      <w:highlight w:val="none"/>
                    </w:rPr>
                    <w:t>是否符合</w:t>
                  </w:r>
                </w:p>
              </w:tc>
            </w:tr>
            <w:tr w14:paraId="7538BF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0" w:type="pct"/>
                  <w:vMerge w:val="restart"/>
                  <w:vAlign w:val="center"/>
                </w:tcPr>
                <w:p w14:paraId="4F6B2083">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color w:val="auto"/>
                      <w:kern w:val="2"/>
                      <w:highlight w:val="none"/>
                    </w:rPr>
                  </w:pPr>
                  <w:r>
                    <w:rPr>
                      <w:rFonts w:hint="eastAsia"/>
                      <w:color w:val="auto"/>
                      <w:kern w:val="2"/>
                      <w:highlight w:val="none"/>
                    </w:rPr>
                    <w:t>优先保护单元</w:t>
                  </w:r>
                </w:p>
              </w:tc>
              <w:tc>
                <w:tcPr>
                  <w:tcW w:w="2613" w:type="pct"/>
                  <w:vAlign w:val="center"/>
                </w:tcPr>
                <w:p w14:paraId="422F1AE5">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color w:val="auto"/>
                      <w:kern w:val="2"/>
                      <w:highlight w:val="none"/>
                    </w:rPr>
                  </w:pPr>
                  <w:r>
                    <w:rPr>
                      <w:rFonts w:hint="eastAsia"/>
                      <w:color w:val="auto"/>
                      <w:kern w:val="2"/>
                      <w:highlight w:val="none"/>
                    </w:rPr>
                    <w:t>生态优先保护区：生态保护红线、一般生态空间</w:t>
                  </w:r>
                </w:p>
              </w:tc>
              <w:tc>
                <w:tcPr>
                  <w:tcW w:w="1630" w:type="pct"/>
                  <w:vAlign w:val="center"/>
                </w:tcPr>
                <w:p w14:paraId="5797DD36">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eastAsia="宋体"/>
                      <w:color w:val="auto"/>
                      <w:kern w:val="2"/>
                      <w:highlight w:val="none"/>
                      <w:lang w:eastAsia="zh-CN"/>
                    </w:rPr>
                  </w:pPr>
                  <w:r>
                    <w:rPr>
                      <w:rFonts w:hint="eastAsia"/>
                      <w:color w:val="auto"/>
                      <w:kern w:val="2"/>
                      <w:highlight w:val="none"/>
                    </w:rPr>
                    <w:t>项目不在生态保护红线内，详见附图</w:t>
                  </w:r>
                  <w:r>
                    <w:rPr>
                      <w:rFonts w:hint="eastAsia"/>
                      <w:color w:val="auto"/>
                      <w:kern w:val="2"/>
                      <w:highlight w:val="none"/>
                      <w:lang w:val="en-US" w:eastAsia="zh-CN"/>
                    </w:rPr>
                    <w:t>8</w:t>
                  </w:r>
                </w:p>
              </w:tc>
              <w:tc>
                <w:tcPr>
                  <w:tcW w:w="435" w:type="pct"/>
                  <w:vAlign w:val="center"/>
                </w:tcPr>
                <w:p w14:paraId="75768211">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color w:val="auto"/>
                      <w:kern w:val="2"/>
                      <w:highlight w:val="none"/>
                    </w:rPr>
                  </w:pPr>
                  <w:r>
                    <w:rPr>
                      <w:rFonts w:hint="eastAsia"/>
                      <w:color w:val="auto"/>
                      <w:kern w:val="2"/>
                      <w:highlight w:val="none"/>
                    </w:rPr>
                    <w:t>符合</w:t>
                  </w:r>
                </w:p>
              </w:tc>
            </w:tr>
            <w:tr w14:paraId="4EF0F4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0" w:type="pct"/>
                  <w:vMerge w:val="continue"/>
                  <w:vAlign w:val="center"/>
                </w:tcPr>
                <w:p w14:paraId="0DE10858">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color w:val="auto"/>
                      <w:kern w:val="2"/>
                      <w:highlight w:val="none"/>
                    </w:rPr>
                  </w:pPr>
                </w:p>
              </w:tc>
              <w:tc>
                <w:tcPr>
                  <w:tcW w:w="2613" w:type="pct"/>
                  <w:vAlign w:val="center"/>
                </w:tcPr>
                <w:p w14:paraId="21EE935A">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color w:val="auto"/>
                      <w:kern w:val="2"/>
                      <w:highlight w:val="none"/>
                    </w:rPr>
                  </w:pPr>
                  <w:r>
                    <w:rPr>
                      <w:rFonts w:hint="eastAsia"/>
                      <w:color w:val="auto"/>
                      <w:kern w:val="2"/>
                      <w:highlight w:val="none"/>
                    </w:rPr>
                    <w:t>水环境优先保护区：饮用水水源一级保护区、二级保护区、准保护区</w:t>
                  </w:r>
                </w:p>
              </w:tc>
              <w:tc>
                <w:tcPr>
                  <w:tcW w:w="1630" w:type="pct"/>
                  <w:vAlign w:val="center"/>
                </w:tcPr>
                <w:p w14:paraId="3EB22024">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eastAsia="宋体"/>
                      <w:color w:val="auto"/>
                      <w:kern w:val="2"/>
                      <w:highlight w:val="none"/>
                      <w:lang w:val="en-US" w:eastAsia="zh-CN"/>
                    </w:rPr>
                  </w:pPr>
                  <w:r>
                    <w:rPr>
                      <w:rFonts w:hint="eastAsia"/>
                      <w:color w:val="auto"/>
                      <w:kern w:val="2"/>
                      <w:highlight w:val="none"/>
                    </w:rPr>
                    <w:t>项目不在饮用水水源保护区内，不属于水环境优先保护区</w:t>
                  </w:r>
                  <w:r>
                    <w:rPr>
                      <w:rFonts w:hint="eastAsia"/>
                      <w:color w:val="auto"/>
                      <w:kern w:val="2"/>
                      <w:highlight w:val="none"/>
                      <w:lang w:eastAsia="zh-CN"/>
                    </w:rPr>
                    <w:t>，</w:t>
                  </w:r>
                  <w:r>
                    <w:rPr>
                      <w:rFonts w:hint="eastAsia"/>
                      <w:color w:val="auto"/>
                      <w:kern w:val="2"/>
                      <w:highlight w:val="none"/>
                    </w:rPr>
                    <w:t>详见附图</w:t>
                  </w:r>
                  <w:r>
                    <w:rPr>
                      <w:rFonts w:hint="eastAsia"/>
                      <w:color w:val="auto"/>
                      <w:kern w:val="2"/>
                      <w:highlight w:val="none"/>
                      <w:lang w:val="en-US" w:eastAsia="zh-CN"/>
                    </w:rPr>
                    <w:t>9</w:t>
                  </w:r>
                </w:p>
              </w:tc>
              <w:tc>
                <w:tcPr>
                  <w:tcW w:w="435" w:type="pct"/>
                  <w:vAlign w:val="center"/>
                </w:tcPr>
                <w:p w14:paraId="6CE7022C">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color w:val="auto"/>
                      <w:kern w:val="2"/>
                      <w:highlight w:val="none"/>
                    </w:rPr>
                  </w:pPr>
                  <w:r>
                    <w:rPr>
                      <w:rFonts w:hint="eastAsia"/>
                      <w:color w:val="auto"/>
                      <w:kern w:val="2"/>
                      <w:highlight w:val="none"/>
                    </w:rPr>
                    <w:t>符合</w:t>
                  </w:r>
                </w:p>
              </w:tc>
            </w:tr>
            <w:tr w14:paraId="56BAD9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20" w:type="pct"/>
                  <w:vMerge w:val="continue"/>
                  <w:vAlign w:val="center"/>
                </w:tcPr>
                <w:p w14:paraId="12A3FB11">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color w:val="auto"/>
                      <w:kern w:val="2"/>
                      <w:highlight w:val="none"/>
                    </w:rPr>
                  </w:pPr>
                </w:p>
              </w:tc>
              <w:tc>
                <w:tcPr>
                  <w:tcW w:w="2613" w:type="pct"/>
                  <w:vAlign w:val="center"/>
                </w:tcPr>
                <w:p w14:paraId="2E059E5F">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color w:val="auto"/>
                      <w:kern w:val="2"/>
                      <w:highlight w:val="none"/>
                    </w:rPr>
                  </w:pPr>
                  <w:r>
                    <w:rPr>
                      <w:rFonts w:hint="eastAsia"/>
                      <w:color w:val="auto"/>
                      <w:kern w:val="2"/>
                      <w:highlight w:val="none"/>
                    </w:rPr>
                    <w:t>大气环境优先保护区（环境空气质量一类功能区）</w:t>
                  </w:r>
                </w:p>
              </w:tc>
              <w:tc>
                <w:tcPr>
                  <w:tcW w:w="1630" w:type="pct"/>
                  <w:vAlign w:val="center"/>
                </w:tcPr>
                <w:p w14:paraId="48D9F161">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eastAsia="宋体"/>
                      <w:color w:val="auto"/>
                      <w:kern w:val="2"/>
                      <w:highlight w:val="none"/>
                      <w:lang w:val="en-US" w:eastAsia="zh-CN"/>
                    </w:rPr>
                  </w:pPr>
                  <w:r>
                    <w:rPr>
                      <w:rFonts w:hint="eastAsia"/>
                      <w:color w:val="auto"/>
                      <w:kern w:val="2"/>
                      <w:highlight w:val="none"/>
                    </w:rPr>
                    <w:t>项目属于空气质量二类功能区，不属于大气环境优先保护区</w:t>
                  </w:r>
                  <w:r>
                    <w:rPr>
                      <w:rFonts w:hint="eastAsia"/>
                      <w:color w:val="auto"/>
                      <w:kern w:val="2"/>
                      <w:highlight w:val="none"/>
                      <w:lang w:eastAsia="zh-CN"/>
                    </w:rPr>
                    <w:t>，</w:t>
                  </w:r>
                  <w:r>
                    <w:rPr>
                      <w:rFonts w:hint="eastAsia"/>
                      <w:color w:val="auto"/>
                      <w:kern w:val="2"/>
                      <w:highlight w:val="none"/>
                      <w:lang w:val="en-US" w:eastAsia="zh-CN"/>
                    </w:rPr>
                    <w:t>详见附图10</w:t>
                  </w:r>
                </w:p>
              </w:tc>
              <w:tc>
                <w:tcPr>
                  <w:tcW w:w="435" w:type="pct"/>
                  <w:vAlign w:val="center"/>
                </w:tcPr>
                <w:p w14:paraId="4A729074">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color w:val="auto"/>
                      <w:kern w:val="2"/>
                      <w:highlight w:val="none"/>
                    </w:rPr>
                  </w:pPr>
                  <w:r>
                    <w:rPr>
                      <w:rFonts w:hint="eastAsia"/>
                      <w:color w:val="auto"/>
                      <w:kern w:val="2"/>
                      <w:highlight w:val="none"/>
                    </w:rPr>
                    <w:t>符合</w:t>
                  </w:r>
                </w:p>
              </w:tc>
            </w:tr>
            <w:tr w14:paraId="4634FD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0" w:type="pct"/>
                  <w:vMerge w:val="restart"/>
                  <w:vAlign w:val="center"/>
                </w:tcPr>
                <w:p w14:paraId="19FAF007">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color w:val="auto"/>
                      <w:kern w:val="2"/>
                      <w:highlight w:val="none"/>
                    </w:rPr>
                  </w:pPr>
                  <w:r>
                    <w:rPr>
                      <w:rFonts w:hint="eastAsia"/>
                      <w:color w:val="auto"/>
                      <w:kern w:val="2"/>
                      <w:highlight w:val="none"/>
                    </w:rPr>
                    <w:t>重点管控单元</w:t>
                  </w:r>
                </w:p>
              </w:tc>
              <w:tc>
                <w:tcPr>
                  <w:tcW w:w="2613" w:type="pct"/>
                  <w:vAlign w:val="center"/>
                </w:tcPr>
                <w:p w14:paraId="0C0E52EC">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color w:val="auto"/>
                      <w:kern w:val="2"/>
                      <w:highlight w:val="none"/>
                    </w:rPr>
                  </w:pPr>
                  <w:r>
                    <w:rPr>
                      <w:rFonts w:hint="eastAsia"/>
                      <w:color w:val="auto"/>
                      <w:kern w:val="2"/>
                      <w:highlight w:val="none"/>
                    </w:rPr>
                    <w:t>省级以上工业园区重点管控单元。依法开展园区规划环评，严格落实规划环评管理要求，开展环境质量跟踪监测，发布环境管理状况公告，制定并实施园区突发环境事件应急预案，定期开展环境安全隐患排查，提升风险防控及应急处置能力。周边1公里范围内涉及生态保护红线、自然保护地、饮用水水源地等生态环境敏感区域的园区，应优化产业布局，控制开发强度，优先引进无污染或轻污染的产业和项目，防止侵占生态空间。纳污水体水质超标的园区，应实施污水深度处理，新建、改建、扩建项目应实行重点污染物排放等量或减量替代。造纸、电镀、印染、鞣革等专业园区或基地应不断提升工艺水平，提高水回用率，逐步削减污染物排放总量；石化园区加快绿色智能升级改造，强化环保投入和管理，构建高效、清洁、低碳、循环的绿色制造体系。</w:t>
                  </w:r>
                </w:p>
              </w:tc>
              <w:tc>
                <w:tcPr>
                  <w:tcW w:w="1630" w:type="pct"/>
                  <w:vAlign w:val="center"/>
                </w:tcPr>
                <w:p w14:paraId="00A1C031">
                  <w:pPr>
                    <w:keepNext w:val="0"/>
                    <w:keepLines w:val="0"/>
                    <w:pageBreakBefore w:val="0"/>
                    <w:suppressLineNumbers w:val="0"/>
                    <w:kinsoku/>
                    <w:overflowPunct/>
                    <w:topLinePunct w:val="0"/>
                    <w:bidi w:val="0"/>
                    <w:adjustRightInd/>
                    <w:snapToGrid w:val="0"/>
                    <w:spacing w:before="0" w:beforeAutospacing="0" w:after="0" w:afterAutospacing="0" w:line="276" w:lineRule="auto"/>
                    <w:ind w:left="0" w:right="0"/>
                    <w:jc w:val="center"/>
                    <w:rPr>
                      <w:rFonts w:hint="eastAsia"/>
                      <w:color w:val="auto"/>
                      <w:highlight w:val="none"/>
                    </w:rPr>
                  </w:pPr>
                  <w:r>
                    <w:rPr>
                      <w:rFonts w:hint="eastAsia"/>
                      <w:color w:val="auto"/>
                      <w:sz w:val="21"/>
                      <w:szCs w:val="21"/>
                      <w:highlight w:val="none"/>
                    </w:rPr>
                    <w:t>根据附图1</w:t>
                  </w:r>
                  <w:r>
                    <w:rPr>
                      <w:rFonts w:hint="eastAsia"/>
                      <w:color w:val="auto"/>
                      <w:sz w:val="21"/>
                      <w:szCs w:val="21"/>
                      <w:highlight w:val="none"/>
                      <w:lang w:val="en-US" w:eastAsia="zh-CN"/>
                    </w:rPr>
                    <w:t>3</w:t>
                  </w:r>
                  <w:r>
                    <w:rPr>
                      <w:rFonts w:hint="eastAsia"/>
                      <w:color w:val="auto"/>
                      <w:sz w:val="21"/>
                      <w:szCs w:val="21"/>
                      <w:highlight w:val="none"/>
                    </w:rPr>
                    <w:t>，项目位于乐昌经济开发区重点管控单元（管控编码</w:t>
                  </w:r>
                  <w:r>
                    <w:rPr>
                      <w:rFonts w:hint="eastAsia"/>
                      <w:color w:val="auto"/>
                      <w:sz w:val="21"/>
                      <w:szCs w:val="21"/>
                      <w:highlight w:val="none"/>
                      <w:lang w:eastAsia="zh-CN"/>
                    </w:rPr>
                    <w:t>ZH44028120003</w:t>
                  </w:r>
                  <w:r>
                    <w:rPr>
                      <w:rFonts w:hint="eastAsia"/>
                      <w:color w:val="auto"/>
                      <w:sz w:val="21"/>
                      <w:szCs w:val="21"/>
                      <w:highlight w:val="none"/>
                    </w:rPr>
                    <w:t>），属于园区重点管控单元，项目主要从事</w:t>
                  </w:r>
                  <w:r>
                    <w:rPr>
                      <w:rFonts w:hint="eastAsia"/>
                      <w:color w:val="auto"/>
                      <w:sz w:val="21"/>
                      <w:szCs w:val="21"/>
                      <w:highlight w:val="none"/>
                      <w:lang w:val="en-US" w:eastAsia="zh-CN"/>
                    </w:rPr>
                    <w:t>废塑料破碎分选</w:t>
                  </w:r>
                  <w:r>
                    <w:rPr>
                      <w:rFonts w:hint="eastAsia"/>
                      <w:color w:val="auto"/>
                      <w:sz w:val="21"/>
                      <w:szCs w:val="21"/>
                      <w:highlight w:val="none"/>
                    </w:rPr>
                    <w:t>；生活污水经三级化粪池处理后排入园区污水处理厂处理，生产废水经自建污水处理站处理后排入园区污水处理</w:t>
                  </w:r>
                  <w:r>
                    <w:rPr>
                      <w:rFonts w:hint="eastAsia"/>
                      <w:color w:val="auto"/>
                      <w:sz w:val="21"/>
                      <w:szCs w:val="21"/>
                      <w:highlight w:val="none"/>
                      <w:lang w:eastAsia="zh-CN"/>
                    </w:rPr>
                    <w:t>厂</w:t>
                  </w:r>
                  <w:r>
                    <w:rPr>
                      <w:rFonts w:hint="eastAsia"/>
                      <w:color w:val="auto"/>
                      <w:sz w:val="21"/>
                      <w:szCs w:val="21"/>
                      <w:highlight w:val="none"/>
                    </w:rPr>
                    <w:t>处理达标后排放，无需分配水污染物总量。</w:t>
                  </w:r>
                </w:p>
              </w:tc>
              <w:tc>
                <w:tcPr>
                  <w:tcW w:w="435" w:type="pct"/>
                  <w:vAlign w:val="center"/>
                </w:tcPr>
                <w:p w14:paraId="425253CB">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color w:val="auto"/>
                      <w:kern w:val="2"/>
                      <w:highlight w:val="none"/>
                    </w:rPr>
                  </w:pPr>
                  <w:r>
                    <w:rPr>
                      <w:rFonts w:hint="eastAsia"/>
                      <w:color w:val="auto"/>
                      <w:kern w:val="2"/>
                      <w:highlight w:val="none"/>
                    </w:rPr>
                    <w:t>符合</w:t>
                  </w:r>
                </w:p>
              </w:tc>
            </w:tr>
            <w:tr w14:paraId="015ABC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0" w:type="pct"/>
                  <w:vMerge w:val="continue"/>
                  <w:vAlign w:val="center"/>
                </w:tcPr>
                <w:p w14:paraId="7FA1DF50">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color w:val="auto"/>
                      <w:kern w:val="2"/>
                      <w:highlight w:val="none"/>
                    </w:rPr>
                  </w:pPr>
                </w:p>
              </w:tc>
              <w:tc>
                <w:tcPr>
                  <w:tcW w:w="2613" w:type="pct"/>
                  <w:vAlign w:val="center"/>
                </w:tcPr>
                <w:p w14:paraId="77BEDD9C">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color w:val="auto"/>
                      <w:kern w:val="2"/>
                      <w:highlight w:val="none"/>
                    </w:rPr>
                  </w:pPr>
                  <w:r>
                    <w:rPr>
                      <w:rFonts w:hint="eastAsia"/>
                      <w:color w:val="auto"/>
                      <w:kern w:val="2"/>
                      <w:highlight w:val="none"/>
                    </w:rPr>
                    <w:t>水环境质量超标类重点管控单元。严格控制耗水量大、污染物排放强度高的行业发展，新建、改建、扩建项目实施重点水污染物减量替代。以城镇生活污染为主的单元，加快推进城镇生活污水有效收集处理，重点完善污水处理设施配套管网建设，加快实施雨污分流改造，推动提升污水处理设施进水水量和浓度，充分发挥污水处理设施治污效能。</w:t>
                  </w:r>
                </w:p>
              </w:tc>
              <w:tc>
                <w:tcPr>
                  <w:tcW w:w="1630" w:type="pct"/>
                  <w:vAlign w:val="center"/>
                </w:tcPr>
                <w:p w14:paraId="6331E918">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color w:val="auto"/>
                      <w:kern w:val="2"/>
                      <w:highlight w:val="none"/>
                    </w:rPr>
                  </w:pPr>
                  <w:r>
                    <w:rPr>
                      <w:rFonts w:hint="eastAsia"/>
                      <w:color w:val="auto"/>
                      <w:kern w:val="2"/>
                      <w:highlight w:val="none"/>
                    </w:rPr>
                    <w:t>项目不属于耗水量大和污染物排放强度高的行业，生活污水经三级化粪池预处理后排入园区污水处理</w:t>
                  </w:r>
                  <w:r>
                    <w:rPr>
                      <w:rFonts w:hint="eastAsia"/>
                      <w:color w:val="auto"/>
                      <w:kern w:val="2"/>
                      <w:highlight w:val="none"/>
                      <w:lang w:eastAsia="zh-CN"/>
                    </w:rPr>
                    <w:t>厂</w:t>
                  </w:r>
                  <w:r>
                    <w:rPr>
                      <w:rFonts w:hint="eastAsia"/>
                      <w:color w:val="auto"/>
                      <w:kern w:val="2"/>
                      <w:highlight w:val="none"/>
                    </w:rPr>
                    <w:t>；生产废水经自建污水处理站处理后排入园区污水处理厂处理达标后排放，不直接纳入水体，对水环境影响不大。</w:t>
                  </w:r>
                </w:p>
              </w:tc>
              <w:tc>
                <w:tcPr>
                  <w:tcW w:w="435" w:type="pct"/>
                  <w:vAlign w:val="center"/>
                </w:tcPr>
                <w:p w14:paraId="347A8E75">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color w:val="auto"/>
                      <w:kern w:val="2"/>
                      <w:highlight w:val="none"/>
                    </w:rPr>
                  </w:pPr>
                  <w:r>
                    <w:rPr>
                      <w:rFonts w:hint="eastAsia"/>
                      <w:color w:val="auto"/>
                      <w:kern w:val="2"/>
                      <w:highlight w:val="none"/>
                    </w:rPr>
                    <w:t>符合</w:t>
                  </w:r>
                </w:p>
              </w:tc>
            </w:tr>
            <w:tr w14:paraId="1FE9C8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0" w:type="pct"/>
                  <w:vMerge w:val="continue"/>
                  <w:vAlign w:val="center"/>
                </w:tcPr>
                <w:p w14:paraId="7FE0B0F6">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color w:val="auto"/>
                      <w:kern w:val="2"/>
                      <w:highlight w:val="none"/>
                    </w:rPr>
                  </w:pPr>
                </w:p>
              </w:tc>
              <w:tc>
                <w:tcPr>
                  <w:tcW w:w="2613" w:type="pct"/>
                  <w:vAlign w:val="center"/>
                </w:tcPr>
                <w:p w14:paraId="3A482B13">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color w:val="auto"/>
                      <w:kern w:val="2"/>
                      <w:highlight w:val="none"/>
                    </w:rPr>
                  </w:pPr>
                  <w:r>
                    <w:rPr>
                      <w:rFonts w:hint="eastAsia"/>
                      <w:color w:val="auto"/>
                      <w:kern w:val="2"/>
                      <w:highlight w:val="none"/>
                    </w:rPr>
                    <w:t>大气环境受体敏感类重点管控单元。严格限制新建钢铁、燃煤燃油火电、石化、储油库等项目，产生和排放有毒有害大气污染物项目，以及使用溶剂型油墨、涂料、清洗剂、胶黏剂等高挥发性有机物原辅材料的项目；鼓励现有该类项目逐步搬迁退出</w:t>
                  </w:r>
                </w:p>
              </w:tc>
              <w:tc>
                <w:tcPr>
                  <w:tcW w:w="1630" w:type="pct"/>
                  <w:vAlign w:val="center"/>
                </w:tcPr>
                <w:p w14:paraId="6D2E0BCD">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color w:val="auto"/>
                      <w:kern w:val="2"/>
                      <w:highlight w:val="none"/>
                    </w:rPr>
                  </w:pPr>
                  <w:r>
                    <w:rPr>
                      <w:rFonts w:hint="eastAsia"/>
                      <w:color w:val="auto"/>
                      <w:kern w:val="2"/>
                      <w:highlight w:val="none"/>
                    </w:rPr>
                    <w:t>项目不属于</w:t>
                  </w:r>
                  <w:r>
                    <w:rPr>
                      <w:rFonts w:hint="eastAsia"/>
                      <w:color w:val="auto"/>
                      <w:kern w:val="2"/>
                      <w:highlight w:val="none"/>
                      <w:lang w:val="en-US" w:eastAsia="zh-CN"/>
                    </w:rPr>
                    <w:t>产生和排放</w:t>
                  </w:r>
                  <w:r>
                    <w:rPr>
                      <w:rFonts w:hint="eastAsia"/>
                      <w:color w:val="auto"/>
                      <w:kern w:val="2"/>
                      <w:highlight w:val="none"/>
                    </w:rPr>
                    <w:t>有毒有害大气污染物的项目</w:t>
                  </w:r>
                </w:p>
              </w:tc>
              <w:tc>
                <w:tcPr>
                  <w:tcW w:w="435" w:type="pct"/>
                  <w:vAlign w:val="center"/>
                </w:tcPr>
                <w:p w14:paraId="62ECA54F">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color w:val="auto"/>
                      <w:kern w:val="2"/>
                      <w:highlight w:val="none"/>
                    </w:rPr>
                  </w:pPr>
                  <w:r>
                    <w:rPr>
                      <w:rFonts w:hint="eastAsia"/>
                      <w:color w:val="auto"/>
                      <w:kern w:val="2"/>
                      <w:highlight w:val="none"/>
                    </w:rPr>
                    <w:t>符合</w:t>
                  </w:r>
                </w:p>
              </w:tc>
            </w:tr>
            <w:tr w14:paraId="66C4A8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0" w:type="pct"/>
                  <w:vAlign w:val="center"/>
                </w:tcPr>
                <w:p w14:paraId="20C631D1">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color w:val="auto"/>
                      <w:kern w:val="2"/>
                      <w:highlight w:val="none"/>
                    </w:rPr>
                  </w:pPr>
                  <w:r>
                    <w:rPr>
                      <w:rFonts w:hint="eastAsia"/>
                      <w:color w:val="auto"/>
                      <w:kern w:val="2"/>
                      <w:highlight w:val="none"/>
                    </w:rPr>
                    <w:t>一般管控单元</w:t>
                  </w:r>
                </w:p>
              </w:tc>
              <w:tc>
                <w:tcPr>
                  <w:tcW w:w="2613" w:type="pct"/>
                  <w:vAlign w:val="center"/>
                </w:tcPr>
                <w:p w14:paraId="0C59FF51">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color w:val="auto"/>
                      <w:kern w:val="2"/>
                      <w:highlight w:val="none"/>
                    </w:rPr>
                  </w:pPr>
                  <w:r>
                    <w:rPr>
                      <w:rFonts w:hint="eastAsia"/>
                      <w:color w:val="auto"/>
                      <w:kern w:val="2"/>
                      <w:highlight w:val="none"/>
                    </w:rPr>
                    <w:t>执行区域生态环境保护的基本要求。根据资源环境承载能力，引导产业科学布局，合理控制开发强度，维护生态环境功能稳定</w:t>
                  </w:r>
                </w:p>
              </w:tc>
              <w:tc>
                <w:tcPr>
                  <w:tcW w:w="1630" w:type="pct"/>
                  <w:vAlign w:val="center"/>
                </w:tcPr>
                <w:p w14:paraId="6A797FA1">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color w:val="auto"/>
                      <w:kern w:val="2"/>
                      <w:highlight w:val="none"/>
                    </w:rPr>
                  </w:pPr>
                  <w:r>
                    <w:rPr>
                      <w:rFonts w:hint="eastAsia"/>
                      <w:color w:val="auto"/>
                      <w:kern w:val="2"/>
                      <w:highlight w:val="none"/>
                    </w:rPr>
                    <w:t>项目执行区域生态环境保护的基本要求</w:t>
                  </w:r>
                </w:p>
              </w:tc>
              <w:tc>
                <w:tcPr>
                  <w:tcW w:w="435" w:type="pct"/>
                  <w:vAlign w:val="center"/>
                </w:tcPr>
                <w:p w14:paraId="0FF9A038">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color w:val="auto"/>
                      <w:kern w:val="2"/>
                      <w:highlight w:val="none"/>
                    </w:rPr>
                  </w:pPr>
                  <w:r>
                    <w:rPr>
                      <w:rFonts w:hint="eastAsia"/>
                      <w:color w:val="auto"/>
                      <w:kern w:val="2"/>
                      <w:highlight w:val="none"/>
                    </w:rPr>
                    <w:t>符合</w:t>
                  </w:r>
                </w:p>
              </w:tc>
            </w:tr>
          </w:tbl>
          <w:p w14:paraId="06765BD9">
            <w:pPr>
              <w:keepNext w:val="0"/>
              <w:keepLines w:val="0"/>
              <w:pageBreakBefore w:val="0"/>
              <w:suppressLineNumbers w:val="0"/>
              <w:kinsoku/>
              <w:overflowPunct/>
              <w:topLinePunct w:val="0"/>
              <w:bidi w:val="0"/>
              <w:snapToGrid/>
              <w:spacing w:before="0" w:beforeAutospacing="0" w:after="0" w:afterAutospacing="0" w:line="348" w:lineRule="auto"/>
              <w:ind w:left="0" w:right="86" w:rightChars="36" w:firstLine="480" w:firstLineChars="200"/>
              <w:jc w:val="left"/>
              <w:rPr>
                <w:rFonts w:hint="eastAsia"/>
                <w:color w:val="auto"/>
                <w:highlight w:val="none"/>
              </w:rPr>
            </w:pPr>
            <w:r>
              <w:rPr>
                <w:rFonts w:hint="eastAsia"/>
                <w:color w:val="auto"/>
                <w:highlight w:val="none"/>
              </w:rPr>
              <w:t>综上所述，项目符合《广东省人民政府关于印发广东省“三线一单”生态环境分区管控方案的通知（粤府〔2020〕71 号）》的相关要求。</w:t>
            </w:r>
          </w:p>
          <w:p w14:paraId="1726A676">
            <w:pPr>
              <w:keepNext w:val="0"/>
              <w:keepLines w:val="0"/>
              <w:pageBreakBefore w:val="0"/>
              <w:suppressLineNumbers w:val="0"/>
              <w:kinsoku/>
              <w:overflowPunct/>
              <w:topLinePunct w:val="0"/>
              <w:bidi w:val="0"/>
              <w:snapToGrid/>
              <w:spacing w:before="0" w:beforeAutospacing="0" w:after="0" w:afterAutospacing="0" w:line="348" w:lineRule="auto"/>
              <w:ind w:left="0" w:right="86" w:rightChars="36" w:firstLine="480" w:firstLineChars="200"/>
              <w:jc w:val="left"/>
              <w:rPr>
                <w:rFonts w:hint="eastAsia"/>
                <w:b/>
                <w:bCs/>
                <w:color w:val="auto"/>
                <w:highlight w:val="none"/>
              </w:rPr>
            </w:pPr>
            <w:r>
              <w:rPr>
                <w:rFonts w:hint="eastAsia"/>
                <w:b/>
                <w:bCs/>
                <w:color w:val="auto"/>
                <w:highlight w:val="none"/>
                <w:lang w:val="en-US" w:eastAsia="zh-CN"/>
              </w:rPr>
              <w:t>2、</w:t>
            </w:r>
            <w:r>
              <w:rPr>
                <w:rFonts w:hint="eastAsia"/>
                <w:b/>
                <w:bCs/>
                <w:color w:val="auto"/>
                <w:highlight w:val="none"/>
              </w:rPr>
              <w:t>项目与《韶关市“三线一单”生态环境分区管控方案》（韶府〔2021〕10号）</w:t>
            </w:r>
            <w:r>
              <w:rPr>
                <w:rFonts w:hint="eastAsia"/>
                <w:b/>
                <w:bCs/>
                <w:color w:val="auto"/>
                <w:highlight w:val="none"/>
                <w:lang w:val="en-US" w:eastAsia="zh-CN"/>
              </w:rPr>
              <w:t>和《韶关市生态环境分区管控动态更新成果》</w:t>
            </w:r>
            <w:r>
              <w:rPr>
                <w:rFonts w:hint="eastAsia"/>
                <w:b/>
                <w:bCs/>
                <w:color w:val="auto"/>
                <w:highlight w:val="none"/>
              </w:rPr>
              <w:t>的相符性分析</w:t>
            </w:r>
          </w:p>
          <w:p w14:paraId="743EFA43">
            <w:pPr>
              <w:keepNext w:val="0"/>
              <w:keepLines w:val="0"/>
              <w:pageBreakBefore w:val="0"/>
              <w:suppressLineNumbers w:val="0"/>
              <w:kinsoku/>
              <w:overflowPunct/>
              <w:topLinePunct w:val="0"/>
              <w:bidi w:val="0"/>
              <w:snapToGrid/>
              <w:spacing w:before="0" w:beforeAutospacing="0" w:after="0" w:afterAutospacing="0" w:line="348" w:lineRule="auto"/>
              <w:ind w:left="0" w:right="86" w:rightChars="36" w:firstLine="480" w:firstLineChars="200"/>
              <w:jc w:val="both"/>
              <w:rPr>
                <w:rFonts w:hint="eastAsia" w:eastAsia="宋体"/>
                <w:b/>
                <w:bCs/>
                <w:color w:val="auto"/>
                <w:highlight w:val="none"/>
                <w:lang w:val="en-US" w:eastAsia="zh-CN"/>
              </w:rPr>
            </w:pPr>
            <w:r>
              <w:rPr>
                <w:rFonts w:hint="default" w:ascii="Times New Roman" w:hAnsi="Times New Roman" w:cs="Times New Roman"/>
                <w:bCs/>
                <w:color w:val="auto"/>
                <w:sz w:val="24"/>
                <w:szCs w:val="24"/>
                <w:highlight w:val="none"/>
              </w:rPr>
              <w:t>根据</w:t>
            </w:r>
            <w:r>
              <w:rPr>
                <w:rFonts w:hint="default" w:ascii="Times New Roman" w:hAnsi="Times New Roman" w:cs="Times New Roman"/>
                <w:color w:val="auto"/>
                <w:kern w:val="0"/>
                <w:sz w:val="24"/>
                <w:szCs w:val="24"/>
                <w:highlight w:val="none"/>
              </w:rPr>
              <w:t>《韶关市生态环境分区管控动态更新成果》</w:t>
            </w:r>
            <w:r>
              <w:rPr>
                <w:rFonts w:hint="eastAsia" w:ascii="Times New Roman" w:hAnsi="Times New Roman" w:cs="Times New Roman"/>
                <w:color w:val="auto"/>
                <w:kern w:val="0"/>
                <w:sz w:val="24"/>
                <w:szCs w:val="24"/>
                <w:highlight w:val="none"/>
                <w:lang w:eastAsia="zh-CN"/>
              </w:rPr>
              <w:t>，</w:t>
            </w:r>
            <w:r>
              <w:rPr>
                <w:rFonts w:hint="eastAsia" w:ascii="Times New Roman" w:hAnsi="Times New Roman" w:cs="Times New Roman"/>
                <w:color w:val="auto"/>
                <w:kern w:val="0"/>
                <w:sz w:val="24"/>
                <w:szCs w:val="24"/>
                <w:highlight w:val="none"/>
                <w:lang w:val="en-US" w:eastAsia="zh-CN"/>
              </w:rPr>
              <w:t>本项目所在环境管控单位为乐昌经济开发区重点管控单元（编号：</w:t>
            </w:r>
            <w:r>
              <w:rPr>
                <w:rFonts w:hint="eastAsia" w:cs="Times New Roman"/>
                <w:color w:val="auto"/>
                <w:kern w:val="0"/>
                <w:sz w:val="24"/>
                <w:szCs w:val="24"/>
                <w:highlight w:val="none"/>
                <w:lang w:val="en-US" w:eastAsia="zh-CN"/>
              </w:rPr>
              <w:t>ZH44028120003</w:t>
            </w:r>
            <w:r>
              <w:rPr>
                <w:rFonts w:hint="eastAsia" w:ascii="Times New Roman" w:hAnsi="Times New Roman" w:cs="Times New Roman"/>
                <w:color w:val="auto"/>
                <w:kern w:val="0"/>
                <w:sz w:val="24"/>
                <w:szCs w:val="24"/>
                <w:highlight w:val="none"/>
                <w:lang w:val="en-US" w:eastAsia="zh-CN"/>
              </w:rPr>
              <w:t>）</w:t>
            </w:r>
            <w:r>
              <w:rPr>
                <w:rFonts w:hint="default" w:ascii="Times New Roman" w:hAnsi="Times New Roman" w:cs="Times New Roman"/>
                <w:bCs/>
                <w:color w:val="auto"/>
                <w:sz w:val="24"/>
                <w:szCs w:val="24"/>
                <w:highlight w:val="none"/>
              </w:rPr>
              <w:t>，本项目与所在区域的生态保护红线、环境质量底线、资源利用上线</w:t>
            </w:r>
            <w:r>
              <w:rPr>
                <w:rFonts w:hint="eastAsia" w:cs="Times New Roman"/>
                <w:bCs/>
                <w:color w:val="auto"/>
                <w:sz w:val="24"/>
                <w:szCs w:val="24"/>
                <w:highlight w:val="none"/>
                <w:lang w:val="en-US" w:eastAsia="zh-CN"/>
              </w:rPr>
              <w:t>如下表所示</w:t>
            </w:r>
            <w:r>
              <w:rPr>
                <w:rFonts w:hint="eastAsia" w:cs="Times New Roman"/>
                <w:bCs/>
                <w:color w:val="auto"/>
                <w:sz w:val="24"/>
                <w:szCs w:val="24"/>
                <w:highlight w:val="none"/>
                <w:lang w:eastAsia="zh-CN"/>
              </w:rPr>
              <w:t>。</w:t>
            </w:r>
          </w:p>
          <w:p w14:paraId="2CCBF11B">
            <w:pPr>
              <w:pStyle w:val="102"/>
              <w:keepNext w:val="0"/>
              <w:keepLines w:val="0"/>
              <w:suppressLineNumbers w:val="0"/>
              <w:bidi w:val="0"/>
              <w:spacing w:before="0" w:beforeAutospacing="0" w:after="0" w:afterAutospacing="0"/>
              <w:ind w:left="0" w:leftChars="0" w:right="0" w:firstLine="0" w:firstLineChars="0"/>
              <w:rPr>
                <w:rFonts w:hint="eastAsia"/>
                <w:color w:val="auto"/>
                <w:sz w:val="21"/>
                <w:szCs w:val="21"/>
                <w:highlight w:val="none"/>
              </w:rPr>
            </w:pPr>
            <w:r>
              <w:rPr>
                <w:rFonts w:hint="eastAsia"/>
                <w:color w:val="auto"/>
                <w:sz w:val="21"/>
                <w:szCs w:val="21"/>
                <w:highlight w:val="none"/>
                <w:lang w:val="en-US" w:eastAsia="zh-CN"/>
              </w:rPr>
              <w:t>与韶关市生态环境分区管控方案</w:t>
            </w:r>
            <w:r>
              <w:rPr>
                <w:rFonts w:hint="eastAsia"/>
                <w:color w:val="auto"/>
                <w:sz w:val="21"/>
                <w:szCs w:val="21"/>
                <w:highlight w:val="none"/>
              </w:rPr>
              <w:t>相符性分析一览表</w:t>
            </w:r>
          </w:p>
          <w:tbl>
            <w:tblPr>
              <w:tblStyle w:val="39"/>
              <w:tblW w:w="134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0"/>
              <w:gridCol w:w="6055"/>
              <w:gridCol w:w="5643"/>
              <w:gridCol w:w="1019"/>
            </w:tblGrid>
            <w:tr w14:paraId="682025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282" w:type="pct"/>
                  <w:vAlign w:val="center"/>
                </w:tcPr>
                <w:p w14:paraId="6E749E05">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类别</w:t>
                  </w:r>
                </w:p>
              </w:tc>
              <w:tc>
                <w:tcPr>
                  <w:tcW w:w="2246" w:type="pct"/>
                  <w:vAlign w:val="center"/>
                </w:tcPr>
                <w:p w14:paraId="16F00BEA">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文件要求</w:t>
                  </w:r>
                </w:p>
              </w:tc>
              <w:tc>
                <w:tcPr>
                  <w:tcW w:w="2093" w:type="pct"/>
                  <w:vAlign w:val="center"/>
                </w:tcPr>
                <w:p w14:paraId="32B50E7F">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本项目情况</w:t>
                  </w:r>
                </w:p>
              </w:tc>
              <w:tc>
                <w:tcPr>
                  <w:tcW w:w="378" w:type="pct"/>
                  <w:vAlign w:val="center"/>
                </w:tcPr>
                <w:p w14:paraId="00BB4DF2">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符合性</w:t>
                  </w:r>
                </w:p>
              </w:tc>
            </w:tr>
            <w:tr w14:paraId="537AD3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5" w:hRule="atLeast"/>
                <w:jc w:val="center"/>
              </w:trPr>
              <w:tc>
                <w:tcPr>
                  <w:tcW w:w="282" w:type="pct"/>
                  <w:vAlign w:val="center"/>
                </w:tcPr>
                <w:p w14:paraId="1AA89DDC">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生态保护红线</w:t>
                  </w:r>
                </w:p>
              </w:tc>
              <w:tc>
                <w:tcPr>
                  <w:tcW w:w="2246" w:type="pct"/>
                  <w:vAlign w:val="center"/>
                </w:tcPr>
                <w:p w14:paraId="712300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cs="Times New Roman"/>
                      <w:color w:val="auto"/>
                      <w:kern w:val="0"/>
                      <w:sz w:val="21"/>
                      <w:szCs w:val="21"/>
                      <w:highlight w:val="none"/>
                    </w:rPr>
                  </w:pPr>
                  <w:r>
                    <w:rPr>
                      <w:rFonts w:hint="eastAsia" w:ascii="宋体" w:hAnsi="宋体" w:eastAsia="宋体" w:cs="宋体"/>
                      <w:color w:val="auto"/>
                      <w:kern w:val="0"/>
                      <w:sz w:val="21"/>
                      <w:szCs w:val="21"/>
                      <w:highlight w:val="none"/>
                      <w:lang w:val="en-US" w:eastAsia="zh-CN"/>
                    </w:rPr>
                    <w:t>生态保护红线及一般生态空间。全市陆域生态保护红线面积</w:t>
                  </w:r>
                  <w:r>
                    <w:rPr>
                      <w:rFonts w:hint="default" w:ascii="Times New Roman" w:hAnsi="Times New Roman" w:eastAsia="宋体" w:cs="Times New Roman"/>
                      <w:color w:val="auto"/>
                      <w:kern w:val="0"/>
                      <w:sz w:val="21"/>
                      <w:szCs w:val="21"/>
                      <w:highlight w:val="none"/>
                      <w:lang w:val="en-US" w:eastAsia="zh-CN"/>
                    </w:rPr>
                    <w:t>5827.58</w:t>
                  </w:r>
                  <w:r>
                    <w:rPr>
                      <w:rFonts w:hint="eastAsia" w:ascii="宋体" w:hAnsi="宋体" w:eastAsia="宋体" w:cs="宋体"/>
                      <w:color w:val="auto"/>
                      <w:kern w:val="0"/>
                      <w:sz w:val="21"/>
                      <w:szCs w:val="21"/>
                      <w:highlight w:val="none"/>
                      <w:lang w:val="en-US" w:eastAsia="zh-CN"/>
                    </w:rPr>
                    <w:t>平方千米，占全市陆域国土面积的</w:t>
                  </w:r>
                  <w:r>
                    <w:rPr>
                      <w:rFonts w:hint="default" w:ascii="Times New Roman" w:hAnsi="Times New Roman" w:eastAsia="宋体" w:cs="Times New Roman"/>
                      <w:color w:val="auto"/>
                      <w:kern w:val="0"/>
                      <w:sz w:val="21"/>
                      <w:szCs w:val="21"/>
                      <w:highlight w:val="none"/>
                      <w:lang w:val="en-US" w:eastAsia="zh-CN"/>
                    </w:rPr>
                    <w:t>31.65%</w:t>
                  </w:r>
                  <w:r>
                    <w:rPr>
                      <w:rFonts w:hint="eastAsia" w:ascii="宋体" w:hAnsi="宋体" w:eastAsia="宋体" w:cs="宋体"/>
                      <w:color w:val="auto"/>
                      <w:kern w:val="0"/>
                      <w:sz w:val="21"/>
                      <w:szCs w:val="21"/>
                      <w:highlight w:val="none"/>
                      <w:lang w:val="en-US" w:eastAsia="zh-CN"/>
                    </w:rPr>
                    <w:t>；一般生态空间面积</w:t>
                  </w:r>
                  <w:r>
                    <w:rPr>
                      <w:rFonts w:hint="default" w:ascii="Times New Roman" w:hAnsi="Times New Roman" w:eastAsia="宋体" w:cs="Times New Roman"/>
                      <w:color w:val="auto"/>
                      <w:kern w:val="0"/>
                      <w:sz w:val="21"/>
                      <w:szCs w:val="21"/>
                      <w:highlight w:val="none"/>
                      <w:lang w:val="en-US" w:eastAsia="zh-CN"/>
                    </w:rPr>
                    <w:t>4951.43</w:t>
                  </w:r>
                  <w:r>
                    <w:rPr>
                      <w:rFonts w:hint="eastAsia" w:ascii="宋体" w:hAnsi="宋体" w:eastAsia="宋体" w:cs="宋体"/>
                      <w:color w:val="auto"/>
                      <w:kern w:val="0"/>
                      <w:sz w:val="21"/>
                      <w:szCs w:val="21"/>
                      <w:highlight w:val="none"/>
                      <w:lang w:val="en-US" w:eastAsia="zh-CN"/>
                    </w:rPr>
                    <w:t>平方千米</w:t>
                  </w:r>
                  <w:r>
                    <w:rPr>
                      <w:rFonts w:hint="eastAsia" w:ascii="宋体" w:hAnsi="宋体" w:eastAsia="宋体" w:cs="宋体"/>
                      <w:color w:val="auto"/>
                      <w:kern w:val="0"/>
                      <w:sz w:val="24"/>
                      <w:szCs w:val="24"/>
                      <w:highlight w:val="none"/>
                      <w:lang w:val="en-US" w:eastAsia="zh-CN"/>
                    </w:rPr>
                    <w:t>。</w:t>
                  </w:r>
                </w:p>
                <w:p w14:paraId="284C1C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cs="Times New Roman"/>
                      <w:color w:val="auto"/>
                      <w:kern w:val="0"/>
                      <w:sz w:val="21"/>
                      <w:szCs w:val="21"/>
                      <w:highlight w:val="none"/>
                    </w:rPr>
                  </w:pPr>
                  <w:r>
                    <w:rPr>
                      <w:rFonts w:hint="eastAsia" w:ascii="宋体" w:hAnsi="宋体" w:eastAsia="宋体" w:cs="宋体"/>
                      <w:color w:val="auto"/>
                      <w:kern w:val="0"/>
                      <w:sz w:val="21"/>
                      <w:szCs w:val="21"/>
                      <w:highlight w:val="none"/>
                      <w:lang w:val="en-US" w:eastAsia="zh-CN"/>
                    </w:rPr>
                    <w:t>生态保护红线内自然保护地核心保护区外，禁止开发性、生产性建设活动，在符合法律法规的前提下，仅允许对生态功能不造成破坏的有限人为活动；生态保护红线内自然保护区、风景名胜区、饮用水水源保护区等区域，依照法律法规执行。上述允许的有限人为活动之外，确需占用生态保护红线的国家重大项目，按照有关规定办理用地审批。</w:t>
                  </w:r>
                </w:p>
              </w:tc>
              <w:tc>
                <w:tcPr>
                  <w:tcW w:w="2093" w:type="pct"/>
                  <w:vAlign w:val="center"/>
                </w:tcPr>
                <w:p w14:paraId="75777E8D">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both"/>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本项目选址不涉及自然保护区、风景名胜区、饮用水源保护区、基本农田保护区及其它需要特殊保护的敏感区域，项目位于</w:t>
                  </w:r>
                  <w:r>
                    <w:rPr>
                      <w:rFonts w:hint="eastAsia" w:cs="Times New Roman"/>
                      <w:color w:val="auto"/>
                      <w:kern w:val="0"/>
                      <w:sz w:val="21"/>
                      <w:szCs w:val="21"/>
                      <w:highlight w:val="none"/>
                      <w:lang w:eastAsia="zh-CN"/>
                    </w:rPr>
                    <w:t>韶关市乐昌市乐昌产业转移工业园GL-02-04-02-03地块</w:t>
                  </w:r>
                  <w:r>
                    <w:rPr>
                      <w:rFonts w:hint="default" w:ascii="Times New Roman" w:hAnsi="Times New Roman" w:cs="Times New Roman"/>
                      <w:color w:val="auto"/>
                      <w:sz w:val="21"/>
                      <w:szCs w:val="21"/>
                      <w:highlight w:val="none"/>
                    </w:rPr>
                    <w:t>，不在生态红线内。</w:t>
                  </w:r>
                </w:p>
              </w:tc>
              <w:tc>
                <w:tcPr>
                  <w:tcW w:w="378" w:type="pct"/>
                  <w:vAlign w:val="center"/>
                </w:tcPr>
                <w:p w14:paraId="75AF5478">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符合</w:t>
                  </w:r>
                </w:p>
              </w:tc>
            </w:tr>
            <w:tr w14:paraId="1A416F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5" w:hRule="atLeast"/>
                <w:jc w:val="center"/>
              </w:trPr>
              <w:tc>
                <w:tcPr>
                  <w:tcW w:w="282" w:type="pct"/>
                  <w:vAlign w:val="center"/>
                </w:tcPr>
                <w:p w14:paraId="498DE7B2">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环境质量底线</w:t>
                  </w:r>
                </w:p>
              </w:tc>
              <w:tc>
                <w:tcPr>
                  <w:tcW w:w="2246" w:type="pct"/>
                  <w:vAlign w:val="center"/>
                </w:tcPr>
                <w:p w14:paraId="7E41D5E9">
                  <w:pPr>
                    <w:keepNext w:val="0"/>
                    <w:keepLines w:val="0"/>
                    <w:pageBreakBefore w:val="0"/>
                    <w:widowControl/>
                    <w:suppressLineNumbers w:val="0"/>
                    <w:kinsoku/>
                    <w:wordWrap/>
                    <w:overflowPunct/>
                    <w:topLinePunct w:val="0"/>
                    <w:bidi w:val="0"/>
                    <w:snapToGrid/>
                    <w:spacing w:before="0" w:beforeAutospacing="0" w:after="0" w:afterAutospacing="0" w:line="276" w:lineRule="auto"/>
                    <w:ind w:left="0" w:right="0"/>
                    <w:jc w:val="both"/>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全市水环境质量保持优良，县级以上集中式饮用水水源水质全面稳定达到或优于Ⅲ类，考核断面优良水质比例达100%。大气环境质量持续改善，AQI和PM</w:t>
                  </w:r>
                  <w:r>
                    <w:rPr>
                      <w:rFonts w:hint="default" w:ascii="Times New Roman" w:hAnsi="Times New Roman" w:cs="Times New Roman"/>
                      <w:color w:val="auto"/>
                      <w:kern w:val="0"/>
                      <w:sz w:val="21"/>
                      <w:szCs w:val="21"/>
                      <w:highlight w:val="none"/>
                      <w:vertAlign w:val="subscript"/>
                    </w:rPr>
                    <w:t>2.5</w:t>
                  </w:r>
                  <w:r>
                    <w:rPr>
                      <w:rFonts w:hint="default" w:ascii="Times New Roman" w:hAnsi="Times New Roman" w:cs="Times New Roman"/>
                      <w:color w:val="auto"/>
                      <w:kern w:val="0"/>
                      <w:sz w:val="21"/>
                      <w:szCs w:val="21"/>
                      <w:highlight w:val="none"/>
                    </w:rPr>
                    <w:t>等主要指标达到省下达的任务要求，臭氧污染得到有效遏制。土壤环境质量稳中向好，土壤环境风险得到管控。</w:t>
                  </w:r>
                </w:p>
              </w:tc>
              <w:tc>
                <w:tcPr>
                  <w:tcW w:w="2093" w:type="pct"/>
                  <w:vAlign w:val="center"/>
                </w:tcPr>
                <w:p w14:paraId="659C4212">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both"/>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项目所在区域的声环境质量能够符合相应的标准要求；地表水质量达标；根据《韶关市生态环境状况公报》（202</w:t>
                  </w:r>
                  <w:r>
                    <w:rPr>
                      <w:rFonts w:hint="eastAsia" w:cs="Times New Roman"/>
                      <w:color w:val="auto"/>
                      <w:kern w:val="0"/>
                      <w:sz w:val="21"/>
                      <w:szCs w:val="21"/>
                      <w:highlight w:val="none"/>
                      <w:lang w:val="en-US" w:eastAsia="zh-CN"/>
                    </w:rPr>
                    <w:t>4</w:t>
                  </w:r>
                  <w:r>
                    <w:rPr>
                      <w:rFonts w:hint="default" w:ascii="Times New Roman" w:hAnsi="Times New Roman" w:cs="Times New Roman"/>
                      <w:color w:val="auto"/>
                      <w:kern w:val="0"/>
                      <w:sz w:val="21"/>
                      <w:szCs w:val="21"/>
                      <w:highlight w:val="none"/>
                    </w:rPr>
                    <w:t>年）</w:t>
                  </w:r>
                  <w:r>
                    <w:rPr>
                      <w:rFonts w:hint="default" w:ascii="Times New Roman" w:hAnsi="Times New Roman" w:cs="Times New Roman"/>
                      <w:bCs/>
                      <w:color w:val="auto"/>
                      <w:sz w:val="21"/>
                      <w:szCs w:val="21"/>
                      <w:highlight w:val="none"/>
                    </w:rPr>
                    <w:t>，乐昌市</w:t>
                  </w:r>
                  <w:r>
                    <w:rPr>
                      <w:rFonts w:hint="eastAsia" w:cs="Times New Roman"/>
                      <w:bCs/>
                      <w:color w:val="auto"/>
                      <w:sz w:val="21"/>
                      <w:szCs w:val="21"/>
                      <w:highlight w:val="none"/>
                      <w:lang w:val="en-US" w:eastAsia="zh-CN"/>
                    </w:rPr>
                    <w:t>各项基本污染物</w:t>
                  </w:r>
                  <w:r>
                    <w:rPr>
                      <w:rFonts w:hint="default" w:ascii="Times New Roman" w:hAnsi="Times New Roman" w:cs="Times New Roman"/>
                      <w:bCs/>
                      <w:color w:val="auto"/>
                      <w:sz w:val="21"/>
                      <w:szCs w:val="21"/>
                      <w:highlight w:val="none"/>
                    </w:rPr>
                    <w:t>均满足《环境空气质量标准》(GB3095-2012)及2018年修改单二级标准，属于环境空气质量达标区</w:t>
                  </w:r>
                  <w:r>
                    <w:rPr>
                      <w:rFonts w:hint="default" w:ascii="Times New Roman" w:hAnsi="Times New Roman" w:cs="Times New Roman"/>
                      <w:color w:val="auto"/>
                      <w:kern w:val="0"/>
                      <w:sz w:val="21"/>
                      <w:szCs w:val="21"/>
                      <w:highlight w:val="none"/>
                    </w:rPr>
                    <w:t>。本项目排放的大气污染物</w:t>
                  </w:r>
                  <w:r>
                    <w:rPr>
                      <w:rFonts w:hint="eastAsia" w:ascii="Times New Roman" w:hAnsi="Times New Roman" w:cs="Times New Roman"/>
                      <w:color w:val="auto"/>
                      <w:kern w:val="0"/>
                      <w:sz w:val="21"/>
                      <w:szCs w:val="21"/>
                      <w:highlight w:val="none"/>
                      <w:lang w:val="en-US" w:eastAsia="zh-CN"/>
                    </w:rPr>
                    <w:t>为颗粒物</w:t>
                  </w:r>
                  <w:r>
                    <w:rPr>
                      <w:rFonts w:hint="default" w:ascii="Times New Roman" w:hAnsi="Times New Roman" w:cs="Times New Roman"/>
                      <w:color w:val="auto"/>
                      <w:kern w:val="0"/>
                      <w:sz w:val="21"/>
                      <w:szCs w:val="21"/>
                      <w:highlight w:val="none"/>
                    </w:rPr>
                    <w:t>，</w:t>
                  </w:r>
                  <w:r>
                    <w:rPr>
                      <w:rFonts w:hint="eastAsia" w:ascii="Times New Roman" w:hAnsi="Times New Roman" w:cs="Times New Roman"/>
                      <w:color w:val="auto"/>
                      <w:kern w:val="0"/>
                      <w:sz w:val="21"/>
                      <w:szCs w:val="21"/>
                      <w:highlight w:val="none"/>
                      <w:lang w:val="en-US" w:eastAsia="zh-CN"/>
                    </w:rPr>
                    <w:t>项目废气排放量较少</w:t>
                  </w:r>
                  <w:r>
                    <w:rPr>
                      <w:rFonts w:hint="default" w:ascii="Times New Roman" w:hAnsi="Times New Roman" w:cs="Times New Roman"/>
                      <w:color w:val="auto"/>
                      <w:kern w:val="0"/>
                      <w:sz w:val="21"/>
                      <w:szCs w:val="21"/>
                      <w:highlight w:val="none"/>
                    </w:rPr>
                    <w:t>，对周围大气环境影响不大。项目</w:t>
                  </w:r>
                  <w:r>
                    <w:rPr>
                      <w:rFonts w:hint="eastAsia" w:ascii="Times New Roman" w:hAnsi="Times New Roman" w:cs="Times New Roman"/>
                      <w:color w:val="auto"/>
                      <w:sz w:val="21"/>
                      <w:szCs w:val="21"/>
                      <w:highlight w:val="none"/>
                      <w:lang w:val="en-US" w:eastAsia="zh-CN"/>
                    </w:rPr>
                    <w:t>生产废水经自处理达标后、</w:t>
                  </w:r>
                  <w:r>
                    <w:rPr>
                      <w:rFonts w:hint="default" w:ascii="Times New Roman" w:hAnsi="Times New Roman" w:cs="Times New Roman"/>
                      <w:color w:val="auto"/>
                      <w:sz w:val="21"/>
                      <w:szCs w:val="21"/>
                      <w:highlight w:val="none"/>
                    </w:rPr>
                    <w:t>生活污水经三级化粪池预处理后</w:t>
                  </w:r>
                  <w:r>
                    <w:rPr>
                      <w:rFonts w:hint="eastAsia" w:ascii="Times New Roman" w:hAnsi="Times New Roman" w:cs="Times New Roman"/>
                      <w:color w:val="auto"/>
                      <w:sz w:val="21"/>
                      <w:szCs w:val="21"/>
                      <w:highlight w:val="none"/>
                      <w:lang w:val="en-US" w:eastAsia="zh-CN"/>
                    </w:rPr>
                    <w:t>一并排入园区污水处理厂处理</w:t>
                  </w:r>
                  <w:r>
                    <w:rPr>
                      <w:rFonts w:hint="default" w:ascii="Times New Roman" w:hAnsi="Times New Roman" w:cs="Times New Roman"/>
                      <w:color w:val="auto"/>
                      <w:sz w:val="21"/>
                      <w:szCs w:val="21"/>
                      <w:highlight w:val="none"/>
                    </w:rPr>
                    <w:t>。</w:t>
                  </w:r>
                </w:p>
              </w:tc>
              <w:tc>
                <w:tcPr>
                  <w:tcW w:w="378" w:type="pct"/>
                  <w:vAlign w:val="center"/>
                </w:tcPr>
                <w:p w14:paraId="4F6D9FFF">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符合</w:t>
                  </w:r>
                </w:p>
              </w:tc>
            </w:tr>
            <w:tr w14:paraId="7BD7F6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0" w:hRule="atLeast"/>
                <w:jc w:val="center"/>
              </w:trPr>
              <w:tc>
                <w:tcPr>
                  <w:tcW w:w="282" w:type="pct"/>
                  <w:vAlign w:val="center"/>
                </w:tcPr>
                <w:p w14:paraId="5AD6D97A">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资源利用上线</w:t>
                  </w:r>
                </w:p>
              </w:tc>
              <w:tc>
                <w:tcPr>
                  <w:tcW w:w="2246" w:type="pct"/>
                  <w:vAlign w:val="center"/>
                </w:tcPr>
                <w:p w14:paraId="282AB2F0">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both"/>
                    <w:textAlignment w:val="auto"/>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强化节约集约利用，持续提升资源能源利用效率，水资源、土地资源、岸线资源、能源消耗等达到或优于国家、省下达的总量和强度控制目标。水资源利用效率持续提高。到</w:t>
                  </w:r>
                  <w:r>
                    <w:rPr>
                      <w:rFonts w:hint="default" w:ascii="Times New Roman" w:hAnsi="Times New Roman" w:eastAsia="宋体" w:cs="Times New Roman"/>
                      <w:color w:val="auto"/>
                      <w:kern w:val="0"/>
                      <w:sz w:val="21"/>
                      <w:szCs w:val="21"/>
                      <w:highlight w:val="none"/>
                      <w:lang w:val="en-US" w:eastAsia="zh-CN"/>
                    </w:rPr>
                    <w:t>2025</w:t>
                  </w:r>
                  <w:r>
                    <w:rPr>
                      <w:rFonts w:hint="eastAsia" w:ascii="Times New Roman" w:hAnsi="Times New Roman" w:eastAsia="宋体" w:cs="Times New Roman"/>
                      <w:color w:val="auto"/>
                      <w:kern w:val="0"/>
                      <w:sz w:val="21"/>
                      <w:szCs w:val="21"/>
                      <w:highlight w:val="none"/>
                      <w:lang w:val="en-US" w:eastAsia="zh-CN"/>
                    </w:rPr>
                    <w:t>年，全市用水总量控制在</w:t>
                  </w:r>
                  <w:r>
                    <w:rPr>
                      <w:rFonts w:hint="default" w:ascii="Times New Roman" w:hAnsi="Times New Roman" w:eastAsia="宋体" w:cs="Times New Roman"/>
                      <w:color w:val="auto"/>
                      <w:kern w:val="0"/>
                      <w:sz w:val="21"/>
                      <w:szCs w:val="21"/>
                      <w:highlight w:val="none"/>
                      <w:lang w:val="en-US" w:eastAsia="zh-CN"/>
                    </w:rPr>
                    <w:t>19.71</w:t>
                  </w:r>
                  <w:r>
                    <w:rPr>
                      <w:rFonts w:hint="eastAsia" w:ascii="Times New Roman" w:hAnsi="Times New Roman" w:eastAsia="宋体" w:cs="Times New Roman"/>
                      <w:color w:val="auto"/>
                      <w:kern w:val="0"/>
                      <w:sz w:val="21"/>
                      <w:szCs w:val="21"/>
                      <w:highlight w:val="none"/>
                      <w:lang w:val="en-US" w:eastAsia="zh-CN"/>
                    </w:rPr>
                    <w:t>亿立方米以内，万元地区生产总值用水量较</w:t>
                  </w:r>
                  <w:r>
                    <w:rPr>
                      <w:rFonts w:hint="default" w:ascii="Times New Roman" w:hAnsi="Times New Roman" w:eastAsia="宋体" w:cs="Times New Roman"/>
                      <w:color w:val="auto"/>
                      <w:kern w:val="0"/>
                      <w:sz w:val="21"/>
                      <w:szCs w:val="21"/>
                      <w:highlight w:val="none"/>
                      <w:lang w:val="en-US" w:eastAsia="zh-CN"/>
                    </w:rPr>
                    <w:t>2020</w:t>
                  </w:r>
                  <w:r>
                    <w:rPr>
                      <w:rFonts w:hint="eastAsia" w:ascii="Times New Roman" w:hAnsi="Times New Roman" w:eastAsia="宋体" w:cs="Times New Roman"/>
                      <w:color w:val="auto"/>
                      <w:kern w:val="0"/>
                      <w:sz w:val="21"/>
                      <w:szCs w:val="21"/>
                      <w:highlight w:val="none"/>
                      <w:lang w:val="en-US" w:eastAsia="zh-CN"/>
                    </w:rPr>
                    <w:t>年降幅不低于</w:t>
                  </w:r>
                  <w:r>
                    <w:rPr>
                      <w:rFonts w:hint="default" w:ascii="Times New Roman" w:hAnsi="Times New Roman" w:eastAsia="宋体" w:cs="Times New Roman"/>
                      <w:color w:val="auto"/>
                      <w:kern w:val="0"/>
                      <w:sz w:val="21"/>
                      <w:szCs w:val="21"/>
                      <w:highlight w:val="none"/>
                      <w:lang w:val="en-US" w:eastAsia="zh-CN"/>
                    </w:rPr>
                    <w:t>24%</w:t>
                  </w:r>
                  <w:r>
                    <w:rPr>
                      <w:rFonts w:hint="eastAsia" w:ascii="Times New Roman" w:hAnsi="Times New Roman" w:eastAsia="宋体" w:cs="Times New Roman"/>
                      <w:color w:val="auto"/>
                      <w:kern w:val="0"/>
                      <w:sz w:val="21"/>
                      <w:szCs w:val="21"/>
                      <w:highlight w:val="none"/>
                      <w:lang w:val="en-US" w:eastAsia="zh-CN"/>
                    </w:rPr>
                    <w:t>，万元工业增加值用水量较</w:t>
                  </w:r>
                  <w:r>
                    <w:rPr>
                      <w:rFonts w:hint="default" w:ascii="Times New Roman" w:hAnsi="Times New Roman" w:eastAsia="宋体" w:cs="Times New Roman"/>
                      <w:color w:val="auto"/>
                      <w:kern w:val="0"/>
                      <w:sz w:val="21"/>
                      <w:szCs w:val="21"/>
                      <w:highlight w:val="none"/>
                      <w:lang w:val="en-US" w:eastAsia="zh-CN"/>
                    </w:rPr>
                    <w:t>2020</w:t>
                  </w:r>
                  <w:r>
                    <w:rPr>
                      <w:rFonts w:hint="eastAsia" w:ascii="Times New Roman" w:hAnsi="Times New Roman" w:eastAsia="宋体" w:cs="Times New Roman"/>
                      <w:color w:val="auto"/>
                      <w:kern w:val="0"/>
                      <w:sz w:val="21"/>
                      <w:szCs w:val="21"/>
                      <w:highlight w:val="none"/>
                      <w:lang w:val="en-US" w:eastAsia="zh-CN"/>
                    </w:rPr>
                    <w:t>年降幅不低于</w:t>
                  </w:r>
                  <w:r>
                    <w:rPr>
                      <w:rFonts w:hint="default" w:ascii="Times New Roman" w:hAnsi="Times New Roman" w:eastAsia="宋体" w:cs="Times New Roman"/>
                      <w:color w:val="auto"/>
                      <w:kern w:val="0"/>
                      <w:sz w:val="21"/>
                      <w:szCs w:val="21"/>
                      <w:highlight w:val="none"/>
                      <w:lang w:val="en-US" w:eastAsia="zh-CN"/>
                    </w:rPr>
                    <w:t>20%</w:t>
                  </w:r>
                  <w:r>
                    <w:rPr>
                      <w:rFonts w:hint="eastAsia" w:ascii="Times New Roman" w:hAnsi="Times New Roman" w:eastAsia="宋体" w:cs="Times New Roman"/>
                      <w:color w:val="auto"/>
                      <w:kern w:val="0"/>
                      <w:sz w:val="21"/>
                      <w:szCs w:val="21"/>
                      <w:highlight w:val="none"/>
                      <w:lang w:val="en-US" w:eastAsia="zh-CN"/>
                    </w:rPr>
                    <w:t>。</w:t>
                  </w:r>
                </w:p>
                <w:p w14:paraId="3EA42B85">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both"/>
                    <w:textAlignment w:val="auto"/>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土地资源集约化利用水平不断提升。耕地保有量、永久基本农田保护面积、建设用地总规模、城乡建设用地规模等严格落实国家和省下达的总量和强度控制指标。</w:t>
                  </w:r>
                </w:p>
                <w:p w14:paraId="186B249F">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both"/>
                    <w:textAlignment w:val="auto"/>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岸线资源得到有效保护。自然岸线保有率达到省级考核要求。</w:t>
                  </w:r>
                </w:p>
                <w:p w14:paraId="31FCA7E1">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both"/>
                    <w:textAlignment w:val="auto"/>
                    <w:rPr>
                      <w:rFonts w:hint="eastAsia" w:ascii="Times New Roman" w:hAnsi="Times New Roman" w:eastAsia="宋体" w:cs="Times New Roman"/>
                      <w:color w:val="auto"/>
                      <w:kern w:val="0"/>
                      <w:sz w:val="21"/>
                      <w:szCs w:val="21"/>
                      <w:highlight w:val="none"/>
                      <w:lang w:eastAsia="zh-CN"/>
                    </w:rPr>
                  </w:pPr>
                  <w:r>
                    <w:rPr>
                      <w:rFonts w:hint="eastAsia" w:ascii="Times New Roman" w:hAnsi="Times New Roman" w:eastAsia="宋体" w:cs="Times New Roman"/>
                      <w:color w:val="auto"/>
                      <w:kern w:val="0"/>
                      <w:sz w:val="21"/>
                      <w:szCs w:val="21"/>
                      <w:highlight w:val="none"/>
                      <w:lang w:val="en-US" w:eastAsia="zh-CN"/>
                    </w:rPr>
                    <w:t>能源利用效率持续提升，能源结构不断优化。到</w:t>
                  </w:r>
                  <w:r>
                    <w:rPr>
                      <w:rFonts w:hint="default" w:ascii="Times New Roman" w:hAnsi="Times New Roman" w:eastAsia="宋体" w:cs="Times New Roman"/>
                      <w:color w:val="auto"/>
                      <w:kern w:val="0"/>
                      <w:sz w:val="21"/>
                      <w:szCs w:val="21"/>
                      <w:highlight w:val="none"/>
                      <w:lang w:val="en-US" w:eastAsia="zh-CN"/>
                    </w:rPr>
                    <w:t>2025</w:t>
                  </w:r>
                  <w:r>
                    <w:rPr>
                      <w:rFonts w:hint="eastAsia" w:ascii="Times New Roman" w:hAnsi="Times New Roman" w:eastAsia="宋体" w:cs="Times New Roman"/>
                      <w:color w:val="auto"/>
                      <w:kern w:val="0"/>
                      <w:sz w:val="21"/>
                      <w:szCs w:val="21"/>
                      <w:highlight w:val="none"/>
                      <w:lang w:val="en-US" w:eastAsia="zh-CN"/>
                    </w:rPr>
                    <w:t>年，全市单位地区生产总值能源消耗比</w:t>
                  </w:r>
                  <w:r>
                    <w:rPr>
                      <w:rFonts w:hint="default" w:ascii="Times New Roman" w:hAnsi="Times New Roman" w:eastAsia="宋体" w:cs="Times New Roman"/>
                      <w:color w:val="auto"/>
                      <w:kern w:val="0"/>
                      <w:sz w:val="21"/>
                      <w:szCs w:val="21"/>
                      <w:highlight w:val="none"/>
                      <w:lang w:val="en-US" w:eastAsia="zh-CN"/>
                    </w:rPr>
                    <w:t>2020</w:t>
                  </w:r>
                  <w:r>
                    <w:rPr>
                      <w:rFonts w:hint="eastAsia" w:ascii="Times New Roman" w:hAnsi="Times New Roman" w:eastAsia="宋体" w:cs="Times New Roman"/>
                      <w:color w:val="auto"/>
                      <w:kern w:val="0"/>
                      <w:sz w:val="21"/>
                      <w:szCs w:val="21"/>
                      <w:highlight w:val="none"/>
                      <w:lang w:val="en-US" w:eastAsia="zh-CN"/>
                    </w:rPr>
                    <w:t>年下降</w:t>
                  </w:r>
                  <w:r>
                    <w:rPr>
                      <w:rFonts w:hint="default" w:ascii="Times New Roman" w:hAnsi="Times New Roman" w:eastAsia="宋体" w:cs="Times New Roman"/>
                      <w:color w:val="auto"/>
                      <w:kern w:val="0"/>
                      <w:sz w:val="21"/>
                      <w:szCs w:val="21"/>
                      <w:highlight w:val="none"/>
                      <w:lang w:val="en-US" w:eastAsia="zh-CN"/>
                    </w:rPr>
                    <w:t>15.5%</w:t>
                  </w:r>
                  <w:r>
                    <w:rPr>
                      <w:rFonts w:hint="eastAsia" w:ascii="Times New Roman" w:hAnsi="Times New Roman" w:eastAsia="宋体" w:cs="Times New Roman"/>
                      <w:color w:val="auto"/>
                      <w:kern w:val="0"/>
                      <w:sz w:val="21"/>
                      <w:szCs w:val="21"/>
                      <w:highlight w:val="none"/>
                      <w:lang w:val="en-US" w:eastAsia="zh-CN"/>
                    </w:rPr>
                    <w:t>。碳排放控制步伐加快推进，与全省同步达峰。</w:t>
                  </w:r>
                </w:p>
              </w:tc>
              <w:tc>
                <w:tcPr>
                  <w:tcW w:w="2093" w:type="pct"/>
                  <w:vAlign w:val="center"/>
                </w:tcPr>
                <w:p w14:paraId="11529018">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both"/>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本项目营运过程中消耗一定量的电能、水资源，项目资源消耗量相对区域资料利用总量较少，符合资源利用上限的要求。</w:t>
                  </w:r>
                </w:p>
              </w:tc>
              <w:tc>
                <w:tcPr>
                  <w:tcW w:w="378" w:type="pct"/>
                  <w:vAlign w:val="center"/>
                </w:tcPr>
                <w:p w14:paraId="515D2880">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符合</w:t>
                  </w:r>
                </w:p>
              </w:tc>
            </w:tr>
          </w:tbl>
          <w:p w14:paraId="2FC5151B">
            <w:pPr>
              <w:pStyle w:val="102"/>
              <w:keepNext w:val="0"/>
              <w:keepLines w:val="0"/>
              <w:numPr>
                <w:ilvl w:val="0"/>
                <w:numId w:val="0"/>
              </w:numPr>
              <w:suppressLineNumbers w:val="0"/>
              <w:bidi w:val="0"/>
              <w:spacing w:before="0" w:beforeAutospacing="0" w:after="0" w:afterAutospacing="0"/>
              <w:ind w:left="0" w:leftChars="0" w:right="0"/>
              <w:jc w:val="both"/>
              <w:rPr>
                <w:rFonts w:hint="eastAsia"/>
                <w:color w:val="auto"/>
                <w:sz w:val="21"/>
                <w:szCs w:val="21"/>
                <w:highlight w:val="none"/>
              </w:rPr>
            </w:pPr>
          </w:p>
          <w:p w14:paraId="2B8DCAD8">
            <w:pPr>
              <w:pStyle w:val="102"/>
              <w:keepNext w:val="0"/>
              <w:keepLines w:val="0"/>
              <w:numPr>
                <w:ilvl w:val="0"/>
                <w:numId w:val="0"/>
              </w:numPr>
              <w:suppressLineNumbers w:val="0"/>
              <w:bidi w:val="0"/>
              <w:spacing w:before="0" w:beforeAutospacing="0" w:after="0" w:afterAutospacing="0"/>
              <w:ind w:left="0" w:leftChars="0" w:right="0"/>
              <w:jc w:val="both"/>
              <w:rPr>
                <w:rFonts w:hint="eastAsia"/>
                <w:color w:val="auto"/>
                <w:sz w:val="21"/>
                <w:szCs w:val="21"/>
                <w:highlight w:val="none"/>
              </w:rPr>
            </w:pPr>
          </w:p>
          <w:p w14:paraId="1DBEABA5">
            <w:pPr>
              <w:pStyle w:val="102"/>
              <w:keepNext w:val="0"/>
              <w:keepLines w:val="0"/>
              <w:numPr>
                <w:ilvl w:val="0"/>
                <w:numId w:val="0"/>
              </w:numPr>
              <w:suppressLineNumbers w:val="0"/>
              <w:bidi w:val="0"/>
              <w:spacing w:before="0" w:beforeAutospacing="0" w:after="0" w:afterAutospacing="0"/>
              <w:ind w:left="0" w:leftChars="0" w:right="0" w:firstLine="480" w:firstLineChars="200"/>
              <w:jc w:val="both"/>
              <w:rPr>
                <w:rFonts w:hint="default" w:eastAsia="宋体"/>
                <w:b w:val="0"/>
                <w:bCs w:val="0"/>
                <w:color w:val="auto"/>
                <w:sz w:val="24"/>
                <w:szCs w:val="24"/>
                <w:highlight w:val="none"/>
                <w:lang w:val="en-US" w:eastAsia="zh-CN"/>
              </w:rPr>
            </w:pPr>
            <w:r>
              <w:rPr>
                <w:rFonts w:hint="default" w:ascii="Times New Roman" w:hAnsi="Times New Roman" w:cs="Times New Roman"/>
                <w:b w:val="0"/>
                <w:bCs w:val="0"/>
                <w:color w:val="auto"/>
                <w:sz w:val="24"/>
                <w:szCs w:val="24"/>
                <w:highlight w:val="none"/>
              </w:rPr>
              <w:t>本项目与</w:t>
            </w:r>
            <w:r>
              <w:rPr>
                <w:rFonts w:hint="eastAsia" w:ascii="Times New Roman" w:hAnsi="Times New Roman" w:cs="Times New Roman"/>
                <w:b w:val="0"/>
                <w:bCs w:val="0"/>
                <w:color w:val="auto"/>
                <w:sz w:val="24"/>
                <w:szCs w:val="24"/>
                <w:highlight w:val="none"/>
                <w:lang w:val="en-US" w:eastAsia="zh-CN"/>
              </w:rPr>
              <w:t>韶关市</w:t>
            </w:r>
            <w:r>
              <w:rPr>
                <w:rFonts w:hint="eastAsia" w:cs="Times New Roman"/>
                <w:b w:val="0"/>
                <w:bCs w:val="0"/>
                <w:color w:val="auto"/>
                <w:sz w:val="24"/>
                <w:szCs w:val="24"/>
                <w:highlight w:val="none"/>
                <w:lang w:val="en-US" w:eastAsia="zh-CN"/>
              </w:rPr>
              <w:t>生态环境分区</w:t>
            </w:r>
            <w:r>
              <w:rPr>
                <w:rFonts w:hint="eastAsia" w:ascii="Times New Roman" w:hAnsi="Times New Roman" w:cs="Times New Roman"/>
                <w:b w:val="0"/>
                <w:bCs w:val="0"/>
                <w:color w:val="auto"/>
                <w:sz w:val="24"/>
                <w:szCs w:val="24"/>
                <w:highlight w:val="none"/>
                <w:lang w:val="en-US" w:eastAsia="zh-CN"/>
              </w:rPr>
              <w:t>管控要求如下表所示：</w:t>
            </w:r>
          </w:p>
          <w:p w14:paraId="16F3ABE0">
            <w:pPr>
              <w:pStyle w:val="102"/>
              <w:keepNext w:val="0"/>
              <w:keepLines w:val="0"/>
              <w:suppressLineNumbers w:val="0"/>
              <w:bidi w:val="0"/>
              <w:spacing w:before="0" w:beforeAutospacing="0" w:after="0" w:afterAutospacing="0"/>
              <w:ind w:left="0" w:leftChars="0" w:right="0" w:firstLine="0" w:firstLineChars="0"/>
              <w:rPr>
                <w:rFonts w:hint="eastAsia"/>
                <w:color w:val="auto"/>
                <w:sz w:val="21"/>
                <w:szCs w:val="21"/>
                <w:highlight w:val="none"/>
              </w:rPr>
            </w:pPr>
            <w:r>
              <w:rPr>
                <w:rFonts w:hint="eastAsia"/>
                <w:color w:val="auto"/>
                <w:sz w:val="21"/>
                <w:szCs w:val="21"/>
                <w:highlight w:val="none"/>
                <w:lang w:val="en-US" w:eastAsia="zh-CN"/>
              </w:rPr>
              <w:t>与韶关市生态环境分区管控要求相符性分析</w:t>
            </w:r>
          </w:p>
          <w:tbl>
            <w:tblPr>
              <w:tblStyle w:val="40"/>
              <w:tblW w:w="5010" w:type="pct"/>
              <w:tblInd w:w="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2"/>
              <w:gridCol w:w="865"/>
              <w:gridCol w:w="8125"/>
              <w:gridCol w:w="3151"/>
              <w:gridCol w:w="855"/>
            </w:tblGrid>
            <w:tr w14:paraId="130172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13" w:type="pct"/>
                  <w:gridSpan w:val="2"/>
                  <w:tcBorders>
                    <w:tl2br w:val="nil"/>
                    <w:tr2bl w:val="nil"/>
                  </w:tcBorders>
                  <w:vAlign w:val="center"/>
                </w:tcPr>
                <w:p w14:paraId="239738AC">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eastAsia"/>
                      <w:b/>
                      <w:bCs/>
                      <w:color w:val="auto"/>
                      <w:sz w:val="21"/>
                      <w:szCs w:val="21"/>
                      <w:highlight w:val="none"/>
                    </w:rPr>
                  </w:pPr>
                  <w:r>
                    <w:rPr>
                      <w:rFonts w:hint="eastAsia"/>
                      <w:b/>
                      <w:bCs/>
                      <w:color w:val="auto"/>
                      <w:sz w:val="21"/>
                      <w:szCs w:val="21"/>
                      <w:highlight w:val="none"/>
                    </w:rPr>
                    <w:t>内容</w:t>
                  </w:r>
                </w:p>
              </w:tc>
              <w:tc>
                <w:tcPr>
                  <w:tcW w:w="3004" w:type="pct"/>
                  <w:tcBorders>
                    <w:tl2br w:val="nil"/>
                    <w:tr2bl w:val="nil"/>
                  </w:tcBorders>
                  <w:vAlign w:val="center"/>
                </w:tcPr>
                <w:p w14:paraId="2D91F575">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eastAsia"/>
                      <w:b/>
                      <w:bCs/>
                      <w:color w:val="auto"/>
                      <w:sz w:val="21"/>
                      <w:szCs w:val="21"/>
                      <w:highlight w:val="none"/>
                    </w:rPr>
                  </w:pPr>
                  <w:r>
                    <w:rPr>
                      <w:rFonts w:hint="eastAsia"/>
                      <w:b/>
                      <w:bCs/>
                      <w:color w:val="auto"/>
                      <w:sz w:val="21"/>
                      <w:szCs w:val="21"/>
                      <w:highlight w:val="none"/>
                    </w:rPr>
                    <w:t>要求</w:t>
                  </w:r>
                </w:p>
              </w:tc>
              <w:tc>
                <w:tcPr>
                  <w:tcW w:w="1165" w:type="pct"/>
                  <w:tcBorders>
                    <w:tl2br w:val="nil"/>
                    <w:tr2bl w:val="nil"/>
                  </w:tcBorders>
                  <w:vAlign w:val="center"/>
                </w:tcPr>
                <w:p w14:paraId="20EF5BD4">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eastAsia"/>
                      <w:b/>
                      <w:bCs/>
                      <w:color w:val="auto"/>
                      <w:sz w:val="21"/>
                      <w:szCs w:val="21"/>
                      <w:highlight w:val="none"/>
                    </w:rPr>
                  </w:pPr>
                  <w:r>
                    <w:rPr>
                      <w:rFonts w:hint="eastAsia"/>
                      <w:b/>
                      <w:bCs/>
                      <w:color w:val="auto"/>
                      <w:sz w:val="21"/>
                      <w:szCs w:val="21"/>
                      <w:highlight w:val="none"/>
                    </w:rPr>
                    <w:t>相符性分析</w:t>
                  </w:r>
                </w:p>
              </w:tc>
              <w:tc>
                <w:tcPr>
                  <w:tcW w:w="316" w:type="pct"/>
                  <w:tcBorders>
                    <w:tl2br w:val="nil"/>
                    <w:tr2bl w:val="nil"/>
                  </w:tcBorders>
                  <w:vAlign w:val="center"/>
                </w:tcPr>
                <w:p w14:paraId="63DD2823">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eastAsia"/>
                      <w:b/>
                      <w:bCs/>
                      <w:color w:val="auto"/>
                      <w:sz w:val="21"/>
                      <w:szCs w:val="21"/>
                      <w:highlight w:val="none"/>
                    </w:rPr>
                  </w:pPr>
                  <w:r>
                    <w:rPr>
                      <w:rFonts w:hint="eastAsia"/>
                      <w:b/>
                      <w:bCs/>
                      <w:color w:val="auto"/>
                      <w:sz w:val="21"/>
                      <w:szCs w:val="21"/>
                      <w:highlight w:val="none"/>
                    </w:rPr>
                    <w:t>结论</w:t>
                  </w:r>
                </w:p>
              </w:tc>
            </w:tr>
            <w:tr w14:paraId="457C9E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193" w:type="pct"/>
                  <w:vMerge w:val="restart"/>
                  <w:tcBorders>
                    <w:tl2br w:val="nil"/>
                    <w:tr2bl w:val="nil"/>
                  </w:tcBorders>
                  <w:vAlign w:val="center"/>
                </w:tcPr>
                <w:p w14:paraId="7DFEDA28">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eastAsia"/>
                      <w:b/>
                      <w:bCs/>
                      <w:color w:val="auto"/>
                      <w:sz w:val="21"/>
                      <w:szCs w:val="21"/>
                      <w:highlight w:val="none"/>
                    </w:rPr>
                  </w:pPr>
                  <w:r>
                    <w:rPr>
                      <w:rFonts w:hint="eastAsia"/>
                      <w:b/>
                      <w:bCs/>
                      <w:color w:val="auto"/>
                      <w:sz w:val="21"/>
                      <w:szCs w:val="21"/>
                      <w:highlight w:val="none"/>
                    </w:rPr>
                    <w:t>全市总体管控</w:t>
                  </w:r>
                </w:p>
              </w:tc>
              <w:tc>
                <w:tcPr>
                  <w:tcW w:w="319" w:type="pct"/>
                  <w:tcBorders>
                    <w:tl2br w:val="nil"/>
                    <w:tr2bl w:val="nil"/>
                  </w:tcBorders>
                  <w:vAlign w:val="center"/>
                </w:tcPr>
                <w:p w14:paraId="61EEACF7">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eastAsia"/>
                      <w:b/>
                      <w:bCs/>
                      <w:color w:val="auto"/>
                      <w:sz w:val="21"/>
                      <w:szCs w:val="21"/>
                      <w:highlight w:val="none"/>
                    </w:rPr>
                  </w:pPr>
                  <w:r>
                    <w:rPr>
                      <w:rFonts w:hint="eastAsia"/>
                      <w:color w:val="auto"/>
                      <w:kern w:val="0"/>
                      <w:sz w:val="21"/>
                      <w:szCs w:val="21"/>
                      <w:highlight w:val="none"/>
                    </w:rPr>
                    <w:t>区域布局管控</w:t>
                  </w:r>
                </w:p>
              </w:tc>
              <w:tc>
                <w:tcPr>
                  <w:tcW w:w="3004" w:type="pct"/>
                  <w:tcBorders>
                    <w:tl2br w:val="nil"/>
                    <w:tr2bl w:val="nil"/>
                  </w:tcBorders>
                  <w:vAlign w:val="center"/>
                </w:tcPr>
                <w:p w14:paraId="486F9DB5">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eastAsia"/>
                      <w:b/>
                      <w:bCs/>
                      <w:color w:val="auto"/>
                      <w:sz w:val="21"/>
                      <w:szCs w:val="21"/>
                      <w:highlight w:val="none"/>
                    </w:rPr>
                  </w:pPr>
                  <w:r>
                    <w:rPr>
                      <w:rFonts w:hint="eastAsia"/>
                      <w:color w:val="auto"/>
                      <w:sz w:val="21"/>
                      <w:szCs w:val="21"/>
                      <w:highlight w:val="none"/>
                    </w:rPr>
                    <w:t>严格控制涉重金属和高污染高能耗项目建设。新建、扩建石化、化工、焦化、有色金属冶炼、平板玻璃项目应布设在依法合规设立并经规划环评的产业园区。严格控制水污染严重地区和水源保护敏感区域高耗水、高污染行业发展。新丰县东南部（丰城街道、梅坑镇、黄礤镇、马头镇）严控水污染项目建设，新建、改建、扩建涉水建设项目实行主要污染物和特征污染物排放减量替代。环境空气质量一类功能区实施严格保护，禁止新建、扩建排放大气污染物的工业项目（国家和省规定不纳入环评管理的项目除外）。逐步扩大高污染燃料禁燃区范围。</w:t>
                  </w:r>
                </w:p>
              </w:tc>
              <w:tc>
                <w:tcPr>
                  <w:tcW w:w="1165" w:type="pct"/>
                  <w:tcBorders>
                    <w:tl2br w:val="nil"/>
                    <w:tr2bl w:val="nil"/>
                  </w:tcBorders>
                  <w:vAlign w:val="center"/>
                </w:tcPr>
                <w:p w14:paraId="03F4ACF5">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eastAsia"/>
                      <w:color w:val="auto"/>
                      <w:sz w:val="21"/>
                      <w:szCs w:val="21"/>
                      <w:highlight w:val="none"/>
                    </w:rPr>
                  </w:pPr>
                  <w:r>
                    <w:rPr>
                      <w:rFonts w:hint="eastAsia"/>
                      <w:color w:val="auto"/>
                      <w:sz w:val="21"/>
                      <w:szCs w:val="21"/>
                      <w:highlight w:val="none"/>
                    </w:rPr>
                    <w:t>本项目主要从事</w:t>
                  </w:r>
                  <w:r>
                    <w:rPr>
                      <w:rFonts w:hint="eastAsia"/>
                      <w:color w:val="auto"/>
                      <w:sz w:val="21"/>
                      <w:szCs w:val="21"/>
                      <w:highlight w:val="none"/>
                      <w:lang w:val="en-US" w:eastAsia="zh-CN"/>
                    </w:rPr>
                    <w:t>废塑料破碎分选</w:t>
                  </w:r>
                  <w:r>
                    <w:rPr>
                      <w:rFonts w:hint="eastAsia"/>
                      <w:color w:val="auto"/>
                      <w:sz w:val="21"/>
                      <w:szCs w:val="21"/>
                      <w:highlight w:val="none"/>
                    </w:rPr>
                    <w:t>，不涉重金属，不属于高污染高耗能行业，项目位于乐昌产业转移工业园，园区已开展规划环境评价，项目符合园区准入条件。项目所在地属于</w:t>
                  </w:r>
                  <w:r>
                    <w:rPr>
                      <w:rFonts w:hint="eastAsia"/>
                      <w:color w:val="auto"/>
                      <w:sz w:val="21"/>
                      <w:szCs w:val="21"/>
                      <w:highlight w:val="none"/>
                      <w:lang w:val="en-US" w:eastAsia="zh-CN"/>
                    </w:rPr>
                    <w:t>空气</w:t>
                  </w:r>
                  <w:r>
                    <w:rPr>
                      <w:rFonts w:hint="eastAsia"/>
                      <w:color w:val="auto"/>
                      <w:sz w:val="21"/>
                      <w:szCs w:val="21"/>
                      <w:highlight w:val="none"/>
                    </w:rPr>
                    <w:t>环境功能二类区、水环境质量达标区。</w:t>
                  </w:r>
                </w:p>
              </w:tc>
              <w:tc>
                <w:tcPr>
                  <w:tcW w:w="316" w:type="pct"/>
                  <w:tcBorders>
                    <w:tl2br w:val="nil"/>
                    <w:tr2bl w:val="nil"/>
                  </w:tcBorders>
                  <w:vAlign w:val="center"/>
                </w:tcPr>
                <w:p w14:paraId="2646137F">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eastAsia"/>
                      <w:b/>
                      <w:bCs/>
                      <w:color w:val="auto"/>
                      <w:sz w:val="21"/>
                      <w:szCs w:val="21"/>
                      <w:highlight w:val="none"/>
                    </w:rPr>
                  </w:pPr>
                  <w:r>
                    <w:rPr>
                      <w:rFonts w:hint="eastAsia"/>
                      <w:color w:val="auto"/>
                      <w:sz w:val="21"/>
                      <w:szCs w:val="21"/>
                      <w:highlight w:val="none"/>
                    </w:rPr>
                    <w:t>符合</w:t>
                  </w:r>
                </w:p>
              </w:tc>
            </w:tr>
            <w:tr w14:paraId="010A4B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7" w:hRule="atLeast"/>
              </w:trPr>
              <w:tc>
                <w:tcPr>
                  <w:tcW w:w="193" w:type="pct"/>
                  <w:vMerge w:val="continue"/>
                  <w:tcBorders>
                    <w:tl2br w:val="nil"/>
                    <w:tr2bl w:val="nil"/>
                  </w:tcBorders>
                  <w:vAlign w:val="center"/>
                </w:tcPr>
                <w:p w14:paraId="3C0DFBE3">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eastAsia"/>
                      <w:b/>
                      <w:bCs/>
                      <w:color w:val="auto"/>
                      <w:sz w:val="21"/>
                      <w:szCs w:val="21"/>
                      <w:highlight w:val="none"/>
                    </w:rPr>
                  </w:pPr>
                </w:p>
              </w:tc>
              <w:tc>
                <w:tcPr>
                  <w:tcW w:w="319" w:type="pct"/>
                  <w:tcBorders>
                    <w:tl2br w:val="nil"/>
                    <w:tr2bl w:val="nil"/>
                  </w:tcBorders>
                  <w:vAlign w:val="center"/>
                </w:tcPr>
                <w:p w14:paraId="725E5E91">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eastAsia"/>
                      <w:color w:val="auto"/>
                      <w:sz w:val="21"/>
                      <w:szCs w:val="21"/>
                      <w:highlight w:val="none"/>
                    </w:rPr>
                  </w:pPr>
                  <w:r>
                    <w:rPr>
                      <w:rFonts w:hint="eastAsia"/>
                      <w:color w:val="auto"/>
                      <w:sz w:val="21"/>
                      <w:szCs w:val="21"/>
                      <w:highlight w:val="none"/>
                    </w:rPr>
                    <w:t>能源资源利用</w:t>
                  </w:r>
                </w:p>
              </w:tc>
              <w:tc>
                <w:tcPr>
                  <w:tcW w:w="3004" w:type="pct"/>
                  <w:tcBorders>
                    <w:tl2br w:val="nil"/>
                    <w:tr2bl w:val="nil"/>
                  </w:tcBorders>
                  <w:vAlign w:val="center"/>
                </w:tcPr>
                <w:p w14:paraId="1A20D56B">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eastAsia"/>
                      <w:color w:val="auto"/>
                      <w:sz w:val="21"/>
                      <w:szCs w:val="21"/>
                      <w:highlight w:val="none"/>
                    </w:rPr>
                  </w:pPr>
                  <w:r>
                    <w:rPr>
                      <w:rFonts w:hint="eastAsia"/>
                      <w:color w:val="auto"/>
                      <w:sz w:val="21"/>
                      <w:szCs w:val="21"/>
                      <w:highlight w:val="none"/>
                    </w:rPr>
                    <w:t>积极落实国家、省制定的碳达峰碳中和目标任务，制定并落实碳达峰与碳减排工作计划、行动方案，综合运用相关政策工具和手段措施，持续推动实施。进一步优化调整能源结构，发展以光伏全产业链为龙头的风光氢等多元化可再生清洁能源产业，提高可再生能源发电装机占比，推动电力源网荷储一体化和多能互补。实行能源消费强度与消费总量“双控”制度。抓好电力、建材、冶炼等重点耗能行业的节能降耗工作，推动单位GDP能源消耗、单位GDP二氧化碳排放持续下降。鼓励使用天然气及可再生能源，县级及以上城市建成区，禁止新建每小时35蒸吨以下燃煤锅炉。原则上不再新建小水电以及除国家和省规划外的风电项目，对不符合生态环境要求的小水电进行清理整改。严格落实东江、北江流域等重要控制断面生态流量保障目标。加强城市节水，提高水资源的利用效率和效益。严格矿产资源开发准入管理，从严控制矿产资源开发总量和综合利用标准。加强矿产资源规划管理，提高矿产资源开发利用效率，推动矿产资源开发合理布局和节约集约利用。推进大宝山、凡口矿等矿山企业转型升级，打造国家级绿色矿山。全市矿山企业在2025年前全部达到绿色矿山标准。</w:t>
                  </w:r>
                </w:p>
              </w:tc>
              <w:tc>
                <w:tcPr>
                  <w:tcW w:w="1165" w:type="pct"/>
                  <w:tcBorders>
                    <w:tl2br w:val="nil"/>
                    <w:tr2bl w:val="nil"/>
                  </w:tcBorders>
                  <w:vAlign w:val="center"/>
                </w:tcPr>
                <w:p w14:paraId="5104A648">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eastAsia"/>
                      <w:color w:val="auto"/>
                      <w:sz w:val="21"/>
                      <w:szCs w:val="21"/>
                      <w:highlight w:val="none"/>
                    </w:rPr>
                  </w:pPr>
                  <w:r>
                    <w:rPr>
                      <w:rFonts w:hint="eastAsia"/>
                      <w:color w:val="auto"/>
                      <w:sz w:val="21"/>
                      <w:szCs w:val="21"/>
                      <w:highlight w:val="none"/>
                    </w:rPr>
                    <w:t>本项目</w:t>
                  </w:r>
                  <w:r>
                    <w:rPr>
                      <w:rFonts w:hint="eastAsia"/>
                      <w:color w:val="auto"/>
                      <w:sz w:val="21"/>
                      <w:szCs w:val="21"/>
                      <w:highlight w:val="none"/>
                      <w:lang w:eastAsia="zh-CN"/>
                    </w:rPr>
                    <w:t>属于非金属废料和碎屑加工处理</w:t>
                  </w:r>
                  <w:r>
                    <w:rPr>
                      <w:rFonts w:hint="eastAsia"/>
                      <w:color w:val="auto"/>
                      <w:sz w:val="21"/>
                      <w:szCs w:val="21"/>
                      <w:highlight w:val="none"/>
                    </w:rPr>
                    <w:t>行业，不属于电力、建材、冶炼等重点耗能行业，不涉及水电、风电、矿产资源开发。项目</w:t>
                  </w:r>
                  <w:r>
                    <w:rPr>
                      <w:rFonts w:hint="eastAsia"/>
                      <w:color w:val="auto"/>
                      <w:sz w:val="21"/>
                      <w:szCs w:val="21"/>
                      <w:highlight w:val="none"/>
                      <w:lang w:val="en-US" w:eastAsia="zh-CN"/>
                    </w:rPr>
                    <w:t>主要使用电能，电能</w:t>
                  </w:r>
                  <w:r>
                    <w:rPr>
                      <w:rFonts w:hint="eastAsia"/>
                      <w:color w:val="auto"/>
                      <w:sz w:val="21"/>
                      <w:szCs w:val="21"/>
                      <w:highlight w:val="none"/>
                    </w:rPr>
                    <w:t>属于清洁能源。</w:t>
                  </w:r>
                </w:p>
              </w:tc>
              <w:tc>
                <w:tcPr>
                  <w:tcW w:w="316" w:type="pct"/>
                  <w:tcBorders>
                    <w:tl2br w:val="nil"/>
                    <w:tr2bl w:val="nil"/>
                  </w:tcBorders>
                  <w:vAlign w:val="center"/>
                </w:tcPr>
                <w:p w14:paraId="11DC7E7F">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eastAsia"/>
                      <w:b/>
                      <w:bCs/>
                      <w:color w:val="auto"/>
                      <w:sz w:val="21"/>
                      <w:szCs w:val="21"/>
                      <w:highlight w:val="none"/>
                    </w:rPr>
                  </w:pPr>
                  <w:r>
                    <w:rPr>
                      <w:rFonts w:hint="eastAsia"/>
                      <w:color w:val="auto"/>
                      <w:sz w:val="21"/>
                      <w:szCs w:val="21"/>
                      <w:highlight w:val="none"/>
                    </w:rPr>
                    <w:t>符合</w:t>
                  </w:r>
                </w:p>
              </w:tc>
            </w:tr>
            <w:tr w14:paraId="0096E6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93" w:type="pct"/>
                  <w:vMerge w:val="continue"/>
                  <w:tcBorders>
                    <w:tl2br w:val="nil"/>
                    <w:tr2bl w:val="nil"/>
                  </w:tcBorders>
                  <w:vAlign w:val="center"/>
                </w:tcPr>
                <w:p w14:paraId="7207B0F3">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eastAsia"/>
                      <w:b/>
                      <w:bCs/>
                      <w:color w:val="auto"/>
                      <w:sz w:val="21"/>
                      <w:szCs w:val="21"/>
                      <w:highlight w:val="none"/>
                    </w:rPr>
                  </w:pPr>
                </w:p>
              </w:tc>
              <w:tc>
                <w:tcPr>
                  <w:tcW w:w="319" w:type="pct"/>
                  <w:tcBorders>
                    <w:tl2br w:val="nil"/>
                    <w:tr2bl w:val="nil"/>
                  </w:tcBorders>
                  <w:vAlign w:val="center"/>
                </w:tcPr>
                <w:p w14:paraId="793CE607">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eastAsia"/>
                      <w:b/>
                      <w:bCs/>
                      <w:color w:val="auto"/>
                      <w:sz w:val="21"/>
                      <w:szCs w:val="21"/>
                      <w:highlight w:val="none"/>
                    </w:rPr>
                  </w:pPr>
                  <w:r>
                    <w:rPr>
                      <w:rFonts w:hint="eastAsia"/>
                      <w:b/>
                      <w:bCs/>
                      <w:color w:val="auto"/>
                      <w:sz w:val="21"/>
                      <w:szCs w:val="21"/>
                      <w:highlight w:val="none"/>
                    </w:rPr>
                    <w:t>污染物排放管控</w:t>
                  </w:r>
                </w:p>
              </w:tc>
              <w:tc>
                <w:tcPr>
                  <w:tcW w:w="3004" w:type="pct"/>
                  <w:tcBorders>
                    <w:tl2br w:val="nil"/>
                    <w:tr2bl w:val="nil"/>
                  </w:tcBorders>
                  <w:vAlign w:val="center"/>
                </w:tcPr>
                <w:p w14:paraId="3DEFB6F6">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eastAsia"/>
                      <w:color w:val="auto"/>
                      <w:sz w:val="21"/>
                      <w:szCs w:val="21"/>
                      <w:highlight w:val="none"/>
                    </w:rPr>
                  </w:pPr>
                  <w:r>
                    <w:rPr>
                      <w:rFonts w:hint="eastAsia"/>
                      <w:color w:val="auto"/>
                      <w:sz w:val="21"/>
                      <w:szCs w:val="21"/>
                      <w:highlight w:val="none"/>
                    </w:rPr>
                    <w:t>深入实施重点污染物总量控制。“十四五”期间重点污染物排放总量在现有基础上持续减少。优化总量分配和调控机制，重点污染物排放总量指标优先向重点建设项目、重点工业园区、战略性产业集群倾斜。新建“两高”项目应配套区域主要污染物削减方案，采取有效的主要污染物区域削减措施，腾出足够的环境容量。新建项目原则上实施氮氧化物（NOx）和挥发性有机物（VOCs）等量替代，推动钢铁行业执行大气污染物超低排放标准。新建、改建、扩建造纸、焦化、有色金属、印染、农副食品加工、原料药制造、制革、农药、电镀等行业建设项目实行主要水体污染物排放等量替代。实施低挥发性有机物（VOCs）含量产品源头替代工程。全面加强无组织排放控制，深入实施精细化治理。推进溶剂使用及挥发性有机液体储运销环节的减排，全过程实施反应活性物质、有毒有害物质、恶臭物质的协同控制。对VOCs重点企业实施分级和清单化管控，将全面使用低VOCs含量原辅材料的企业纳入正面清单和政府绿色采购清单。</w:t>
                  </w:r>
                </w:p>
                <w:p w14:paraId="78369EB5">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eastAsia"/>
                      <w:color w:val="auto"/>
                      <w:sz w:val="21"/>
                      <w:szCs w:val="21"/>
                      <w:highlight w:val="none"/>
                    </w:rPr>
                  </w:pPr>
                  <w:r>
                    <w:rPr>
                      <w:rFonts w:hint="eastAsia"/>
                      <w:color w:val="auto"/>
                      <w:sz w:val="21"/>
                      <w:szCs w:val="21"/>
                      <w:highlight w:val="none"/>
                    </w:rPr>
                    <w:t>北江流域实行重金属污染物排放总量控制。新建、改建、扩建的项目严格实行重金属等特征污染物排放减量替代。加强“三矿两厂”等日常监督，在重点防控区域内新建、改建、扩建增加重金属污染物排放总量的建设项目应通过实施区域削减，实现增产减污。凡口铅锌矿及其周边区域（仁化县董塘镇）、大宝山矿及其周边区域（曲江区沙溪镇、翁源县铁龙镇）严格执行部分重金属水污染物特别排放限值的相关规定。</w:t>
                  </w:r>
                </w:p>
                <w:p w14:paraId="56C8A7AC">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eastAsia"/>
                      <w:color w:val="auto"/>
                      <w:sz w:val="21"/>
                      <w:szCs w:val="21"/>
                      <w:highlight w:val="none"/>
                    </w:rPr>
                  </w:pPr>
                  <w:r>
                    <w:rPr>
                      <w:rFonts w:hint="eastAsia"/>
                      <w:color w:val="auto"/>
                      <w:sz w:val="21"/>
                      <w:szCs w:val="21"/>
                      <w:highlight w:val="none"/>
                    </w:rPr>
                    <w:t>饮用水水源保护区全面加强水源涵养，强化源头控制，禁止新建排污口，严格防范水源污染风险，切实保障饮用水安全，一级保护区内禁止新建、改建、扩建与供水设施和保护水源无关的建设项目：二级保护区内禁止新建、改建、扩建排放污染物的建设项目。饮用水水源准保护区内禁止新建、扩建对水体污染严重的建设项目。</w:t>
                  </w:r>
                </w:p>
                <w:p w14:paraId="3ED7C0FC">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eastAsia"/>
                      <w:b/>
                      <w:bCs/>
                      <w:color w:val="auto"/>
                      <w:sz w:val="21"/>
                      <w:szCs w:val="21"/>
                      <w:highlight w:val="none"/>
                    </w:rPr>
                  </w:pPr>
                  <w:r>
                    <w:rPr>
                      <w:rFonts w:hint="eastAsia"/>
                      <w:color w:val="auto"/>
                      <w:sz w:val="21"/>
                      <w:szCs w:val="21"/>
                      <w:highlight w:val="none"/>
                    </w:rPr>
                    <w:t>完善污水处理厂配套管网建设，切实提高运行负荷。强化城中村、老旧城区和城乡结合部污水截流、收集。现有合流制排水系统应加快实施雨污分流改造，加快镇级生活污水处理设施及配套管网建设，因地制宜建设农村生活污水处理设施。加强农业面源污染治理，实施种植业“肥药双控”；严格禁养区管理，加强养殖污染防治，加强畜禽养殖废弃物资源化利用。</w:t>
                  </w:r>
                </w:p>
              </w:tc>
              <w:tc>
                <w:tcPr>
                  <w:tcW w:w="1165" w:type="pct"/>
                  <w:tcBorders>
                    <w:tl2br w:val="nil"/>
                    <w:tr2bl w:val="nil"/>
                  </w:tcBorders>
                  <w:vAlign w:val="center"/>
                </w:tcPr>
                <w:p w14:paraId="1E5108E7">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eastAsia"/>
                      <w:color w:val="auto"/>
                      <w:sz w:val="21"/>
                      <w:szCs w:val="21"/>
                      <w:highlight w:val="none"/>
                    </w:rPr>
                  </w:pPr>
                  <w:r>
                    <w:rPr>
                      <w:rFonts w:hint="eastAsia"/>
                      <w:color w:val="auto"/>
                      <w:sz w:val="21"/>
                      <w:szCs w:val="21"/>
                      <w:highlight w:val="none"/>
                    </w:rPr>
                    <w:t>本项目为</w:t>
                  </w:r>
                  <w:r>
                    <w:rPr>
                      <w:rFonts w:hint="eastAsia"/>
                      <w:color w:val="auto"/>
                      <w:sz w:val="21"/>
                      <w:szCs w:val="21"/>
                      <w:highlight w:val="none"/>
                      <w:lang w:eastAsia="zh-CN"/>
                    </w:rPr>
                    <w:t>非金属废料和碎屑加工处理行业</w:t>
                  </w:r>
                  <w:r>
                    <w:rPr>
                      <w:rFonts w:hint="eastAsia"/>
                      <w:color w:val="auto"/>
                      <w:sz w:val="21"/>
                      <w:szCs w:val="21"/>
                      <w:highlight w:val="none"/>
                    </w:rPr>
                    <w:t>，不属于造纸、焦化、有色金属、印染、农副食品加工、原料药制造、制革、农药、电镀等行业，不属于“两高”项目。项目不使用含VOCs物料。项目所在地不涉及饮用水水源保护区，</w:t>
                  </w:r>
                  <w:r>
                    <w:rPr>
                      <w:rFonts w:hint="eastAsia"/>
                      <w:color w:val="auto"/>
                      <w:sz w:val="21"/>
                      <w:szCs w:val="21"/>
                      <w:highlight w:val="none"/>
                      <w:lang w:val="en-US" w:eastAsia="zh-CN"/>
                    </w:rPr>
                    <w:t>外排</w:t>
                  </w:r>
                  <w:r>
                    <w:rPr>
                      <w:rFonts w:hint="eastAsia"/>
                      <w:color w:val="auto"/>
                      <w:sz w:val="21"/>
                      <w:szCs w:val="21"/>
                      <w:highlight w:val="none"/>
                    </w:rPr>
                    <w:t>生产废水经自建污水处理站处理后</w:t>
                  </w:r>
                  <w:r>
                    <w:rPr>
                      <w:rFonts w:hint="eastAsia"/>
                      <w:color w:val="auto"/>
                      <w:sz w:val="21"/>
                      <w:szCs w:val="21"/>
                      <w:highlight w:val="none"/>
                      <w:lang w:eastAsia="zh-CN"/>
                    </w:rPr>
                    <w:t>，</w:t>
                  </w:r>
                  <w:r>
                    <w:rPr>
                      <w:rFonts w:hint="eastAsia"/>
                      <w:color w:val="auto"/>
                      <w:sz w:val="21"/>
                      <w:szCs w:val="21"/>
                      <w:highlight w:val="none"/>
                    </w:rPr>
                    <w:t>排入园区污水处理厂</w:t>
                  </w:r>
                  <w:r>
                    <w:rPr>
                      <w:rFonts w:hint="eastAsia"/>
                      <w:color w:val="auto"/>
                      <w:sz w:val="21"/>
                      <w:szCs w:val="21"/>
                      <w:highlight w:val="none"/>
                      <w:lang w:val="en-US" w:eastAsia="zh-CN"/>
                    </w:rPr>
                    <w:t>深度处理</w:t>
                  </w:r>
                  <w:r>
                    <w:rPr>
                      <w:rFonts w:hint="eastAsia"/>
                      <w:color w:val="auto"/>
                      <w:sz w:val="21"/>
                      <w:szCs w:val="21"/>
                      <w:highlight w:val="none"/>
                    </w:rPr>
                    <w:t>，</w:t>
                  </w:r>
                  <w:r>
                    <w:rPr>
                      <w:rFonts w:hint="eastAsia"/>
                      <w:color w:val="auto"/>
                      <w:sz w:val="21"/>
                      <w:szCs w:val="21"/>
                      <w:highlight w:val="none"/>
                      <w:lang w:val="en-US" w:eastAsia="zh-CN"/>
                    </w:rPr>
                    <w:t>处理</w:t>
                  </w:r>
                  <w:r>
                    <w:rPr>
                      <w:rFonts w:hint="eastAsia"/>
                      <w:color w:val="auto"/>
                      <w:sz w:val="21"/>
                      <w:szCs w:val="21"/>
                      <w:highlight w:val="none"/>
                    </w:rPr>
                    <w:t>达标后通过出水管道输送</w:t>
                  </w:r>
                  <w:r>
                    <w:rPr>
                      <w:rFonts w:hint="eastAsia"/>
                      <w:color w:val="auto"/>
                      <w:sz w:val="21"/>
                      <w:szCs w:val="21"/>
                      <w:highlight w:val="none"/>
                      <w:lang w:val="en-US" w:eastAsia="zh-CN"/>
                    </w:rPr>
                    <w:t>尾水</w:t>
                  </w:r>
                  <w:r>
                    <w:rPr>
                      <w:rFonts w:hint="eastAsia"/>
                      <w:color w:val="auto"/>
                      <w:sz w:val="21"/>
                      <w:szCs w:val="21"/>
                      <w:highlight w:val="none"/>
                      <w:lang w:eastAsia="zh-CN"/>
                    </w:rPr>
                    <w:t>，</w:t>
                  </w:r>
                  <w:r>
                    <w:rPr>
                      <w:rFonts w:hint="eastAsia"/>
                      <w:color w:val="auto"/>
                      <w:sz w:val="21"/>
                      <w:szCs w:val="21"/>
                      <w:highlight w:val="none"/>
                      <w:lang w:val="en-US" w:eastAsia="zh-CN"/>
                    </w:rPr>
                    <w:t>经</w:t>
                  </w:r>
                  <w:r>
                    <w:rPr>
                      <w:rFonts w:hint="eastAsia"/>
                      <w:color w:val="auto"/>
                      <w:sz w:val="21"/>
                      <w:szCs w:val="21"/>
                      <w:highlight w:val="none"/>
                    </w:rPr>
                    <w:t>废水排放口</w:t>
                  </w:r>
                  <w:r>
                    <w:rPr>
                      <w:rFonts w:hint="eastAsia"/>
                      <w:color w:val="auto"/>
                      <w:sz w:val="21"/>
                      <w:szCs w:val="21"/>
                      <w:highlight w:val="none"/>
                      <w:lang w:eastAsia="zh-CN"/>
                    </w:rPr>
                    <w:t>（</w:t>
                  </w:r>
                  <w:r>
                    <w:rPr>
                      <w:rFonts w:hint="eastAsia"/>
                      <w:color w:val="auto"/>
                      <w:sz w:val="21"/>
                      <w:szCs w:val="21"/>
                      <w:highlight w:val="none"/>
                    </w:rPr>
                    <w:t>WS-LC005001</w:t>
                  </w:r>
                  <w:r>
                    <w:rPr>
                      <w:rFonts w:hint="eastAsia"/>
                      <w:color w:val="auto"/>
                      <w:sz w:val="21"/>
                      <w:szCs w:val="21"/>
                      <w:highlight w:val="none"/>
                      <w:lang w:eastAsia="zh-CN"/>
                    </w:rPr>
                    <w:t>）</w:t>
                  </w:r>
                  <w:r>
                    <w:rPr>
                      <w:rFonts w:hint="eastAsia"/>
                      <w:color w:val="auto"/>
                      <w:sz w:val="21"/>
                      <w:szCs w:val="21"/>
                      <w:highlight w:val="none"/>
                      <w:lang w:val="en-US" w:eastAsia="zh-CN"/>
                    </w:rPr>
                    <w:t>排放至</w:t>
                  </w:r>
                  <w:r>
                    <w:rPr>
                      <w:rFonts w:hint="eastAsia"/>
                      <w:color w:val="auto"/>
                      <w:sz w:val="21"/>
                      <w:szCs w:val="21"/>
                      <w:highlight w:val="none"/>
                    </w:rPr>
                    <w:t>榴村霜降坑河</w:t>
                  </w:r>
                  <w:r>
                    <w:rPr>
                      <w:rFonts w:hint="eastAsia"/>
                      <w:color w:val="auto"/>
                      <w:sz w:val="21"/>
                      <w:szCs w:val="21"/>
                      <w:highlight w:val="none"/>
                      <w:lang w:eastAsia="zh-CN"/>
                    </w:rPr>
                    <w:t>，</w:t>
                  </w:r>
                  <w:r>
                    <w:rPr>
                      <w:rFonts w:hint="eastAsia"/>
                      <w:color w:val="auto"/>
                      <w:sz w:val="21"/>
                      <w:szCs w:val="21"/>
                      <w:highlight w:val="none"/>
                      <w:lang w:val="en-US" w:eastAsia="zh-CN"/>
                    </w:rPr>
                    <w:t>最终</w:t>
                  </w:r>
                  <w:r>
                    <w:rPr>
                      <w:rFonts w:hint="eastAsia"/>
                      <w:color w:val="auto"/>
                      <w:sz w:val="21"/>
                      <w:szCs w:val="21"/>
                      <w:highlight w:val="none"/>
                    </w:rPr>
                    <w:t>流入武江；生活污水经三级化粪池处理后排入园区污水处理厂，园区污水处理厂执行《城镇污水处理厂污染物排放标准》(GB18918-2002)中一级B标准和广东省《水污染物排放限值</w:t>
                  </w:r>
                  <w:r>
                    <w:rPr>
                      <w:rFonts w:hint="eastAsia"/>
                      <w:color w:val="auto"/>
                      <w:sz w:val="21"/>
                      <w:szCs w:val="21"/>
                      <w:highlight w:val="none"/>
                      <w:lang w:eastAsia="zh-CN"/>
                    </w:rPr>
                    <w:t>》</w:t>
                  </w:r>
                  <w:r>
                    <w:rPr>
                      <w:rFonts w:hint="eastAsia"/>
                      <w:color w:val="auto"/>
                      <w:sz w:val="21"/>
                      <w:szCs w:val="21"/>
                      <w:highlight w:val="none"/>
                    </w:rPr>
                    <w:t>（DB44/26-2001）中的第二时段一级排放标准中严者。</w:t>
                  </w:r>
                </w:p>
              </w:tc>
              <w:tc>
                <w:tcPr>
                  <w:tcW w:w="316" w:type="pct"/>
                  <w:tcBorders>
                    <w:tl2br w:val="nil"/>
                    <w:tr2bl w:val="nil"/>
                  </w:tcBorders>
                  <w:vAlign w:val="center"/>
                </w:tcPr>
                <w:p w14:paraId="5FFE8703">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eastAsia"/>
                      <w:b/>
                      <w:bCs/>
                      <w:color w:val="auto"/>
                      <w:sz w:val="21"/>
                      <w:szCs w:val="21"/>
                      <w:highlight w:val="none"/>
                    </w:rPr>
                  </w:pPr>
                  <w:r>
                    <w:rPr>
                      <w:rFonts w:hint="eastAsia"/>
                      <w:color w:val="auto"/>
                      <w:sz w:val="21"/>
                      <w:szCs w:val="21"/>
                      <w:highlight w:val="none"/>
                    </w:rPr>
                    <w:t>符合</w:t>
                  </w:r>
                </w:p>
              </w:tc>
            </w:tr>
            <w:tr w14:paraId="004C63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trPr>
              <w:tc>
                <w:tcPr>
                  <w:tcW w:w="193" w:type="pct"/>
                  <w:vMerge w:val="continue"/>
                  <w:tcBorders>
                    <w:tl2br w:val="nil"/>
                    <w:tr2bl w:val="nil"/>
                  </w:tcBorders>
                  <w:vAlign w:val="center"/>
                </w:tcPr>
                <w:p w14:paraId="016E2B21">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eastAsia"/>
                      <w:color w:val="auto"/>
                      <w:sz w:val="21"/>
                      <w:szCs w:val="21"/>
                      <w:highlight w:val="none"/>
                    </w:rPr>
                  </w:pPr>
                </w:p>
              </w:tc>
              <w:tc>
                <w:tcPr>
                  <w:tcW w:w="319" w:type="pct"/>
                  <w:tcBorders>
                    <w:tl2br w:val="nil"/>
                    <w:tr2bl w:val="nil"/>
                  </w:tcBorders>
                  <w:vAlign w:val="center"/>
                </w:tcPr>
                <w:p w14:paraId="43660164">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eastAsia"/>
                      <w:color w:val="auto"/>
                      <w:sz w:val="21"/>
                      <w:szCs w:val="21"/>
                      <w:highlight w:val="none"/>
                    </w:rPr>
                  </w:pPr>
                  <w:r>
                    <w:rPr>
                      <w:rFonts w:hint="eastAsia"/>
                      <w:color w:val="auto"/>
                      <w:sz w:val="21"/>
                      <w:szCs w:val="21"/>
                      <w:highlight w:val="none"/>
                    </w:rPr>
                    <w:t>环境风险管控</w:t>
                  </w:r>
                </w:p>
              </w:tc>
              <w:tc>
                <w:tcPr>
                  <w:tcW w:w="3004" w:type="pct"/>
                  <w:tcBorders>
                    <w:tl2br w:val="nil"/>
                    <w:tr2bl w:val="nil"/>
                  </w:tcBorders>
                  <w:vAlign w:val="center"/>
                </w:tcPr>
                <w:p w14:paraId="15C32CE1">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eastAsia"/>
                      <w:color w:val="auto"/>
                      <w:sz w:val="21"/>
                      <w:szCs w:val="21"/>
                      <w:highlight w:val="none"/>
                    </w:rPr>
                  </w:pPr>
                  <w:r>
                    <w:rPr>
                      <w:rFonts w:hint="eastAsia"/>
                      <w:color w:val="auto"/>
                      <w:sz w:val="21"/>
                      <w:szCs w:val="21"/>
                      <w:highlight w:val="none"/>
                    </w:rPr>
                    <w:t>加强北江、东江干流沿岸以及饮用水水源地环境风险防控。严格控制沿岸石油加工、化学原料和化学制品制造、有色金属冶炼、纺织印染等项目环境风险。强化地表水、地下水和土壤污染风险协同防控，建立完善突发环境事件应急管理体系，全面排查“千吨万人”饮用水水源地周边环境问题并及时开展专项整治，保障饮用水水源地安全。重点加强环境风险分级分类管控，建立全市环境风险源在线监控预警系统，强化化工企业、涉重金属行业、工业园区和尾矿库等重点环境风险源的环境风险防控。构建企业、园区和区域三级环境风险防控联动体系，增强园区风险防控能力。园区管理机构应定期开展环境风险评估，编制完善综合环境应急预案并备案，整合应急资源，储备环境应急物资及装备，定期组织开展应急演练，全面提升园区突发环境事件应急处理能力。持续推进土壤环境风险管控工作。实行农用地分类分级安全利用，有效提升农用地土地资源开发利用率，依法划定特定农作物禁止种植区域，严格按照耕地土壤环境质量类别划分成果对耕地实施安全利用，防范农产品重金属含量超标风险。加强建设用地准入管理，规范受污染建设用地地块再开发。加强尾矿库的环境风险排查与防范。加强金属矿采选、金属冶炼企业的重金属污染风险防控。强化选矿废水治理设施的升级改造，选矿废水原则上回用不外排。全力避免因各类安全事故（事件）引发的次生环境风险事故（事件）。</w:t>
                  </w:r>
                </w:p>
              </w:tc>
              <w:tc>
                <w:tcPr>
                  <w:tcW w:w="1165" w:type="pct"/>
                  <w:tcBorders>
                    <w:tl2br w:val="nil"/>
                    <w:tr2bl w:val="nil"/>
                  </w:tcBorders>
                  <w:vAlign w:val="center"/>
                </w:tcPr>
                <w:p w14:paraId="2DF61CF1">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eastAsia"/>
                      <w:color w:val="auto"/>
                      <w:sz w:val="21"/>
                      <w:szCs w:val="21"/>
                      <w:highlight w:val="none"/>
                    </w:rPr>
                  </w:pPr>
                  <w:r>
                    <w:rPr>
                      <w:rFonts w:hint="eastAsia"/>
                      <w:color w:val="auto"/>
                      <w:sz w:val="21"/>
                      <w:szCs w:val="21"/>
                      <w:highlight w:val="none"/>
                    </w:rPr>
                    <w:t>本项目不涉及石油加工、化学原料和化学制品制造、有色金属冶炼、纺织印染行业，不涉及饮用水水源地，本项目制定有效的事故风险防范和应急措施，为防范污染事故发生，并避免发生事故对周围环境造成污染，确保环境安全。项目符合环境风险防控要求。</w:t>
                  </w:r>
                </w:p>
              </w:tc>
              <w:tc>
                <w:tcPr>
                  <w:tcW w:w="316" w:type="pct"/>
                  <w:tcBorders>
                    <w:tl2br w:val="nil"/>
                    <w:tr2bl w:val="nil"/>
                  </w:tcBorders>
                  <w:vAlign w:val="center"/>
                </w:tcPr>
                <w:p w14:paraId="4B8674F4">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eastAsia"/>
                      <w:color w:val="auto"/>
                      <w:sz w:val="21"/>
                      <w:szCs w:val="21"/>
                      <w:highlight w:val="none"/>
                    </w:rPr>
                  </w:pPr>
                  <w:r>
                    <w:rPr>
                      <w:rFonts w:hint="eastAsia"/>
                      <w:color w:val="auto"/>
                      <w:sz w:val="21"/>
                      <w:szCs w:val="21"/>
                      <w:highlight w:val="none"/>
                    </w:rPr>
                    <w:t>符合</w:t>
                  </w:r>
                </w:p>
              </w:tc>
            </w:tr>
          </w:tbl>
          <w:p w14:paraId="33B7F6F2">
            <w:pPr>
              <w:keepNext w:val="0"/>
              <w:keepLines w:val="0"/>
              <w:widowControl/>
              <w:suppressLineNumbers w:val="0"/>
              <w:spacing w:before="0" w:beforeAutospacing="0" w:after="0" w:afterAutospacing="0"/>
              <w:ind w:left="0" w:right="0" w:firstLine="480" w:firstLineChars="200"/>
              <w:jc w:val="left"/>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本项目位于</w:t>
            </w:r>
            <w:r>
              <w:rPr>
                <w:rFonts w:hint="eastAsia" w:cs="Times New Roman"/>
                <w:color w:val="auto"/>
                <w:highlight w:val="none"/>
                <w:lang w:val="en-US" w:eastAsia="zh-CN"/>
              </w:rPr>
              <w:t>韶关市乐昌市乐昌产业转移工业园GL-02-04-02-03地块</w:t>
            </w:r>
            <w:r>
              <w:rPr>
                <w:rFonts w:hint="eastAsia" w:ascii="Times New Roman" w:hAnsi="Times New Roman" w:eastAsia="宋体" w:cs="Times New Roman"/>
                <w:color w:val="auto"/>
                <w:highlight w:val="none"/>
                <w:lang w:val="en-US" w:eastAsia="zh-CN"/>
              </w:rPr>
              <w:t>，根据广东省</w:t>
            </w:r>
            <w:r>
              <w:rPr>
                <w:rFonts w:hint="default"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lang w:val="en-US" w:eastAsia="zh-CN"/>
              </w:rPr>
              <w:t>三线一单</w:t>
            </w:r>
            <w:r>
              <w:rPr>
                <w:rFonts w:hint="default"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lang w:val="en-US" w:eastAsia="zh-CN"/>
              </w:rPr>
              <w:t>应用平台的查询结果，涉及5个单元，根据单元准入要求分析，总计发现需关注的准入要求16条，其他准入要求22条。其中：</w:t>
            </w:r>
          </w:p>
          <w:p w14:paraId="1A24DBEF">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eastAsia="宋体" w:cs="Times New Roman"/>
                <w:b w:val="0"/>
                <w:bCs w:val="0"/>
                <w:color w:val="auto"/>
                <w:kern w:val="0"/>
                <w:sz w:val="24"/>
                <w:szCs w:val="24"/>
                <w:highlight w:val="none"/>
                <w:lang w:val="en-US" w:eastAsia="zh-CN"/>
              </w:rPr>
            </w:pPr>
            <w:r>
              <w:rPr>
                <w:rFonts w:hint="default" w:ascii="Times New Roman" w:hAnsi="Times New Roman" w:eastAsia="宋体" w:cs="Times New Roman"/>
                <w:b w:val="0"/>
                <w:bCs w:val="0"/>
                <w:color w:val="auto"/>
                <w:kern w:val="0"/>
                <w:sz w:val="24"/>
                <w:szCs w:val="24"/>
                <w:highlight w:val="none"/>
                <w:lang w:val="en-US" w:eastAsia="zh-CN"/>
              </w:rPr>
              <w:t>（1）本项目</w:t>
            </w:r>
            <w:r>
              <w:rPr>
                <w:rFonts w:hint="eastAsia" w:ascii="Times New Roman" w:hAnsi="Times New Roman" w:eastAsia="宋体" w:cs="Times New Roman"/>
                <w:b w:val="0"/>
                <w:bCs w:val="0"/>
                <w:color w:val="auto"/>
                <w:kern w:val="0"/>
                <w:sz w:val="24"/>
                <w:szCs w:val="24"/>
                <w:highlight w:val="none"/>
                <w:lang w:val="en-US" w:eastAsia="zh-CN"/>
              </w:rPr>
              <w:t>陆域环境管控单元为</w:t>
            </w:r>
            <w:r>
              <w:rPr>
                <w:rFonts w:hint="eastAsia" w:cs="Times New Roman"/>
                <w:b w:val="0"/>
                <w:bCs w:val="0"/>
                <w:color w:val="auto"/>
                <w:kern w:val="0"/>
                <w:sz w:val="24"/>
                <w:szCs w:val="24"/>
                <w:highlight w:val="none"/>
                <w:lang w:val="en-US" w:eastAsia="zh-CN"/>
              </w:rPr>
              <w:t>ZH44028120003</w:t>
            </w:r>
            <w:r>
              <w:rPr>
                <w:rFonts w:hint="default" w:ascii="Times New Roman" w:hAnsi="Times New Roman" w:eastAsia="宋体" w:cs="Times New Roman"/>
                <w:b w:val="0"/>
                <w:bCs w:val="0"/>
                <w:color w:val="auto"/>
                <w:kern w:val="0"/>
                <w:sz w:val="24"/>
                <w:szCs w:val="24"/>
                <w:highlight w:val="none"/>
                <w:lang w:val="en-US" w:eastAsia="zh-CN"/>
              </w:rPr>
              <w:t>(乐昌经济开发区重点管控单元)（见附图</w:t>
            </w:r>
            <w:r>
              <w:rPr>
                <w:rFonts w:hint="eastAsia" w:ascii="Times New Roman" w:hAnsi="Times New Roman" w:eastAsia="宋体" w:cs="Times New Roman"/>
                <w:b w:val="0"/>
                <w:bCs w:val="0"/>
                <w:color w:val="auto"/>
                <w:kern w:val="0"/>
                <w:sz w:val="24"/>
                <w:szCs w:val="24"/>
                <w:highlight w:val="none"/>
                <w:lang w:val="en-US" w:eastAsia="zh-CN"/>
              </w:rPr>
              <w:t>13-1</w:t>
            </w:r>
            <w:r>
              <w:rPr>
                <w:rFonts w:hint="default" w:ascii="Times New Roman" w:hAnsi="Times New Roman" w:eastAsia="宋体" w:cs="Times New Roman"/>
                <w:b w:val="0"/>
                <w:bCs w:val="0"/>
                <w:color w:val="auto"/>
                <w:kern w:val="0"/>
                <w:sz w:val="24"/>
                <w:szCs w:val="24"/>
                <w:highlight w:val="none"/>
                <w:lang w:val="en-US" w:eastAsia="zh-CN"/>
              </w:rPr>
              <w:t>）。</w:t>
            </w:r>
          </w:p>
          <w:p w14:paraId="40F5FF30">
            <w:pPr>
              <w:keepNext w:val="0"/>
              <w:keepLines w:val="0"/>
              <w:widowControl/>
              <w:suppressLineNumbers w:val="0"/>
              <w:spacing w:before="0" w:beforeAutospacing="0" w:after="0" w:afterAutospacing="0"/>
              <w:ind w:left="0" w:right="0" w:firstLine="480" w:firstLineChars="200"/>
              <w:jc w:val="left"/>
              <w:rPr>
                <w:rFonts w:hint="eastAsia" w:ascii="Times New Roman" w:hAnsi="Times New Roman" w:eastAsia="宋体" w:cs="Times New Roman"/>
                <w:b w:val="0"/>
                <w:bCs w:val="0"/>
                <w:color w:val="auto"/>
                <w:kern w:val="0"/>
                <w:sz w:val="24"/>
                <w:szCs w:val="24"/>
                <w:highlight w:val="none"/>
                <w:lang w:val="en-US" w:eastAsia="zh-CN"/>
              </w:rPr>
            </w:pPr>
            <w:r>
              <w:rPr>
                <w:rFonts w:hint="default" w:ascii="Times New Roman" w:hAnsi="Times New Roman" w:eastAsia="宋体" w:cs="Times New Roman"/>
                <w:b w:val="0"/>
                <w:bCs w:val="0"/>
                <w:color w:val="auto"/>
                <w:kern w:val="0"/>
                <w:sz w:val="24"/>
                <w:szCs w:val="24"/>
                <w:highlight w:val="none"/>
                <w:lang w:val="en-US" w:eastAsia="zh-CN"/>
              </w:rPr>
              <w:t>（</w:t>
            </w:r>
            <w:r>
              <w:rPr>
                <w:rFonts w:hint="eastAsia" w:ascii="Times New Roman" w:hAnsi="Times New Roman" w:eastAsia="宋体" w:cs="Times New Roman"/>
                <w:b w:val="0"/>
                <w:bCs w:val="0"/>
                <w:color w:val="auto"/>
                <w:kern w:val="0"/>
                <w:sz w:val="24"/>
                <w:szCs w:val="24"/>
                <w:highlight w:val="none"/>
                <w:lang w:val="en-US" w:eastAsia="zh-CN"/>
              </w:rPr>
              <w:t>2</w:t>
            </w:r>
            <w:r>
              <w:rPr>
                <w:rFonts w:hint="default" w:ascii="Times New Roman" w:hAnsi="Times New Roman" w:eastAsia="宋体" w:cs="Times New Roman"/>
                <w:b w:val="0"/>
                <w:bCs w:val="0"/>
                <w:color w:val="auto"/>
                <w:kern w:val="0"/>
                <w:sz w:val="24"/>
                <w:szCs w:val="24"/>
                <w:highlight w:val="none"/>
                <w:lang w:val="en-US" w:eastAsia="zh-CN"/>
              </w:rPr>
              <w:t>）本项目</w:t>
            </w:r>
            <w:r>
              <w:rPr>
                <w:rFonts w:hint="eastAsia" w:ascii="Times New Roman" w:hAnsi="Times New Roman" w:eastAsia="宋体" w:cs="Times New Roman"/>
                <w:b w:val="0"/>
                <w:bCs w:val="0"/>
                <w:color w:val="auto"/>
                <w:kern w:val="0"/>
                <w:sz w:val="24"/>
                <w:szCs w:val="24"/>
                <w:highlight w:val="none"/>
                <w:lang w:val="en-US" w:eastAsia="zh-CN"/>
              </w:rPr>
              <w:t>生态空间分区为</w:t>
            </w:r>
            <w:r>
              <w:rPr>
                <w:rFonts w:hint="eastAsia" w:cs="Times New Roman"/>
                <w:b w:val="0"/>
                <w:bCs w:val="0"/>
                <w:color w:val="auto"/>
                <w:kern w:val="0"/>
                <w:sz w:val="24"/>
                <w:szCs w:val="24"/>
                <w:highlight w:val="none"/>
                <w:lang w:val="en-US" w:eastAsia="zh-CN"/>
              </w:rPr>
              <w:t>ZH44028120003</w:t>
            </w:r>
            <w:r>
              <w:rPr>
                <w:rFonts w:hint="eastAsia" w:ascii="Times New Roman" w:hAnsi="Times New Roman" w:eastAsia="宋体" w:cs="Times New Roman"/>
                <w:b w:val="0"/>
                <w:bCs w:val="0"/>
                <w:color w:val="auto"/>
                <w:kern w:val="0"/>
                <w:sz w:val="24"/>
                <w:szCs w:val="24"/>
                <w:highlight w:val="none"/>
                <w:lang w:val="en-US" w:eastAsia="zh-CN"/>
              </w:rPr>
              <w:t>(乐昌市生态空间一般管控区)</w:t>
            </w:r>
            <w:r>
              <w:rPr>
                <w:rFonts w:hint="default" w:ascii="Times New Roman" w:hAnsi="Times New Roman" w:eastAsia="宋体" w:cs="Times New Roman"/>
                <w:b w:val="0"/>
                <w:bCs w:val="0"/>
                <w:color w:val="auto"/>
                <w:kern w:val="0"/>
                <w:sz w:val="24"/>
                <w:szCs w:val="24"/>
                <w:highlight w:val="none"/>
                <w:lang w:val="en-US" w:eastAsia="zh-CN"/>
              </w:rPr>
              <w:t>（见附图</w:t>
            </w:r>
            <w:r>
              <w:rPr>
                <w:rFonts w:hint="eastAsia" w:ascii="Times New Roman" w:hAnsi="Times New Roman" w:eastAsia="宋体" w:cs="Times New Roman"/>
                <w:b w:val="0"/>
                <w:bCs w:val="0"/>
                <w:color w:val="auto"/>
                <w:kern w:val="0"/>
                <w:sz w:val="24"/>
                <w:szCs w:val="24"/>
                <w:highlight w:val="none"/>
                <w:lang w:val="en-US" w:eastAsia="zh-CN"/>
              </w:rPr>
              <w:t>13-2</w:t>
            </w:r>
            <w:r>
              <w:rPr>
                <w:rFonts w:hint="default" w:ascii="Times New Roman" w:hAnsi="Times New Roman" w:eastAsia="宋体" w:cs="Times New Roman"/>
                <w:b w:val="0"/>
                <w:bCs w:val="0"/>
                <w:color w:val="auto"/>
                <w:kern w:val="0"/>
                <w:sz w:val="24"/>
                <w:szCs w:val="24"/>
                <w:highlight w:val="none"/>
                <w:lang w:val="en-US" w:eastAsia="zh-CN"/>
              </w:rPr>
              <w:t>）</w:t>
            </w:r>
            <w:r>
              <w:rPr>
                <w:rFonts w:hint="eastAsia" w:ascii="Times New Roman" w:hAnsi="Times New Roman" w:eastAsia="宋体" w:cs="Times New Roman"/>
                <w:b w:val="0"/>
                <w:bCs w:val="0"/>
                <w:color w:val="auto"/>
                <w:kern w:val="0"/>
                <w:sz w:val="24"/>
                <w:szCs w:val="24"/>
                <w:highlight w:val="none"/>
                <w:lang w:val="en-US" w:eastAsia="zh-CN"/>
              </w:rPr>
              <w:t>。</w:t>
            </w:r>
          </w:p>
          <w:p w14:paraId="6296CE56">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eastAsia="宋体" w:cs="Times New Roman"/>
                <w:b w:val="0"/>
                <w:bCs w:val="0"/>
                <w:color w:val="auto"/>
                <w:kern w:val="0"/>
                <w:sz w:val="24"/>
                <w:szCs w:val="24"/>
                <w:highlight w:val="none"/>
                <w:lang w:val="en-US" w:eastAsia="zh-CN"/>
              </w:rPr>
            </w:pPr>
            <w:r>
              <w:rPr>
                <w:rFonts w:hint="default" w:ascii="Times New Roman" w:hAnsi="Times New Roman" w:eastAsia="宋体" w:cs="Times New Roman"/>
                <w:b w:val="0"/>
                <w:bCs w:val="0"/>
                <w:color w:val="auto"/>
                <w:kern w:val="0"/>
                <w:sz w:val="24"/>
                <w:szCs w:val="24"/>
                <w:highlight w:val="none"/>
                <w:lang w:val="en-US" w:eastAsia="zh-CN"/>
              </w:rPr>
              <w:t>（</w:t>
            </w:r>
            <w:r>
              <w:rPr>
                <w:rFonts w:hint="eastAsia" w:ascii="Times New Roman" w:hAnsi="Times New Roman" w:eastAsia="宋体" w:cs="Times New Roman"/>
                <w:b w:val="0"/>
                <w:bCs w:val="0"/>
                <w:color w:val="auto"/>
                <w:kern w:val="0"/>
                <w:sz w:val="24"/>
                <w:szCs w:val="24"/>
                <w:highlight w:val="none"/>
                <w:lang w:val="en-US" w:eastAsia="zh-CN"/>
              </w:rPr>
              <w:t>3</w:t>
            </w:r>
            <w:r>
              <w:rPr>
                <w:rFonts w:hint="default" w:ascii="Times New Roman" w:hAnsi="Times New Roman" w:eastAsia="宋体" w:cs="Times New Roman"/>
                <w:b w:val="0"/>
                <w:bCs w:val="0"/>
                <w:color w:val="auto"/>
                <w:kern w:val="0"/>
                <w:sz w:val="24"/>
                <w:szCs w:val="24"/>
                <w:highlight w:val="none"/>
                <w:lang w:val="en-US" w:eastAsia="zh-CN"/>
              </w:rPr>
              <w:t>）本项目</w:t>
            </w:r>
            <w:r>
              <w:rPr>
                <w:rFonts w:hint="eastAsia" w:ascii="Times New Roman" w:cs="Times New Roman"/>
                <w:b w:val="0"/>
                <w:bCs w:val="0"/>
                <w:color w:val="auto"/>
                <w:highlight w:val="none"/>
                <w:lang w:val="en-US" w:eastAsia="zh-CN"/>
              </w:rPr>
              <w:t>水环境管控分区为YS4402813210014(武水韶关市长来-廊田镇控制单元)</w:t>
            </w:r>
            <w:r>
              <w:rPr>
                <w:rFonts w:hint="default" w:ascii="Times New Roman" w:hAnsi="Times New Roman" w:eastAsia="宋体" w:cs="Times New Roman"/>
                <w:b w:val="0"/>
                <w:bCs w:val="0"/>
                <w:color w:val="auto"/>
                <w:kern w:val="0"/>
                <w:sz w:val="24"/>
                <w:szCs w:val="24"/>
                <w:highlight w:val="none"/>
                <w:lang w:val="en-US" w:eastAsia="zh-CN"/>
              </w:rPr>
              <w:t>（见附图</w:t>
            </w:r>
            <w:r>
              <w:rPr>
                <w:rFonts w:hint="eastAsia" w:ascii="Times New Roman" w:hAnsi="Times New Roman" w:eastAsia="宋体" w:cs="Times New Roman"/>
                <w:b w:val="0"/>
                <w:bCs w:val="0"/>
                <w:color w:val="auto"/>
                <w:kern w:val="0"/>
                <w:sz w:val="24"/>
                <w:szCs w:val="24"/>
                <w:highlight w:val="none"/>
                <w:lang w:val="en-US" w:eastAsia="zh-CN"/>
              </w:rPr>
              <w:t>13-3</w:t>
            </w:r>
            <w:r>
              <w:rPr>
                <w:rFonts w:hint="default" w:ascii="Times New Roman" w:hAnsi="Times New Roman" w:eastAsia="宋体" w:cs="Times New Roman"/>
                <w:b w:val="0"/>
                <w:bCs w:val="0"/>
                <w:color w:val="auto"/>
                <w:kern w:val="0"/>
                <w:sz w:val="24"/>
                <w:szCs w:val="24"/>
                <w:highlight w:val="none"/>
                <w:lang w:val="en-US" w:eastAsia="zh-CN"/>
              </w:rPr>
              <w:t>）。</w:t>
            </w:r>
          </w:p>
          <w:p w14:paraId="244EF526">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eastAsia="宋体" w:cs="Times New Roman"/>
                <w:b w:val="0"/>
                <w:bCs w:val="0"/>
                <w:color w:val="auto"/>
                <w:kern w:val="0"/>
                <w:sz w:val="24"/>
                <w:szCs w:val="24"/>
                <w:highlight w:val="none"/>
                <w:lang w:val="en-US" w:eastAsia="zh-CN"/>
              </w:rPr>
            </w:pPr>
            <w:r>
              <w:rPr>
                <w:rFonts w:hint="default" w:ascii="Times New Roman" w:hAnsi="Times New Roman" w:eastAsia="宋体" w:cs="Times New Roman"/>
                <w:b w:val="0"/>
                <w:bCs w:val="0"/>
                <w:color w:val="auto"/>
                <w:kern w:val="0"/>
                <w:sz w:val="24"/>
                <w:szCs w:val="24"/>
                <w:highlight w:val="none"/>
                <w:lang w:val="en-US" w:eastAsia="zh-CN"/>
              </w:rPr>
              <w:t>（</w:t>
            </w:r>
            <w:r>
              <w:rPr>
                <w:rFonts w:hint="eastAsia" w:ascii="Times New Roman" w:hAnsi="Times New Roman" w:eastAsia="宋体" w:cs="Times New Roman"/>
                <w:b w:val="0"/>
                <w:bCs w:val="0"/>
                <w:color w:val="auto"/>
                <w:kern w:val="0"/>
                <w:sz w:val="24"/>
                <w:szCs w:val="24"/>
                <w:highlight w:val="none"/>
                <w:lang w:val="en-US" w:eastAsia="zh-CN"/>
              </w:rPr>
              <w:t>4</w:t>
            </w:r>
            <w:r>
              <w:rPr>
                <w:rFonts w:hint="default" w:ascii="Times New Roman" w:hAnsi="Times New Roman" w:eastAsia="宋体" w:cs="Times New Roman"/>
                <w:b w:val="0"/>
                <w:bCs w:val="0"/>
                <w:color w:val="auto"/>
                <w:kern w:val="0"/>
                <w:sz w:val="24"/>
                <w:szCs w:val="24"/>
                <w:highlight w:val="none"/>
                <w:lang w:val="en-US" w:eastAsia="zh-CN"/>
              </w:rPr>
              <w:t>）本项目</w:t>
            </w:r>
            <w:r>
              <w:rPr>
                <w:rFonts w:hint="eastAsia" w:ascii="Times New Roman" w:cs="Times New Roman"/>
                <w:b w:val="0"/>
                <w:bCs w:val="0"/>
                <w:color w:val="auto"/>
                <w:highlight w:val="none"/>
                <w:lang w:val="en-US" w:eastAsia="zh-CN"/>
              </w:rPr>
              <w:t>大气环境管控分区为YS4402812310002(大气环境高排放重点管控区）</w:t>
            </w:r>
            <w:r>
              <w:rPr>
                <w:rFonts w:hint="default" w:ascii="Times New Roman" w:hAnsi="Times New Roman" w:eastAsia="宋体" w:cs="Times New Roman"/>
                <w:b w:val="0"/>
                <w:bCs w:val="0"/>
                <w:color w:val="auto"/>
                <w:kern w:val="0"/>
                <w:sz w:val="24"/>
                <w:szCs w:val="24"/>
                <w:highlight w:val="none"/>
                <w:lang w:val="en-US" w:eastAsia="zh-CN"/>
              </w:rPr>
              <w:t>（见附图</w:t>
            </w:r>
            <w:r>
              <w:rPr>
                <w:rFonts w:hint="eastAsia" w:ascii="Times New Roman" w:hAnsi="Times New Roman" w:eastAsia="宋体" w:cs="Times New Roman"/>
                <w:b w:val="0"/>
                <w:bCs w:val="0"/>
                <w:color w:val="auto"/>
                <w:kern w:val="0"/>
                <w:sz w:val="24"/>
                <w:szCs w:val="24"/>
                <w:highlight w:val="none"/>
                <w:lang w:val="en-US" w:eastAsia="zh-CN"/>
              </w:rPr>
              <w:t>13-4</w:t>
            </w:r>
            <w:r>
              <w:rPr>
                <w:rFonts w:hint="default" w:ascii="Times New Roman" w:hAnsi="Times New Roman" w:eastAsia="宋体" w:cs="Times New Roman"/>
                <w:b w:val="0"/>
                <w:bCs w:val="0"/>
                <w:color w:val="auto"/>
                <w:kern w:val="0"/>
                <w:sz w:val="24"/>
                <w:szCs w:val="24"/>
                <w:highlight w:val="none"/>
                <w:lang w:val="en-US" w:eastAsia="zh-CN"/>
              </w:rPr>
              <w:t>）。</w:t>
            </w:r>
          </w:p>
          <w:p w14:paraId="570E4488">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eastAsia="宋体" w:cs="Times New Roman"/>
                <w:b w:val="0"/>
                <w:bCs w:val="0"/>
                <w:color w:val="auto"/>
                <w:kern w:val="0"/>
                <w:sz w:val="24"/>
                <w:szCs w:val="24"/>
                <w:highlight w:val="none"/>
                <w:lang w:val="en-US" w:eastAsia="zh-CN"/>
              </w:rPr>
            </w:pPr>
            <w:r>
              <w:rPr>
                <w:rFonts w:hint="default" w:ascii="Times New Roman" w:hAnsi="Times New Roman" w:eastAsia="宋体" w:cs="Times New Roman"/>
                <w:b w:val="0"/>
                <w:bCs w:val="0"/>
                <w:color w:val="auto"/>
                <w:kern w:val="0"/>
                <w:sz w:val="24"/>
                <w:szCs w:val="24"/>
                <w:highlight w:val="none"/>
                <w:lang w:val="en-US" w:eastAsia="zh-CN"/>
              </w:rPr>
              <w:t>（</w:t>
            </w:r>
            <w:r>
              <w:rPr>
                <w:rFonts w:hint="eastAsia" w:ascii="Times New Roman" w:hAnsi="Times New Roman" w:eastAsia="宋体" w:cs="Times New Roman"/>
                <w:b w:val="0"/>
                <w:bCs w:val="0"/>
                <w:color w:val="auto"/>
                <w:kern w:val="0"/>
                <w:sz w:val="24"/>
                <w:szCs w:val="24"/>
                <w:highlight w:val="none"/>
                <w:lang w:val="en-US" w:eastAsia="zh-CN"/>
              </w:rPr>
              <w:t>5</w:t>
            </w:r>
            <w:r>
              <w:rPr>
                <w:rFonts w:hint="default" w:ascii="Times New Roman" w:hAnsi="Times New Roman" w:eastAsia="宋体" w:cs="Times New Roman"/>
                <w:b w:val="0"/>
                <w:bCs w:val="0"/>
                <w:color w:val="auto"/>
                <w:kern w:val="0"/>
                <w:sz w:val="24"/>
                <w:szCs w:val="24"/>
                <w:highlight w:val="none"/>
                <w:lang w:val="en-US" w:eastAsia="zh-CN"/>
              </w:rPr>
              <w:t>）本项目</w:t>
            </w:r>
            <w:r>
              <w:rPr>
                <w:rFonts w:hint="eastAsia" w:ascii="Times New Roman" w:cs="Times New Roman"/>
                <w:b w:val="0"/>
                <w:bCs w:val="0"/>
                <w:color w:val="auto"/>
                <w:highlight w:val="none"/>
                <w:lang w:val="en-US" w:eastAsia="zh-CN"/>
              </w:rPr>
              <w:t>自然资源管控分区为YS4402812540001(乐昌市高污染燃料禁燃区)</w:t>
            </w:r>
            <w:r>
              <w:rPr>
                <w:rFonts w:hint="default" w:ascii="Times New Roman" w:hAnsi="Times New Roman" w:eastAsia="宋体" w:cs="Times New Roman"/>
                <w:b w:val="0"/>
                <w:bCs w:val="0"/>
                <w:color w:val="auto"/>
                <w:kern w:val="0"/>
                <w:sz w:val="24"/>
                <w:szCs w:val="24"/>
                <w:highlight w:val="none"/>
                <w:lang w:val="en-US" w:eastAsia="zh-CN"/>
              </w:rPr>
              <w:t>（见附图</w:t>
            </w:r>
            <w:r>
              <w:rPr>
                <w:rFonts w:hint="eastAsia" w:ascii="Times New Roman" w:hAnsi="Times New Roman" w:eastAsia="宋体" w:cs="Times New Roman"/>
                <w:b w:val="0"/>
                <w:bCs w:val="0"/>
                <w:color w:val="auto"/>
                <w:kern w:val="0"/>
                <w:sz w:val="24"/>
                <w:szCs w:val="24"/>
                <w:highlight w:val="none"/>
                <w:lang w:val="en-US" w:eastAsia="zh-CN"/>
              </w:rPr>
              <w:t>13-5</w:t>
            </w:r>
            <w:r>
              <w:rPr>
                <w:rFonts w:hint="default" w:ascii="Times New Roman" w:hAnsi="Times New Roman" w:eastAsia="宋体" w:cs="Times New Roman"/>
                <w:b w:val="0"/>
                <w:bCs w:val="0"/>
                <w:color w:val="auto"/>
                <w:kern w:val="0"/>
                <w:sz w:val="24"/>
                <w:szCs w:val="24"/>
                <w:highlight w:val="none"/>
                <w:lang w:val="en-US" w:eastAsia="zh-CN"/>
              </w:rPr>
              <w:t>）。</w:t>
            </w:r>
          </w:p>
          <w:p w14:paraId="016A7A35">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color w:val="auto"/>
                <w:highlight w:val="none"/>
              </w:rPr>
            </w:pPr>
            <w:r>
              <w:rPr>
                <w:rFonts w:hint="default" w:ascii="Times New Roman" w:hAnsi="Times New Roman" w:eastAsia="宋体" w:cs="Times New Roman"/>
                <w:color w:val="auto"/>
                <w:kern w:val="0"/>
                <w:sz w:val="24"/>
                <w:szCs w:val="24"/>
                <w:highlight w:val="none"/>
                <w:lang w:val="en-US" w:eastAsia="zh-CN"/>
              </w:rPr>
              <w:t>其具体管控要求相符性分析详见下表。</w:t>
            </w:r>
          </w:p>
          <w:p w14:paraId="3D7FCA0A">
            <w:pPr>
              <w:pStyle w:val="102"/>
              <w:keepNext w:val="0"/>
              <w:keepLines w:val="0"/>
              <w:suppressLineNumbers w:val="0"/>
              <w:bidi w:val="0"/>
              <w:spacing w:before="0" w:beforeAutospacing="0" w:after="0" w:afterAutospacing="0"/>
              <w:ind w:left="0" w:leftChars="0" w:right="0" w:firstLine="0" w:firstLineChars="0"/>
              <w:rPr>
                <w:rFonts w:hint="eastAsia"/>
                <w:color w:val="auto"/>
                <w:sz w:val="21"/>
                <w:szCs w:val="21"/>
                <w:highlight w:val="none"/>
              </w:rPr>
            </w:pPr>
            <w:r>
              <w:rPr>
                <w:rFonts w:hint="eastAsia"/>
                <w:color w:val="auto"/>
                <w:sz w:val="21"/>
                <w:szCs w:val="21"/>
                <w:highlight w:val="none"/>
                <w:lang w:val="en-US" w:eastAsia="zh-CN"/>
              </w:rPr>
              <w:t>与</w:t>
            </w:r>
            <w:r>
              <w:rPr>
                <w:rFonts w:hint="eastAsia"/>
                <w:b/>
                <w:bCs/>
                <w:color w:val="auto"/>
                <w:sz w:val="21"/>
                <w:szCs w:val="21"/>
                <w:highlight w:val="none"/>
              </w:rPr>
              <w:t>生态环境准入清单</w:t>
            </w:r>
            <w:r>
              <w:rPr>
                <w:rFonts w:hint="eastAsia"/>
                <w:color w:val="auto"/>
                <w:sz w:val="21"/>
                <w:szCs w:val="21"/>
                <w:highlight w:val="none"/>
                <w:lang w:val="en-US" w:eastAsia="zh-CN"/>
              </w:rPr>
              <w:t>相符性分析</w:t>
            </w:r>
          </w:p>
          <w:tbl>
            <w:tblPr>
              <w:tblStyle w:val="40"/>
              <w:tblW w:w="13518" w:type="dxa"/>
              <w:tblInd w:w="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0"/>
              <w:gridCol w:w="922"/>
              <w:gridCol w:w="1052"/>
              <w:gridCol w:w="6467"/>
              <w:gridCol w:w="3517"/>
              <w:gridCol w:w="54"/>
              <w:gridCol w:w="41"/>
              <w:gridCol w:w="965"/>
            </w:tblGrid>
            <w:tr w14:paraId="3626BF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000" w:type="pct"/>
                  <w:gridSpan w:val="8"/>
                  <w:tcBorders>
                    <w:tl2br w:val="nil"/>
                    <w:tr2bl w:val="nil"/>
                  </w:tcBorders>
                  <w:vAlign w:val="center"/>
                </w:tcPr>
                <w:p w14:paraId="7BC8D62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eastAsia="宋体"/>
                      <w:color w:val="auto"/>
                      <w:sz w:val="21"/>
                      <w:szCs w:val="21"/>
                      <w:highlight w:val="none"/>
                      <w:lang w:val="en-US" w:eastAsia="zh-CN"/>
                    </w:rPr>
                  </w:pPr>
                  <w:r>
                    <w:rPr>
                      <w:rFonts w:hint="eastAsia"/>
                      <w:b/>
                      <w:bCs/>
                      <w:color w:val="auto"/>
                      <w:sz w:val="21"/>
                      <w:szCs w:val="21"/>
                      <w:highlight w:val="none"/>
                      <w:lang w:val="en-US" w:eastAsia="zh-CN"/>
                    </w:rPr>
                    <w:t>与</w:t>
                  </w:r>
                  <w:r>
                    <w:rPr>
                      <w:rFonts w:hint="eastAsia" w:ascii="Times New Roman" w:hAnsi="Times New Roman" w:cs="Times New Roman"/>
                      <w:b/>
                      <w:bCs/>
                      <w:color w:val="auto"/>
                      <w:kern w:val="0"/>
                      <w:sz w:val="21"/>
                      <w:szCs w:val="21"/>
                      <w:highlight w:val="none"/>
                      <w:lang w:val="en-US" w:eastAsia="zh-CN"/>
                    </w:rPr>
                    <w:t>乐昌经济开发区重点管控单元（</w:t>
                  </w:r>
                  <w:r>
                    <w:rPr>
                      <w:rFonts w:hint="eastAsia" w:cs="Times New Roman"/>
                      <w:b/>
                      <w:bCs/>
                      <w:color w:val="auto"/>
                      <w:kern w:val="0"/>
                      <w:sz w:val="21"/>
                      <w:szCs w:val="21"/>
                      <w:highlight w:val="none"/>
                      <w:lang w:val="en-US" w:eastAsia="zh-CN"/>
                    </w:rPr>
                    <w:t>ZH44028120003</w:t>
                  </w:r>
                  <w:r>
                    <w:rPr>
                      <w:rFonts w:hint="eastAsia" w:ascii="Times New Roman" w:hAnsi="Times New Roman" w:cs="Times New Roman"/>
                      <w:b/>
                      <w:bCs/>
                      <w:color w:val="auto"/>
                      <w:kern w:val="0"/>
                      <w:sz w:val="21"/>
                      <w:szCs w:val="21"/>
                      <w:highlight w:val="none"/>
                      <w:lang w:val="en-US" w:eastAsia="zh-CN"/>
                    </w:rPr>
                    <w:t>）要求相符性分析</w:t>
                  </w:r>
                </w:p>
              </w:tc>
            </w:tr>
            <w:tr w14:paraId="4A6BDF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185" w:type="pct"/>
                  <w:vMerge w:val="restart"/>
                  <w:tcBorders>
                    <w:tl2br w:val="nil"/>
                    <w:tr2bl w:val="nil"/>
                  </w:tcBorders>
                  <w:vAlign w:val="center"/>
                </w:tcPr>
                <w:p w14:paraId="5C4C762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color w:val="auto"/>
                      <w:sz w:val="21"/>
                      <w:szCs w:val="21"/>
                      <w:highlight w:val="none"/>
                    </w:rPr>
                  </w:pPr>
                  <w:r>
                    <w:rPr>
                      <w:rFonts w:hint="eastAsia"/>
                      <w:b/>
                      <w:bCs/>
                      <w:color w:val="auto"/>
                      <w:sz w:val="21"/>
                      <w:szCs w:val="21"/>
                      <w:highlight w:val="none"/>
                    </w:rPr>
                    <w:t>生态环境准入清单</w:t>
                  </w:r>
                </w:p>
              </w:tc>
              <w:tc>
                <w:tcPr>
                  <w:tcW w:w="341" w:type="pct"/>
                  <w:tcBorders>
                    <w:tl2br w:val="nil"/>
                    <w:tr2bl w:val="nil"/>
                  </w:tcBorders>
                  <w:vAlign w:val="center"/>
                </w:tcPr>
                <w:p w14:paraId="469843D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left"/>
                    <w:textAlignment w:val="auto"/>
                    <w:rPr>
                      <w:rFonts w:hint="eastAsia"/>
                      <w:color w:val="auto"/>
                      <w:sz w:val="21"/>
                      <w:szCs w:val="21"/>
                      <w:highlight w:val="none"/>
                    </w:rPr>
                  </w:pPr>
                  <w:r>
                    <w:rPr>
                      <w:rFonts w:hint="eastAsia"/>
                      <w:color w:val="auto"/>
                      <w:sz w:val="21"/>
                      <w:szCs w:val="21"/>
                      <w:highlight w:val="none"/>
                    </w:rPr>
                    <w:t>区域布局管控</w:t>
                  </w:r>
                </w:p>
              </w:tc>
              <w:tc>
                <w:tcPr>
                  <w:tcW w:w="2781" w:type="pct"/>
                  <w:gridSpan w:val="2"/>
                  <w:tcBorders>
                    <w:tl2br w:val="nil"/>
                    <w:tr2bl w:val="nil"/>
                  </w:tcBorders>
                  <w:vAlign w:val="center"/>
                </w:tcPr>
                <w:p w14:paraId="25432C8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eastAsia"/>
                      <w:color w:val="auto"/>
                      <w:sz w:val="21"/>
                      <w:szCs w:val="21"/>
                      <w:highlight w:val="none"/>
                    </w:rPr>
                  </w:pPr>
                  <w:r>
                    <w:rPr>
                      <w:rFonts w:hint="eastAsia"/>
                      <w:color w:val="auto"/>
                      <w:sz w:val="21"/>
                      <w:szCs w:val="21"/>
                      <w:highlight w:val="none"/>
                    </w:rPr>
                    <w:t>1-1.【产业/鼓励引导类】重点发展现代轻工产业（消费电子等）、先进装备制造业等产业，优先引进无污染物或轻污染项目。</w:t>
                  </w:r>
                </w:p>
                <w:p w14:paraId="1654651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eastAsia"/>
                      <w:color w:val="auto"/>
                      <w:sz w:val="21"/>
                      <w:szCs w:val="21"/>
                      <w:highlight w:val="none"/>
                    </w:rPr>
                  </w:pPr>
                  <w:r>
                    <w:rPr>
                      <w:rFonts w:hint="eastAsia"/>
                      <w:color w:val="auto"/>
                      <w:sz w:val="21"/>
                      <w:szCs w:val="21"/>
                      <w:highlight w:val="none"/>
                    </w:rPr>
                    <w:t>1-2.【产业/禁止类】园区禁止引入专业电镀、化学制浆、鞣革等水污染物排放量大或排放一类污染物、持久性有机污染物的项目。</w:t>
                  </w:r>
                </w:p>
                <w:p w14:paraId="2DC3009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eastAsia"/>
                      <w:color w:val="auto"/>
                      <w:sz w:val="21"/>
                      <w:szCs w:val="21"/>
                      <w:highlight w:val="none"/>
                    </w:rPr>
                  </w:pPr>
                  <w:r>
                    <w:rPr>
                      <w:rFonts w:hint="eastAsia"/>
                      <w:color w:val="auto"/>
                      <w:sz w:val="21"/>
                      <w:szCs w:val="21"/>
                      <w:highlight w:val="none"/>
                    </w:rPr>
                    <w:t>1-3.【产业/限制类】严格限制不符合园区发展定位的项目入驻。</w:t>
                  </w:r>
                </w:p>
                <w:p w14:paraId="2D38351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eastAsia"/>
                      <w:color w:val="auto"/>
                      <w:sz w:val="21"/>
                      <w:szCs w:val="21"/>
                      <w:highlight w:val="none"/>
                    </w:rPr>
                  </w:pPr>
                  <w:r>
                    <w:rPr>
                      <w:rFonts w:hint="eastAsia"/>
                      <w:color w:val="auto"/>
                      <w:sz w:val="21"/>
                      <w:szCs w:val="21"/>
                      <w:highlight w:val="none"/>
                    </w:rPr>
                    <w:t>1-4.【产业/综合类】居民区、学校等环境敏感点邻近地块优先布局废气排放量小、工业噪声影响小的产业。</w:t>
                  </w:r>
                </w:p>
              </w:tc>
              <w:tc>
                <w:tcPr>
                  <w:tcW w:w="1321" w:type="pct"/>
                  <w:gridSpan w:val="2"/>
                  <w:tcBorders>
                    <w:tl2br w:val="nil"/>
                    <w:tr2bl w:val="nil"/>
                  </w:tcBorders>
                  <w:vAlign w:val="center"/>
                </w:tcPr>
                <w:p w14:paraId="04D77FA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eastAsia"/>
                      <w:color w:val="auto"/>
                      <w:sz w:val="21"/>
                      <w:szCs w:val="21"/>
                      <w:highlight w:val="none"/>
                    </w:rPr>
                  </w:pPr>
                  <w:r>
                    <w:rPr>
                      <w:rFonts w:hint="eastAsia"/>
                      <w:color w:val="auto"/>
                      <w:sz w:val="21"/>
                      <w:szCs w:val="21"/>
                      <w:highlight w:val="none"/>
                    </w:rPr>
                    <w:t>本项目为</w:t>
                  </w:r>
                  <w:r>
                    <w:rPr>
                      <w:rFonts w:hint="eastAsia"/>
                      <w:color w:val="auto"/>
                      <w:sz w:val="21"/>
                      <w:szCs w:val="21"/>
                      <w:highlight w:val="none"/>
                      <w:lang w:eastAsia="zh-CN"/>
                    </w:rPr>
                    <w:t>非金属废料和碎屑加工处理行业</w:t>
                  </w:r>
                  <w:r>
                    <w:rPr>
                      <w:rFonts w:hint="eastAsia"/>
                      <w:color w:val="auto"/>
                      <w:sz w:val="21"/>
                      <w:szCs w:val="21"/>
                      <w:highlight w:val="none"/>
                    </w:rPr>
                    <w:t>，不属于专业电镀、化学制浆、鞣革等水污染物排放量大或排放一类污染物、持久性有机污染物的项目；项目符合园区发展定位；</w:t>
                  </w:r>
                  <w:r>
                    <w:rPr>
                      <w:rFonts w:hint="eastAsia"/>
                      <w:color w:val="auto"/>
                      <w:sz w:val="21"/>
                      <w:szCs w:val="21"/>
                      <w:highlight w:val="none"/>
                      <w:lang w:val="en-US" w:eastAsia="zh-CN"/>
                    </w:rPr>
                    <w:t>本项目废气排放量较小，涉及环境敏感点为居民区，符合布局要求</w:t>
                  </w:r>
                  <w:r>
                    <w:rPr>
                      <w:rFonts w:hint="eastAsia"/>
                      <w:color w:val="auto"/>
                      <w:sz w:val="21"/>
                      <w:szCs w:val="21"/>
                      <w:highlight w:val="none"/>
                    </w:rPr>
                    <w:t>。</w:t>
                  </w:r>
                </w:p>
              </w:tc>
              <w:tc>
                <w:tcPr>
                  <w:tcW w:w="370" w:type="pct"/>
                  <w:gridSpan w:val="2"/>
                  <w:tcBorders>
                    <w:tl2br w:val="nil"/>
                    <w:tr2bl w:val="nil"/>
                  </w:tcBorders>
                  <w:vAlign w:val="center"/>
                </w:tcPr>
                <w:p w14:paraId="36F4845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86" w:rightChars="36"/>
                    <w:jc w:val="center"/>
                    <w:textAlignment w:val="auto"/>
                    <w:rPr>
                      <w:rFonts w:hint="eastAsia"/>
                      <w:color w:val="auto"/>
                      <w:sz w:val="21"/>
                      <w:szCs w:val="21"/>
                      <w:highlight w:val="none"/>
                    </w:rPr>
                  </w:pPr>
                  <w:r>
                    <w:rPr>
                      <w:rFonts w:hint="eastAsia"/>
                      <w:color w:val="auto"/>
                      <w:sz w:val="21"/>
                      <w:szCs w:val="21"/>
                      <w:highlight w:val="none"/>
                    </w:rPr>
                    <w:t>符合</w:t>
                  </w:r>
                </w:p>
              </w:tc>
            </w:tr>
            <w:tr w14:paraId="32D654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2" w:hRule="atLeast"/>
              </w:trPr>
              <w:tc>
                <w:tcPr>
                  <w:tcW w:w="185" w:type="pct"/>
                  <w:vMerge w:val="continue"/>
                  <w:tcBorders>
                    <w:tl2br w:val="nil"/>
                    <w:tr2bl w:val="nil"/>
                  </w:tcBorders>
                  <w:vAlign w:val="center"/>
                </w:tcPr>
                <w:p w14:paraId="2B8EA3E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color w:val="auto"/>
                      <w:sz w:val="21"/>
                      <w:szCs w:val="21"/>
                      <w:highlight w:val="none"/>
                    </w:rPr>
                  </w:pPr>
                </w:p>
              </w:tc>
              <w:tc>
                <w:tcPr>
                  <w:tcW w:w="341" w:type="pct"/>
                  <w:tcBorders>
                    <w:tl2br w:val="nil"/>
                    <w:tr2bl w:val="nil"/>
                  </w:tcBorders>
                  <w:vAlign w:val="center"/>
                </w:tcPr>
                <w:p w14:paraId="270082E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color w:val="auto"/>
                      <w:sz w:val="21"/>
                      <w:szCs w:val="21"/>
                      <w:highlight w:val="none"/>
                    </w:rPr>
                  </w:pPr>
                  <w:r>
                    <w:rPr>
                      <w:rFonts w:hint="eastAsia"/>
                      <w:color w:val="auto"/>
                      <w:sz w:val="21"/>
                      <w:szCs w:val="21"/>
                      <w:highlight w:val="none"/>
                    </w:rPr>
                    <w:t>能源资源利用</w:t>
                  </w:r>
                </w:p>
              </w:tc>
              <w:tc>
                <w:tcPr>
                  <w:tcW w:w="2781" w:type="pct"/>
                  <w:gridSpan w:val="2"/>
                  <w:tcBorders>
                    <w:tl2br w:val="nil"/>
                    <w:tr2bl w:val="nil"/>
                  </w:tcBorders>
                  <w:vAlign w:val="center"/>
                </w:tcPr>
                <w:p w14:paraId="6E10AC5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eastAsia"/>
                      <w:color w:val="auto"/>
                      <w:sz w:val="21"/>
                      <w:szCs w:val="21"/>
                      <w:highlight w:val="none"/>
                    </w:rPr>
                  </w:pPr>
                  <w:r>
                    <w:rPr>
                      <w:rFonts w:hint="eastAsia"/>
                      <w:color w:val="auto"/>
                      <w:sz w:val="21"/>
                      <w:szCs w:val="21"/>
                      <w:highlight w:val="none"/>
                    </w:rPr>
                    <w:t>2-1.【能源/鼓励引导类】园区内能源结构应以电能、燃气等清洁能源为主。</w:t>
                  </w:r>
                </w:p>
                <w:p w14:paraId="1BC239C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eastAsia"/>
                      <w:color w:val="auto"/>
                      <w:sz w:val="21"/>
                      <w:szCs w:val="21"/>
                      <w:highlight w:val="none"/>
                    </w:rPr>
                  </w:pPr>
                  <w:r>
                    <w:rPr>
                      <w:rFonts w:hint="eastAsia"/>
                      <w:color w:val="auto"/>
                      <w:sz w:val="21"/>
                      <w:szCs w:val="21"/>
                      <w:highlight w:val="none"/>
                    </w:rPr>
                    <w:t>2-2.【水资源/综合类】提高园区水资源利用效率，加快中水回用系统建设。</w:t>
                  </w:r>
                </w:p>
                <w:p w14:paraId="1B5D366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eastAsia"/>
                      <w:color w:val="auto"/>
                      <w:sz w:val="21"/>
                      <w:szCs w:val="21"/>
                      <w:highlight w:val="none"/>
                    </w:rPr>
                  </w:pPr>
                  <w:r>
                    <w:rPr>
                      <w:rFonts w:hint="eastAsia"/>
                      <w:color w:val="auto"/>
                      <w:sz w:val="21"/>
                      <w:szCs w:val="21"/>
                      <w:highlight w:val="none"/>
                    </w:rPr>
                    <w:t>2-3.【其他/综合类】有行业清洁生产标准的新引进项目清洁生产水平须达到本行业国内先进水平。</w:t>
                  </w:r>
                </w:p>
              </w:tc>
              <w:tc>
                <w:tcPr>
                  <w:tcW w:w="1321" w:type="pct"/>
                  <w:gridSpan w:val="2"/>
                  <w:tcBorders>
                    <w:tl2br w:val="nil"/>
                    <w:tr2bl w:val="nil"/>
                  </w:tcBorders>
                  <w:vAlign w:val="center"/>
                </w:tcPr>
                <w:p w14:paraId="35D5617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eastAsia"/>
                      <w:color w:val="auto"/>
                      <w:sz w:val="21"/>
                      <w:szCs w:val="21"/>
                      <w:highlight w:val="none"/>
                    </w:rPr>
                  </w:pPr>
                  <w:r>
                    <w:rPr>
                      <w:rFonts w:hint="eastAsia"/>
                      <w:color w:val="auto"/>
                      <w:sz w:val="21"/>
                      <w:szCs w:val="21"/>
                      <w:highlight w:val="none"/>
                    </w:rPr>
                    <w:t>项目以主要电能作为生产能源，属于清洁能源；项目生产废水经自建污水处理站处理后排入园区污水处理厂。</w:t>
                  </w:r>
                </w:p>
              </w:tc>
              <w:tc>
                <w:tcPr>
                  <w:tcW w:w="370" w:type="pct"/>
                  <w:gridSpan w:val="2"/>
                  <w:tcBorders>
                    <w:tl2br w:val="nil"/>
                    <w:tr2bl w:val="nil"/>
                  </w:tcBorders>
                  <w:vAlign w:val="center"/>
                </w:tcPr>
                <w:p w14:paraId="13BF359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color w:val="auto"/>
                      <w:sz w:val="21"/>
                      <w:szCs w:val="21"/>
                      <w:highlight w:val="none"/>
                    </w:rPr>
                  </w:pPr>
                  <w:r>
                    <w:rPr>
                      <w:rFonts w:hint="eastAsia"/>
                      <w:color w:val="auto"/>
                      <w:sz w:val="21"/>
                      <w:szCs w:val="21"/>
                      <w:highlight w:val="none"/>
                    </w:rPr>
                    <w:t>符合</w:t>
                  </w:r>
                </w:p>
              </w:tc>
            </w:tr>
            <w:tr w14:paraId="65D97B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85" w:type="pct"/>
                  <w:vMerge w:val="continue"/>
                  <w:tcBorders>
                    <w:tl2br w:val="nil"/>
                    <w:tr2bl w:val="nil"/>
                  </w:tcBorders>
                  <w:vAlign w:val="center"/>
                </w:tcPr>
                <w:p w14:paraId="009A0D2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color w:val="auto"/>
                      <w:sz w:val="21"/>
                      <w:szCs w:val="21"/>
                      <w:highlight w:val="none"/>
                    </w:rPr>
                  </w:pPr>
                </w:p>
              </w:tc>
              <w:tc>
                <w:tcPr>
                  <w:tcW w:w="341" w:type="pct"/>
                  <w:tcBorders>
                    <w:tl2br w:val="nil"/>
                    <w:tr2bl w:val="nil"/>
                  </w:tcBorders>
                  <w:vAlign w:val="center"/>
                </w:tcPr>
                <w:p w14:paraId="7AC122B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color w:val="auto"/>
                      <w:sz w:val="21"/>
                      <w:szCs w:val="21"/>
                      <w:highlight w:val="none"/>
                    </w:rPr>
                  </w:pPr>
                  <w:r>
                    <w:rPr>
                      <w:rFonts w:hint="eastAsia"/>
                      <w:color w:val="auto"/>
                      <w:sz w:val="21"/>
                      <w:szCs w:val="21"/>
                      <w:highlight w:val="none"/>
                    </w:rPr>
                    <w:t>污染物排放管控</w:t>
                  </w:r>
                </w:p>
              </w:tc>
              <w:tc>
                <w:tcPr>
                  <w:tcW w:w="2781" w:type="pct"/>
                  <w:gridSpan w:val="2"/>
                  <w:tcBorders>
                    <w:tl2br w:val="nil"/>
                    <w:tr2bl w:val="nil"/>
                  </w:tcBorders>
                  <w:vAlign w:val="center"/>
                </w:tcPr>
                <w:p w14:paraId="36AA788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eastAsia"/>
                      <w:color w:val="auto"/>
                      <w:sz w:val="21"/>
                      <w:szCs w:val="21"/>
                      <w:highlight w:val="none"/>
                    </w:rPr>
                  </w:pPr>
                  <w:r>
                    <w:rPr>
                      <w:rFonts w:hint="eastAsia"/>
                      <w:color w:val="auto"/>
                      <w:sz w:val="21"/>
                      <w:szCs w:val="21"/>
                      <w:highlight w:val="none"/>
                    </w:rPr>
                    <w:t>3-1.【水、大气/限制类】园区各项污染物排放总量不得突破园区规划环评核定的污染物排放总量管控要求。</w:t>
                  </w:r>
                </w:p>
                <w:p w14:paraId="7239947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eastAsia"/>
                      <w:color w:val="auto"/>
                      <w:sz w:val="21"/>
                      <w:szCs w:val="21"/>
                      <w:highlight w:val="none"/>
                    </w:rPr>
                  </w:pPr>
                  <w:r>
                    <w:rPr>
                      <w:rFonts w:hint="eastAsia"/>
                      <w:color w:val="auto"/>
                      <w:sz w:val="21"/>
                      <w:szCs w:val="21"/>
                      <w:highlight w:val="none"/>
                    </w:rPr>
                    <w:t>3-2.【水/限制类】实行重点重金属污染物（铅、砷、汞、镉、铬）等量替代。严格控制涉重金属及有毒有害污染物排放的项目建设，新建、改建、扩建涉重金属重点行业的项目应明确重金属污染物总量来源。3-3.【大气/限制类】新建项目原则上实施氮氧化物、挥发性有机物排放量等量替代。</w:t>
                  </w:r>
                </w:p>
                <w:p w14:paraId="26FD8B0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eastAsia"/>
                      <w:color w:val="auto"/>
                      <w:sz w:val="21"/>
                      <w:szCs w:val="21"/>
                      <w:highlight w:val="none"/>
                    </w:rPr>
                  </w:pPr>
                  <w:r>
                    <w:rPr>
                      <w:rFonts w:hint="eastAsia"/>
                      <w:color w:val="auto"/>
                      <w:sz w:val="21"/>
                      <w:szCs w:val="21"/>
                      <w:highlight w:val="none"/>
                    </w:rPr>
                    <w:t>3-4.【其它/鼓励引导类】支持危险废物专业收集转运和利用处置单位建设区域性收集网点和贮存设施。</w:t>
                  </w:r>
                </w:p>
              </w:tc>
              <w:tc>
                <w:tcPr>
                  <w:tcW w:w="1321" w:type="pct"/>
                  <w:gridSpan w:val="2"/>
                  <w:tcBorders>
                    <w:tl2br w:val="nil"/>
                    <w:tr2bl w:val="nil"/>
                  </w:tcBorders>
                  <w:vAlign w:val="center"/>
                </w:tcPr>
                <w:p w14:paraId="4F97A25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eastAsia"/>
                      <w:color w:val="auto"/>
                      <w:sz w:val="21"/>
                      <w:szCs w:val="21"/>
                      <w:highlight w:val="none"/>
                    </w:rPr>
                  </w:pPr>
                  <w:r>
                    <w:rPr>
                      <w:rFonts w:hint="eastAsia"/>
                      <w:color w:val="auto"/>
                      <w:sz w:val="21"/>
                      <w:szCs w:val="21"/>
                      <w:highlight w:val="none"/>
                    </w:rPr>
                    <w:t>项目生产过程产生</w:t>
                  </w:r>
                  <w:r>
                    <w:rPr>
                      <w:rFonts w:hint="eastAsia"/>
                      <w:color w:val="auto"/>
                      <w:sz w:val="21"/>
                      <w:szCs w:val="21"/>
                      <w:highlight w:val="none"/>
                      <w:lang w:eastAsia="zh-CN"/>
                    </w:rPr>
                    <w:t>的</w:t>
                  </w:r>
                  <w:r>
                    <w:rPr>
                      <w:rFonts w:hint="eastAsia"/>
                      <w:color w:val="auto"/>
                      <w:sz w:val="21"/>
                      <w:szCs w:val="21"/>
                      <w:highlight w:val="none"/>
                      <w:lang w:val="en-US" w:eastAsia="zh-CN"/>
                    </w:rPr>
                    <w:t>颗粒</w:t>
                  </w:r>
                  <w:r>
                    <w:rPr>
                      <w:rFonts w:hint="eastAsia"/>
                      <w:color w:val="auto"/>
                      <w:sz w:val="21"/>
                      <w:szCs w:val="21"/>
                      <w:highlight w:val="none"/>
                    </w:rPr>
                    <w:t>物没有突破园区规划环评核定的污染物排放总量，需向韶关市生态环境局乐昌分局申请分配实行等量代替，项目不涉及重金属污染物，危险废物贮存在厂区危险废物暂存间，统一收集后交有资质的单位处理。</w:t>
                  </w:r>
                </w:p>
              </w:tc>
              <w:tc>
                <w:tcPr>
                  <w:tcW w:w="370" w:type="pct"/>
                  <w:gridSpan w:val="2"/>
                  <w:tcBorders>
                    <w:tl2br w:val="nil"/>
                    <w:tr2bl w:val="nil"/>
                  </w:tcBorders>
                  <w:vAlign w:val="center"/>
                </w:tcPr>
                <w:p w14:paraId="6DABE69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color w:val="auto"/>
                      <w:sz w:val="21"/>
                      <w:szCs w:val="21"/>
                      <w:highlight w:val="none"/>
                    </w:rPr>
                  </w:pPr>
                  <w:r>
                    <w:rPr>
                      <w:rFonts w:hint="eastAsia"/>
                      <w:color w:val="auto"/>
                      <w:sz w:val="21"/>
                      <w:szCs w:val="21"/>
                      <w:highlight w:val="none"/>
                    </w:rPr>
                    <w:t>符合</w:t>
                  </w:r>
                </w:p>
              </w:tc>
            </w:tr>
            <w:tr w14:paraId="5B6E07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185" w:type="pct"/>
                  <w:vMerge w:val="continue"/>
                  <w:tcBorders>
                    <w:tl2br w:val="nil"/>
                    <w:tr2bl w:val="nil"/>
                  </w:tcBorders>
                  <w:vAlign w:val="center"/>
                </w:tcPr>
                <w:p w14:paraId="628A805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86" w:rightChars="36"/>
                    <w:jc w:val="center"/>
                    <w:textAlignment w:val="auto"/>
                    <w:rPr>
                      <w:rFonts w:hint="eastAsia"/>
                      <w:color w:val="auto"/>
                      <w:sz w:val="21"/>
                      <w:szCs w:val="21"/>
                      <w:highlight w:val="none"/>
                    </w:rPr>
                  </w:pPr>
                </w:p>
              </w:tc>
              <w:tc>
                <w:tcPr>
                  <w:tcW w:w="341" w:type="pct"/>
                  <w:tcBorders>
                    <w:tl2br w:val="nil"/>
                    <w:tr2bl w:val="nil"/>
                  </w:tcBorders>
                  <w:vAlign w:val="center"/>
                </w:tcPr>
                <w:p w14:paraId="70A8135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86" w:rightChars="36"/>
                    <w:jc w:val="center"/>
                    <w:textAlignment w:val="auto"/>
                    <w:rPr>
                      <w:rFonts w:hint="eastAsia"/>
                      <w:color w:val="auto"/>
                      <w:sz w:val="21"/>
                      <w:szCs w:val="21"/>
                      <w:highlight w:val="none"/>
                    </w:rPr>
                  </w:pPr>
                  <w:r>
                    <w:rPr>
                      <w:rFonts w:hint="eastAsia"/>
                      <w:color w:val="auto"/>
                      <w:sz w:val="21"/>
                      <w:szCs w:val="21"/>
                      <w:highlight w:val="none"/>
                    </w:rPr>
                    <w:t>环境风险防控</w:t>
                  </w:r>
                </w:p>
              </w:tc>
              <w:tc>
                <w:tcPr>
                  <w:tcW w:w="2781" w:type="pct"/>
                  <w:gridSpan w:val="2"/>
                  <w:tcBorders>
                    <w:tl2br w:val="nil"/>
                    <w:tr2bl w:val="nil"/>
                  </w:tcBorders>
                  <w:vAlign w:val="center"/>
                </w:tcPr>
                <w:p w14:paraId="5B705B3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eastAsia"/>
                      <w:color w:val="auto"/>
                      <w:sz w:val="21"/>
                      <w:szCs w:val="21"/>
                      <w:highlight w:val="none"/>
                    </w:rPr>
                  </w:pPr>
                  <w:r>
                    <w:rPr>
                      <w:rFonts w:hint="eastAsia"/>
                      <w:color w:val="auto"/>
                      <w:sz w:val="21"/>
                      <w:szCs w:val="21"/>
                      <w:highlight w:val="none"/>
                    </w:rPr>
                    <w:t>4-1.【风险/综合类】园区内生产、使用、储存危险化学品的项目应设置足够容积的事故应急池，园区应制定环境风险事故防范和应急预案，建立健全企业、园区和市政三级事故应急体系，落实有效的事故风险防范和应急措施，有效防范污染事故发生，并避免发生事故对周围环境造成污染，确保环境安全。园区污</w:t>
                  </w:r>
                  <w:r>
                    <w:rPr>
                      <w:rFonts w:hint="eastAsia"/>
                      <w:color w:val="auto"/>
                      <w:sz w:val="21"/>
                      <w:szCs w:val="21"/>
                      <w:highlight w:val="none"/>
                      <w:lang w:eastAsia="zh-CN"/>
                    </w:rPr>
                    <w:t>水</w:t>
                  </w:r>
                  <w:r>
                    <w:rPr>
                      <w:rFonts w:hint="eastAsia"/>
                      <w:color w:val="auto"/>
                      <w:sz w:val="21"/>
                      <w:szCs w:val="21"/>
                      <w:highlight w:val="none"/>
                    </w:rPr>
                    <w:t>处理厂设置足够容积的事故应急池，纳污水体设置水质监控断面，发现问题，及时采取限制废水排放等措施。</w:t>
                  </w:r>
                </w:p>
              </w:tc>
              <w:tc>
                <w:tcPr>
                  <w:tcW w:w="1321" w:type="pct"/>
                  <w:gridSpan w:val="2"/>
                  <w:tcBorders>
                    <w:tl2br w:val="nil"/>
                    <w:tr2bl w:val="nil"/>
                  </w:tcBorders>
                  <w:vAlign w:val="center"/>
                </w:tcPr>
                <w:p w14:paraId="601BD7D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eastAsia"/>
                      <w:color w:val="auto"/>
                      <w:sz w:val="21"/>
                      <w:szCs w:val="21"/>
                      <w:highlight w:val="none"/>
                    </w:rPr>
                  </w:pPr>
                  <w:r>
                    <w:rPr>
                      <w:rFonts w:hint="eastAsia"/>
                      <w:color w:val="auto"/>
                      <w:sz w:val="21"/>
                      <w:szCs w:val="21"/>
                      <w:highlight w:val="none"/>
                    </w:rPr>
                    <w:t>项目位于</w:t>
                  </w:r>
                  <w:r>
                    <w:rPr>
                      <w:rFonts w:hint="eastAsia"/>
                      <w:color w:val="auto"/>
                      <w:sz w:val="21"/>
                      <w:szCs w:val="21"/>
                      <w:highlight w:val="none"/>
                      <w:lang w:eastAsia="zh-CN"/>
                    </w:rPr>
                    <w:t>乐昌产业转移工业园</w:t>
                  </w:r>
                  <w:r>
                    <w:rPr>
                      <w:rFonts w:hint="eastAsia"/>
                      <w:color w:val="auto"/>
                      <w:sz w:val="21"/>
                      <w:szCs w:val="21"/>
                      <w:highlight w:val="none"/>
                    </w:rPr>
                    <w:t>内，</w:t>
                  </w:r>
                  <w:r>
                    <w:rPr>
                      <w:rFonts w:hint="eastAsia"/>
                      <w:color w:val="auto"/>
                      <w:sz w:val="21"/>
                      <w:szCs w:val="21"/>
                      <w:highlight w:val="none"/>
                      <w:lang w:eastAsia="zh-CN"/>
                    </w:rPr>
                    <w:t>乐昌产业转移工业园</w:t>
                  </w:r>
                  <w:r>
                    <w:rPr>
                      <w:rFonts w:hint="eastAsia"/>
                      <w:color w:val="auto"/>
                      <w:sz w:val="21"/>
                      <w:szCs w:val="21"/>
                      <w:highlight w:val="none"/>
                    </w:rPr>
                    <w:t>已完善相关环保手续，并制定了事故风险防范和应急措施，能够满足项目环境风险防控的要求。</w:t>
                  </w:r>
                </w:p>
              </w:tc>
              <w:tc>
                <w:tcPr>
                  <w:tcW w:w="370" w:type="pct"/>
                  <w:gridSpan w:val="2"/>
                  <w:tcBorders>
                    <w:tl2br w:val="nil"/>
                    <w:tr2bl w:val="nil"/>
                  </w:tcBorders>
                  <w:vAlign w:val="center"/>
                </w:tcPr>
                <w:p w14:paraId="563619B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color w:val="auto"/>
                      <w:sz w:val="21"/>
                      <w:szCs w:val="21"/>
                      <w:highlight w:val="none"/>
                    </w:rPr>
                  </w:pPr>
                  <w:r>
                    <w:rPr>
                      <w:rFonts w:hint="eastAsia"/>
                      <w:color w:val="auto"/>
                      <w:sz w:val="21"/>
                      <w:szCs w:val="21"/>
                      <w:highlight w:val="none"/>
                    </w:rPr>
                    <w:t>符合</w:t>
                  </w:r>
                </w:p>
              </w:tc>
            </w:tr>
            <w:tr w14:paraId="616324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6D97FDB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86" w:rightChars="36"/>
                    <w:jc w:val="center"/>
                    <w:textAlignment w:val="auto"/>
                    <w:rPr>
                      <w:rFonts w:hint="eastAsia"/>
                      <w:b/>
                      <w:bCs/>
                      <w:color w:val="auto"/>
                      <w:sz w:val="21"/>
                      <w:szCs w:val="21"/>
                      <w:highlight w:val="none"/>
                    </w:rPr>
                  </w:pPr>
                  <w:r>
                    <w:rPr>
                      <w:rFonts w:hint="eastAsia"/>
                      <w:b/>
                      <w:bCs/>
                      <w:color w:val="auto"/>
                      <w:sz w:val="21"/>
                      <w:szCs w:val="21"/>
                      <w:highlight w:val="none"/>
                    </w:rPr>
                    <w:t>环境管控单元编码</w:t>
                  </w:r>
                </w:p>
              </w:tc>
              <w:tc>
                <w:tcPr>
                  <w:tcW w:w="2392" w:type="pct"/>
                  <w:tcBorders>
                    <w:tl2br w:val="nil"/>
                    <w:tr2bl w:val="nil"/>
                  </w:tcBorders>
                  <w:vAlign w:val="center"/>
                </w:tcPr>
                <w:p w14:paraId="0B4CBD3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b/>
                      <w:bCs/>
                      <w:color w:val="auto"/>
                      <w:sz w:val="21"/>
                      <w:szCs w:val="21"/>
                      <w:highlight w:val="none"/>
                    </w:rPr>
                  </w:pPr>
                  <w:r>
                    <w:rPr>
                      <w:rFonts w:hint="eastAsia"/>
                      <w:b/>
                      <w:bCs/>
                      <w:color w:val="auto"/>
                      <w:sz w:val="21"/>
                      <w:szCs w:val="21"/>
                      <w:highlight w:val="none"/>
                    </w:rPr>
                    <w:t>环境管控单元名称</w:t>
                  </w:r>
                </w:p>
              </w:tc>
              <w:tc>
                <w:tcPr>
                  <w:tcW w:w="1691" w:type="pct"/>
                  <w:gridSpan w:val="4"/>
                  <w:tcBorders>
                    <w:tl2br w:val="nil"/>
                    <w:tr2bl w:val="nil"/>
                  </w:tcBorders>
                  <w:vAlign w:val="center"/>
                </w:tcPr>
                <w:p w14:paraId="280BE6B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b/>
                      <w:bCs/>
                      <w:color w:val="auto"/>
                      <w:sz w:val="21"/>
                      <w:szCs w:val="21"/>
                      <w:highlight w:val="none"/>
                    </w:rPr>
                  </w:pPr>
                  <w:r>
                    <w:rPr>
                      <w:rFonts w:hint="eastAsia"/>
                      <w:b/>
                      <w:bCs/>
                      <w:color w:val="auto"/>
                      <w:sz w:val="21"/>
                      <w:szCs w:val="21"/>
                      <w:highlight w:val="none"/>
                    </w:rPr>
                    <w:t>管控单元分类</w:t>
                  </w:r>
                </w:p>
              </w:tc>
            </w:tr>
            <w:tr w14:paraId="2C6143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2FC52AE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86" w:rightChars="36"/>
                    <w:jc w:val="center"/>
                    <w:textAlignment w:val="auto"/>
                    <w:rPr>
                      <w:rFonts w:hint="eastAsia"/>
                      <w:color w:val="auto"/>
                      <w:sz w:val="21"/>
                      <w:szCs w:val="21"/>
                      <w:highlight w:val="none"/>
                    </w:rPr>
                  </w:pPr>
                  <w:r>
                    <w:rPr>
                      <w:rFonts w:hint="eastAsia" w:cs="Times New Roman"/>
                      <w:b w:val="0"/>
                      <w:bCs w:val="0"/>
                      <w:color w:val="auto"/>
                      <w:kern w:val="0"/>
                      <w:sz w:val="21"/>
                      <w:szCs w:val="21"/>
                      <w:highlight w:val="none"/>
                      <w:lang w:val="en-US" w:eastAsia="zh-CN"/>
                    </w:rPr>
                    <w:t>ZH44028120003</w:t>
                  </w:r>
                </w:p>
              </w:tc>
              <w:tc>
                <w:tcPr>
                  <w:tcW w:w="2392" w:type="pct"/>
                  <w:tcBorders>
                    <w:tl2br w:val="nil"/>
                    <w:tr2bl w:val="nil"/>
                  </w:tcBorders>
                  <w:vAlign w:val="center"/>
                </w:tcPr>
                <w:p w14:paraId="0A277D6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color w:val="auto"/>
                      <w:sz w:val="21"/>
                      <w:szCs w:val="21"/>
                      <w:highlight w:val="none"/>
                    </w:rPr>
                  </w:pPr>
                  <w:r>
                    <w:rPr>
                      <w:rFonts w:hint="eastAsia" w:ascii="Times New Roman" w:hAnsi="Times New Roman" w:eastAsia="宋体" w:cs="Times New Roman"/>
                      <w:b w:val="0"/>
                      <w:bCs w:val="0"/>
                      <w:color w:val="auto"/>
                      <w:kern w:val="0"/>
                      <w:sz w:val="21"/>
                      <w:szCs w:val="21"/>
                      <w:highlight w:val="none"/>
                      <w:lang w:val="en-US" w:eastAsia="zh-CN"/>
                    </w:rPr>
                    <w:t>乐昌市生态空间一般管控区</w:t>
                  </w:r>
                </w:p>
              </w:tc>
              <w:tc>
                <w:tcPr>
                  <w:tcW w:w="1691" w:type="pct"/>
                  <w:gridSpan w:val="4"/>
                  <w:tcBorders>
                    <w:tl2br w:val="nil"/>
                    <w:tr2bl w:val="nil"/>
                  </w:tcBorders>
                  <w:vAlign w:val="center"/>
                </w:tcPr>
                <w:p w14:paraId="08BA0DE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color w:val="auto"/>
                      <w:sz w:val="21"/>
                      <w:szCs w:val="21"/>
                      <w:highlight w:val="none"/>
                    </w:rPr>
                  </w:pPr>
                  <w:r>
                    <w:rPr>
                      <w:rFonts w:hint="eastAsia"/>
                      <w:color w:val="auto"/>
                      <w:sz w:val="21"/>
                      <w:szCs w:val="21"/>
                      <w:highlight w:val="none"/>
                    </w:rPr>
                    <w:t>生态空间一般管控区</w:t>
                  </w:r>
                </w:p>
              </w:tc>
            </w:tr>
            <w:tr w14:paraId="28BC18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2091B9C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86" w:rightChars="36"/>
                    <w:jc w:val="center"/>
                    <w:textAlignment w:val="auto"/>
                    <w:rPr>
                      <w:rFonts w:hint="eastAsia" w:ascii="Times New Roman" w:hAnsi="Times New Roman" w:eastAsia="宋体" w:cs="Times New Roman"/>
                      <w:b/>
                      <w:bCs/>
                      <w:color w:val="auto"/>
                      <w:kern w:val="0"/>
                      <w:sz w:val="21"/>
                      <w:szCs w:val="21"/>
                      <w:highlight w:val="none"/>
                      <w:lang w:val="en-US" w:eastAsia="zh-CN"/>
                    </w:rPr>
                  </w:pPr>
                  <w:r>
                    <w:rPr>
                      <w:rFonts w:hint="eastAsia" w:ascii="Times New Roman" w:hAnsi="Times New Roman" w:eastAsia="宋体" w:cs="Times New Roman"/>
                      <w:b/>
                      <w:bCs/>
                      <w:color w:val="auto"/>
                      <w:kern w:val="0"/>
                      <w:sz w:val="21"/>
                      <w:szCs w:val="21"/>
                      <w:highlight w:val="none"/>
                      <w:lang w:val="en-US" w:eastAsia="zh-CN"/>
                    </w:rPr>
                    <w:t>管控维度</w:t>
                  </w:r>
                </w:p>
              </w:tc>
              <w:tc>
                <w:tcPr>
                  <w:tcW w:w="2392" w:type="pct"/>
                  <w:tcBorders>
                    <w:tl2br w:val="nil"/>
                    <w:tr2bl w:val="nil"/>
                  </w:tcBorders>
                  <w:vAlign w:val="center"/>
                </w:tcPr>
                <w:p w14:paraId="604CE1C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ascii="Times New Roman" w:hAnsi="Times New Roman" w:eastAsia="宋体" w:cs="Times New Roman"/>
                      <w:b/>
                      <w:bCs/>
                      <w:color w:val="auto"/>
                      <w:kern w:val="0"/>
                      <w:sz w:val="21"/>
                      <w:szCs w:val="21"/>
                      <w:highlight w:val="none"/>
                      <w:lang w:val="en-US" w:eastAsia="zh-CN"/>
                    </w:rPr>
                  </w:pPr>
                  <w:r>
                    <w:rPr>
                      <w:rFonts w:hint="eastAsia" w:ascii="Times New Roman" w:hAnsi="Times New Roman" w:eastAsia="宋体" w:cs="Times New Roman"/>
                      <w:b/>
                      <w:bCs/>
                      <w:color w:val="auto"/>
                      <w:kern w:val="0"/>
                      <w:sz w:val="21"/>
                      <w:szCs w:val="21"/>
                      <w:highlight w:val="none"/>
                      <w:lang w:val="en-US" w:eastAsia="zh-CN"/>
                    </w:rPr>
                    <w:t>管控要求</w:t>
                  </w:r>
                </w:p>
              </w:tc>
              <w:tc>
                <w:tcPr>
                  <w:tcW w:w="1301" w:type="pct"/>
                  <w:tcBorders>
                    <w:tl2br w:val="nil"/>
                    <w:tr2bl w:val="nil"/>
                  </w:tcBorders>
                  <w:vAlign w:val="center"/>
                </w:tcPr>
                <w:p w14:paraId="3FB6180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b/>
                      <w:bCs/>
                      <w:color w:val="auto"/>
                      <w:sz w:val="21"/>
                      <w:szCs w:val="21"/>
                      <w:highlight w:val="none"/>
                    </w:rPr>
                  </w:pPr>
                  <w:r>
                    <w:rPr>
                      <w:rFonts w:hint="eastAsia"/>
                      <w:b/>
                      <w:bCs/>
                      <w:color w:val="auto"/>
                      <w:sz w:val="21"/>
                      <w:szCs w:val="21"/>
                      <w:highlight w:val="none"/>
                    </w:rPr>
                    <w:t>项目情况</w:t>
                  </w:r>
                </w:p>
              </w:tc>
              <w:tc>
                <w:tcPr>
                  <w:tcW w:w="390" w:type="pct"/>
                  <w:gridSpan w:val="3"/>
                  <w:tcBorders>
                    <w:tl2br w:val="nil"/>
                    <w:tr2bl w:val="nil"/>
                  </w:tcBorders>
                  <w:vAlign w:val="center"/>
                </w:tcPr>
                <w:p w14:paraId="0E29E5D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b/>
                      <w:bCs/>
                      <w:color w:val="auto"/>
                      <w:sz w:val="21"/>
                      <w:szCs w:val="21"/>
                      <w:highlight w:val="none"/>
                    </w:rPr>
                  </w:pPr>
                  <w:r>
                    <w:rPr>
                      <w:rFonts w:hint="eastAsia"/>
                      <w:b/>
                      <w:bCs/>
                      <w:color w:val="auto"/>
                      <w:sz w:val="21"/>
                      <w:szCs w:val="21"/>
                      <w:highlight w:val="none"/>
                    </w:rPr>
                    <w:t>相符性</w:t>
                  </w:r>
                </w:p>
              </w:tc>
            </w:tr>
            <w:tr w14:paraId="7AB73E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32EB444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86" w:rightChars="36"/>
                    <w:jc w:val="center"/>
                    <w:textAlignment w:val="auto"/>
                    <w:rPr>
                      <w:rFonts w:hint="eastAsia" w:ascii="Times New Roman" w:hAnsi="Times New Roman" w:eastAsia="宋体" w:cs="Times New Roman"/>
                      <w:b w:val="0"/>
                      <w:bCs w:val="0"/>
                      <w:color w:val="auto"/>
                      <w:kern w:val="0"/>
                      <w:sz w:val="21"/>
                      <w:szCs w:val="21"/>
                      <w:highlight w:val="none"/>
                      <w:lang w:val="en-US" w:eastAsia="zh-CN"/>
                    </w:rPr>
                  </w:pPr>
                  <w:r>
                    <w:rPr>
                      <w:rFonts w:hint="eastAsia" w:ascii="Times New Roman" w:hAnsi="Times New Roman" w:eastAsia="宋体" w:cs="Times New Roman"/>
                      <w:b w:val="0"/>
                      <w:bCs w:val="0"/>
                      <w:color w:val="auto"/>
                      <w:kern w:val="0"/>
                      <w:sz w:val="21"/>
                      <w:szCs w:val="21"/>
                      <w:highlight w:val="none"/>
                      <w:lang w:val="en-US" w:eastAsia="zh-CN"/>
                    </w:rPr>
                    <w:t>区域布局管控</w:t>
                  </w:r>
                </w:p>
              </w:tc>
              <w:tc>
                <w:tcPr>
                  <w:tcW w:w="2392" w:type="pct"/>
                  <w:tcBorders>
                    <w:tl2br w:val="nil"/>
                    <w:tr2bl w:val="nil"/>
                  </w:tcBorders>
                  <w:vAlign w:val="center"/>
                </w:tcPr>
                <w:p w14:paraId="7120B08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ascii="Times New Roman" w:hAnsi="Times New Roman" w:eastAsia="宋体" w:cs="Times New Roman"/>
                      <w:b w:val="0"/>
                      <w:bCs w:val="0"/>
                      <w:color w:val="auto"/>
                      <w:kern w:val="0"/>
                      <w:sz w:val="21"/>
                      <w:szCs w:val="21"/>
                      <w:highlight w:val="none"/>
                      <w:lang w:val="en-US" w:eastAsia="zh-CN"/>
                    </w:rPr>
                  </w:pPr>
                  <w:r>
                    <w:rPr>
                      <w:rFonts w:hint="eastAsia" w:ascii="Times New Roman" w:hAnsi="Times New Roman" w:eastAsia="宋体" w:cs="Times New Roman"/>
                      <w:b w:val="0"/>
                      <w:bCs w:val="0"/>
                      <w:color w:val="auto"/>
                      <w:kern w:val="0"/>
                      <w:sz w:val="21"/>
                      <w:szCs w:val="21"/>
                      <w:highlight w:val="none"/>
                      <w:lang w:val="en-US" w:eastAsia="zh-CN"/>
                    </w:rPr>
                    <w:t>按国家和省统一要求管理。</w:t>
                  </w:r>
                </w:p>
              </w:tc>
              <w:tc>
                <w:tcPr>
                  <w:tcW w:w="1301" w:type="pct"/>
                  <w:tcBorders>
                    <w:tl2br w:val="nil"/>
                    <w:tr2bl w:val="nil"/>
                  </w:tcBorders>
                  <w:vAlign w:val="center"/>
                </w:tcPr>
                <w:p w14:paraId="5B9855F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color w:val="auto"/>
                      <w:sz w:val="21"/>
                      <w:szCs w:val="21"/>
                      <w:highlight w:val="none"/>
                    </w:rPr>
                  </w:pPr>
                  <w:r>
                    <w:rPr>
                      <w:rFonts w:hint="eastAsia"/>
                      <w:color w:val="auto"/>
                      <w:sz w:val="21"/>
                      <w:szCs w:val="21"/>
                      <w:highlight w:val="none"/>
                    </w:rPr>
                    <w:t>项目不涉及自然生态用地，合理开发，符合城市规划</w:t>
                  </w:r>
                </w:p>
              </w:tc>
              <w:tc>
                <w:tcPr>
                  <w:tcW w:w="390" w:type="pct"/>
                  <w:gridSpan w:val="3"/>
                  <w:tcBorders>
                    <w:tl2br w:val="nil"/>
                    <w:tr2bl w:val="nil"/>
                  </w:tcBorders>
                  <w:vAlign w:val="center"/>
                </w:tcPr>
                <w:p w14:paraId="463A4C0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color w:val="auto"/>
                      <w:sz w:val="21"/>
                      <w:szCs w:val="21"/>
                      <w:highlight w:val="none"/>
                    </w:rPr>
                  </w:pPr>
                  <w:r>
                    <w:rPr>
                      <w:rFonts w:hint="eastAsia"/>
                      <w:color w:val="auto"/>
                      <w:sz w:val="21"/>
                      <w:szCs w:val="21"/>
                      <w:highlight w:val="none"/>
                    </w:rPr>
                    <w:t>符合</w:t>
                  </w:r>
                </w:p>
              </w:tc>
            </w:tr>
            <w:tr w14:paraId="3481FB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13E7D843">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b w:val="0"/>
                      <w:bCs w:val="0"/>
                      <w:color w:val="auto"/>
                      <w:kern w:val="0"/>
                      <w:sz w:val="21"/>
                      <w:szCs w:val="21"/>
                      <w:highlight w:val="none"/>
                      <w:lang w:val="en-US" w:eastAsia="zh-CN"/>
                    </w:rPr>
                  </w:pPr>
                  <w:r>
                    <w:rPr>
                      <w:rFonts w:hint="eastAsia" w:ascii="宋体" w:hAnsi="宋体" w:eastAsia="宋体" w:cs="宋体"/>
                      <w:b/>
                      <w:bCs/>
                      <w:color w:val="auto"/>
                      <w:kern w:val="0"/>
                      <w:sz w:val="21"/>
                      <w:szCs w:val="21"/>
                      <w:highlight w:val="none"/>
                      <w:lang w:val="en-US" w:eastAsia="zh-CN"/>
                    </w:rPr>
                    <w:t>环境管控单元编码</w:t>
                  </w:r>
                </w:p>
              </w:tc>
              <w:tc>
                <w:tcPr>
                  <w:tcW w:w="2392" w:type="pct"/>
                  <w:tcBorders>
                    <w:tl2br w:val="nil"/>
                    <w:tr2bl w:val="nil"/>
                  </w:tcBorders>
                  <w:vAlign w:val="center"/>
                </w:tcPr>
                <w:p w14:paraId="30D0F435">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b w:val="0"/>
                      <w:bCs w:val="0"/>
                      <w:color w:val="auto"/>
                      <w:kern w:val="0"/>
                      <w:sz w:val="21"/>
                      <w:szCs w:val="21"/>
                      <w:highlight w:val="none"/>
                      <w:lang w:val="en-US" w:eastAsia="zh-CN"/>
                    </w:rPr>
                  </w:pPr>
                  <w:r>
                    <w:rPr>
                      <w:rFonts w:hint="eastAsia" w:ascii="宋体" w:hAnsi="宋体" w:eastAsia="宋体" w:cs="宋体"/>
                      <w:b/>
                      <w:bCs/>
                      <w:color w:val="auto"/>
                      <w:kern w:val="0"/>
                      <w:sz w:val="21"/>
                      <w:szCs w:val="21"/>
                      <w:highlight w:val="none"/>
                      <w:lang w:val="en-US" w:eastAsia="zh-CN"/>
                    </w:rPr>
                    <w:t>环境管控单元名称</w:t>
                  </w:r>
                </w:p>
              </w:tc>
              <w:tc>
                <w:tcPr>
                  <w:tcW w:w="1691" w:type="pct"/>
                  <w:gridSpan w:val="4"/>
                  <w:tcBorders>
                    <w:tl2br w:val="nil"/>
                    <w:tr2bl w:val="nil"/>
                  </w:tcBorders>
                  <w:vAlign w:val="center"/>
                </w:tcPr>
                <w:p w14:paraId="0A2167D5">
                  <w:pPr>
                    <w:keepNext w:val="0"/>
                    <w:keepLines w:val="0"/>
                    <w:widowControl/>
                    <w:suppressLineNumbers w:val="0"/>
                    <w:spacing w:before="0" w:beforeAutospacing="0" w:after="0" w:afterAutospacing="0"/>
                    <w:ind w:left="0" w:right="0"/>
                    <w:jc w:val="center"/>
                    <w:rPr>
                      <w:rFonts w:hint="eastAsia"/>
                      <w:color w:val="auto"/>
                      <w:sz w:val="21"/>
                      <w:szCs w:val="21"/>
                      <w:highlight w:val="none"/>
                    </w:rPr>
                  </w:pPr>
                  <w:r>
                    <w:rPr>
                      <w:rFonts w:hint="eastAsia" w:ascii="宋体" w:hAnsi="宋体" w:eastAsia="宋体" w:cs="宋体"/>
                      <w:b/>
                      <w:bCs/>
                      <w:color w:val="auto"/>
                      <w:kern w:val="0"/>
                      <w:sz w:val="21"/>
                      <w:szCs w:val="21"/>
                      <w:highlight w:val="none"/>
                      <w:lang w:val="en-US" w:eastAsia="zh-CN"/>
                    </w:rPr>
                    <w:t>管控单元分类</w:t>
                  </w:r>
                </w:p>
              </w:tc>
            </w:tr>
            <w:tr w14:paraId="504632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3D857CE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86" w:rightChars="36"/>
                    <w:jc w:val="center"/>
                    <w:textAlignment w:val="auto"/>
                    <w:rPr>
                      <w:rFonts w:hint="eastAsia" w:ascii="Times New Roman" w:hAnsi="Times New Roman" w:eastAsia="宋体" w:cs="Times New Roman"/>
                      <w:b w:val="0"/>
                      <w:bCs w:val="0"/>
                      <w:color w:val="auto"/>
                      <w:kern w:val="0"/>
                      <w:sz w:val="21"/>
                      <w:szCs w:val="21"/>
                      <w:highlight w:val="none"/>
                      <w:lang w:val="en-US" w:eastAsia="zh-CN"/>
                    </w:rPr>
                  </w:pPr>
                  <w:r>
                    <w:rPr>
                      <w:rFonts w:hint="eastAsia" w:ascii="宋体" w:hAnsi="宋体" w:eastAsia="宋体" w:cs="宋体"/>
                      <w:color w:val="auto"/>
                      <w:sz w:val="21"/>
                      <w:szCs w:val="21"/>
                      <w:highlight w:val="none"/>
                    </w:rPr>
                    <w:t>YS4402813210014</w:t>
                  </w:r>
                </w:p>
              </w:tc>
              <w:tc>
                <w:tcPr>
                  <w:tcW w:w="2392" w:type="pct"/>
                  <w:tcBorders>
                    <w:tl2br w:val="nil"/>
                    <w:tr2bl w:val="nil"/>
                  </w:tcBorders>
                  <w:vAlign w:val="center"/>
                </w:tcPr>
                <w:p w14:paraId="6010C72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ascii="Times New Roman" w:hAnsi="Times New Roman" w:eastAsia="宋体" w:cs="Times New Roman"/>
                      <w:b w:val="0"/>
                      <w:bCs w:val="0"/>
                      <w:color w:val="auto"/>
                      <w:kern w:val="0"/>
                      <w:sz w:val="21"/>
                      <w:szCs w:val="21"/>
                      <w:highlight w:val="none"/>
                      <w:lang w:val="en-US" w:eastAsia="zh-CN"/>
                    </w:rPr>
                  </w:pPr>
                  <w:r>
                    <w:rPr>
                      <w:rFonts w:hint="eastAsia" w:ascii="宋体" w:hAnsi="宋体" w:eastAsia="宋体" w:cs="宋体"/>
                      <w:color w:val="auto"/>
                      <w:sz w:val="21"/>
                      <w:szCs w:val="21"/>
                      <w:highlight w:val="none"/>
                    </w:rPr>
                    <w:t>武水韶关市长来-廊田镇控制单元</w:t>
                  </w:r>
                </w:p>
              </w:tc>
              <w:tc>
                <w:tcPr>
                  <w:tcW w:w="1691" w:type="pct"/>
                  <w:gridSpan w:val="4"/>
                  <w:tcBorders>
                    <w:tl2br w:val="nil"/>
                    <w:tr2bl w:val="nil"/>
                  </w:tcBorders>
                  <w:vAlign w:val="center"/>
                </w:tcPr>
                <w:p w14:paraId="50AD5C9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color w:val="auto"/>
                      <w:sz w:val="21"/>
                      <w:szCs w:val="21"/>
                      <w:highlight w:val="none"/>
                    </w:rPr>
                  </w:pPr>
                  <w:r>
                    <w:rPr>
                      <w:rFonts w:hint="eastAsia"/>
                      <w:color w:val="auto"/>
                      <w:sz w:val="21"/>
                      <w:szCs w:val="21"/>
                      <w:highlight w:val="none"/>
                    </w:rPr>
                    <w:t>水环境一般管控区</w:t>
                  </w:r>
                </w:p>
              </w:tc>
            </w:tr>
            <w:tr w14:paraId="74745B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5DF80DE2">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b w:val="0"/>
                      <w:bCs w:val="0"/>
                      <w:color w:val="auto"/>
                      <w:kern w:val="0"/>
                      <w:sz w:val="21"/>
                      <w:szCs w:val="21"/>
                      <w:highlight w:val="none"/>
                      <w:lang w:val="en-US" w:eastAsia="zh-CN"/>
                    </w:rPr>
                  </w:pPr>
                  <w:r>
                    <w:rPr>
                      <w:rFonts w:hint="eastAsia" w:ascii="宋体" w:hAnsi="宋体" w:eastAsia="宋体" w:cs="宋体"/>
                      <w:b/>
                      <w:bCs/>
                      <w:color w:val="auto"/>
                      <w:kern w:val="0"/>
                      <w:sz w:val="21"/>
                      <w:szCs w:val="21"/>
                      <w:highlight w:val="none"/>
                      <w:lang w:val="en-US" w:eastAsia="zh-CN"/>
                    </w:rPr>
                    <w:t>管控维度</w:t>
                  </w:r>
                </w:p>
              </w:tc>
              <w:tc>
                <w:tcPr>
                  <w:tcW w:w="2392" w:type="pct"/>
                  <w:tcBorders>
                    <w:tl2br w:val="nil"/>
                    <w:tr2bl w:val="nil"/>
                  </w:tcBorders>
                  <w:vAlign w:val="center"/>
                </w:tcPr>
                <w:p w14:paraId="79F03E4F">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b w:val="0"/>
                      <w:bCs w:val="0"/>
                      <w:color w:val="auto"/>
                      <w:kern w:val="0"/>
                      <w:sz w:val="21"/>
                      <w:szCs w:val="21"/>
                      <w:highlight w:val="none"/>
                      <w:lang w:val="en-US" w:eastAsia="zh-CN"/>
                    </w:rPr>
                  </w:pPr>
                  <w:r>
                    <w:rPr>
                      <w:rFonts w:hint="eastAsia" w:ascii="宋体" w:hAnsi="宋体" w:eastAsia="宋体" w:cs="宋体"/>
                      <w:b/>
                      <w:bCs/>
                      <w:color w:val="auto"/>
                      <w:kern w:val="0"/>
                      <w:sz w:val="21"/>
                      <w:szCs w:val="21"/>
                      <w:highlight w:val="none"/>
                      <w:lang w:val="en-US" w:eastAsia="zh-CN"/>
                    </w:rPr>
                    <w:t>管控要求</w:t>
                  </w:r>
                </w:p>
              </w:tc>
              <w:tc>
                <w:tcPr>
                  <w:tcW w:w="1301" w:type="pct"/>
                  <w:tcBorders>
                    <w:tl2br w:val="nil"/>
                    <w:tr2bl w:val="nil"/>
                  </w:tcBorders>
                  <w:vAlign w:val="center"/>
                </w:tcPr>
                <w:p w14:paraId="2B9B94D0">
                  <w:pPr>
                    <w:keepNext w:val="0"/>
                    <w:keepLines w:val="0"/>
                    <w:widowControl/>
                    <w:suppressLineNumbers w:val="0"/>
                    <w:spacing w:before="0" w:beforeAutospacing="0" w:after="0" w:afterAutospacing="0"/>
                    <w:ind w:left="0" w:right="0"/>
                    <w:jc w:val="center"/>
                    <w:rPr>
                      <w:rFonts w:hint="eastAsia" w:eastAsia="宋体"/>
                      <w:color w:val="auto"/>
                      <w:sz w:val="21"/>
                      <w:szCs w:val="21"/>
                      <w:highlight w:val="none"/>
                      <w:lang w:eastAsia="zh-CN"/>
                    </w:rPr>
                  </w:pPr>
                  <w:r>
                    <w:rPr>
                      <w:rFonts w:hint="eastAsia" w:ascii="宋体" w:hAnsi="宋体" w:eastAsia="宋体" w:cs="宋体"/>
                      <w:b/>
                      <w:bCs/>
                      <w:color w:val="auto"/>
                      <w:kern w:val="0"/>
                      <w:sz w:val="21"/>
                      <w:szCs w:val="21"/>
                      <w:highlight w:val="none"/>
                      <w:lang w:val="en-US" w:eastAsia="zh-CN"/>
                    </w:rPr>
                    <w:t>项目情况</w:t>
                  </w:r>
                </w:p>
              </w:tc>
              <w:tc>
                <w:tcPr>
                  <w:tcW w:w="390" w:type="pct"/>
                  <w:gridSpan w:val="3"/>
                  <w:tcBorders>
                    <w:tl2br w:val="nil"/>
                    <w:tr2bl w:val="nil"/>
                  </w:tcBorders>
                  <w:vAlign w:val="center"/>
                </w:tcPr>
                <w:p w14:paraId="410374F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color w:val="auto"/>
                      <w:sz w:val="21"/>
                      <w:szCs w:val="21"/>
                      <w:highlight w:val="none"/>
                    </w:rPr>
                  </w:pPr>
                  <w:r>
                    <w:rPr>
                      <w:rFonts w:hint="eastAsia"/>
                      <w:b/>
                      <w:bCs/>
                      <w:color w:val="auto"/>
                      <w:sz w:val="21"/>
                      <w:szCs w:val="21"/>
                      <w:highlight w:val="none"/>
                      <w:lang w:val="en-US" w:eastAsia="zh-CN"/>
                    </w:rPr>
                    <w:t>相</w:t>
                  </w:r>
                  <w:r>
                    <w:rPr>
                      <w:rFonts w:hint="eastAsia"/>
                      <w:b/>
                      <w:bCs/>
                      <w:color w:val="auto"/>
                      <w:sz w:val="21"/>
                      <w:szCs w:val="21"/>
                      <w:highlight w:val="none"/>
                    </w:rPr>
                    <w:t>符性</w:t>
                  </w:r>
                </w:p>
              </w:tc>
            </w:tr>
            <w:tr w14:paraId="63AEEA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3D25309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86" w:rightChars="36"/>
                    <w:jc w:val="center"/>
                    <w:textAlignment w:val="auto"/>
                    <w:rPr>
                      <w:rFonts w:hint="eastAsia" w:ascii="Times New Roman" w:hAnsi="Times New Roman" w:eastAsia="宋体" w:cs="Times New Roman"/>
                      <w:b w:val="0"/>
                      <w:bCs w:val="0"/>
                      <w:color w:val="auto"/>
                      <w:kern w:val="0"/>
                      <w:sz w:val="21"/>
                      <w:szCs w:val="21"/>
                      <w:highlight w:val="none"/>
                      <w:lang w:val="en-US" w:eastAsia="zh-CN"/>
                    </w:rPr>
                  </w:pPr>
                  <w:r>
                    <w:rPr>
                      <w:rFonts w:hint="eastAsia" w:ascii="宋体" w:hAnsi="宋体" w:eastAsia="宋体" w:cs="宋体"/>
                      <w:color w:val="auto"/>
                      <w:sz w:val="21"/>
                      <w:szCs w:val="21"/>
                      <w:highlight w:val="none"/>
                    </w:rPr>
                    <w:t>区域布局管控</w:t>
                  </w:r>
                </w:p>
              </w:tc>
              <w:tc>
                <w:tcPr>
                  <w:tcW w:w="2392" w:type="pct"/>
                  <w:tcBorders>
                    <w:tl2br w:val="nil"/>
                    <w:tr2bl w:val="nil"/>
                  </w:tcBorders>
                  <w:vAlign w:val="center"/>
                </w:tcPr>
                <w:p w14:paraId="5EB74E5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ascii="Times New Roman" w:hAnsi="Times New Roman" w:eastAsia="宋体" w:cs="Times New Roman"/>
                      <w:b w:val="0"/>
                      <w:bCs w:val="0"/>
                      <w:color w:val="auto"/>
                      <w:kern w:val="0"/>
                      <w:sz w:val="21"/>
                      <w:szCs w:val="21"/>
                      <w:highlight w:val="none"/>
                      <w:lang w:val="en-US" w:eastAsia="zh-CN"/>
                    </w:rPr>
                  </w:pPr>
                  <w:r>
                    <w:rPr>
                      <w:rFonts w:hint="eastAsia" w:ascii="宋体" w:hAnsi="宋体" w:eastAsia="宋体" w:cs="宋体"/>
                      <w:color w:val="auto"/>
                      <w:sz w:val="21"/>
                      <w:szCs w:val="21"/>
                      <w:highlight w:val="none"/>
                    </w:rPr>
                    <w:t>严格执行畜禽养殖禁养区管理要求，畜禽养殖禁养区内严禁建设规模化畜禽养殖场和规模化畜禽养殖小区，禁养区外的养殖场应配套污染防治设施</w:t>
                  </w:r>
                </w:p>
              </w:tc>
              <w:tc>
                <w:tcPr>
                  <w:tcW w:w="1301" w:type="pct"/>
                  <w:tcBorders>
                    <w:tl2br w:val="nil"/>
                    <w:tr2bl w:val="nil"/>
                  </w:tcBorders>
                  <w:vAlign w:val="center"/>
                </w:tcPr>
                <w:p w14:paraId="2F8F94D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color w:val="auto"/>
                      <w:sz w:val="21"/>
                      <w:szCs w:val="21"/>
                      <w:highlight w:val="none"/>
                    </w:rPr>
                  </w:pPr>
                  <w:r>
                    <w:rPr>
                      <w:rFonts w:hint="eastAsia"/>
                      <w:color w:val="auto"/>
                      <w:sz w:val="21"/>
                      <w:szCs w:val="21"/>
                      <w:highlight w:val="none"/>
                    </w:rPr>
                    <w:t>本项目不涉及畜禽养殖。</w:t>
                  </w:r>
                </w:p>
              </w:tc>
              <w:tc>
                <w:tcPr>
                  <w:tcW w:w="390" w:type="pct"/>
                  <w:gridSpan w:val="3"/>
                  <w:tcBorders>
                    <w:tl2br w:val="nil"/>
                    <w:tr2bl w:val="nil"/>
                  </w:tcBorders>
                  <w:vAlign w:val="center"/>
                </w:tcPr>
                <w:p w14:paraId="0EBC39B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color w:val="auto"/>
                      <w:sz w:val="21"/>
                      <w:szCs w:val="21"/>
                      <w:highlight w:val="none"/>
                    </w:rPr>
                  </w:pPr>
                  <w:r>
                    <w:rPr>
                      <w:rFonts w:hint="eastAsia"/>
                      <w:color w:val="auto"/>
                      <w:sz w:val="21"/>
                      <w:szCs w:val="21"/>
                      <w:highlight w:val="none"/>
                    </w:rPr>
                    <w:t>符合</w:t>
                  </w:r>
                </w:p>
              </w:tc>
            </w:tr>
            <w:tr w14:paraId="491085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60B2F4B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86" w:rightChars="36"/>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环境风险防控</w:t>
                  </w:r>
                </w:p>
              </w:tc>
              <w:tc>
                <w:tcPr>
                  <w:tcW w:w="2392" w:type="pct"/>
                  <w:tcBorders>
                    <w:tl2br w:val="nil"/>
                    <w:tr2bl w:val="nil"/>
                  </w:tcBorders>
                  <w:vAlign w:val="center"/>
                </w:tcPr>
                <w:p w14:paraId="08320FA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集中式污水处理厂应采取有效措施，防止事故废水直接排入水体</w:t>
                  </w:r>
                </w:p>
              </w:tc>
              <w:tc>
                <w:tcPr>
                  <w:tcW w:w="1301" w:type="pct"/>
                  <w:tcBorders>
                    <w:tl2br w:val="nil"/>
                    <w:tr2bl w:val="nil"/>
                  </w:tcBorders>
                  <w:vAlign w:val="center"/>
                </w:tcPr>
                <w:p w14:paraId="6CF483A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color w:val="auto"/>
                      <w:sz w:val="21"/>
                      <w:szCs w:val="21"/>
                      <w:highlight w:val="none"/>
                    </w:rPr>
                  </w:pPr>
                  <w:r>
                    <w:rPr>
                      <w:rFonts w:hint="eastAsia"/>
                      <w:color w:val="auto"/>
                      <w:sz w:val="21"/>
                      <w:szCs w:val="21"/>
                      <w:highlight w:val="none"/>
                    </w:rPr>
                    <w:t>本项目不属于集中式污水处理厂建设，依托的园区污水处理厂设有应急措施。</w:t>
                  </w:r>
                </w:p>
              </w:tc>
              <w:tc>
                <w:tcPr>
                  <w:tcW w:w="390" w:type="pct"/>
                  <w:gridSpan w:val="3"/>
                  <w:tcBorders>
                    <w:tl2br w:val="nil"/>
                    <w:tr2bl w:val="nil"/>
                  </w:tcBorders>
                  <w:vAlign w:val="center"/>
                </w:tcPr>
                <w:p w14:paraId="2D1F041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color w:val="auto"/>
                      <w:sz w:val="21"/>
                      <w:szCs w:val="21"/>
                      <w:highlight w:val="none"/>
                    </w:rPr>
                  </w:pPr>
                  <w:r>
                    <w:rPr>
                      <w:rFonts w:hint="eastAsia"/>
                      <w:color w:val="auto"/>
                      <w:sz w:val="21"/>
                      <w:szCs w:val="21"/>
                      <w:highlight w:val="none"/>
                    </w:rPr>
                    <w:t>符合</w:t>
                  </w:r>
                </w:p>
              </w:tc>
            </w:tr>
            <w:tr w14:paraId="703929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76F0E045">
                  <w:pPr>
                    <w:keepNext w:val="0"/>
                    <w:keepLines w:val="0"/>
                    <w:widowControl/>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b/>
                      <w:bCs/>
                      <w:color w:val="auto"/>
                      <w:kern w:val="0"/>
                      <w:sz w:val="21"/>
                      <w:szCs w:val="21"/>
                      <w:highlight w:val="none"/>
                      <w:lang w:val="en-US" w:eastAsia="zh-CN"/>
                    </w:rPr>
                    <w:t>环境管控单元编码</w:t>
                  </w:r>
                </w:p>
              </w:tc>
              <w:tc>
                <w:tcPr>
                  <w:tcW w:w="2392" w:type="pct"/>
                  <w:tcBorders>
                    <w:tl2br w:val="nil"/>
                    <w:tr2bl w:val="nil"/>
                  </w:tcBorders>
                  <w:vAlign w:val="center"/>
                </w:tcPr>
                <w:p w14:paraId="0C0F6C23">
                  <w:pPr>
                    <w:keepNext w:val="0"/>
                    <w:keepLines w:val="0"/>
                    <w:widowControl/>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b/>
                      <w:bCs/>
                      <w:color w:val="auto"/>
                      <w:kern w:val="0"/>
                      <w:sz w:val="21"/>
                      <w:szCs w:val="21"/>
                      <w:highlight w:val="none"/>
                      <w:lang w:val="en-US" w:eastAsia="zh-CN"/>
                    </w:rPr>
                    <w:t>环境管控单元名称</w:t>
                  </w:r>
                </w:p>
              </w:tc>
              <w:tc>
                <w:tcPr>
                  <w:tcW w:w="1691" w:type="pct"/>
                  <w:gridSpan w:val="4"/>
                  <w:tcBorders>
                    <w:tl2br w:val="nil"/>
                    <w:tr2bl w:val="nil"/>
                  </w:tcBorders>
                  <w:vAlign w:val="center"/>
                </w:tcPr>
                <w:p w14:paraId="4E45ACD7">
                  <w:pPr>
                    <w:keepNext w:val="0"/>
                    <w:keepLines w:val="0"/>
                    <w:widowControl/>
                    <w:suppressLineNumbers w:val="0"/>
                    <w:spacing w:before="0" w:beforeAutospacing="0" w:after="0" w:afterAutospacing="0"/>
                    <w:ind w:left="0" w:right="0"/>
                    <w:jc w:val="center"/>
                    <w:rPr>
                      <w:rFonts w:hint="eastAsia"/>
                      <w:color w:val="auto"/>
                      <w:sz w:val="21"/>
                      <w:szCs w:val="21"/>
                      <w:highlight w:val="none"/>
                    </w:rPr>
                  </w:pPr>
                  <w:r>
                    <w:rPr>
                      <w:rFonts w:hint="eastAsia" w:ascii="宋体" w:hAnsi="宋体" w:eastAsia="宋体" w:cs="宋体"/>
                      <w:b/>
                      <w:bCs/>
                      <w:color w:val="auto"/>
                      <w:kern w:val="0"/>
                      <w:sz w:val="21"/>
                      <w:szCs w:val="21"/>
                      <w:highlight w:val="none"/>
                      <w:lang w:val="en-US" w:eastAsia="zh-CN"/>
                    </w:rPr>
                    <w:t>管控单元分类</w:t>
                  </w:r>
                </w:p>
              </w:tc>
            </w:tr>
            <w:tr w14:paraId="2A9D2A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7F1CBE8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86" w:rightChars="36"/>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YS4402812310002</w:t>
                  </w:r>
                </w:p>
              </w:tc>
              <w:tc>
                <w:tcPr>
                  <w:tcW w:w="2392" w:type="pct"/>
                  <w:tcBorders>
                    <w:tl2br w:val="nil"/>
                    <w:tr2bl w:val="nil"/>
                  </w:tcBorders>
                  <w:vAlign w:val="center"/>
                </w:tcPr>
                <w:p w14:paraId="44E061A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大气环境高排放重点管控区</w:t>
                  </w:r>
                </w:p>
              </w:tc>
              <w:tc>
                <w:tcPr>
                  <w:tcW w:w="1691" w:type="pct"/>
                  <w:gridSpan w:val="4"/>
                  <w:tcBorders>
                    <w:tl2br w:val="nil"/>
                    <w:tr2bl w:val="nil"/>
                  </w:tcBorders>
                  <w:vAlign w:val="center"/>
                </w:tcPr>
                <w:p w14:paraId="2259333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color w:val="auto"/>
                      <w:sz w:val="21"/>
                      <w:szCs w:val="21"/>
                      <w:highlight w:val="none"/>
                    </w:rPr>
                  </w:pPr>
                  <w:r>
                    <w:rPr>
                      <w:rFonts w:hint="eastAsia" w:ascii="宋体" w:hAnsi="宋体" w:eastAsia="宋体" w:cs="宋体"/>
                      <w:color w:val="auto"/>
                      <w:sz w:val="21"/>
                      <w:szCs w:val="21"/>
                      <w:highlight w:val="none"/>
                    </w:rPr>
                    <w:t>重点管控区</w:t>
                  </w:r>
                </w:p>
              </w:tc>
            </w:tr>
            <w:tr w14:paraId="47810A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623970CF">
                  <w:pPr>
                    <w:keepNext w:val="0"/>
                    <w:keepLines w:val="0"/>
                    <w:widowControl/>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b/>
                      <w:bCs/>
                      <w:color w:val="auto"/>
                      <w:kern w:val="0"/>
                      <w:sz w:val="21"/>
                      <w:szCs w:val="21"/>
                      <w:highlight w:val="none"/>
                      <w:lang w:val="en-US" w:eastAsia="zh-CN"/>
                    </w:rPr>
                    <w:t>管控维度</w:t>
                  </w:r>
                </w:p>
              </w:tc>
              <w:tc>
                <w:tcPr>
                  <w:tcW w:w="2392" w:type="pct"/>
                  <w:tcBorders>
                    <w:tl2br w:val="nil"/>
                    <w:tr2bl w:val="nil"/>
                  </w:tcBorders>
                  <w:vAlign w:val="center"/>
                </w:tcPr>
                <w:p w14:paraId="6541F609">
                  <w:pPr>
                    <w:keepNext w:val="0"/>
                    <w:keepLines w:val="0"/>
                    <w:widowControl/>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b/>
                      <w:bCs/>
                      <w:color w:val="auto"/>
                      <w:kern w:val="0"/>
                      <w:sz w:val="21"/>
                      <w:szCs w:val="21"/>
                      <w:highlight w:val="none"/>
                      <w:lang w:val="en-US" w:eastAsia="zh-CN"/>
                    </w:rPr>
                    <w:t>管控要求</w:t>
                  </w:r>
                </w:p>
              </w:tc>
              <w:tc>
                <w:tcPr>
                  <w:tcW w:w="1336" w:type="pct"/>
                  <w:gridSpan w:val="3"/>
                  <w:tcBorders>
                    <w:tl2br w:val="nil"/>
                    <w:tr2bl w:val="nil"/>
                  </w:tcBorders>
                  <w:vAlign w:val="center"/>
                </w:tcPr>
                <w:p w14:paraId="06F2390A">
                  <w:pPr>
                    <w:keepNext w:val="0"/>
                    <w:keepLines w:val="0"/>
                    <w:widowControl/>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b/>
                      <w:bCs/>
                      <w:color w:val="auto"/>
                      <w:kern w:val="0"/>
                      <w:sz w:val="21"/>
                      <w:szCs w:val="21"/>
                      <w:highlight w:val="none"/>
                      <w:lang w:val="en-US" w:eastAsia="zh-CN"/>
                    </w:rPr>
                    <w:t>项目情况</w:t>
                  </w:r>
                </w:p>
              </w:tc>
              <w:tc>
                <w:tcPr>
                  <w:tcW w:w="355" w:type="pct"/>
                  <w:tcBorders>
                    <w:tl2br w:val="nil"/>
                    <w:tr2bl w:val="nil"/>
                  </w:tcBorders>
                  <w:vAlign w:val="center"/>
                </w:tcPr>
                <w:p w14:paraId="0BF4A01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auto"/>
                    <w:rPr>
                      <w:rFonts w:hint="eastAsia" w:ascii="宋体" w:hAnsi="宋体" w:eastAsia="宋体" w:cs="宋体"/>
                      <w:color w:val="auto"/>
                      <w:sz w:val="21"/>
                      <w:szCs w:val="21"/>
                      <w:highlight w:val="none"/>
                    </w:rPr>
                  </w:pPr>
                  <w:r>
                    <w:rPr>
                      <w:rFonts w:hint="eastAsia"/>
                      <w:b/>
                      <w:bCs/>
                      <w:color w:val="auto"/>
                      <w:sz w:val="21"/>
                      <w:szCs w:val="21"/>
                      <w:highlight w:val="none"/>
                      <w:lang w:val="en-US" w:eastAsia="zh-CN"/>
                    </w:rPr>
                    <w:t>相</w:t>
                  </w:r>
                  <w:r>
                    <w:rPr>
                      <w:rFonts w:hint="eastAsia"/>
                      <w:b/>
                      <w:bCs/>
                      <w:color w:val="auto"/>
                      <w:sz w:val="21"/>
                      <w:szCs w:val="21"/>
                      <w:highlight w:val="none"/>
                    </w:rPr>
                    <w:t>符性</w:t>
                  </w:r>
                </w:p>
              </w:tc>
            </w:tr>
            <w:tr w14:paraId="342505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57828B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color w:val="auto"/>
                      <w:sz w:val="21"/>
                      <w:szCs w:val="21"/>
                      <w:highlight w:val="none"/>
                    </w:rPr>
                    <w:t>区域布局管控</w:t>
                  </w:r>
                </w:p>
              </w:tc>
              <w:tc>
                <w:tcPr>
                  <w:tcW w:w="2392" w:type="pct"/>
                  <w:tcBorders>
                    <w:tl2br w:val="nil"/>
                    <w:tr2bl w:val="nil"/>
                  </w:tcBorders>
                  <w:vAlign w:val="center"/>
                </w:tcPr>
                <w:p w14:paraId="688921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1-1.引导工业项目科学布局，新建项目原则上入园管理，推动现有工业项目集中进园。</w:t>
                  </w:r>
                </w:p>
                <w:p w14:paraId="4E6D30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1-2.严格控制涉重金属及有毒有害污染物排放的项目建设，新建、改建、扩建涉重金属重点行业的项目应明确重金属污染物总量来源。</w:t>
                  </w:r>
                </w:p>
                <w:p w14:paraId="0E0E06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1-3.严格限制新建除热电联产以外的煤电项目；严格限制新（改、扩）建钢铁、建材（水泥、平板玻璃）、焦化、有色金属冶炼、石化等高污染行业项目。</w:t>
                  </w:r>
                </w:p>
                <w:p w14:paraId="6E913B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color w:val="auto"/>
                      <w:sz w:val="21"/>
                      <w:szCs w:val="21"/>
                      <w:highlight w:val="none"/>
                    </w:rPr>
                    <w:t>1-4.禁止违法露天焚烧秸秆等产生烟尘污染物质以及焚烧垃圾等产生有毒有害烟尘、恶臭气体物质的行为。</w:t>
                  </w:r>
                </w:p>
              </w:tc>
              <w:tc>
                <w:tcPr>
                  <w:tcW w:w="1336" w:type="pct"/>
                  <w:gridSpan w:val="3"/>
                  <w:tcBorders>
                    <w:tl2br w:val="nil"/>
                    <w:tr2bl w:val="nil"/>
                  </w:tcBorders>
                  <w:vAlign w:val="center"/>
                </w:tcPr>
                <w:p w14:paraId="65D12F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本项目选址位于乐昌产业转移工业园，属于入园管理项目；</w:t>
                  </w:r>
                </w:p>
                <w:p w14:paraId="270733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ascii="Times New Roman" w:hAnsi="Times New Roman" w:eastAsia="宋体" w:cs="Times New Roman"/>
                      <w:b/>
                      <w:bCs/>
                      <w:color w:val="auto"/>
                      <w:kern w:val="0"/>
                      <w:sz w:val="21"/>
                      <w:szCs w:val="21"/>
                      <w:highlight w:val="none"/>
                      <w:lang w:val="en-US" w:eastAsia="zh-CN"/>
                    </w:rPr>
                  </w:pPr>
                  <w:r>
                    <w:rPr>
                      <w:rFonts w:hint="eastAsia"/>
                      <w:color w:val="auto"/>
                      <w:sz w:val="21"/>
                      <w:szCs w:val="21"/>
                      <w:highlight w:val="none"/>
                    </w:rPr>
                    <w:t>本项目为</w:t>
                  </w:r>
                  <w:r>
                    <w:rPr>
                      <w:rFonts w:hint="eastAsia"/>
                      <w:color w:val="auto"/>
                      <w:sz w:val="21"/>
                      <w:szCs w:val="21"/>
                      <w:highlight w:val="none"/>
                      <w:lang w:eastAsia="zh-CN"/>
                    </w:rPr>
                    <w:t>非金属废料和碎屑加工处理行业，</w:t>
                  </w:r>
                  <w:r>
                    <w:rPr>
                      <w:rFonts w:hint="eastAsia"/>
                      <w:color w:val="auto"/>
                      <w:sz w:val="21"/>
                      <w:szCs w:val="21"/>
                      <w:highlight w:val="none"/>
                      <w:lang w:val="en-US" w:eastAsia="zh-CN"/>
                    </w:rPr>
                    <w:t>不属于严格限制的项目</w:t>
                  </w:r>
                  <w:r>
                    <w:rPr>
                      <w:rFonts w:hint="eastAsia"/>
                      <w:color w:val="auto"/>
                      <w:sz w:val="21"/>
                      <w:szCs w:val="21"/>
                      <w:highlight w:val="none"/>
                    </w:rPr>
                    <w:t>，</w:t>
                  </w:r>
                  <w:r>
                    <w:rPr>
                      <w:rFonts w:hint="eastAsia"/>
                      <w:color w:val="auto"/>
                      <w:sz w:val="21"/>
                      <w:szCs w:val="21"/>
                      <w:highlight w:val="none"/>
                      <w:lang w:val="en-US" w:eastAsia="zh-CN"/>
                    </w:rPr>
                    <w:t>且废气排放不涉及</w:t>
                  </w:r>
                  <w:r>
                    <w:rPr>
                      <w:rFonts w:hint="default" w:ascii="Times New Roman" w:hAnsi="Times New Roman" w:eastAsia="宋体" w:cs="Times New Roman"/>
                      <w:color w:val="auto"/>
                      <w:sz w:val="21"/>
                      <w:szCs w:val="21"/>
                      <w:highlight w:val="none"/>
                    </w:rPr>
                    <w:t>重金属及有毒有害污染物</w:t>
                  </w:r>
                  <w:r>
                    <w:rPr>
                      <w:rFonts w:hint="eastAsia" w:cs="Times New Roman"/>
                      <w:color w:val="auto"/>
                      <w:sz w:val="21"/>
                      <w:szCs w:val="21"/>
                      <w:highlight w:val="none"/>
                      <w:lang w:eastAsia="zh-CN"/>
                    </w:rPr>
                    <w:t>。</w:t>
                  </w:r>
                </w:p>
              </w:tc>
              <w:tc>
                <w:tcPr>
                  <w:tcW w:w="355" w:type="pct"/>
                  <w:tcBorders>
                    <w:tl2br w:val="nil"/>
                    <w:tr2bl w:val="nil"/>
                  </w:tcBorders>
                  <w:vAlign w:val="center"/>
                </w:tcPr>
                <w:p w14:paraId="0307AB9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auto"/>
                    <w:rPr>
                      <w:rFonts w:hint="default" w:ascii="Times New Roman" w:hAnsi="Times New Roman" w:cs="Times New Roman"/>
                      <w:b/>
                      <w:bCs/>
                      <w:color w:val="auto"/>
                      <w:sz w:val="21"/>
                      <w:szCs w:val="21"/>
                      <w:highlight w:val="none"/>
                    </w:rPr>
                  </w:pPr>
                  <w:r>
                    <w:rPr>
                      <w:rFonts w:hint="eastAsia"/>
                      <w:color w:val="auto"/>
                      <w:sz w:val="21"/>
                      <w:szCs w:val="21"/>
                      <w:highlight w:val="none"/>
                    </w:rPr>
                    <w:t>符合</w:t>
                  </w:r>
                </w:p>
              </w:tc>
            </w:tr>
            <w:tr w14:paraId="15D275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554A7A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能源资源利用</w:t>
                  </w:r>
                </w:p>
              </w:tc>
              <w:tc>
                <w:tcPr>
                  <w:tcW w:w="2392" w:type="pct"/>
                  <w:tcBorders>
                    <w:tl2br w:val="nil"/>
                    <w:tr2bl w:val="nil"/>
                  </w:tcBorders>
                  <w:vAlign w:val="center"/>
                </w:tcPr>
                <w:p w14:paraId="27689A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4-1.推广节能技术，加快发展绿色货运与现代物流。</w:t>
                  </w:r>
                </w:p>
                <w:p w14:paraId="5CFFDA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4-2.禁燃区内，禁止新建、扩建燃用高污染燃料的设施；已有使用高污染燃料设施改用清洁能源。</w:t>
                  </w:r>
                </w:p>
                <w:p w14:paraId="009096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4-3.科学实施能源消费总量和强度“双控”，新建高能耗项目单位产品(产值)能耗达到国际国内先进水平。</w:t>
                  </w:r>
                </w:p>
              </w:tc>
              <w:tc>
                <w:tcPr>
                  <w:tcW w:w="1336" w:type="pct"/>
                  <w:gridSpan w:val="3"/>
                  <w:tcBorders>
                    <w:tl2br w:val="nil"/>
                    <w:tr2bl w:val="nil"/>
                  </w:tcBorders>
                  <w:vAlign w:val="center"/>
                </w:tcPr>
                <w:p w14:paraId="5DCAEC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eastAsia"/>
                      <w:color w:val="auto"/>
                      <w:sz w:val="21"/>
                      <w:szCs w:val="21"/>
                      <w:highlight w:val="none"/>
                      <w:lang w:val="en-US" w:eastAsia="zh-CN"/>
                    </w:rPr>
                    <w:t>本项目主要能源使用为电能，不涉及高污染燃料且项目不属于高能耗类型项目</w:t>
                  </w:r>
                </w:p>
              </w:tc>
              <w:tc>
                <w:tcPr>
                  <w:tcW w:w="355" w:type="pct"/>
                  <w:tcBorders>
                    <w:tl2br w:val="nil"/>
                    <w:tr2bl w:val="nil"/>
                  </w:tcBorders>
                  <w:vAlign w:val="center"/>
                </w:tcPr>
                <w:p w14:paraId="61C4999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auto"/>
                    <w:rPr>
                      <w:rFonts w:hint="default" w:ascii="Times New Roman" w:hAnsi="Times New Roman" w:cs="Times New Roman"/>
                      <w:b/>
                      <w:bCs/>
                      <w:color w:val="auto"/>
                      <w:sz w:val="21"/>
                      <w:szCs w:val="21"/>
                      <w:highlight w:val="none"/>
                    </w:rPr>
                  </w:pPr>
                  <w:r>
                    <w:rPr>
                      <w:rFonts w:hint="eastAsia"/>
                      <w:color w:val="auto"/>
                      <w:sz w:val="21"/>
                      <w:szCs w:val="21"/>
                      <w:highlight w:val="none"/>
                    </w:rPr>
                    <w:t>符合</w:t>
                  </w:r>
                </w:p>
              </w:tc>
            </w:tr>
            <w:tr w14:paraId="3F635A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437F0D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污染物排放管控</w:t>
                  </w:r>
                </w:p>
              </w:tc>
              <w:tc>
                <w:tcPr>
                  <w:tcW w:w="2392" w:type="pct"/>
                  <w:tcBorders>
                    <w:tl2br w:val="nil"/>
                    <w:tr2bl w:val="nil"/>
                  </w:tcBorders>
                  <w:vAlign w:val="center"/>
                </w:tcPr>
                <w:p w14:paraId="2FB6A2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2-1.园区各项污染物排放总量不得突破园区规划环评核定的污染物排放总量管控要求。</w:t>
                  </w:r>
                </w:p>
                <w:p w14:paraId="2553C6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2-2.实行重点重金属污染物（铅、砷、汞、镉、铬）等量替代。严格控制涉重金属及有毒有害污染物排放的项目建设，新建、改建、扩建涉重金属重点行业的项目应明确重金属污染物总量来源。</w:t>
                  </w:r>
                </w:p>
                <w:p w14:paraId="1AB7F8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2-3.新建项目原则上实施氮氧化物、挥发性有机物排放量等量替代。</w:t>
                  </w:r>
                </w:p>
                <w:p w14:paraId="6AFB76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2-4.支持危险废物专业收集转运和利用处置单位建设区域性收集网点和贮存设施。</w:t>
                  </w:r>
                </w:p>
                <w:p w14:paraId="027399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2-5.积极实行集中供热，应尽快关停现有企业小锅炉。</w:t>
                  </w:r>
                </w:p>
              </w:tc>
              <w:tc>
                <w:tcPr>
                  <w:tcW w:w="1336" w:type="pct"/>
                  <w:gridSpan w:val="3"/>
                  <w:tcBorders>
                    <w:tl2br w:val="nil"/>
                    <w:tr2bl w:val="nil"/>
                  </w:tcBorders>
                  <w:vAlign w:val="center"/>
                </w:tcPr>
                <w:p w14:paraId="51BF72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本项目所在园区污染物排放总量未超过核定总量。本项目不涉及重金属污染物排放。本项目不涉及危险废物专业收集转运和利用处置。</w:t>
                  </w:r>
                </w:p>
              </w:tc>
              <w:tc>
                <w:tcPr>
                  <w:tcW w:w="355" w:type="pct"/>
                  <w:tcBorders>
                    <w:tl2br w:val="nil"/>
                    <w:tr2bl w:val="nil"/>
                  </w:tcBorders>
                  <w:vAlign w:val="center"/>
                </w:tcPr>
                <w:p w14:paraId="188802D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auto"/>
                    <w:rPr>
                      <w:rFonts w:hint="default" w:ascii="Times New Roman" w:hAnsi="Times New Roman" w:cs="Times New Roman"/>
                      <w:b/>
                      <w:bCs/>
                      <w:color w:val="auto"/>
                      <w:sz w:val="21"/>
                      <w:szCs w:val="21"/>
                      <w:highlight w:val="none"/>
                    </w:rPr>
                  </w:pPr>
                  <w:r>
                    <w:rPr>
                      <w:rFonts w:hint="eastAsia"/>
                      <w:color w:val="auto"/>
                      <w:sz w:val="21"/>
                      <w:szCs w:val="21"/>
                      <w:highlight w:val="none"/>
                    </w:rPr>
                    <w:t>符合</w:t>
                  </w:r>
                </w:p>
              </w:tc>
            </w:tr>
            <w:tr w14:paraId="1055C2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4CB4ED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环境风险防控</w:t>
                  </w:r>
                </w:p>
              </w:tc>
              <w:tc>
                <w:tcPr>
                  <w:tcW w:w="2392" w:type="pct"/>
                  <w:tcBorders>
                    <w:tl2br w:val="nil"/>
                    <w:tr2bl w:val="nil"/>
                  </w:tcBorders>
                  <w:vAlign w:val="center"/>
                </w:tcPr>
                <w:p w14:paraId="08F6A9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4-1.集中式污水处理厂应采取有效措施，防止事故废水直接排入水体。</w:t>
                  </w:r>
                </w:p>
                <w:p w14:paraId="6F7C9D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-2.有水环境污染风险的企事业单位，应当制定有关水污染事故的应急方案，做好应急准备，并定期进行演练，做好突发水污染事故应急处置和事后恢复等工作。有水环境污染风险的企事业单位，生产、储存危险化学品的企事业单位，应当采取措施，防止在应急处置过程中产生的消防废水、废液直接排入水体。</w:t>
                  </w:r>
                </w:p>
              </w:tc>
              <w:tc>
                <w:tcPr>
                  <w:tcW w:w="1336" w:type="pct"/>
                  <w:gridSpan w:val="3"/>
                  <w:tcBorders>
                    <w:tl2br w:val="nil"/>
                    <w:tr2bl w:val="nil"/>
                  </w:tcBorders>
                  <w:vAlign w:val="center"/>
                </w:tcPr>
                <w:p w14:paraId="5A0A79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项目建设完成后</w:t>
                  </w:r>
                  <w:r>
                    <w:rPr>
                      <w:rFonts w:hint="eastAsia" w:cs="Times New Roman"/>
                      <w:color w:val="auto"/>
                      <w:sz w:val="21"/>
                      <w:szCs w:val="21"/>
                      <w:highlight w:val="none"/>
                      <w:lang w:val="en-US" w:eastAsia="zh-CN"/>
                    </w:rPr>
                    <w:t>按照相关规定完善环境风险应急措施</w:t>
                  </w:r>
                  <w:r>
                    <w:rPr>
                      <w:rFonts w:hint="default" w:ascii="Times New Roman" w:hAnsi="Times New Roman" w:eastAsia="宋体" w:cs="Times New Roman"/>
                      <w:color w:val="auto"/>
                      <w:sz w:val="21"/>
                      <w:szCs w:val="21"/>
                      <w:highlight w:val="none"/>
                      <w:lang w:val="en-US" w:eastAsia="zh-CN"/>
                    </w:rPr>
                    <w:t>，与园区、政府构成三级环境风险防控体系</w:t>
                  </w:r>
                </w:p>
              </w:tc>
              <w:tc>
                <w:tcPr>
                  <w:tcW w:w="355" w:type="pct"/>
                  <w:tcBorders>
                    <w:tl2br w:val="nil"/>
                    <w:tr2bl w:val="nil"/>
                  </w:tcBorders>
                  <w:vAlign w:val="center"/>
                </w:tcPr>
                <w:p w14:paraId="728E62C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auto"/>
                    <w:rPr>
                      <w:rFonts w:hint="default" w:ascii="Times New Roman" w:hAnsi="Times New Roman" w:cs="Times New Roman"/>
                      <w:b/>
                      <w:bCs/>
                      <w:color w:val="auto"/>
                      <w:sz w:val="21"/>
                      <w:szCs w:val="21"/>
                      <w:highlight w:val="none"/>
                    </w:rPr>
                  </w:pPr>
                  <w:r>
                    <w:rPr>
                      <w:rFonts w:hint="eastAsia"/>
                      <w:color w:val="auto"/>
                      <w:sz w:val="21"/>
                      <w:szCs w:val="21"/>
                      <w:highlight w:val="none"/>
                    </w:rPr>
                    <w:t>符合</w:t>
                  </w:r>
                </w:p>
              </w:tc>
            </w:tr>
            <w:tr w14:paraId="2A596D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17CC2D13">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eastAsia" w:ascii="宋体" w:hAnsi="宋体" w:eastAsia="宋体" w:cs="宋体"/>
                      <w:b/>
                      <w:bCs/>
                      <w:color w:val="auto"/>
                      <w:kern w:val="0"/>
                      <w:sz w:val="21"/>
                      <w:szCs w:val="21"/>
                      <w:highlight w:val="none"/>
                      <w:lang w:val="en-US" w:eastAsia="zh-CN"/>
                    </w:rPr>
                    <w:t>环境管控单元编码</w:t>
                  </w:r>
                </w:p>
              </w:tc>
              <w:tc>
                <w:tcPr>
                  <w:tcW w:w="2392" w:type="pct"/>
                  <w:tcBorders>
                    <w:tl2br w:val="nil"/>
                    <w:tr2bl w:val="nil"/>
                  </w:tcBorders>
                  <w:vAlign w:val="center"/>
                </w:tcPr>
                <w:p w14:paraId="3B4C5065">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eastAsia" w:ascii="宋体" w:hAnsi="宋体" w:eastAsia="宋体" w:cs="宋体"/>
                      <w:b/>
                      <w:bCs/>
                      <w:color w:val="auto"/>
                      <w:kern w:val="0"/>
                      <w:sz w:val="21"/>
                      <w:szCs w:val="21"/>
                      <w:highlight w:val="none"/>
                      <w:lang w:val="en-US" w:eastAsia="zh-CN"/>
                    </w:rPr>
                    <w:t>环境管控单元名称</w:t>
                  </w:r>
                </w:p>
              </w:tc>
              <w:tc>
                <w:tcPr>
                  <w:tcW w:w="1691" w:type="pct"/>
                  <w:gridSpan w:val="4"/>
                  <w:tcBorders>
                    <w:tl2br w:val="nil"/>
                    <w:tr2bl w:val="nil"/>
                  </w:tcBorders>
                  <w:vAlign w:val="center"/>
                </w:tcPr>
                <w:p w14:paraId="4A11C477">
                  <w:pPr>
                    <w:keepNext w:val="0"/>
                    <w:keepLines w:val="0"/>
                    <w:widowControl/>
                    <w:suppressLineNumbers w:val="0"/>
                    <w:spacing w:before="0" w:beforeAutospacing="0" w:after="0" w:afterAutospacing="0"/>
                    <w:ind w:left="0" w:right="0"/>
                    <w:jc w:val="center"/>
                    <w:rPr>
                      <w:rFonts w:hint="eastAsia"/>
                      <w:color w:val="auto"/>
                      <w:sz w:val="21"/>
                      <w:szCs w:val="21"/>
                      <w:highlight w:val="none"/>
                    </w:rPr>
                  </w:pPr>
                  <w:r>
                    <w:rPr>
                      <w:rFonts w:hint="eastAsia" w:ascii="宋体" w:hAnsi="宋体" w:eastAsia="宋体" w:cs="宋体"/>
                      <w:b/>
                      <w:bCs/>
                      <w:color w:val="auto"/>
                      <w:kern w:val="0"/>
                      <w:sz w:val="21"/>
                      <w:szCs w:val="21"/>
                      <w:highlight w:val="none"/>
                      <w:lang w:val="en-US" w:eastAsia="zh-CN"/>
                    </w:rPr>
                    <w:t>管控单元分类</w:t>
                  </w:r>
                </w:p>
              </w:tc>
            </w:tr>
            <w:tr w14:paraId="5D75D9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4E25AF38">
                  <w:pPr>
                    <w:keepNext w:val="0"/>
                    <w:keepLines w:val="0"/>
                    <w:widowControl/>
                    <w:suppressLineNumbers w:val="0"/>
                    <w:spacing w:before="0" w:beforeAutospacing="0" w:after="0" w:afterAutospacing="0"/>
                    <w:ind w:left="0" w:right="0"/>
                    <w:jc w:val="center"/>
                    <w:rPr>
                      <w:rFonts w:hint="eastAsia" w:ascii="宋体" w:hAnsi="宋体" w:eastAsia="宋体" w:cs="宋体"/>
                      <w:b/>
                      <w:bCs/>
                      <w:color w:val="auto"/>
                      <w:kern w:val="0"/>
                      <w:sz w:val="21"/>
                      <w:szCs w:val="21"/>
                      <w:highlight w:val="none"/>
                      <w:lang w:val="en-US" w:eastAsia="zh-CN"/>
                    </w:rPr>
                  </w:pPr>
                  <w:r>
                    <w:rPr>
                      <w:rFonts w:hint="eastAsia" w:ascii="宋体" w:hAnsi="宋体" w:eastAsia="宋体" w:cs="宋体"/>
                      <w:color w:val="auto"/>
                      <w:sz w:val="24"/>
                      <w:szCs w:val="24"/>
                      <w:highlight w:val="none"/>
                    </w:rPr>
                    <w:t>YS4402812540001</w:t>
                  </w:r>
                </w:p>
              </w:tc>
              <w:tc>
                <w:tcPr>
                  <w:tcW w:w="2392" w:type="pct"/>
                  <w:tcBorders>
                    <w:tl2br w:val="nil"/>
                    <w:tr2bl w:val="nil"/>
                  </w:tcBorders>
                  <w:vAlign w:val="center"/>
                </w:tcPr>
                <w:p w14:paraId="387468D3">
                  <w:pPr>
                    <w:keepNext w:val="0"/>
                    <w:keepLines w:val="0"/>
                    <w:widowControl/>
                    <w:suppressLineNumbers w:val="0"/>
                    <w:spacing w:before="0" w:beforeAutospacing="0" w:after="0" w:afterAutospacing="0"/>
                    <w:ind w:left="0" w:right="0"/>
                    <w:jc w:val="center"/>
                    <w:rPr>
                      <w:rFonts w:hint="eastAsia" w:ascii="宋体" w:hAnsi="宋体" w:eastAsia="宋体" w:cs="宋体"/>
                      <w:b/>
                      <w:bCs/>
                      <w:color w:val="auto"/>
                      <w:kern w:val="0"/>
                      <w:sz w:val="21"/>
                      <w:szCs w:val="21"/>
                      <w:highlight w:val="none"/>
                      <w:lang w:val="en-US" w:eastAsia="zh-CN"/>
                    </w:rPr>
                  </w:pPr>
                  <w:r>
                    <w:rPr>
                      <w:rFonts w:hint="eastAsia" w:ascii="宋体" w:hAnsi="宋体" w:eastAsia="宋体" w:cs="宋体"/>
                      <w:color w:val="auto"/>
                      <w:sz w:val="24"/>
                      <w:szCs w:val="24"/>
                      <w:highlight w:val="none"/>
                    </w:rPr>
                    <w:t>乐昌市高污染燃料禁燃区</w:t>
                  </w:r>
                </w:p>
              </w:tc>
              <w:tc>
                <w:tcPr>
                  <w:tcW w:w="1691" w:type="pct"/>
                  <w:gridSpan w:val="4"/>
                  <w:tcBorders>
                    <w:tl2br w:val="nil"/>
                    <w:tr2bl w:val="nil"/>
                  </w:tcBorders>
                  <w:vAlign w:val="center"/>
                </w:tcPr>
                <w:p w14:paraId="7DD96F7C">
                  <w:pPr>
                    <w:keepNext w:val="0"/>
                    <w:keepLines w:val="0"/>
                    <w:widowControl/>
                    <w:suppressLineNumbers w:val="0"/>
                    <w:spacing w:before="0" w:beforeAutospacing="0" w:after="0" w:afterAutospacing="0"/>
                    <w:ind w:left="0" w:right="0"/>
                    <w:jc w:val="center"/>
                    <w:rPr>
                      <w:rFonts w:hint="eastAsia" w:ascii="宋体" w:hAnsi="宋体" w:eastAsia="宋体" w:cs="宋体"/>
                      <w:b/>
                      <w:bCs/>
                      <w:color w:val="auto"/>
                      <w:kern w:val="0"/>
                      <w:sz w:val="21"/>
                      <w:szCs w:val="21"/>
                      <w:highlight w:val="none"/>
                      <w:lang w:val="en-US" w:eastAsia="zh-CN"/>
                    </w:rPr>
                  </w:pPr>
                  <w:r>
                    <w:rPr>
                      <w:rFonts w:hint="eastAsia" w:ascii="宋体" w:hAnsi="宋体" w:eastAsia="宋体" w:cs="宋体"/>
                      <w:color w:val="auto"/>
                      <w:sz w:val="24"/>
                      <w:szCs w:val="24"/>
                      <w:highlight w:val="none"/>
                    </w:rPr>
                    <w:t>重点管控区</w:t>
                  </w:r>
                </w:p>
              </w:tc>
            </w:tr>
            <w:tr w14:paraId="779B54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0978BCF8">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eastAsia" w:ascii="宋体" w:hAnsi="宋体" w:eastAsia="宋体" w:cs="宋体"/>
                      <w:b/>
                      <w:bCs/>
                      <w:color w:val="auto"/>
                      <w:kern w:val="0"/>
                      <w:sz w:val="21"/>
                      <w:szCs w:val="21"/>
                      <w:highlight w:val="none"/>
                      <w:lang w:val="en-US" w:eastAsia="zh-CN"/>
                    </w:rPr>
                    <w:t>管控维度</w:t>
                  </w:r>
                </w:p>
              </w:tc>
              <w:tc>
                <w:tcPr>
                  <w:tcW w:w="2392" w:type="pct"/>
                  <w:tcBorders>
                    <w:tl2br w:val="nil"/>
                    <w:tr2bl w:val="nil"/>
                  </w:tcBorders>
                  <w:vAlign w:val="center"/>
                </w:tcPr>
                <w:p w14:paraId="6519CB4E">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eastAsia" w:ascii="宋体" w:hAnsi="宋体" w:eastAsia="宋体" w:cs="宋体"/>
                      <w:b/>
                      <w:bCs/>
                      <w:color w:val="auto"/>
                      <w:kern w:val="0"/>
                      <w:sz w:val="21"/>
                      <w:szCs w:val="21"/>
                      <w:highlight w:val="none"/>
                      <w:lang w:val="en-US" w:eastAsia="zh-CN"/>
                    </w:rPr>
                    <w:t>管控要求</w:t>
                  </w:r>
                </w:p>
              </w:tc>
              <w:tc>
                <w:tcPr>
                  <w:tcW w:w="1336" w:type="pct"/>
                  <w:gridSpan w:val="3"/>
                  <w:tcBorders>
                    <w:tl2br w:val="nil"/>
                    <w:tr2bl w:val="nil"/>
                  </w:tcBorders>
                  <w:vAlign w:val="center"/>
                </w:tcPr>
                <w:p w14:paraId="3E783C12">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ascii="宋体" w:hAnsi="宋体" w:eastAsia="宋体" w:cs="宋体"/>
                      <w:b/>
                      <w:bCs/>
                      <w:color w:val="auto"/>
                      <w:kern w:val="0"/>
                      <w:sz w:val="21"/>
                      <w:szCs w:val="21"/>
                      <w:highlight w:val="none"/>
                      <w:lang w:val="en-US" w:eastAsia="zh-CN"/>
                    </w:rPr>
                    <w:t>项目情况</w:t>
                  </w:r>
                </w:p>
              </w:tc>
              <w:tc>
                <w:tcPr>
                  <w:tcW w:w="355" w:type="pct"/>
                  <w:tcBorders>
                    <w:tl2br w:val="nil"/>
                    <w:tr2bl w:val="nil"/>
                  </w:tcBorders>
                  <w:vAlign w:val="center"/>
                </w:tcPr>
                <w:p w14:paraId="3A4FB2E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auto"/>
                    <w:rPr>
                      <w:rFonts w:hint="eastAsia"/>
                      <w:color w:val="auto"/>
                      <w:sz w:val="21"/>
                      <w:szCs w:val="21"/>
                      <w:highlight w:val="none"/>
                    </w:rPr>
                  </w:pPr>
                  <w:r>
                    <w:rPr>
                      <w:rFonts w:hint="eastAsia"/>
                      <w:b/>
                      <w:bCs/>
                      <w:color w:val="auto"/>
                      <w:sz w:val="21"/>
                      <w:szCs w:val="21"/>
                      <w:highlight w:val="none"/>
                      <w:lang w:val="en-US" w:eastAsia="zh-CN"/>
                    </w:rPr>
                    <w:t>相</w:t>
                  </w:r>
                  <w:r>
                    <w:rPr>
                      <w:rFonts w:hint="eastAsia"/>
                      <w:b/>
                      <w:bCs/>
                      <w:color w:val="auto"/>
                      <w:sz w:val="21"/>
                      <w:szCs w:val="21"/>
                      <w:highlight w:val="none"/>
                    </w:rPr>
                    <w:t>符性</w:t>
                  </w:r>
                </w:p>
              </w:tc>
            </w:tr>
            <w:tr w14:paraId="3B9505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0A2C79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rPr>
                  </w:pPr>
                  <w:r>
                    <w:rPr>
                      <w:rFonts w:hint="eastAsia" w:ascii="宋体" w:hAnsi="宋体" w:eastAsia="宋体" w:cs="宋体"/>
                      <w:color w:val="auto"/>
                      <w:sz w:val="21"/>
                      <w:szCs w:val="21"/>
                      <w:highlight w:val="none"/>
                    </w:rPr>
                    <w:t>区域布局管控</w:t>
                  </w:r>
                </w:p>
              </w:tc>
              <w:tc>
                <w:tcPr>
                  <w:tcW w:w="2392" w:type="pct"/>
                  <w:tcBorders>
                    <w:tl2br w:val="nil"/>
                    <w:tr2bl w:val="nil"/>
                  </w:tcBorders>
                  <w:vAlign w:val="center"/>
                </w:tcPr>
                <w:p w14:paraId="05B73E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rPr>
                  </w:pPr>
                  <w:r>
                    <w:rPr>
                      <w:rFonts w:hint="eastAsia" w:ascii="宋体" w:hAnsi="宋体" w:eastAsia="宋体" w:cs="宋体"/>
                      <w:color w:val="auto"/>
                      <w:sz w:val="21"/>
                      <w:szCs w:val="21"/>
                      <w:highlight w:val="none"/>
                    </w:rPr>
                    <w:t>禁止新、扩建燃用高污染燃料的设施</w:t>
                  </w:r>
                </w:p>
              </w:tc>
              <w:tc>
                <w:tcPr>
                  <w:tcW w:w="1336" w:type="pct"/>
                  <w:gridSpan w:val="3"/>
                  <w:tcBorders>
                    <w:tl2br w:val="nil"/>
                    <w:tr2bl w:val="nil"/>
                  </w:tcBorders>
                  <w:vAlign w:val="center"/>
                </w:tcPr>
                <w:p w14:paraId="4F386C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宋体" w:hAnsi="宋体" w:eastAsia="宋体" w:cs="宋体"/>
                      <w:color w:val="auto"/>
                      <w:kern w:val="0"/>
                      <w:sz w:val="21"/>
                      <w:szCs w:val="21"/>
                      <w:highlight w:val="none"/>
                      <w:lang w:val="en-US" w:eastAsia="zh-CN"/>
                    </w:rPr>
                    <w:t>本项目使用电能，不使用高污染燃料。</w:t>
                  </w:r>
                </w:p>
              </w:tc>
              <w:tc>
                <w:tcPr>
                  <w:tcW w:w="355" w:type="pct"/>
                  <w:tcBorders>
                    <w:tl2br w:val="nil"/>
                    <w:tr2bl w:val="nil"/>
                  </w:tcBorders>
                  <w:vAlign w:val="center"/>
                </w:tcPr>
                <w:p w14:paraId="6EF7D89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auto"/>
                    <w:rPr>
                      <w:rFonts w:hint="eastAsia"/>
                      <w:color w:val="auto"/>
                      <w:sz w:val="21"/>
                      <w:szCs w:val="21"/>
                      <w:highlight w:val="none"/>
                    </w:rPr>
                  </w:pPr>
                  <w:r>
                    <w:rPr>
                      <w:rFonts w:hint="eastAsia"/>
                      <w:color w:val="auto"/>
                      <w:sz w:val="21"/>
                      <w:szCs w:val="21"/>
                      <w:highlight w:val="none"/>
                    </w:rPr>
                    <w:t>符合</w:t>
                  </w:r>
                </w:p>
              </w:tc>
            </w:tr>
            <w:tr w14:paraId="495161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66CDF4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能源资源利用</w:t>
                  </w:r>
                </w:p>
              </w:tc>
              <w:tc>
                <w:tcPr>
                  <w:tcW w:w="2392" w:type="pct"/>
                  <w:tcBorders>
                    <w:tl2br w:val="nil"/>
                    <w:tr2bl w:val="nil"/>
                  </w:tcBorders>
                  <w:vAlign w:val="center"/>
                </w:tcPr>
                <w:p w14:paraId="4FBB19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rPr>
                  </w:pPr>
                  <w:r>
                    <w:rPr>
                      <w:rFonts w:hint="eastAsia" w:ascii="宋体" w:hAnsi="宋体" w:eastAsia="宋体" w:cs="宋体"/>
                      <w:color w:val="auto"/>
                      <w:sz w:val="21"/>
                      <w:szCs w:val="21"/>
                      <w:highlight w:val="none"/>
                    </w:rPr>
                    <w:t>在禁燃区内，禁止销售、燃用高污染燃料；已建成的高污染燃料设施应当改用天然气、页岩气、液化石油气、电等清洁能源。</w:t>
                  </w:r>
                </w:p>
              </w:tc>
              <w:tc>
                <w:tcPr>
                  <w:tcW w:w="1336" w:type="pct"/>
                  <w:gridSpan w:val="3"/>
                  <w:tcBorders>
                    <w:tl2br w:val="nil"/>
                    <w:tr2bl w:val="nil"/>
                  </w:tcBorders>
                  <w:vAlign w:val="center"/>
                </w:tcPr>
                <w:p w14:paraId="5CCB1D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宋体" w:hAnsi="宋体" w:eastAsia="宋体" w:cs="宋体"/>
                      <w:color w:val="auto"/>
                      <w:kern w:val="0"/>
                      <w:sz w:val="21"/>
                      <w:szCs w:val="21"/>
                      <w:highlight w:val="none"/>
                      <w:lang w:val="en-US" w:eastAsia="zh-CN"/>
                    </w:rPr>
                    <w:t>本项目使用电能，不销售、不使用高污染燃料。</w:t>
                  </w:r>
                </w:p>
              </w:tc>
              <w:tc>
                <w:tcPr>
                  <w:tcW w:w="355" w:type="pct"/>
                  <w:tcBorders>
                    <w:tl2br w:val="nil"/>
                    <w:tr2bl w:val="nil"/>
                  </w:tcBorders>
                  <w:vAlign w:val="center"/>
                </w:tcPr>
                <w:p w14:paraId="2CC4BBB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auto"/>
                    <w:rPr>
                      <w:rFonts w:hint="eastAsia"/>
                      <w:color w:val="auto"/>
                      <w:sz w:val="21"/>
                      <w:szCs w:val="21"/>
                      <w:highlight w:val="none"/>
                    </w:rPr>
                  </w:pPr>
                  <w:r>
                    <w:rPr>
                      <w:rFonts w:hint="eastAsia"/>
                      <w:color w:val="auto"/>
                      <w:sz w:val="21"/>
                      <w:szCs w:val="21"/>
                      <w:highlight w:val="none"/>
                    </w:rPr>
                    <w:t>符合</w:t>
                  </w:r>
                </w:p>
              </w:tc>
            </w:tr>
            <w:tr w14:paraId="3A36F5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029469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污染物排放管控</w:t>
                  </w:r>
                </w:p>
              </w:tc>
              <w:tc>
                <w:tcPr>
                  <w:tcW w:w="2392" w:type="pct"/>
                  <w:tcBorders>
                    <w:tl2br w:val="nil"/>
                    <w:tr2bl w:val="nil"/>
                  </w:tcBorders>
                  <w:vAlign w:val="center"/>
                </w:tcPr>
                <w:p w14:paraId="0EA1C3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禁燃区内使用生物质成型燃料锅炉和气化供热项目的，污染物排放浓度要达到或优于天燃气锅炉对应的大气污染物排放标准（折算基准氧含量排放浓度时，生物质成型燃料锅炉按9%执行，生物质气化供热项目按3.5%执行）。</w:t>
                  </w:r>
                </w:p>
              </w:tc>
              <w:tc>
                <w:tcPr>
                  <w:tcW w:w="1336" w:type="pct"/>
                  <w:gridSpan w:val="3"/>
                  <w:tcBorders>
                    <w:tl2br w:val="nil"/>
                    <w:tr2bl w:val="nil"/>
                  </w:tcBorders>
                  <w:vAlign w:val="center"/>
                </w:tcPr>
                <w:p w14:paraId="229616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宋体" w:hAnsi="宋体" w:eastAsia="宋体" w:cs="宋体"/>
                      <w:color w:val="auto"/>
                      <w:kern w:val="0"/>
                      <w:sz w:val="21"/>
                      <w:szCs w:val="21"/>
                      <w:highlight w:val="none"/>
                      <w:lang w:val="en-US" w:eastAsia="zh-CN"/>
                    </w:rPr>
                    <w:t>本项目不涉及</w:t>
                  </w:r>
                </w:p>
              </w:tc>
              <w:tc>
                <w:tcPr>
                  <w:tcW w:w="355" w:type="pct"/>
                  <w:tcBorders>
                    <w:tl2br w:val="nil"/>
                    <w:tr2bl w:val="nil"/>
                  </w:tcBorders>
                  <w:vAlign w:val="center"/>
                </w:tcPr>
                <w:p w14:paraId="4BE46D1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auto"/>
                    <w:rPr>
                      <w:rFonts w:hint="eastAsia"/>
                      <w:color w:val="auto"/>
                      <w:sz w:val="21"/>
                      <w:szCs w:val="21"/>
                      <w:highlight w:val="none"/>
                    </w:rPr>
                  </w:pPr>
                  <w:r>
                    <w:rPr>
                      <w:rFonts w:hint="eastAsia"/>
                      <w:color w:val="auto"/>
                      <w:sz w:val="21"/>
                      <w:szCs w:val="21"/>
                      <w:highlight w:val="none"/>
                    </w:rPr>
                    <w:t>符合</w:t>
                  </w:r>
                </w:p>
              </w:tc>
            </w:tr>
          </w:tbl>
          <w:p w14:paraId="201B4A36">
            <w:pPr>
              <w:pStyle w:val="20"/>
              <w:keepNext w:val="0"/>
              <w:keepLines w:val="0"/>
              <w:pageBreakBefore w:val="0"/>
              <w:suppressLineNumbers w:val="0"/>
              <w:kinsoku/>
              <w:overflowPunct/>
              <w:topLinePunct w:val="0"/>
              <w:bidi w:val="0"/>
              <w:snapToGrid/>
              <w:spacing w:before="0" w:beforeAutospacing="0" w:after="0" w:afterAutospacing="0"/>
              <w:ind w:left="0" w:right="0" w:firstLine="480" w:firstLineChars="200"/>
              <w:jc w:val="left"/>
              <w:rPr>
                <w:rFonts w:hint="eastAsia" w:eastAsia="宋体"/>
                <w:color w:val="auto"/>
                <w:highlight w:val="none"/>
                <w:lang w:val="en-US" w:eastAsia="zh-CN"/>
              </w:rPr>
            </w:pPr>
            <w:r>
              <w:rPr>
                <w:rFonts w:hint="eastAsia"/>
                <w:b w:val="0"/>
                <w:bCs w:val="0"/>
                <w:color w:val="auto"/>
                <w:sz w:val="24"/>
                <w:highlight w:val="none"/>
              </w:rPr>
              <w:t>综上，项目符合韶关市人民政府关于印发《韶关市“三线一单”生态环境分区管控方案的通知》的通知（韶府〔2021〕10号）的相关要求。</w:t>
            </w:r>
          </w:p>
        </w:tc>
      </w:tr>
    </w:tbl>
    <w:p w14:paraId="2856F711">
      <w:pPr>
        <w:pStyle w:val="2"/>
        <w:numPr>
          <w:ilvl w:val="0"/>
          <w:numId w:val="0"/>
        </w:numPr>
        <w:rPr>
          <w:rFonts w:cs="Times New Roman"/>
          <w:color w:val="auto"/>
          <w:highlight w:val="none"/>
        </w:rPr>
        <w:sectPr>
          <w:pgSz w:w="16838" w:h="11906" w:orient="landscape"/>
          <w:pgMar w:top="1083" w:right="1440" w:bottom="1083" w:left="1440" w:header="851" w:footer="680" w:gutter="0"/>
          <w:pgBorders>
            <w:top w:val="none" w:sz="0" w:space="0"/>
            <w:left w:val="none" w:sz="0" w:space="0"/>
            <w:bottom w:val="none" w:sz="0" w:space="0"/>
            <w:right w:val="none" w:sz="0" w:space="0"/>
          </w:pgBorders>
          <w:pgNumType w:fmt="numberInDash"/>
          <w:cols w:space="0" w:num="1"/>
          <w:rtlGutter w:val="0"/>
          <w:docGrid w:type="linesAndChars" w:linePitch="335" w:charSpace="0"/>
        </w:sectPr>
      </w:pPr>
    </w:p>
    <w:tbl>
      <w:tblPr>
        <w:tblStyle w:val="4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2"/>
        <w:gridCol w:w="9480"/>
      </w:tblGrid>
      <w:tr w14:paraId="3ADE4B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4" w:hRule="atLeast"/>
          <w:jc w:val="center"/>
        </w:trPr>
        <w:tc>
          <w:tcPr>
            <w:tcW w:w="242" w:type="pct"/>
            <w:vAlign w:val="center"/>
          </w:tcPr>
          <w:p w14:paraId="2E56A98B">
            <w:pPr>
              <w:keepNext/>
              <w:keepLines w:val="0"/>
              <w:pageBreakBefore w:val="0"/>
              <w:widowControl/>
              <w:numPr>
                <w:ilvl w:val="1"/>
                <w:numId w:val="0"/>
              </w:numPr>
              <w:suppressLineNumbers w:val="0"/>
              <w:tabs>
                <w:tab w:val="left" w:pos="420"/>
              </w:tabs>
              <w:kinsoku/>
              <w:wordWrap/>
              <w:overflowPunct/>
              <w:topLinePunct w:val="0"/>
              <w:autoSpaceDE/>
              <w:autoSpaceDN/>
              <w:bidi w:val="0"/>
              <w:adjustRightInd/>
              <w:snapToGrid/>
              <w:spacing w:before="0" w:beforeAutospacing="0" w:after="0" w:afterAutospacing="0"/>
              <w:ind w:left="0" w:right="0"/>
              <w:textAlignment w:val="auto"/>
              <w:outlineLvl w:val="9"/>
              <w:rPr>
                <w:rFonts w:hint="eastAsia"/>
                <w:color w:val="auto"/>
                <w:highlight w:val="none"/>
              </w:rPr>
            </w:pPr>
            <w:r>
              <w:rPr>
                <w:rFonts w:hint="eastAsia"/>
                <w:color w:val="auto"/>
                <w:highlight w:val="none"/>
              </w:rPr>
              <w:t>其他符合性分析</w:t>
            </w:r>
          </w:p>
        </w:tc>
        <w:tc>
          <w:tcPr>
            <w:tcW w:w="4757" w:type="pct"/>
            <w:vAlign w:val="center"/>
          </w:tcPr>
          <w:p w14:paraId="3CF9E13F">
            <w:pPr>
              <w:keepNext/>
              <w:keepLines/>
              <w:pageBreakBefore w:val="0"/>
              <w:suppressLineNumbers w:val="0"/>
              <w:tabs>
                <w:tab w:val="left" w:pos="0"/>
              </w:tabs>
              <w:kinsoku/>
              <w:overflowPunct/>
              <w:topLinePunct w:val="0"/>
              <w:bidi w:val="0"/>
              <w:snapToGrid/>
              <w:spacing w:before="0" w:beforeAutospacing="0" w:after="0" w:afterAutospacing="0"/>
              <w:ind w:left="-2" w:right="0" w:firstLine="480" w:firstLineChars="200"/>
              <w:outlineLvl w:val="2"/>
              <w:rPr>
                <w:rFonts w:hint="eastAsia"/>
                <w:color w:val="auto"/>
                <w:highlight w:val="none"/>
              </w:rPr>
            </w:pPr>
            <w:r>
              <w:rPr>
                <w:rFonts w:hint="eastAsia"/>
                <w:b/>
                <w:bCs/>
                <w:color w:val="auto"/>
                <w:highlight w:val="none"/>
              </w:rPr>
              <w:t>六、相关规划相符性分析</w:t>
            </w:r>
          </w:p>
          <w:p w14:paraId="0CBC9253">
            <w:pPr>
              <w:keepNext/>
              <w:keepLines/>
              <w:pageBreakBefore w:val="0"/>
              <w:suppressLineNumbers w:val="0"/>
              <w:tabs>
                <w:tab w:val="left" w:pos="0"/>
              </w:tabs>
              <w:kinsoku/>
              <w:overflowPunct/>
              <w:topLinePunct w:val="0"/>
              <w:bidi w:val="0"/>
              <w:snapToGrid/>
              <w:spacing w:before="0" w:beforeAutospacing="0" w:after="0" w:afterAutospacing="0"/>
              <w:ind w:left="0" w:right="0" w:firstLine="480" w:firstLineChars="200"/>
              <w:outlineLvl w:val="3"/>
              <w:rPr>
                <w:rFonts w:hint="eastAsia"/>
                <w:b/>
                <w:bCs/>
                <w:color w:val="auto"/>
                <w:highlight w:val="none"/>
              </w:rPr>
            </w:pPr>
            <w:r>
              <w:rPr>
                <w:rFonts w:hint="eastAsia"/>
                <w:b/>
                <w:bCs/>
                <w:color w:val="auto"/>
                <w:highlight w:val="none"/>
              </w:rPr>
              <w:t>1、《关于印发&lt;广东省生态环境保护“十四五”规划&gt;的通知》（粤环〔2021〕10号）</w:t>
            </w:r>
          </w:p>
          <w:p w14:paraId="7BFA8D9B">
            <w:pPr>
              <w:pStyle w:val="12"/>
              <w:keepNext w:val="0"/>
              <w:keepLines w:val="0"/>
              <w:pageBreakBefore w:val="0"/>
              <w:suppressLineNumbers w:val="0"/>
              <w:kinsoku/>
              <w:overflowPunct/>
              <w:topLinePunct w:val="0"/>
              <w:bidi w:val="0"/>
              <w:snapToGrid/>
              <w:spacing w:before="0" w:beforeAutospacing="0" w:after="0" w:afterAutospacing="0"/>
              <w:ind w:left="0" w:right="0" w:firstLine="480"/>
              <w:rPr>
                <w:rFonts w:hint="eastAsia"/>
                <w:color w:val="auto"/>
                <w:highlight w:val="none"/>
              </w:rPr>
            </w:pPr>
            <w:r>
              <w:rPr>
                <w:rFonts w:hint="eastAsia"/>
                <w:color w:val="auto"/>
                <w:highlight w:val="none"/>
              </w:rPr>
              <w:t>《广东省生态环境保护“十四五”规划》要求：新建高能耗项目单位产品（产值）能耗达到国际国内先进水平。大力推进低VOCs含量原辅材料源头替代，严格落实国家和地方产品VOCs含量限值质量标准，禁止建设生产和使用高VOCs含量的溶剂型涂料、油墨、胶粘剂等项目。强化对企业涉VOCs生产车间/工序废气的收集管理，推动企业开展治理设施升级改造。</w:t>
            </w:r>
          </w:p>
          <w:p w14:paraId="0EC2FDE6">
            <w:pPr>
              <w:pStyle w:val="19"/>
              <w:keepNext w:val="0"/>
              <w:keepLines w:val="0"/>
              <w:pageBreakBefore w:val="0"/>
              <w:suppressLineNumbers w:val="0"/>
              <w:kinsoku/>
              <w:overflowPunct/>
              <w:topLinePunct w:val="0"/>
              <w:bidi w:val="0"/>
              <w:snapToGrid/>
              <w:spacing w:before="0" w:beforeAutospacing="0" w:after="0" w:afterAutospacing="0"/>
              <w:ind w:left="0" w:right="0" w:firstLine="480"/>
              <w:rPr>
                <w:rFonts w:hint="eastAsia"/>
                <w:color w:val="auto"/>
                <w:sz w:val="24"/>
                <w:highlight w:val="none"/>
              </w:rPr>
            </w:pPr>
            <w:r>
              <w:rPr>
                <w:rFonts w:hint="eastAsia"/>
                <w:color w:val="auto"/>
                <w:sz w:val="24"/>
                <w:highlight w:val="none"/>
              </w:rPr>
              <w:t>项目不使用高VOCs含量的溶剂型涂料、油墨、胶粘剂等。</w:t>
            </w:r>
            <w:r>
              <w:rPr>
                <w:rFonts w:hint="eastAsia"/>
                <w:color w:val="auto"/>
                <w:sz w:val="24"/>
                <w:highlight w:val="none"/>
                <w:lang w:val="en-US" w:eastAsia="zh-CN"/>
              </w:rPr>
              <w:t>项目干法破碎工序</w:t>
            </w:r>
            <w:r>
              <w:rPr>
                <w:rFonts w:hint="eastAsia"/>
                <w:color w:val="auto"/>
                <w:sz w:val="24"/>
                <w:highlight w:val="none"/>
              </w:rPr>
              <w:t>产生的污染物主要有颗粒物</w:t>
            </w:r>
            <w:r>
              <w:rPr>
                <w:rFonts w:hint="eastAsia"/>
                <w:color w:val="auto"/>
                <w:sz w:val="24"/>
                <w:highlight w:val="none"/>
                <w:lang w:eastAsia="zh-CN"/>
              </w:rPr>
              <w:t>，</w:t>
            </w:r>
            <w:r>
              <w:rPr>
                <w:rFonts w:hint="eastAsia"/>
                <w:color w:val="auto"/>
                <w:sz w:val="24"/>
                <w:highlight w:val="none"/>
              </w:rPr>
              <w:t>废气收集后经排气筒DA001高空排放，排放高度</w:t>
            </w:r>
            <w:r>
              <w:rPr>
                <w:rFonts w:hint="eastAsia"/>
                <w:color w:val="auto"/>
                <w:sz w:val="24"/>
                <w:highlight w:val="none"/>
                <w:lang w:val="en-US" w:eastAsia="zh-CN"/>
              </w:rPr>
              <w:t>不低于15</w:t>
            </w:r>
            <w:r>
              <w:rPr>
                <w:rFonts w:hint="eastAsia"/>
                <w:color w:val="auto"/>
                <w:sz w:val="24"/>
                <w:highlight w:val="none"/>
              </w:rPr>
              <w:t>m。</w:t>
            </w:r>
          </w:p>
          <w:p w14:paraId="565D4AEC">
            <w:pPr>
              <w:pStyle w:val="12"/>
              <w:keepNext w:val="0"/>
              <w:keepLines w:val="0"/>
              <w:pageBreakBefore w:val="0"/>
              <w:suppressLineNumbers w:val="0"/>
              <w:kinsoku/>
              <w:overflowPunct/>
              <w:topLinePunct w:val="0"/>
              <w:bidi w:val="0"/>
              <w:snapToGrid/>
              <w:spacing w:before="0" w:beforeAutospacing="0" w:after="0" w:afterAutospacing="0"/>
              <w:ind w:left="0" w:right="0" w:firstLine="480"/>
              <w:rPr>
                <w:rFonts w:hint="eastAsia"/>
                <w:color w:val="auto"/>
                <w:highlight w:val="none"/>
              </w:rPr>
            </w:pPr>
            <w:r>
              <w:rPr>
                <w:rFonts w:hint="eastAsia"/>
                <w:color w:val="auto"/>
                <w:highlight w:val="none"/>
              </w:rPr>
              <w:t>综上所述，本项目与《关于印发&lt;广东省生态环境保护“十四五”规划&gt;的通知》（粤环〔2021〕10号）相符。</w:t>
            </w:r>
          </w:p>
          <w:p w14:paraId="77A770AC">
            <w:pPr>
              <w:pStyle w:val="12"/>
              <w:keepNext w:val="0"/>
              <w:keepLines w:val="0"/>
              <w:pageBreakBefore w:val="0"/>
              <w:suppressLineNumbers w:val="0"/>
              <w:kinsoku/>
              <w:overflowPunct/>
              <w:topLinePunct w:val="0"/>
              <w:bidi w:val="0"/>
              <w:snapToGrid/>
              <w:spacing w:before="0" w:beforeAutospacing="0" w:after="0" w:afterAutospacing="0"/>
              <w:ind w:left="0" w:right="0" w:firstLine="482"/>
              <w:rPr>
                <w:rFonts w:hint="eastAsia"/>
                <w:b/>
                <w:bCs/>
                <w:color w:val="auto"/>
                <w:highlight w:val="none"/>
              </w:rPr>
            </w:pPr>
            <w:r>
              <w:rPr>
                <w:rFonts w:hint="eastAsia"/>
                <w:b/>
                <w:bCs/>
                <w:color w:val="auto"/>
                <w:highlight w:val="none"/>
              </w:rPr>
              <w:t>2、韶关市人民政府办公室《关于印发&lt;韶关市生态环境保护“十四五”规划&gt;的通知》（韶府办〔2022〕1号）</w:t>
            </w:r>
          </w:p>
          <w:p w14:paraId="69D0EA5B">
            <w:pPr>
              <w:keepNext w:val="0"/>
              <w:keepLines w:val="0"/>
              <w:pageBreakBefore w:val="0"/>
              <w:widowControl/>
              <w:suppressLineNumbers w:val="0"/>
              <w:kinsoku/>
              <w:overflowPunct/>
              <w:topLinePunct w:val="0"/>
              <w:bidi w:val="0"/>
              <w:snapToGrid/>
              <w:spacing w:before="0" w:beforeAutospacing="0" w:after="0" w:afterAutospacing="0"/>
              <w:ind w:left="0" w:right="0" w:firstLine="480" w:firstLineChars="200"/>
              <w:jc w:val="both"/>
              <w:rPr>
                <w:rFonts w:hint="eastAsia"/>
                <w:color w:val="auto"/>
                <w:highlight w:val="none"/>
              </w:rPr>
            </w:pPr>
            <w:r>
              <w:rPr>
                <w:rFonts w:hint="eastAsia"/>
                <w:color w:val="auto"/>
                <w:highlight w:val="none"/>
              </w:rPr>
              <w:t>文件要求：深化工业源污染治理。以挥发性有机物、工业炉窑和锅炉综合治理为重点，深化工业源污染防治，健全分级管控体系，提升重点行业企业深度治理水平。深化工业炉窑和锅炉排放治理。加大工业锅炉整治力度，禁止新建35蒸吨/小时以下燃煤锅炉；推进陶瓷等行业实施深度治理，持续开展生物质成型燃料锅炉整治，推动实施燃气锅炉低氮燃烧改造。严格实施工业炉窑分级管控，全面推动B级以下工业炉窑的清洁低碳化改造、废气治理设施升级改造、全过程无组织排放管控。</w:t>
            </w:r>
          </w:p>
          <w:p w14:paraId="3D56B395">
            <w:pPr>
              <w:pStyle w:val="12"/>
              <w:keepNext w:val="0"/>
              <w:keepLines w:val="0"/>
              <w:pageBreakBefore w:val="0"/>
              <w:suppressLineNumbers w:val="0"/>
              <w:kinsoku/>
              <w:overflowPunct/>
              <w:topLinePunct w:val="0"/>
              <w:bidi w:val="0"/>
              <w:snapToGrid/>
              <w:spacing w:before="0" w:beforeAutospacing="0" w:after="0" w:afterAutospacing="0"/>
              <w:ind w:left="0" w:right="0" w:firstLine="480"/>
              <w:rPr>
                <w:rFonts w:hint="eastAsia"/>
                <w:color w:val="auto"/>
                <w:highlight w:val="none"/>
              </w:rPr>
            </w:pPr>
            <w:r>
              <w:rPr>
                <w:rFonts w:hint="eastAsia"/>
                <w:color w:val="auto"/>
                <w:highlight w:val="none"/>
              </w:rPr>
              <w:t>项目不涉及锅炉。</w:t>
            </w:r>
            <w:r>
              <w:rPr>
                <w:rFonts w:hint="eastAsia"/>
                <w:color w:val="auto"/>
                <w:sz w:val="24"/>
                <w:highlight w:val="none"/>
                <w:lang w:val="en-US" w:eastAsia="zh-CN"/>
              </w:rPr>
              <w:t>项目干法破碎工序</w:t>
            </w:r>
            <w:r>
              <w:rPr>
                <w:rFonts w:hint="eastAsia"/>
                <w:color w:val="auto"/>
                <w:highlight w:val="none"/>
              </w:rPr>
              <w:t>产生的污染物主要有颗粒物</w:t>
            </w:r>
            <w:r>
              <w:rPr>
                <w:rFonts w:hint="eastAsia"/>
                <w:color w:val="auto"/>
                <w:highlight w:val="none"/>
                <w:lang w:eastAsia="zh-CN"/>
              </w:rPr>
              <w:t>，</w:t>
            </w:r>
            <w:r>
              <w:rPr>
                <w:rFonts w:hint="eastAsia"/>
                <w:color w:val="auto"/>
                <w:highlight w:val="none"/>
              </w:rPr>
              <w:t>废气收集后经</w:t>
            </w:r>
            <w:r>
              <w:rPr>
                <w:rFonts w:hint="eastAsia"/>
                <w:color w:val="auto"/>
                <w:highlight w:val="none"/>
                <w:lang w:val="en-US" w:eastAsia="zh-CN"/>
              </w:rPr>
              <w:t>15m高</w:t>
            </w:r>
            <w:r>
              <w:rPr>
                <w:rFonts w:hint="eastAsia"/>
                <w:color w:val="auto"/>
                <w:highlight w:val="none"/>
              </w:rPr>
              <w:t>排气筒DA001高空排放。本项目产生的工业固体废物均得到妥善处置。故本项目与韶关市人民政府办公室《关于印发&lt;韶关市生态环境保护“十四五”规划&gt;的通知》（韶府办〔2022〕1号）相符。</w:t>
            </w:r>
          </w:p>
          <w:p w14:paraId="6A3CFD05">
            <w:pPr>
              <w:pStyle w:val="19"/>
              <w:keepNext w:val="0"/>
              <w:keepLines w:val="0"/>
              <w:pageBreakBefore w:val="0"/>
              <w:suppressLineNumbers w:val="0"/>
              <w:kinsoku/>
              <w:overflowPunct/>
              <w:topLinePunct w:val="0"/>
              <w:bidi w:val="0"/>
              <w:snapToGrid/>
              <w:spacing w:before="0" w:beforeAutospacing="0" w:after="0" w:afterAutospacing="0"/>
              <w:ind w:left="0" w:right="0" w:firstLine="482"/>
              <w:rPr>
                <w:rFonts w:hint="eastAsia"/>
                <w:b/>
                <w:bCs/>
                <w:color w:val="auto"/>
                <w:sz w:val="24"/>
                <w:highlight w:val="none"/>
              </w:rPr>
            </w:pPr>
            <w:r>
              <w:rPr>
                <w:rFonts w:hint="eastAsia"/>
                <w:b/>
                <w:bCs/>
                <w:color w:val="auto"/>
                <w:sz w:val="24"/>
                <w:highlight w:val="none"/>
              </w:rPr>
              <w:t>3、乐昌市人民政府办公室《关于印发&lt;乐昌市生态环境保护“十四五”规划的通知》（乐府办〔2022〕16号）</w:t>
            </w:r>
          </w:p>
          <w:p w14:paraId="58ED4FB7">
            <w:pPr>
              <w:pStyle w:val="53"/>
              <w:keepNext w:val="0"/>
              <w:keepLines w:val="0"/>
              <w:pageBreakBefore w:val="0"/>
              <w:suppressLineNumbers w:val="0"/>
              <w:kinsoku/>
              <w:overflowPunct/>
              <w:topLinePunct w:val="0"/>
              <w:bidi w:val="0"/>
              <w:snapToGrid/>
              <w:spacing w:before="0" w:beforeAutospacing="0" w:after="0" w:afterAutospacing="0"/>
              <w:ind w:left="0" w:right="0" w:firstLine="480" w:firstLineChars="200"/>
              <w:rPr>
                <w:rFonts w:hint="eastAsia"/>
                <w:color w:val="auto"/>
                <w:sz w:val="24"/>
                <w:szCs w:val="24"/>
                <w:highlight w:val="none"/>
              </w:rPr>
            </w:pPr>
            <w:r>
              <w:rPr>
                <w:rFonts w:hint="eastAsia"/>
                <w:color w:val="auto"/>
                <w:sz w:val="24"/>
                <w:szCs w:val="24"/>
                <w:highlight w:val="none"/>
              </w:rPr>
              <w:t>深化重点污染源治理，推进污染物减排。在水泥、化工、火电等行业全面执行大气污染物特别排放限值。逐步推进水泥行业实施超低排放改造，力争到2025年全市水泥</w:t>
            </w:r>
            <w:r>
              <w:rPr>
                <w:rFonts w:hint="eastAsia"/>
                <w:color w:val="auto"/>
                <w:sz w:val="24"/>
                <w:szCs w:val="24"/>
                <w:highlight w:val="none"/>
                <w:lang w:eastAsia="zh-CN"/>
              </w:rPr>
              <w:t>（</w:t>
            </w:r>
            <w:r>
              <w:rPr>
                <w:rFonts w:hint="eastAsia"/>
                <w:color w:val="auto"/>
                <w:sz w:val="24"/>
                <w:szCs w:val="24"/>
                <w:highlight w:val="none"/>
              </w:rPr>
              <w:t>熟料</w:t>
            </w:r>
            <w:r>
              <w:rPr>
                <w:rFonts w:hint="eastAsia"/>
                <w:color w:val="auto"/>
                <w:sz w:val="24"/>
                <w:szCs w:val="24"/>
                <w:highlight w:val="none"/>
                <w:lang w:eastAsia="zh-CN"/>
              </w:rPr>
              <w:t>）</w:t>
            </w:r>
            <w:r>
              <w:rPr>
                <w:rFonts w:hint="eastAsia"/>
                <w:color w:val="auto"/>
                <w:sz w:val="24"/>
                <w:szCs w:val="24"/>
                <w:highlight w:val="none"/>
              </w:rPr>
              <w:t>制造企业的水泥窑及窑尾余热利用系统烟气NOx排放浓度不高于100mg/m</w:t>
            </w:r>
            <w:r>
              <w:rPr>
                <w:rFonts w:hint="eastAsia"/>
                <w:color w:val="auto"/>
                <w:sz w:val="24"/>
                <w:szCs w:val="24"/>
                <w:highlight w:val="none"/>
                <w:vertAlign w:val="superscript"/>
              </w:rPr>
              <w:t>3</w:t>
            </w:r>
            <w:r>
              <w:rPr>
                <w:rFonts w:hint="eastAsia"/>
                <w:color w:val="auto"/>
                <w:sz w:val="24"/>
                <w:szCs w:val="24"/>
                <w:highlight w:val="none"/>
              </w:rPr>
              <w:t>。持续开展生物质成型燃料锅炉整治，推动实施燃气锅炉低氮燃烧改造。严格实施工业炉窑分级管控，全面推动B级以下企业工业炉窑的燃料清洁低碳化替代、废气治理设施升级改造、全过程无组织排放管控。</w:t>
            </w:r>
          </w:p>
          <w:p w14:paraId="5A065537">
            <w:pPr>
              <w:pStyle w:val="19"/>
              <w:keepNext w:val="0"/>
              <w:keepLines w:val="0"/>
              <w:pageBreakBefore w:val="0"/>
              <w:suppressLineNumbers w:val="0"/>
              <w:kinsoku/>
              <w:overflowPunct/>
              <w:topLinePunct w:val="0"/>
              <w:bidi w:val="0"/>
              <w:snapToGrid/>
              <w:spacing w:before="0" w:beforeAutospacing="0" w:after="0" w:afterAutospacing="0"/>
              <w:ind w:left="0" w:right="0" w:firstLine="480"/>
              <w:rPr>
                <w:rFonts w:hint="eastAsia"/>
                <w:color w:val="auto"/>
                <w:sz w:val="24"/>
                <w:szCs w:val="24"/>
                <w:highlight w:val="none"/>
              </w:rPr>
            </w:pPr>
            <w:r>
              <w:rPr>
                <w:rFonts w:hint="eastAsia"/>
                <w:color w:val="auto"/>
                <w:sz w:val="24"/>
                <w:szCs w:val="24"/>
                <w:highlight w:val="none"/>
              </w:rPr>
              <w:t>项目不涉及锅炉。</w:t>
            </w:r>
            <w:r>
              <w:rPr>
                <w:rFonts w:hint="eastAsia"/>
                <w:color w:val="auto"/>
                <w:sz w:val="24"/>
                <w:highlight w:val="none"/>
                <w:lang w:val="en-US" w:eastAsia="zh-CN"/>
              </w:rPr>
              <w:t>项目干法破碎工序</w:t>
            </w:r>
            <w:r>
              <w:rPr>
                <w:rFonts w:hint="eastAsia"/>
                <w:color w:val="auto"/>
                <w:sz w:val="24"/>
                <w:szCs w:val="24"/>
                <w:highlight w:val="none"/>
              </w:rPr>
              <w:t>产生的污染物主要有颗粒物</w:t>
            </w:r>
            <w:r>
              <w:rPr>
                <w:rFonts w:hint="eastAsia"/>
                <w:color w:val="auto"/>
                <w:sz w:val="24"/>
                <w:szCs w:val="24"/>
                <w:highlight w:val="none"/>
                <w:lang w:eastAsia="zh-CN"/>
              </w:rPr>
              <w:t>，</w:t>
            </w:r>
            <w:r>
              <w:rPr>
                <w:rFonts w:hint="eastAsia"/>
                <w:color w:val="auto"/>
                <w:sz w:val="24"/>
                <w:szCs w:val="24"/>
                <w:highlight w:val="none"/>
              </w:rPr>
              <w:t>废气收集后经排气筒DA001高空排放。故本项目与乐昌市人民政府办公室《关于印发&lt;乐昌市生态环境保护“十四五”规划的通知》（乐府办〔2022〕16号）相符。</w:t>
            </w:r>
          </w:p>
          <w:p w14:paraId="51B77D3B">
            <w:pPr>
              <w:pStyle w:val="5"/>
              <w:pageBreakBefore w:val="0"/>
              <w:numPr>
                <w:ilvl w:val="3"/>
                <w:numId w:val="0"/>
              </w:numPr>
              <w:suppressLineNumbers w:val="0"/>
              <w:kinsoku/>
              <w:overflowPunct/>
              <w:topLinePunct w:val="0"/>
              <w:bidi w:val="0"/>
              <w:snapToGrid/>
              <w:spacing w:before="0" w:beforeAutospacing="0" w:after="0" w:afterAutospacing="0"/>
              <w:ind w:right="0" w:firstLine="480" w:firstLineChars="200"/>
              <w:rPr>
                <w:rFonts w:hint="eastAsia"/>
                <w:color w:val="auto"/>
                <w:sz w:val="24"/>
                <w:szCs w:val="24"/>
                <w:highlight w:val="none"/>
              </w:rPr>
            </w:pPr>
            <w:r>
              <w:rPr>
                <w:rFonts w:hint="eastAsia"/>
                <w:color w:val="auto"/>
                <w:sz w:val="24"/>
                <w:szCs w:val="24"/>
                <w:highlight w:val="none"/>
              </w:rPr>
              <w:t>七、环境保护部《关于印发&lt;重点行业挥发性有机物综合治理方案&gt;的通知》（环大气〔2019〕53号）</w:t>
            </w:r>
          </w:p>
          <w:p w14:paraId="6C0BDB73">
            <w:pPr>
              <w:pStyle w:val="12"/>
              <w:keepNext w:val="0"/>
              <w:keepLines w:val="0"/>
              <w:pageBreakBefore w:val="0"/>
              <w:suppressLineNumbers w:val="0"/>
              <w:kinsoku/>
              <w:overflowPunct/>
              <w:topLinePunct w:val="0"/>
              <w:bidi w:val="0"/>
              <w:snapToGrid/>
              <w:spacing w:before="0" w:beforeAutospacing="0" w:after="0" w:afterAutospacing="0"/>
              <w:ind w:left="0" w:right="0" w:firstLine="480"/>
              <w:rPr>
                <w:rFonts w:hint="eastAsia"/>
                <w:color w:val="auto"/>
                <w:sz w:val="24"/>
                <w:szCs w:val="24"/>
                <w:highlight w:val="none"/>
              </w:rPr>
            </w:pPr>
            <w:r>
              <w:rPr>
                <w:rFonts w:hint="eastAsia"/>
                <w:color w:val="auto"/>
                <w:sz w:val="24"/>
                <w:szCs w:val="24"/>
                <w:highlight w:val="none"/>
              </w:rPr>
              <w:t>文件中提出：“大力推进源头替代。化工行业要推广使用低（无）VOCs含量、低反应活性的原辅材料。全面加强无组织排放控制。重点对含VOCs物料（包括含VOCs原辅材料、含VOCs产品、含VOCs废料以及有机聚合物材料等）储存、转移和输送、设备与管线组件泄漏、敞开液面逸散以及工艺过程等五类排放源实施管控，通过采取设备与场所密闭、工艺改进、废气有效收集等措施，削减VOCs无组织排放。推进建设适宜高效的治污设施。”</w:t>
            </w:r>
          </w:p>
          <w:p w14:paraId="4B08DCC5">
            <w:pPr>
              <w:pStyle w:val="12"/>
              <w:keepNext w:val="0"/>
              <w:keepLines w:val="0"/>
              <w:pageBreakBefore w:val="0"/>
              <w:suppressLineNumbers w:val="0"/>
              <w:kinsoku/>
              <w:overflowPunct/>
              <w:topLinePunct w:val="0"/>
              <w:bidi w:val="0"/>
              <w:snapToGrid/>
              <w:spacing w:before="0" w:beforeAutospacing="0" w:after="0" w:afterAutospacing="0"/>
              <w:ind w:left="0" w:right="0" w:firstLine="480"/>
              <w:rPr>
                <w:rFonts w:hint="eastAsia" w:ascii="Times New Roman" w:cs="Times New Roman"/>
                <w:b/>
                <w:bCs/>
                <w:color w:val="auto"/>
                <w:highlight w:val="none"/>
              </w:rPr>
            </w:pPr>
            <w:r>
              <w:rPr>
                <w:rFonts w:hint="eastAsia"/>
                <w:color w:val="auto"/>
                <w:sz w:val="24"/>
                <w:szCs w:val="24"/>
                <w:highlight w:val="none"/>
              </w:rPr>
              <w:t>本项目原料不涉及VOCs物料，可从源头有效控制VOCs排放，</w:t>
            </w:r>
            <w:r>
              <w:rPr>
                <w:rFonts w:hint="eastAsia"/>
                <w:color w:val="auto"/>
                <w:sz w:val="24"/>
                <w:szCs w:val="24"/>
                <w:highlight w:val="none"/>
                <w:lang w:val="en-US" w:eastAsia="zh-CN"/>
              </w:rPr>
              <w:t>项目</w:t>
            </w:r>
            <w:r>
              <w:rPr>
                <w:rFonts w:hint="eastAsia"/>
                <w:color w:val="auto"/>
                <w:sz w:val="24"/>
                <w:szCs w:val="24"/>
                <w:highlight w:val="none"/>
              </w:rPr>
              <w:t>产生的污染物主要有颗粒物，收集后经排气筒DA001高空排放。综上，本项目与环境保护部《关于印发&lt;重点行业挥发性有机物综合治理方案&gt;的通知》（环大气〔2019〕53号）相符。</w:t>
            </w:r>
          </w:p>
          <w:p w14:paraId="05FD7657">
            <w:pPr>
              <w:pStyle w:val="104"/>
              <w:keepNext w:val="0"/>
              <w:keepLines w:val="0"/>
              <w:numPr>
                <w:ilvl w:val="0"/>
                <w:numId w:val="0"/>
              </w:numPr>
              <w:suppressLineNumbers w:val="0"/>
              <w:topLinePunct w:val="0"/>
              <w:autoSpaceDE/>
              <w:autoSpaceDN/>
              <w:bidi w:val="0"/>
              <w:spacing w:before="0" w:beforeAutospacing="0" w:after="0" w:afterAutospacing="0"/>
              <w:ind w:left="0" w:right="0" w:rightChars="0" w:firstLine="480" w:firstLineChars="200"/>
              <w:rPr>
                <w:rFonts w:hint="default" w:ascii="Times New Roman" w:hAnsi="Times New Roman" w:cs="Times New Roman"/>
                <w:color w:val="auto"/>
                <w:highlight w:val="none"/>
                <w:lang w:val="en-US"/>
              </w:rPr>
            </w:pPr>
            <w:r>
              <w:rPr>
                <w:rFonts w:hint="eastAsia" w:cs="Times New Roman"/>
                <w:color w:val="auto"/>
                <w:highlight w:val="none"/>
                <w:lang w:val="en-US" w:eastAsia="zh-CN"/>
              </w:rPr>
              <w:t>八、</w:t>
            </w:r>
            <w:r>
              <w:rPr>
                <w:rFonts w:hint="default" w:ascii="Times New Roman" w:hAnsi="Times New Roman" w:cs="Times New Roman"/>
                <w:color w:val="auto"/>
                <w:highlight w:val="none"/>
                <w:lang w:val="en-US" w:eastAsia="zh-CN"/>
              </w:rPr>
              <w:t>与《广东省2023年土壤与地下水污染防治工作方案》（粤环〔2023〕3号）的相符性</w:t>
            </w:r>
          </w:p>
          <w:p w14:paraId="7AA3769F">
            <w:pPr>
              <w:pStyle w:val="10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“方案要求：</w:t>
            </w:r>
          </w:p>
          <w:p w14:paraId="3C7098B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三、系统推进土壤污染源头防控</w:t>
            </w:r>
          </w:p>
          <w:p w14:paraId="23A6348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一）加强涉重金属行业污染防控。深化涉镉等重点行业企业污染源排查整治，动态更新污染源排查整治清单。韶关、阳江、清远市要督促有关涉重金属污染物排放企业严格执行特别排放限值相关规定。2023年底前，各地要督促纳入大气环境重点排污单位名录的涉镉等重金属排放企业实现大气污染物中的颗粒物自动监测、监控设备联网。（省生态环境厅牵头，省自然资源厅等按职责分工负责）</w:t>
            </w:r>
          </w:p>
          <w:p w14:paraId="2DCE250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szCs w:val="24"/>
                <w:highlight w:val="none"/>
                <w:lang w:val="en-US"/>
              </w:rPr>
            </w:pPr>
            <w:r>
              <w:rPr>
                <w:rFonts w:hint="default" w:ascii="Times New Roman" w:hAnsi="Times New Roman" w:eastAsia="宋体" w:cs="Times New Roman"/>
                <w:color w:val="auto"/>
                <w:sz w:val="24"/>
                <w:szCs w:val="24"/>
                <w:highlight w:val="none"/>
                <w:lang w:val="en-US" w:eastAsia="zh-CN"/>
              </w:rPr>
              <w:t>（二）严格监管土壤污染重点监管单位。更新并公布土壤污染重点监管单位名录，督促重点监管单位落实法定义务，原则上新纳入的重点监管单位应在当年完成隐患排查，所有重点监管单位完成一轮土壤和地下水自行监测。各地级以上市要组织对重点监管单位开展周边监测，完成比例不低于40%；督促50%已开展隐患排查的重点监管单位开展隐患排查“回头看”。省市两级对“回头看”工作开展质量控制抽查，省级抽查比例不低于10%，市级抽查比例不低于20%（省生态环境厅负责）</w:t>
            </w:r>
            <w:r>
              <w:rPr>
                <w:rFonts w:hint="eastAsia" w:cs="Times New Roman"/>
                <w:color w:val="auto"/>
                <w:sz w:val="24"/>
                <w:szCs w:val="24"/>
                <w:highlight w:val="none"/>
                <w:lang w:val="en-US" w:eastAsia="zh-CN"/>
              </w:rPr>
              <w:t>。</w:t>
            </w:r>
          </w:p>
          <w:p w14:paraId="1DEC41B5">
            <w:pPr>
              <w:pStyle w:val="105"/>
              <w:keepNext w:val="0"/>
              <w:keepLines w:val="0"/>
              <w:suppressLineNumbers w:val="0"/>
              <w:topLinePunct w:val="0"/>
              <w:autoSpaceDE/>
              <w:autoSpaceDN/>
              <w:bidi w:val="0"/>
              <w:spacing w:before="0" w:beforeAutospacing="0" w:after="0" w:afterAutospacing="0"/>
              <w:ind w:left="0" w:right="0"/>
              <w:rPr>
                <w:rFonts w:hint="default" w:ascii="Times New Roman" w:hAnsi="Times New Roman" w:cs="Times New Roman"/>
                <w:b w:val="0"/>
                <w:bCs w:val="0"/>
                <w:color w:val="auto"/>
                <w:highlight w:val="none"/>
                <w:lang w:val="en-US" w:eastAsia="zh-CN"/>
              </w:rPr>
            </w:pPr>
            <w:r>
              <w:rPr>
                <w:rFonts w:hint="default" w:ascii="Times New Roman" w:hAnsi="Times New Roman" w:cs="Times New Roman"/>
                <w:b w:val="0"/>
                <w:bCs w:val="0"/>
                <w:color w:val="auto"/>
                <w:highlight w:val="none"/>
                <w:lang w:val="en-US" w:eastAsia="zh-CN"/>
              </w:rPr>
              <w:t>六、有序推进地下水污染防治</w:t>
            </w:r>
          </w:p>
          <w:p w14:paraId="16E49F5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一）加强地下水环境质量目标管理和分区管理。各地级以上市加快印发并实施“十四五”国家地下水环境质量考核点位水质达标保持方案，省生态环境厅定期组织对各地级以上市达标保持方案重点工作实施情况开展评估。湛江等市开展地下水国考点位、地下水型农村“千吨万人”饮用水源环境背景值调查研究。实施地下水环境分区管理、分级防治，完成珠三角整体区域及佛山、韶关、河源、东莞、湛江、云浮等市地下水污染防治重点区划定工作。（省生态环境厅牵头，省发展改革委、自然资源厅、水利厅、地质局等按职责分工负责）</w:t>
            </w:r>
          </w:p>
          <w:p w14:paraId="5AC0CB7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 xml:space="preserve">（三）加强地下水污染防治重点排污单位管理。各地级以上市建立并公布地下水污染防治重点排污单位名录，参照生态环境 </w:t>
            </w:r>
          </w:p>
          <w:p w14:paraId="4B2626E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部制定的重点监管单位土壤污染隐患排查技术指南、地下水污染源防渗技术指南等，指导重点排污单位开展地下水污染渗漏排查，存在问题的单位应开展防渗改造。（省生态环境厅牵头，省住房城乡建设厅等按职责分工负责）”</w:t>
            </w:r>
          </w:p>
          <w:p w14:paraId="7DB9DFDD">
            <w:pPr>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right="0" w:firstLine="480" w:firstLineChars="200"/>
              <w:textAlignment w:val="auto"/>
              <w:rPr>
                <w:rFonts w:hint="eastAsia"/>
                <w:color w:val="auto"/>
                <w:highlight w:val="none"/>
              </w:rPr>
            </w:pPr>
            <w:r>
              <w:rPr>
                <w:rFonts w:hint="default" w:ascii="Times New Roman" w:hAnsi="Times New Roman" w:cs="Times New Roman"/>
                <w:b/>
                <w:bCs/>
                <w:color w:val="auto"/>
                <w:highlight w:val="none"/>
                <w:u w:val="none"/>
                <w:lang w:val="en-US" w:eastAsia="zh-CN"/>
              </w:rPr>
              <w:t>相符性分析：</w:t>
            </w:r>
            <w:r>
              <w:rPr>
                <w:rFonts w:hint="default" w:ascii="Times New Roman" w:hAnsi="Times New Roman" w:cs="Times New Roman"/>
                <w:color w:val="auto"/>
                <w:highlight w:val="none"/>
                <w:u w:val="none"/>
                <w:lang w:val="en-US" w:eastAsia="zh-CN"/>
              </w:rPr>
              <w:t>本项目生产运营过程不涉及重金属排放，生产废水经自建污水处理站处理后排入园区污水处理厂；生活污水经三级化粪池处理后排入园区污水处理厂。项目对危废仓进行防渗漏、防扬散、防流失等措施，防止危险废物暂存过程对土壤环境造成影响。因此，项目的建设符合《广东省2023年土壤与地下水污染防治工作方案》的相关要求。</w:t>
            </w:r>
          </w:p>
          <w:p w14:paraId="4AC0F53E">
            <w:pPr>
              <w:keepNext w:val="0"/>
              <w:keepLines w:val="0"/>
              <w:pageBreakBefore w:val="0"/>
              <w:suppressLineNumbers w:val="0"/>
              <w:kinsoku/>
              <w:overflowPunct/>
              <w:topLinePunct w:val="0"/>
              <w:bidi w:val="0"/>
              <w:snapToGrid/>
              <w:spacing w:before="0" w:beforeAutospacing="0" w:after="0" w:afterAutospacing="0"/>
              <w:ind w:left="0" w:right="0"/>
              <w:rPr>
                <w:rFonts w:hint="eastAsia"/>
                <w:color w:val="auto"/>
                <w:highlight w:val="none"/>
                <w:lang w:val="en-US" w:eastAsia="zh-CN"/>
              </w:rPr>
            </w:pPr>
          </w:p>
          <w:p w14:paraId="22A515DA">
            <w:pPr>
              <w:keepNext w:val="0"/>
              <w:keepLines w:val="0"/>
              <w:pageBreakBefore w:val="0"/>
              <w:suppressLineNumbers w:val="0"/>
              <w:kinsoku/>
              <w:overflowPunct/>
              <w:topLinePunct w:val="0"/>
              <w:bidi w:val="0"/>
              <w:snapToGrid/>
              <w:spacing w:before="0" w:beforeAutospacing="0" w:after="0" w:afterAutospacing="0"/>
              <w:ind w:left="0" w:right="0"/>
              <w:rPr>
                <w:rFonts w:hint="eastAsia"/>
                <w:color w:val="auto"/>
                <w:highlight w:val="none"/>
                <w:lang w:val="en-US" w:eastAsia="zh-CN"/>
              </w:rPr>
            </w:pPr>
          </w:p>
          <w:p w14:paraId="5FCBF59C">
            <w:pPr>
              <w:keepNext w:val="0"/>
              <w:keepLines w:val="0"/>
              <w:pageBreakBefore w:val="0"/>
              <w:suppressLineNumbers w:val="0"/>
              <w:kinsoku/>
              <w:overflowPunct/>
              <w:topLinePunct w:val="0"/>
              <w:bidi w:val="0"/>
              <w:snapToGrid/>
              <w:spacing w:before="0" w:beforeAutospacing="0" w:after="0" w:afterAutospacing="0"/>
              <w:ind w:left="0" w:right="0"/>
              <w:rPr>
                <w:rFonts w:hint="eastAsia"/>
                <w:color w:val="auto"/>
                <w:highlight w:val="none"/>
                <w:lang w:val="en-US" w:eastAsia="zh-CN"/>
              </w:rPr>
            </w:pPr>
          </w:p>
          <w:p w14:paraId="5E836A9F">
            <w:pPr>
              <w:keepNext w:val="0"/>
              <w:keepLines w:val="0"/>
              <w:pageBreakBefore w:val="0"/>
              <w:suppressLineNumbers w:val="0"/>
              <w:kinsoku/>
              <w:overflowPunct/>
              <w:topLinePunct w:val="0"/>
              <w:bidi w:val="0"/>
              <w:snapToGrid/>
              <w:spacing w:before="0" w:beforeAutospacing="0" w:after="0" w:afterAutospacing="0"/>
              <w:ind w:left="0" w:right="0"/>
              <w:rPr>
                <w:rFonts w:hint="eastAsia"/>
                <w:color w:val="auto"/>
                <w:highlight w:val="none"/>
                <w:lang w:val="en-US" w:eastAsia="zh-CN"/>
              </w:rPr>
            </w:pPr>
          </w:p>
          <w:p w14:paraId="7F3C31AB">
            <w:pPr>
              <w:keepNext w:val="0"/>
              <w:keepLines w:val="0"/>
              <w:pageBreakBefore w:val="0"/>
              <w:suppressLineNumbers w:val="0"/>
              <w:kinsoku/>
              <w:overflowPunct/>
              <w:topLinePunct w:val="0"/>
              <w:bidi w:val="0"/>
              <w:snapToGrid/>
              <w:spacing w:before="0" w:beforeAutospacing="0" w:after="0" w:afterAutospacing="0"/>
              <w:ind w:left="0" w:right="0"/>
              <w:rPr>
                <w:rFonts w:hint="eastAsia"/>
                <w:color w:val="auto"/>
                <w:highlight w:val="none"/>
                <w:lang w:val="en-US" w:eastAsia="zh-CN"/>
              </w:rPr>
            </w:pPr>
          </w:p>
          <w:p w14:paraId="700EE571">
            <w:pPr>
              <w:keepNext w:val="0"/>
              <w:keepLines w:val="0"/>
              <w:pageBreakBefore w:val="0"/>
              <w:suppressLineNumbers w:val="0"/>
              <w:kinsoku/>
              <w:overflowPunct/>
              <w:topLinePunct w:val="0"/>
              <w:bidi w:val="0"/>
              <w:snapToGrid/>
              <w:spacing w:before="0" w:beforeAutospacing="0" w:after="0" w:afterAutospacing="0"/>
              <w:ind w:left="0" w:right="0"/>
              <w:rPr>
                <w:rFonts w:hint="eastAsia"/>
                <w:color w:val="auto"/>
                <w:highlight w:val="none"/>
                <w:lang w:val="en-US" w:eastAsia="zh-CN"/>
              </w:rPr>
            </w:pPr>
          </w:p>
          <w:p w14:paraId="21465E5C">
            <w:pPr>
              <w:keepNext w:val="0"/>
              <w:keepLines w:val="0"/>
              <w:pageBreakBefore w:val="0"/>
              <w:suppressLineNumbers w:val="0"/>
              <w:kinsoku/>
              <w:overflowPunct/>
              <w:topLinePunct w:val="0"/>
              <w:bidi w:val="0"/>
              <w:snapToGrid/>
              <w:spacing w:before="0" w:beforeAutospacing="0" w:after="0" w:afterAutospacing="0"/>
              <w:ind w:left="0" w:right="0"/>
              <w:rPr>
                <w:rFonts w:hint="eastAsia"/>
                <w:color w:val="auto"/>
                <w:highlight w:val="none"/>
                <w:lang w:val="en-US" w:eastAsia="zh-CN"/>
              </w:rPr>
            </w:pPr>
          </w:p>
          <w:p w14:paraId="7F29E79D">
            <w:pPr>
              <w:keepNext w:val="0"/>
              <w:keepLines w:val="0"/>
              <w:pageBreakBefore w:val="0"/>
              <w:suppressLineNumbers w:val="0"/>
              <w:kinsoku/>
              <w:overflowPunct/>
              <w:topLinePunct w:val="0"/>
              <w:bidi w:val="0"/>
              <w:snapToGrid/>
              <w:spacing w:before="0" w:beforeAutospacing="0" w:after="0" w:afterAutospacing="0"/>
              <w:ind w:left="0" w:right="0"/>
              <w:rPr>
                <w:rFonts w:hint="default" w:eastAsia="宋体"/>
                <w:color w:val="auto"/>
                <w:highlight w:val="none"/>
                <w:lang w:val="en-US" w:eastAsia="zh-CN"/>
              </w:rPr>
            </w:pPr>
          </w:p>
        </w:tc>
      </w:tr>
    </w:tbl>
    <w:p w14:paraId="49066F6B">
      <w:pPr>
        <w:pStyle w:val="2"/>
        <w:numPr>
          <w:ilvl w:val="0"/>
          <w:numId w:val="0"/>
        </w:numPr>
        <w:rPr>
          <w:rFonts w:cs="Times New Roman"/>
          <w:color w:val="auto"/>
          <w:highlight w:val="none"/>
        </w:rPr>
      </w:pPr>
      <w:r>
        <w:rPr>
          <w:rFonts w:cs="Times New Roman"/>
          <w:color w:val="auto"/>
          <w:highlight w:val="none"/>
        </w:rPr>
        <w:br w:type="page"/>
      </w:r>
      <w:bookmarkStart w:id="11" w:name="_Toc25936"/>
      <w:bookmarkStart w:id="12" w:name="_Toc17804"/>
      <w:bookmarkStart w:id="13" w:name="_Toc12334"/>
      <w:r>
        <w:rPr>
          <w:rFonts w:hint="eastAsia" w:cs="Times New Roman"/>
          <w:b/>
          <w:bCs/>
          <w:color w:val="auto"/>
          <w:highlight w:val="none"/>
        </w:rPr>
        <w:t>二、</w:t>
      </w:r>
      <w:r>
        <w:rPr>
          <w:rFonts w:cs="Times New Roman"/>
          <w:b/>
          <w:bCs/>
          <w:color w:val="auto"/>
          <w:highlight w:val="none"/>
        </w:rPr>
        <w:t>建设项目工程分析</w:t>
      </w:r>
      <w:bookmarkEnd w:id="11"/>
      <w:bookmarkEnd w:id="12"/>
      <w:bookmarkEnd w:id="13"/>
    </w:p>
    <w:tbl>
      <w:tblPr>
        <w:tblStyle w:val="4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9506"/>
      </w:tblGrid>
      <w:tr w14:paraId="34D58C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41" w:type="pct"/>
            <w:vAlign w:val="center"/>
          </w:tcPr>
          <w:p w14:paraId="0F70D056">
            <w:pPr>
              <w:keepNext/>
              <w:keepLines w:val="0"/>
              <w:pageBreakBefore w:val="0"/>
              <w:widowControl/>
              <w:numPr>
                <w:ilvl w:val="1"/>
                <w:numId w:val="0"/>
              </w:numPr>
              <w:suppressLineNumbers w:val="0"/>
              <w:tabs>
                <w:tab w:val="left" w:pos="420"/>
              </w:tabs>
              <w:kinsoku/>
              <w:wordWrap/>
              <w:overflowPunct/>
              <w:topLinePunct w:val="0"/>
              <w:autoSpaceDE/>
              <w:autoSpaceDN/>
              <w:bidi w:val="0"/>
              <w:adjustRightInd/>
              <w:snapToGrid/>
              <w:spacing w:before="0" w:beforeAutospacing="0" w:after="0" w:afterAutospacing="0" w:line="276" w:lineRule="auto"/>
              <w:ind w:left="0" w:right="0"/>
              <w:textAlignment w:val="auto"/>
              <w:outlineLvl w:val="9"/>
              <w:rPr>
                <w:rFonts w:hint="default" w:ascii="Times New Roman" w:hAnsi="Times New Roman" w:cs="Times New Roman"/>
                <w:color w:val="auto"/>
                <w:highlight w:val="none"/>
              </w:rPr>
            </w:pPr>
            <w:bookmarkStart w:id="14" w:name="_Toc12660"/>
            <w:bookmarkStart w:id="15" w:name="_Toc28930"/>
            <w:bookmarkStart w:id="16" w:name="_Toc23802"/>
            <w:bookmarkStart w:id="17" w:name="_Toc1786"/>
            <w:bookmarkStart w:id="18" w:name="_Toc28166"/>
            <w:r>
              <w:rPr>
                <w:rFonts w:hint="default" w:ascii="Times New Roman" w:hAnsi="Times New Roman" w:cs="Times New Roman"/>
                <w:b/>
                <w:bCs/>
                <w:color w:val="auto"/>
                <w:highlight w:val="none"/>
              </w:rPr>
              <w:t>建设内容</w:t>
            </w:r>
            <w:bookmarkEnd w:id="14"/>
            <w:bookmarkEnd w:id="15"/>
            <w:bookmarkEnd w:id="16"/>
            <w:bookmarkEnd w:id="17"/>
            <w:bookmarkEnd w:id="18"/>
          </w:p>
        </w:tc>
        <w:tc>
          <w:tcPr>
            <w:tcW w:w="4758" w:type="pct"/>
          </w:tcPr>
          <w:p w14:paraId="044520B2">
            <w:pPr>
              <w:keepNext/>
              <w:keepLines/>
              <w:suppressLineNumbers w:val="0"/>
              <w:tabs>
                <w:tab w:val="left" w:pos="0"/>
              </w:tabs>
              <w:spacing w:before="0" w:beforeAutospacing="0" w:after="0" w:afterAutospacing="0"/>
              <w:ind w:left="-2" w:right="0" w:firstLine="480" w:firstLineChars="200"/>
              <w:jc w:val="left"/>
              <w:outlineLvl w:val="2"/>
              <w:rPr>
                <w:rFonts w:hint="default" w:ascii="Times New Roman" w:hAnsi="Times New Roman" w:cs="Times New Roman"/>
                <w:b/>
                <w:color w:val="auto"/>
                <w:highlight w:val="none"/>
              </w:rPr>
            </w:pPr>
            <w:r>
              <w:rPr>
                <w:rFonts w:hint="default" w:ascii="Times New Roman" w:hAnsi="Times New Roman" w:cs="Times New Roman"/>
                <w:b/>
                <w:color w:val="auto"/>
                <w:highlight w:val="none"/>
              </w:rPr>
              <w:t>一、项目由来</w:t>
            </w:r>
          </w:p>
          <w:p w14:paraId="6A879B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480" w:firstLineChars="200"/>
              <w:textAlignment w:val="auto"/>
              <w:rPr>
                <w:rFonts w:hint="default" w:ascii="Times New Roman" w:hAnsi="Times New Roman" w:eastAsia="宋体" w:cs="Times New Roman"/>
                <w:i w:val="0"/>
                <w:iCs w:val="0"/>
                <w:caps w:val="0"/>
                <w:color w:val="auto"/>
                <w:spacing w:val="0"/>
                <w:sz w:val="24"/>
                <w:szCs w:val="24"/>
                <w:highlight w:val="none"/>
                <w:shd w:val="clear" w:color="auto" w:fill="FFFFFF"/>
                <w:lang w:eastAsia="zh-CN"/>
              </w:rPr>
            </w:pPr>
            <w:r>
              <w:rPr>
                <w:rFonts w:hint="eastAsia" w:cs="Times New Roman"/>
                <w:i w:val="0"/>
                <w:iCs w:val="0"/>
                <w:caps w:val="0"/>
                <w:color w:val="auto"/>
                <w:spacing w:val="0"/>
                <w:sz w:val="24"/>
                <w:szCs w:val="24"/>
                <w:highlight w:val="none"/>
                <w:shd w:val="clear" w:color="auto" w:fill="FFFFFF"/>
                <w:lang w:eastAsia="zh-CN"/>
              </w:rPr>
              <w:t>广东运南新材料有限公司</w:t>
            </w:r>
            <w:r>
              <w:rPr>
                <w:rFonts w:hint="default" w:ascii="Times New Roman" w:hAnsi="Times New Roman" w:eastAsia="宋体" w:cs="Times New Roman"/>
                <w:i w:val="0"/>
                <w:iCs w:val="0"/>
                <w:caps w:val="0"/>
                <w:color w:val="auto"/>
                <w:spacing w:val="0"/>
                <w:sz w:val="24"/>
                <w:szCs w:val="24"/>
                <w:highlight w:val="none"/>
                <w:shd w:val="clear" w:color="auto" w:fill="FFFFFF"/>
              </w:rPr>
              <w:t>（以下简称</w:t>
            </w:r>
            <w:r>
              <w:rPr>
                <w:rFonts w:hint="eastAsia" w:ascii="Times New Roman" w:hAnsi="Times New Roman" w:eastAsia="宋体" w:cs="Times New Roman"/>
                <w:i w:val="0"/>
                <w:iCs w:val="0"/>
                <w:caps w:val="0"/>
                <w:color w:val="auto"/>
                <w:spacing w:val="0"/>
                <w:sz w:val="24"/>
                <w:szCs w:val="24"/>
                <w:highlight w:val="none"/>
                <w:shd w:val="clear" w:color="auto" w:fill="FFFFFF"/>
                <w:lang w:eastAsia="zh-CN"/>
              </w:rPr>
              <w:t>“</w:t>
            </w:r>
            <w:r>
              <w:rPr>
                <w:rFonts w:hint="default" w:ascii="Times New Roman" w:hAnsi="Times New Roman" w:eastAsia="宋体" w:cs="Times New Roman"/>
                <w:i w:val="0"/>
                <w:iCs w:val="0"/>
                <w:caps w:val="0"/>
                <w:color w:val="auto"/>
                <w:spacing w:val="0"/>
                <w:sz w:val="24"/>
                <w:szCs w:val="24"/>
                <w:highlight w:val="none"/>
                <w:shd w:val="clear" w:color="auto" w:fill="FFFFFF"/>
              </w:rPr>
              <w:t>建设单位</w:t>
            </w:r>
            <w:r>
              <w:rPr>
                <w:rFonts w:hint="eastAsia" w:ascii="Times New Roman" w:hAnsi="Times New Roman" w:eastAsia="宋体" w:cs="Times New Roman"/>
                <w:i w:val="0"/>
                <w:iCs w:val="0"/>
                <w:caps w:val="0"/>
                <w:color w:val="auto"/>
                <w:spacing w:val="0"/>
                <w:sz w:val="24"/>
                <w:szCs w:val="24"/>
                <w:highlight w:val="none"/>
                <w:shd w:val="clear" w:color="auto" w:fill="FFFFFF"/>
                <w:lang w:eastAsia="zh-CN"/>
              </w:rPr>
              <w:t>”</w:t>
            </w:r>
            <w:r>
              <w:rPr>
                <w:rFonts w:hint="default" w:ascii="Times New Roman" w:hAnsi="Times New Roman" w:eastAsia="宋体" w:cs="Times New Roman"/>
                <w:i w:val="0"/>
                <w:iCs w:val="0"/>
                <w:caps w:val="0"/>
                <w:color w:val="auto"/>
                <w:spacing w:val="0"/>
                <w:sz w:val="24"/>
                <w:szCs w:val="24"/>
                <w:highlight w:val="none"/>
                <w:shd w:val="clear" w:color="auto" w:fill="FFFFFF"/>
              </w:rPr>
              <w:t>）拟在</w:t>
            </w:r>
            <w:r>
              <w:rPr>
                <w:rFonts w:hint="eastAsia" w:cs="Times New Roman"/>
                <w:i w:val="0"/>
                <w:iCs w:val="0"/>
                <w:caps w:val="0"/>
                <w:color w:val="auto"/>
                <w:spacing w:val="0"/>
                <w:sz w:val="24"/>
                <w:szCs w:val="24"/>
                <w:highlight w:val="none"/>
                <w:shd w:val="clear" w:color="auto" w:fill="FFFFFF"/>
                <w:lang w:eastAsia="zh-CN"/>
              </w:rPr>
              <w:t>韶关市乐昌市乐昌产业转移工业园GL-02-04-02-03地块</w:t>
            </w:r>
            <w:r>
              <w:rPr>
                <w:rFonts w:hint="default" w:ascii="Times New Roman" w:hAnsi="Times New Roman" w:eastAsia="宋体" w:cs="Times New Roman"/>
                <w:i w:val="0"/>
                <w:iCs w:val="0"/>
                <w:caps w:val="0"/>
                <w:color w:val="auto"/>
                <w:spacing w:val="0"/>
                <w:sz w:val="24"/>
                <w:szCs w:val="24"/>
                <w:highlight w:val="none"/>
                <w:shd w:val="clear" w:color="auto" w:fill="FFFFFF"/>
              </w:rPr>
              <w:t>投资建设"</w:t>
            </w:r>
            <w:r>
              <w:rPr>
                <w:rFonts w:hint="eastAsia" w:cs="Times New Roman"/>
                <w:i w:val="0"/>
                <w:iCs w:val="0"/>
                <w:caps w:val="0"/>
                <w:color w:val="auto"/>
                <w:spacing w:val="0"/>
                <w:sz w:val="24"/>
                <w:szCs w:val="24"/>
                <w:highlight w:val="none"/>
                <w:shd w:val="clear" w:color="auto" w:fill="FFFFFF"/>
                <w:lang w:eastAsia="zh-CN"/>
              </w:rPr>
              <w:t>乐昌市运南新材料项目</w:t>
            </w:r>
            <w:r>
              <w:rPr>
                <w:rFonts w:hint="default" w:ascii="Times New Roman" w:hAnsi="Times New Roman" w:eastAsia="宋体" w:cs="Times New Roman"/>
                <w:i w:val="0"/>
                <w:iCs w:val="0"/>
                <w:caps w:val="0"/>
                <w:color w:val="auto"/>
                <w:spacing w:val="0"/>
                <w:sz w:val="24"/>
                <w:szCs w:val="24"/>
                <w:highlight w:val="none"/>
                <w:shd w:val="clear" w:color="auto" w:fill="FFFFFF"/>
              </w:rPr>
              <w:t>"。根据备案信息（附件4），</w:t>
            </w:r>
            <w:r>
              <w:rPr>
                <w:rFonts w:hint="eastAsia" w:cs="Times New Roman"/>
                <w:i w:val="0"/>
                <w:iCs w:val="0"/>
                <w:caps w:val="0"/>
                <w:color w:val="auto"/>
                <w:spacing w:val="0"/>
                <w:sz w:val="24"/>
                <w:szCs w:val="24"/>
                <w:highlight w:val="none"/>
                <w:shd w:val="clear" w:color="auto" w:fill="FFFFFF"/>
                <w:lang w:eastAsia="zh-CN"/>
              </w:rPr>
              <w:t>“</w:t>
            </w:r>
            <w:r>
              <w:rPr>
                <w:rFonts w:hint="default" w:ascii="Times New Roman" w:hAnsi="Times New Roman" w:eastAsia="宋体" w:cs="Times New Roman"/>
                <w:i w:val="0"/>
                <w:iCs w:val="0"/>
                <w:caps w:val="0"/>
                <w:color w:val="auto"/>
                <w:spacing w:val="0"/>
                <w:sz w:val="24"/>
                <w:szCs w:val="24"/>
                <w:highlight w:val="none"/>
                <w:shd w:val="clear" w:color="auto" w:fill="FFFFFF"/>
              </w:rPr>
              <w:t>该项目主要选用购置锤破机、破碎机、输送洗料设备、材质机、光谱机、静电分选设备、精选分色机、拌料系统、抽粒挤出机、注塑</w:t>
            </w:r>
            <w:r>
              <w:rPr>
                <w:rFonts w:hint="eastAsia" w:cs="Times New Roman"/>
                <w:i w:val="0"/>
                <w:iCs w:val="0"/>
                <w:caps w:val="0"/>
                <w:color w:val="auto"/>
                <w:spacing w:val="0"/>
                <w:sz w:val="24"/>
                <w:szCs w:val="24"/>
                <w:highlight w:val="none"/>
                <w:shd w:val="clear" w:color="auto" w:fill="FFFFFF"/>
                <w:lang w:val="en-US" w:eastAsia="zh-CN"/>
              </w:rPr>
              <w:t>机等设备</w:t>
            </w:r>
            <w:r>
              <w:rPr>
                <w:rFonts w:hint="default" w:ascii="Times New Roman" w:hAnsi="Times New Roman" w:eastAsia="宋体" w:cs="Times New Roman"/>
                <w:i w:val="0"/>
                <w:iCs w:val="0"/>
                <w:caps w:val="0"/>
                <w:color w:val="auto"/>
                <w:spacing w:val="0"/>
                <w:sz w:val="24"/>
                <w:szCs w:val="24"/>
                <w:highlight w:val="none"/>
                <w:shd w:val="clear" w:color="auto" w:fill="FFFFFF"/>
              </w:rPr>
              <w:t>。</w:t>
            </w:r>
            <w:r>
              <w:rPr>
                <w:rFonts w:hint="eastAsia" w:cs="Times New Roman"/>
                <w:i w:val="0"/>
                <w:iCs w:val="0"/>
                <w:caps w:val="0"/>
                <w:color w:val="auto"/>
                <w:spacing w:val="0"/>
                <w:sz w:val="24"/>
                <w:szCs w:val="24"/>
                <w:highlight w:val="none"/>
                <w:shd w:val="clear" w:color="auto" w:fill="FFFFFF"/>
                <w:lang w:eastAsia="zh-CN"/>
              </w:rPr>
              <w:t>”</w:t>
            </w:r>
            <w:r>
              <w:rPr>
                <w:rFonts w:hint="default" w:ascii="Times New Roman" w:hAnsi="Times New Roman" w:eastAsia="宋体" w:cs="Times New Roman"/>
                <w:i w:val="0"/>
                <w:iCs w:val="0"/>
                <w:caps w:val="0"/>
                <w:color w:val="auto"/>
                <w:spacing w:val="0"/>
                <w:sz w:val="24"/>
                <w:szCs w:val="24"/>
                <w:highlight w:val="none"/>
                <w:shd w:val="clear" w:color="auto" w:fill="FFFFFF"/>
              </w:rPr>
              <w:t>项目采取分期建设模式，本次环评针对一期工程，主要包含</w:t>
            </w:r>
            <w:r>
              <w:rPr>
                <w:rFonts w:hint="eastAsia" w:cs="Times New Roman"/>
                <w:i w:val="0"/>
                <w:iCs w:val="0"/>
                <w:caps w:val="0"/>
                <w:color w:val="auto"/>
                <w:spacing w:val="0"/>
                <w:sz w:val="24"/>
                <w:szCs w:val="24"/>
                <w:highlight w:val="none"/>
                <w:shd w:val="clear" w:color="auto" w:fill="FFFFFF"/>
                <w:lang w:val="en-US" w:eastAsia="zh-CN"/>
              </w:rPr>
              <w:t>废塑料的破碎、分选</w:t>
            </w:r>
            <w:r>
              <w:rPr>
                <w:rFonts w:hint="default" w:ascii="Times New Roman" w:hAnsi="Times New Roman" w:eastAsia="宋体" w:cs="Times New Roman"/>
                <w:i w:val="0"/>
                <w:iCs w:val="0"/>
                <w:caps w:val="0"/>
                <w:color w:val="auto"/>
                <w:spacing w:val="0"/>
                <w:sz w:val="24"/>
                <w:szCs w:val="24"/>
                <w:highlight w:val="none"/>
                <w:shd w:val="clear" w:color="auto" w:fill="FFFFFF"/>
              </w:rPr>
              <w:t>等生产工序及配套厂房建设，即"</w:t>
            </w:r>
            <w:r>
              <w:rPr>
                <w:rFonts w:hint="eastAsia" w:cs="Times New Roman"/>
                <w:i w:val="0"/>
                <w:iCs w:val="0"/>
                <w:caps w:val="0"/>
                <w:color w:val="auto"/>
                <w:spacing w:val="0"/>
                <w:sz w:val="24"/>
                <w:szCs w:val="24"/>
                <w:highlight w:val="none"/>
                <w:shd w:val="clear" w:color="auto" w:fill="FFFFFF"/>
                <w:lang w:eastAsia="zh-CN"/>
              </w:rPr>
              <w:t>乐昌市运南新材料项目</w:t>
            </w:r>
            <w:r>
              <w:rPr>
                <w:rFonts w:hint="default" w:ascii="Times New Roman" w:hAnsi="Times New Roman" w:eastAsia="宋体" w:cs="Times New Roman"/>
                <w:i w:val="0"/>
                <w:iCs w:val="0"/>
                <w:caps w:val="0"/>
                <w:color w:val="auto"/>
                <w:spacing w:val="0"/>
                <w:sz w:val="24"/>
                <w:szCs w:val="24"/>
                <w:highlight w:val="none"/>
                <w:shd w:val="clear" w:color="auto" w:fill="FFFFFF"/>
              </w:rPr>
              <w:t>"（以下简称</w:t>
            </w:r>
            <w:r>
              <w:rPr>
                <w:rFonts w:hint="eastAsia" w:ascii="Times New Roman" w:hAnsi="Times New Roman" w:eastAsia="宋体" w:cs="Times New Roman"/>
                <w:i w:val="0"/>
                <w:iCs w:val="0"/>
                <w:caps w:val="0"/>
                <w:color w:val="auto"/>
                <w:spacing w:val="0"/>
                <w:sz w:val="24"/>
                <w:szCs w:val="24"/>
                <w:highlight w:val="none"/>
                <w:shd w:val="clear" w:color="auto" w:fill="FFFFFF"/>
                <w:lang w:eastAsia="zh-CN"/>
              </w:rPr>
              <w:t>“</w:t>
            </w:r>
            <w:r>
              <w:rPr>
                <w:rFonts w:hint="default" w:ascii="Times New Roman" w:hAnsi="Times New Roman" w:eastAsia="宋体" w:cs="Times New Roman"/>
                <w:i w:val="0"/>
                <w:iCs w:val="0"/>
                <w:caps w:val="0"/>
                <w:color w:val="auto"/>
                <w:spacing w:val="0"/>
                <w:sz w:val="24"/>
                <w:szCs w:val="24"/>
                <w:highlight w:val="none"/>
                <w:shd w:val="clear" w:color="auto" w:fill="FFFFFF"/>
              </w:rPr>
              <w:t>本项目</w:t>
            </w:r>
            <w:r>
              <w:rPr>
                <w:rFonts w:hint="eastAsia" w:ascii="Times New Roman" w:hAnsi="Times New Roman" w:eastAsia="宋体" w:cs="Times New Roman"/>
                <w:i w:val="0"/>
                <w:iCs w:val="0"/>
                <w:caps w:val="0"/>
                <w:color w:val="auto"/>
                <w:spacing w:val="0"/>
                <w:sz w:val="24"/>
                <w:szCs w:val="24"/>
                <w:highlight w:val="none"/>
                <w:shd w:val="clear" w:color="auto" w:fill="FFFFFF"/>
                <w:lang w:eastAsia="zh-CN"/>
              </w:rPr>
              <w:t>”</w:t>
            </w:r>
            <w:r>
              <w:rPr>
                <w:rFonts w:hint="default" w:ascii="Times New Roman" w:hAnsi="Times New Roman" w:eastAsia="宋体" w:cs="Times New Roman"/>
                <w:i w:val="0"/>
                <w:iCs w:val="0"/>
                <w:caps w:val="0"/>
                <w:color w:val="auto"/>
                <w:spacing w:val="0"/>
                <w:sz w:val="24"/>
                <w:szCs w:val="24"/>
                <w:highlight w:val="none"/>
                <w:shd w:val="clear" w:color="auto" w:fill="FFFFFF"/>
              </w:rPr>
              <w:t>）。</w:t>
            </w:r>
            <w:r>
              <w:rPr>
                <w:rFonts w:hint="eastAsia" w:cs="Times New Roman"/>
                <w:i w:val="0"/>
                <w:iCs w:val="0"/>
                <w:caps w:val="0"/>
                <w:color w:val="auto"/>
                <w:spacing w:val="0"/>
                <w:sz w:val="24"/>
                <w:szCs w:val="24"/>
                <w:highlight w:val="none"/>
                <w:shd w:val="clear" w:color="auto" w:fill="FFFFFF"/>
                <w:lang w:val="en-US" w:eastAsia="zh-CN"/>
              </w:rPr>
              <w:t>造粒</w:t>
            </w:r>
            <w:r>
              <w:rPr>
                <w:rFonts w:hint="default" w:ascii="Times New Roman" w:hAnsi="Times New Roman" w:eastAsia="宋体" w:cs="Times New Roman"/>
                <w:i w:val="0"/>
                <w:iCs w:val="0"/>
                <w:caps w:val="0"/>
                <w:color w:val="auto"/>
                <w:spacing w:val="0"/>
                <w:sz w:val="24"/>
                <w:szCs w:val="24"/>
                <w:highlight w:val="none"/>
                <w:shd w:val="clear" w:color="auto" w:fill="FFFFFF"/>
              </w:rPr>
              <w:t>生产线及其他配套设备纳入二期建设内容，其环评手续将在本项目建成后另行办理</w:t>
            </w:r>
            <w:r>
              <w:rPr>
                <w:rFonts w:hint="default" w:ascii="Times New Roman" w:hAnsi="Times New Roman" w:eastAsia="宋体" w:cs="Times New Roman"/>
                <w:i w:val="0"/>
                <w:iCs w:val="0"/>
                <w:caps w:val="0"/>
                <w:color w:val="auto"/>
                <w:spacing w:val="0"/>
                <w:sz w:val="24"/>
                <w:szCs w:val="24"/>
                <w:highlight w:val="none"/>
                <w:shd w:val="clear" w:color="auto" w:fill="FFFFFF"/>
                <w:lang w:eastAsia="zh-CN"/>
              </w:rPr>
              <w:t>。</w:t>
            </w:r>
          </w:p>
          <w:p w14:paraId="4F5A9815">
            <w:pPr>
              <w:keepNext w:val="0"/>
              <w:keepLines w:val="0"/>
              <w:widowControl/>
              <w:suppressLineNumbers w:val="0"/>
              <w:spacing w:before="0" w:beforeAutospacing="0" w:after="0" w:afterAutospacing="0"/>
              <w:ind w:left="0" w:right="0" w:firstLine="480" w:firstLineChars="20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本项目总占地面积约</w:t>
            </w:r>
            <w:r>
              <w:rPr>
                <w:rFonts w:hint="eastAsia" w:cs="Times New Roman"/>
                <w:color w:val="auto"/>
                <w:kern w:val="24"/>
                <w:highlight w:val="none"/>
                <w:lang w:val="en-US" w:eastAsia="zh-CN"/>
              </w:rPr>
              <w:t>37346.12</w:t>
            </w:r>
            <w:r>
              <w:rPr>
                <w:rFonts w:hint="default" w:ascii="Times New Roman" w:hAnsi="Times New Roman" w:cs="Times New Roman"/>
                <w:color w:val="auto"/>
                <w:kern w:val="24"/>
                <w:highlight w:val="none"/>
              </w:rPr>
              <w:t>m²</w:t>
            </w:r>
            <w:r>
              <w:rPr>
                <w:rFonts w:hint="default" w:ascii="Times New Roman" w:hAnsi="Times New Roman" w:cs="Times New Roman"/>
                <w:color w:val="auto"/>
                <w:highlight w:val="none"/>
              </w:rPr>
              <w:t>，总建筑面积</w:t>
            </w:r>
            <w:r>
              <w:rPr>
                <w:rFonts w:hint="eastAsia" w:cs="Times New Roman"/>
                <w:color w:val="auto"/>
                <w:highlight w:val="none"/>
                <w:lang w:val="en-US" w:eastAsia="zh-CN"/>
              </w:rPr>
              <w:t>约24640.56</w:t>
            </w:r>
            <w:r>
              <w:rPr>
                <w:rFonts w:hint="default" w:ascii="Times New Roman" w:hAnsi="Times New Roman" w:cs="Times New Roman"/>
                <w:color w:val="auto"/>
                <w:kern w:val="24"/>
                <w:highlight w:val="none"/>
              </w:rPr>
              <w:t>m²</w:t>
            </w:r>
            <w:r>
              <w:rPr>
                <w:rFonts w:hint="default" w:ascii="Times New Roman" w:hAnsi="Times New Roman" w:cs="Times New Roman"/>
                <w:color w:val="auto"/>
                <w:highlight w:val="none"/>
              </w:rPr>
              <w:t>。项目总投资</w:t>
            </w:r>
            <w:r>
              <w:rPr>
                <w:rFonts w:hint="eastAsia" w:cs="Times New Roman"/>
                <w:color w:val="auto"/>
                <w:highlight w:val="none"/>
                <w:lang w:val="en-US" w:eastAsia="zh-CN"/>
              </w:rPr>
              <w:t>15000</w:t>
            </w:r>
            <w:r>
              <w:rPr>
                <w:rFonts w:hint="default" w:ascii="Times New Roman" w:hAnsi="Times New Roman" w:cs="Times New Roman"/>
                <w:color w:val="auto"/>
                <w:highlight w:val="none"/>
              </w:rPr>
              <w:t>万元，其中环保投资100万元。</w:t>
            </w:r>
            <w:r>
              <w:rPr>
                <w:rFonts w:hint="default" w:ascii="Times New Roman" w:hAnsi="Times New Roman" w:cs="Times New Roman"/>
                <w:color w:val="auto"/>
                <w:highlight w:val="none"/>
                <w:lang w:val="en-US" w:eastAsia="zh-CN"/>
              </w:rPr>
              <w:t>厂房建设</w:t>
            </w:r>
            <w:r>
              <w:rPr>
                <w:rFonts w:hint="eastAsia" w:cs="Times New Roman"/>
                <w:color w:val="auto"/>
                <w:highlight w:val="none"/>
                <w:lang w:val="en-US" w:eastAsia="zh-CN"/>
              </w:rPr>
              <w:t>1个破碎洗料</w:t>
            </w:r>
            <w:r>
              <w:rPr>
                <w:rFonts w:hint="default" w:ascii="Times New Roman" w:hAnsi="Times New Roman" w:cs="Times New Roman"/>
                <w:color w:val="auto"/>
                <w:highlight w:val="none"/>
                <w:lang w:val="en-US" w:eastAsia="zh-CN"/>
              </w:rPr>
              <w:t>车间</w:t>
            </w:r>
            <w:r>
              <w:rPr>
                <w:rFonts w:hint="eastAsia" w:cs="Times New Roman"/>
                <w:color w:val="auto"/>
                <w:highlight w:val="none"/>
                <w:lang w:val="en-US" w:eastAsia="zh-CN"/>
              </w:rPr>
              <w:t>（位于4号厂房），</w:t>
            </w:r>
            <w:r>
              <w:rPr>
                <w:rFonts w:hint="default" w:ascii="Times New Roman" w:hAnsi="Times New Roman" w:cs="Times New Roman"/>
                <w:color w:val="auto"/>
                <w:highlight w:val="none"/>
                <w:lang w:val="en-US" w:eastAsia="zh-CN"/>
              </w:rPr>
              <w:t>设置</w:t>
            </w:r>
            <w:r>
              <w:rPr>
                <w:rFonts w:hint="eastAsia" w:cs="Times New Roman"/>
                <w:color w:val="auto"/>
                <w:highlight w:val="none"/>
                <w:lang w:val="en-US" w:eastAsia="zh-CN"/>
              </w:rPr>
              <w:t>1条</w:t>
            </w:r>
            <w:r>
              <w:rPr>
                <w:rFonts w:hint="default" w:ascii="Times New Roman" w:hAnsi="Times New Roman" w:cs="Times New Roman"/>
                <w:color w:val="auto"/>
                <w:highlight w:val="none"/>
              </w:rPr>
              <w:t>生产线，主要工艺为</w:t>
            </w:r>
            <w:r>
              <w:rPr>
                <w:rFonts w:hint="eastAsia" w:cs="Times New Roman"/>
                <w:color w:val="auto"/>
                <w:highlight w:val="none"/>
                <w:lang w:val="en-US" w:eastAsia="zh-CN"/>
              </w:rPr>
              <w:t>对废塑料进行破碎、清洗；建设1个分选车间（位于2号厂房），设置1条生产线，主要工艺为对废塑料进行静电分选分选。</w:t>
            </w:r>
            <w:r>
              <w:rPr>
                <w:rFonts w:hint="default" w:ascii="Times New Roman" w:hAnsi="Times New Roman" w:cs="Times New Roman"/>
                <w:color w:val="auto"/>
                <w:highlight w:val="none"/>
                <w:lang w:val="en-US" w:eastAsia="zh-CN"/>
              </w:rPr>
              <w:t>本项目设计年</w:t>
            </w:r>
            <w:r>
              <w:rPr>
                <w:rFonts w:hint="eastAsia" w:cs="Times New Roman"/>
                <w:color w:val="auto"/>
                <w:highlight w:val="none"/>
                <w:lang w:val="en-US" w:eastAsia="zh-CN"/>
              </w:rPr>
              <w:t>破碎分选7.1万吨破碎料（主要为</w:t>
            </w:r>
            <w:r>
              <w:rPr>
                <w:rFonts w:hint="eastAsia" w:hAnsi="宋体"/>
                <w:color w:val="auto"/>
                <w:sz w:val="24"/>
                <w:szCs w:val="24"/>
                <w:highlight w:val="none"/>
                <w:lang w:val="en-US" w:eastAsia="zh-CN"/>
              </w:rPr>
              <w:t>PP/PE/ABS</w:t>
            </w:r>
            <w:r>
              <w:rPr>
                <w:rFonts w:hint="eastAsia" w:cs="Times New Roman"/>
                <w:color w:val="auto"/>
                <w:highlight w:val="none"/>
                <w:lang w:val="en-US" w:eastAsia="zh-CN"/>
              </w:rPr>
              <w:t>）</w:t>
            </w:r>
            <w:r>
              <w:rPr>
                <w:rFonts w:hint="default" w:ascii="Times New Roman" w:hAnsi="Times New Roman" w:cs="Times New Roman"/>
                <w:color w:val="auto"/>
                <w:highlight w:val="none"/>
                <w:lang w:eastAsia="zh-CN"/>
              </w:rPr>
              <w:t>。</w:t>
            </w:r>
          </w:p>
          <w:p w14:paraId="4E4389D7">
            <w:pPr>
              <w:pStyle w:val="24"/>
              <w:keepNext w:val="0"/>
              <w:keepLines w:val="0"/>
              <w:suppressLineNumbers w:val="0"/>
              <w:spacing w:before="0" w:beforeAutospacing="0" w:after="0" w:afterAutospacing="0"/>
              <w:ind w:left="0" w:right="0" w:firstLine="480" w:firstLineChars="200"/>
              <w:jc w:val="both"/>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根据《中华人民共和国环境保护法》、《中华人民共和国环境影响评价法》、《建设项目环境保护管理条例》、</w:t>
            </w:r>
            <w:r>
              <w:rPr>
                <w:rFonts w:hint="default" w:ascii="Times New Roman" w:hAnsi="Times New Roman" w:cs="Times New Roman"/>
                <w:color w:val="auto"/>
                <w:highlight w:val="none"/>
                <w:lang w:val="en-US" w:eastAsia="zh-CN"/>
              </w:rPr>
              <w:t>《广东省环境保护条例》（2022年11月30日修正）</w:t>
            </w:r>
            <w:r>
              <w:rPr>
                <w:rFonts w:hint="default" w:ascii="Times New Roman" w:hAnsi="Times New Roman" w:cs="Times New Roman"/>
                <w:color w:val="auto"/>
                <w:szCs w:val="24"/>
                <w:highlight w:val="none"/>
              </w:rPr>
              <w:t>等有关规定，建设过程中或者建成投产后可能对环境产生影响的新建、扩建、改建、迁建、技术改造项目及区域开发建设项目，必须执行环境影响评价制度。对照</w:t>
            </w:r>
            <w:r>
              <w:rPr>
                <w:rFonts w:hint="default" w:ascii="Times New Roman" w:hAnsi="Times New Roman" w:cs="Times New Roman"/>
                <w:color w:val="auto"/>
                <w:highlight w:val="none"/>
              </w:rPr>
              <w:t>《国民经济行业分类》（GB/T 4754-2017，按第1号修改单修订）</w:t>
            </w:r>
            <w:r>
              <w:rPr>
                <w:rFonts w:hint="default" w:ascii="Times New Roman" w:hAnsi="Times New Roman" w:cs="Times New Roman"/>
                <w:color w:val="auto"/>
                <w:szCs w:val="24"/>
                <w:highlight w:val="none"/>
              </w:rPr>
              <w:t>，本项目属于</w:t>
            </w:r>
            <w:r>
              <w:rPr>
                <w:rFonts w:hint="eastAsia" w:cs="Times New Roman"/>
                <w:color w:val="auto"/>
                <w:szCs w:val="24"/>
                <w:highlight w:val="none"/>
                <w:lang w:eastAsia="zh-CN"/>
              </w:rPr>
              <w:t>C4220 非金属废料和碎屑加工处理，</w:t>
            </w:r>
            <w:r>
              <w:rPr>
                <w:rFonts w:hint="eastAsia" w:cs="Times New Roman"/>
                <w:color w:val="auto"/>
                <w:szCs w:val="24"/>
                <w:highlight w:val="none"/>
                <w:lang w:val="en-US" w:eastAsia="zh-CN"/>
              </w:rPr>
              <w:t>主要对废塑料进行破碎分选，</w:t>
            </w:r>
            <w:r>
              <w:rPr>
                <w:rFonts w:hint="default" w:ascii="Times New Roman" w:hAnsi="Times New Roman" w:cs="Times New Roman"/>
                <w:color w:val="auto"/>
                <w:szCs w:val="24"/>
                <w:highlight w:val="none"/>
              </w:rPr>
              <w:t>对照国家环保部《建设项目环境影响评价分类管理名录》（2021年版），该项目属于“</w:t>
            </w:r>
            <w:r>
              <w:rPr>
                <w:rFonts w:hint="eastAsia" w:cs="Times New Roman"/>
                <w:color w:val="auto"/>
                <w:kern w:val="2"/>
                <w:sz w:val="24"/>
                <w:szCs w:val="24"/>
                <w:highlight w:val="none"/>
                <w:lang w:eastAsia="zh-CN"/>
              </w:rPr>
              <w:t>三十九、废弃资源综合利用业42—85非金属废料和碎屑加工处理422非金属废料和碎眉加工处理422(421和422均不含原料为危险废物的，均不含仅分拣、破碎的)</w:t>
            </w:r>
            <w:r>
              <w:rPr>
                <w:rFonts w:hint="eastAsia" w:cs="Times New Roman"/>
                <w:color w:val="auto"/>
                <w:kern w:val="2"/>
                <w:sz w:val="24"/>
                <w:szCs w:val="24"/>
                <w:highlight w:val="none"/>
                <w:lang w:val="en-US" w:eastAsia="zh-CN"/>
              </w:rPr>
              <w:t>中的</w:t>
            </w:r>
            <w:r>
              <w:rPr>
                <w:rFonts w:hint="default" w:ascii="Times New Roman" w:hAnsi="Times New Roman" w:cs="Times New Roman"/>
                <w:color w:val="auto"/>
                <w:szCs w:val="24"/>
                <w:highlight w:val="none"/>
              </w:rPr>
              <w:t>”，按要求需要编制环境影响报告表。</w:t>
            </w:r>
          </w:p>
          <w:p w14:paraId="433E926F">
            <w:pPr>
              <w:pStyle w:val="24"/>
              <w:keepNext w:val="0"/>
              <w:keepLines w:val="0"/>
              <w:suppressLineNumbers w:val="0"/>
              <w:spacing w:before="0" w:beforeAutospacing="0" w:after="0" w:afterAutospacing="0"/>
              <w:ind w:left="0" w:right="0"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szCs w:val="24"/>
                <w:highlight w:val="none"/>
              </w:rPr>
              <w:t>因此，受</w:t>
            </w:r>
            <w:r>
              <w:rPr>
                <w:rFonts w:hint="eastAsia" w:cs="Times New Roman"/>
                <w:color w:val="auto"/>
                <w:szCs w:val="24"/>
                <w:highlight w:val="none"/>
                <w:lang w:eastAsia="zh-CN"/>
              </w:rPr>
              <w:t>广东运南新材料有限公司</w:t>
            </w:r>
            <w:r>
              <w:rPr>
                <w:rFonts w:hint="default" w:ascii="Times New Roman" w:hAnsi="Times New Roman" w:cs="Times New Roman"/>
                <w:color w:val="auto"/>
                <w:szCs w:val="24"/>
                <w:highlight w:val="none"/>
              </w:rPr>
              <w:t>委托</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我</w:t>
            </w:r>
            <w:r>
              <w:rPr>
                <w:rFonts w:hint="default" w:ascii="Times New Roman" w:hAnsi="Times New Roman" w:cs="Times New Roman"/>
                <w:color w:val="auto"/>
                <w:highlight w:val="none"/>
                <w:lang w:val="en-US" w:eastAsia="zh-CN"/>
              </w:rPr>
              <w:t>公司承担了该项目的环境影响评价工作。接受委托后，在现场踏勘和资料收集等的基础上，根据环境影响评价技术导则及其它有关文件，编制了《</w:t>
            </w:r>
            <w:r>
              <w:rPr>
                <w:rFonts w:hint="eastAsia" w:cs="Times New Roman"/>
                <w:color w:val="auto"/>
                <w:highlight w:val="none"/>
                <w:lang w:eastAsia="zh-CN"/>
              </w:rPr>
              <w:t>乐昌市运南新材料项目</w:t>
            </w:r>
            <w:r>
              <w:rPr>
                <w:rFonts w:hint="default" w:ascii="Times New Roman" w:hAnsi="Times New Roman" w:cs="Times New Roman"/>
                <w:color w:val="auto"/>
                <w:highlight w:val="none"/>
                <w:lang w:val="en-US" w:eastAsia="zh-CN"/>
              </w:rPr>
              <w:t>环境影响报告表》</w:t>
            </w:r>
            <w:r>
              <w:rPr>
                <w:rFonts w:hint="default" w:ascii="Times New Roman" w:hAnsi="Times New Roman" w:cs="Times New Roman"/>
                <w:color w:val="auto"/>
                <w:szCs w:val="24"/>
                <w:highlight w:val="none"/>
              </w:rPr>
              <w:t>。</w:t>
            </w:r>
          </w:p>
          <w:p w14:paraId="054C5E85">
            <w:pPr>
              <w:pStyle w:val="4"/>
              <w:numPr>
                <w:ilvl w:val="0"/>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二、项目内容及规模</w:t>
            </w:r>
          </w:p>
          <w:p w14:paraId="7392DB27">
            <w:pPr>
              <w:pStyle w:val="5"/>
              <w:numPr>
                <w:ilvl w:val="3"/>
                <w:numId w:val="0"/>
              </w:numPr>
              <w:suppressLineNumbers w:val="0"/>
              <w:spacing w:before="0" w:beforeAutospacing="0" w:after="0" w:afterAutospacing="0"/>
              <w:ind w:left="-960" w:right="0" w:firstLine="1440"/>
              <w:rPr>
                <w:rFonts w:hint="default" w:ascii="Times New Roman" w:hAnsi="Times New Roman" w:cs="Times New Roman"/>
                <w:color w:val="auto"/>
                <w:highlight w:val="none"/>
              </w:rPr>
            </w:pPr>
            <w:r>
              <w:rPr>
                <w:rFonts w:hint="default" w:ascii="Times New Roman" w:hAnsi="Times New Roman" w:cs="Times New Roman"/>
                <w:color w:val="auto"/>
                <w:szCs w:val="24"/>
                <w:highlight w:val="none"/>
              </w:rPr>
              <w:t>1、</w:t>
            </w:r>
            <w:r>
              <w:rPr>
                <w:rFonts w:hint="default" w:ascii="Times New Roman" w:hAnsi="Times New Roman" w:cs="Times New Roman"/>
                <w:color w:val="auto"/>
                <w:highlight w:val="none"/>
              </w:rPr>
              <w:t>工程规模</w:t>
            </w:r>
          </w:p>
          <w:p w14:paraId="7DE5CFB3">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rPr>
              <w:t>建设单位</w:t>
            </w:r>
            <w:r>
              <w:rPr>
                <w:rFonts w:hint="default" w:ascii="Times New Roman" w:hAnsi="Times New Roman" w:cs="Times New Roman"/>
                <w:color w:val="auto"/>
                <w:highlight w:val="none"/>
                <w:lang w:val="en-US" w:eastAsia="zh-CN"/>
              </w:rPr>
              <w:t>拟</w:t>
            </w:r>
            <w:r>
              <w:rPr>
                <w:rFonts w:hint="default" w:ascii="Times New Roman" w:hAnsi="Times New Roman" w:cs="Times New Roman"/>
                <w:color w:val="auto"/>
                <w:highlight w:val="none"/>
              </w:rPr>
              <w:t>于</w:t>
            </w:r>
            <w:r>
              <w:rPr>
                <w:rFonts w:hint="eastAsia" w:cs="Times New Roman"/>
                <w:color w:val="auto"/>
                <w:highlight w:val="none"/>
                <w:lang w:eastAsia="zh-CN"/>
              </w:rPr>
              <w:t>韶关市乐昌市乐昌产业转移工业园GL-02-04-02-03地块</w:t>
            </w:r>
            <w:r>
              <w:rPr>
                <w:rFonts w:hint="default" w:ascii="Times New Roman" w:hAnsi="Times New Roman" w:cs="Times New Roman"/>
                <w:color w:val="auto"/>
                <w:highlight w:val="none"/>
              </w:rPr>
              <w:t>，本项目总占地面积</w:t>
            </w:r>
            <w:r>
              <w:rPr>
                <w:rFonts w:hint="eastAsia" w:cs="Times New Roman"/>
                <w:color w:val="auto"/>
                <w:kern w:val="24"/>
                <w:highlight w:val="none"/>
                <w:lang w:val="en-US" w:eastAsia="zh-CN"/>
              </w:rPr>
              <w:t>37346.12</w:t>
            </w:r>
            <w:r>
              <w:rPr>
                <w:rFonts w:hint="default" w:ascii="Times New Roman" w:hAnsi="Times New Roman" w:cs="Times New Roman"/>
                <w:color w:val="auto"/>
                <w:kern w:val="24"/>
                <w:highlight w:val="none"/>
              </w:rPr>
              <w:t>m²</w:t>
            </w:r>
            <w:r>
              <w:rPr>
                <w:rFonts w:hint="default" w:ascii="Times New Roman" w:hAnsi="Times New Roman" w:cs="Times New Roman"/>
                <w:color w:val="auto"/>
                <w:highlight w:val="none"/>
              </w:rPr>
              <w:t>，总建筑面积</w:t>
            </w:r>
            <w:r>
              <w:rPr>
                <w:rFonts w:hint="eastAsia" w:cs="Times New Roman"/>
                <w:color w:val="auto"/>
                <w:sz w:val="24"/>
                <w:szCs w:val="24"/>
                <w:highlight w:val="none"/>
                <w:lang w:val="en-US" w:eastAsia="zh-CN"/>
              </w:rPr>
              <w:t>24640.56</w:t>
            </w:r>
            <w:r>
              <w:rPr>
                <w:rFonts w:hint="default" w:ascii="Times New Roman" w:hAnsi="Times New Roman" w:cs="Times New Roman"/>
                <w:color w:val="auto"/>
                <w:kern w:val="24"/>
                <w:highlight w:val="none"/>
              </w:rPr>
              <w:t>m²</w:t>
            </w:r>
            <w:r>
              <w:rPr>
                <w:rFonts w:hint="default" w:ascii="Times New Roman" w:hAnsi="Times New Roman" w:cs="Times New Roman"/>
                <w:color w:val="auto"/>
                <w:highlight w:val="none"/>
              </w:rPr>
              <w:t>，</w:t>
            </w:r>
            <w:r>
              <w:rPr>
                <w:rFonts w:hint="default" w:ascii="Times New Roman" w:hAnsi="Times New Roman" w:cs="Times New Roman"/>
                <w:color w:val="auto"/>
                <w:kern w:val="24"/>
                <w:highlight w:val="none"/>
                <w:lang w:eastAsia="zh-CN"/>
              </w:rPr>
              <w:t>本项目</w:t>
            </w:r>
            <w:r>
              <w:rPr>
                <w:rFonts w:hint="default" w:ascii="Times New Roman" w:hAnsi="Times New Roman" w:cs="Times New Roman"/>
                <w:color w:val="auto"/>
                <w:highlight w:val="none"/>
              </w:rPr>
              <w:t>主要建设内容包括</w:t>
            </w:r>
            <w:r>
              <w:rPr>
                <w:rFonts w:hint="eastAsia" w:cs="Times New Roman"/>
                <w:color w:val="auto"/>
                <w:highlight w:val="none"/>
                <w:lang w:val="en-US" w:eastAsia="zh-CN"/>
              </w:rPr>
              <w:t>1~4号厂房，包括</w:t>
            </w:r>
            <w:r>
              <w:rPr>
                <w:rFonts w:hint="default" w:ascii="Times New Roman" w:hAnsi="Times New Roman" w:cs="Times New Roman"/>
                <w:color w:val="auto"/>
                <w:highlight w:val="none"/>
                <w:lang w:val="en-US" w:eastAsia="zh-CN"/>
              </w:rPr>
              <w:t>物料仓库</w:t>
            </w:r>
            <w:r>
              <w:rPr>
                <w:rFonts w:hint="default" w:ascii="Times New Roman" w:hAnsi="Times New Roman" w:cs="Times New Roman"/>
                <w:color w:val="auto"/>
                <w:highlight w:val="none"/>
              </w:rPr>
              <w:t>、</w:t>
            </w:r>
            <w:r>
              <w:rPr>
                <w:rFonts w:hint="eastAsia" w:cs="Times New Roman"/>
                <w:color w:val="auto"/>
                <w:highlight w:val="none"/>
                <w:lang w:val="en-US" w:eastAsia="zh-CN"/>
              </w:rPr>
              <w:t>破算洗料</w:t>
            </w:r>
            <w:r>
              <w:rPr>
                <w:rFonts w:hint="default" w:ascii="Times New Roman" w:hAnsi="Times New Roman" w:cs="Times New Roman"/>
                <w:color w:val="auto"/>
                <w:highlight w:val="none"/>
              </w:rPr>
              <w:t>车间、</w:t>
            </w:r>
            <w:r>
              <w:rPr>
                <w:rFonts w:hint="eastAsia" w:cs="Times New Roman"/>
                <w:color w:val="auto"/>
                <w:highlight w:val="none"/>
                <w:lang w:val="en-US" w:eastAsia="zh-CN"/>
              </w:rPr>
              <w:t>分选车间</w:t>
            </w:r>
            <w:r>
              <w:rPr>
                <w:rFonts w:hint="default" w:ascii="Times New Roman" w:hAnsi="Times New Roman" w:cs="Times New Roman"/>
                <w:color w:val="auto"/>
                <w:highlight w:val="none"/>
              </w:rPr>
              <w:t>等。</w:t>
            </w:r>
            <w:r>
              <w:rPr>
                <w:rFonts w:hint="default" w:ascii="Times New Roman" w:hAnsi="Times New Roman" w:cs="Times New Roman"/>
                <w:bCs/>
                <w:color w:val="auto"/>
                <w:kern w:val="0"/>
                <w:szCs w:val="28"/>
                <w:highlight w:val="none"/>
              </w:rPr>
              <w:t>建筑物情况和</w:t>
            </w:r>
            <w:r>
              <w:rPr>
                <w:rFonts w:hint="default" w:ascii="Times New Roman" w:hAnsi="Times New Roman" w:cs="Times New Roman"/>
                <w:color w:val="auto"/>
                <w:highlight w:val="none"/>
              </w:rPr>
              <w:t>工程组成内容见表2-1，平面布置图见附图3，</w:t>
            </w:r>
            <w:r>
              <w:rPr>
                <w:rFonts w:hint="default" w:ascii="Times New Roman" w:hAnsi="Times New Roman" w:cs="Times New Roman"/>
                <w:color w:val="auto"/>
                <w:highlight w:val="none"/>
                <w:lang w:val="zh-CN"/>
              </w:rPr>
              <w:t>工程组成见表</w:t>
            </w:r>
            <w:r>
              <w:rPr>
                <w:rFonts w:hint="default" w:ascii="Times New Roman" w:hAnsi="Times New Roman" w:cs="Times New Roman"/>
                <w:color w:val="auto"/>
                <w:highlight w:val="none"/>
              </w:rPr>
              <w:t>2-2</w:t>
            </w:r>
            <w:r>
              <w:rPr>
                <w:rFonts w:hint="default" w:ascii="Times New Roman" w:hAnsi="Times New Roman" w:cs="Times New Roman"/>
                <w:color w:val="auto"/>
                <w:highlight w:val="none"/>
                <w:lang w:val="zh-CN"/>
              </w:rPr>
              <w:t>。</w:t>
            </w:r>
          </w:p>
          <w:p w14:paraId="0DC2C948">
            <w:pPr>
              <w:pStyle w:val="107"/>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主要建筑物</w:t>
            </w:r>
            <w:r>
              <w:rPr>
                <w:rFonts w:hint="default" w:ascii="Times New Roman" w:hAnsi="Times New Roman" w:cs="Times New Roman"/>
                <w:b/>
                <w:bCs/>
                <w:color w:val="auto"/>
                <w:sz w:val="21"/>
                <w:szCs w:val="21"/>
                <w:highlight w:val="none"/>
                <w:lang w:val="en-US" w:eastAsia="zh-CN"/>
              </w:rPr>
              <w:t>面积</w:t>
            </w:r>
            <w:r>
              <w:rPr>
                <w:rFonts w:hint="default" w:ascii="Times New Roman" w:hAnsi="Times New Roman" w:cs="Times New Roman"/>
                <w:b/>
                <w:bCs/>
                <w:color w:val="auto"/>
                <w:sz w:val="21"/>
                <w:szCs w:val="21"/>
                <w:highlight w:val="none"/>
              </w:rPr>
              <w:t>一览表</w:t>
            </w:r>
          </w:p>
          <w:tbl>
            <w:tblPr>
              <w:tblStyle w:val="39"/>
              <w:tblW w:w="4996"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2242"/>
              <w:gridCol w:w="1259"/>
              <w:gridCol w:w="1265"/>
              <w:gridCol w:w="2491"/>
              <w:gridCol w:w="2026"/>
            </w:tblGrid>
            <w:tr w14:paraId="3ED796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7" w:hRule="atLeast"/>
                <w:jc w:val="center"/>
              </w:trPr>
              <w:tc>
                <w:tcPr>
                  <w:tcW w:w="256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C2004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项目</w:t>
                  </w:r>
                </w:p>
              </w:tc>
              <w:tc>
                <w:tcPr>
                  <w:tcW w:w="13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CBC6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计算单位</w:t>
                  </w:r>
                </w:p>
              </w:tc>
              <w:tc>
                <w:tcPr>
                  <w:tcW w:w="10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37AB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数值</w:t>
                  </w:r>
                </w:p>
              </w:tc>
            </w:tr>
            <w:tr w14:paraId="41CA037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7" w:hRule="atLeast"/>
                <w:jc w:val="center"/>
              </w:trPr>
              <w:tc>
                <w:tcPr>
                  <w:tcW w:w="256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FD7B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规划建设用地面积</w:t>
                  </w:r>
                </w:p>
              </w:tc>
              <w:tc>
                <w:tcPr>
                  <w:tcW w:w="1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BBEC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平方米</w:t>
                  </w:r>
                </w:p>
              </w:tc>
              <w:tc>
                <w:tcPr>
                  <w:tcW w:w="10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D7B2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37346.12</w:t>
                  </w:r>
                </w:p>
              </w:tc>
            </w:tr>
            <w:tr w14:paraId="2459139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7" w:hRule="atLeast"/>
                <w:jc w:val="center"/>
              </w:trPr>
              <w:tc>
                <w:tcPr>
                  <w:tcW w:w="256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7683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总建筑面积</w:t>
                  </w:r>
                </w:p>
              </w:tc>
              <w:tc>
                <w:tcPr>
                  <w:tcW w:w="1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0B42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平方米</w:t>
                  </w:r>
                </w:p>
              </w:tc>
              <w:tc>
                <w:tcPr>
                  <w:tcW w:w="10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AAE7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24640.56</w:t>
                  </w:r>
                </w:p>
              </w:tc>
            </w:tr>
            <w:tr w14:paraId="26D6B53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7" w:hRule="atLeast"/>
                <w:jc w:val="center"/>
              </w:trPr>
              <w:tc>
                <w:tcPr>
                  <w:tcW w:w="120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B9824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其中</w:t>
                  </w:r>
                </w:p>
              </w:tc>
              <w:tc>
                <w:tcPr>
                  <w:tcW w:w="678" w:type="pct"/>
                  <w:vMerge w:val="restart"/>
                  <w:tcBorders>
                    <w:top w:val="single" w:color="000000" w:sz="4" w:space="0"/>
                    <w:left w:val="single" w:color="000000" w:sz="4" w:space="0"/>
                    <w:right w:val="single" w:color="auto" w:sz="4" w:space="0"/>
                  </w:tcBorders>
                  <w:shd w:val="clear" w:color="auto" w:fill="auto"/>
                  <w:noWrap/>
                  <w:vAlign w:val="center"/>
                </w:tcPr>
                <w:p w14:paraId="6B3109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sz w:val="21"/>
                      <w:szCs w:val="21"/>
                      <w:highlight w:val="none"/>
                      <w:u w:val="none"/>
                      <w:lang w:val="en-US" w:eastAsia="zh-CN"/>
                    </w:rPr>
                    <w:t>1#</w:t>
                  </w:r>
                  <w:r>
                    <w:rPr>
                      <w:rFonts w:hint="eastAsia" w:cs="Times New Roman"/>
                      <w:i w:val="0"/>
                      <w:iCs w:val="0"/>
                      <w:color w:val="auto"/>
                      <w:sz w:val="21"/>
                      <w:szCs w:val="21"/>
                      <w:highlight w:val="none"/>
                      <w:u w:val="none"/>
                      <w:lang w:val="en-US" w:eastAsia="zh-CN"/>
                    </w:rPr>
                    <w:t>综合</w:t>
                  </w:r>
                  <w:r>
                    <w:rPr>
                      <w:rFonts w:hint="eastAsia" w:ascii="Times New Roman" w:hAnsi="Times New Roman" w:eastAsia="宋体" w:cs="Times New Roman"/>
                      <w:i w:val="0"/>
                      <w:iCs w:val="0"/>
                      <w:color w:val="auto"/>
                      <w:sz w:val="21"/>
                      <w:szCs w:val="21"/>
                      <w:highlight w:val="none"/>
                      <w:u w:val="none"/>
                      <w:lang w:val="en-US" w:eastAsia="zh-CN"/>
                    </w:rPr>
                    <w:t>楼</w:t>
                  </w:r>
                </w:p>
              </w:tc>
              <w:tc>
                <w:tcPr>
                  <w:tcW w:w="68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1113CF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1F</w:t>
                  </w:r>
                </w:p>
              </w:tc>
              <w:tc>
                <w:tcPr>
                  <w:tcW w:w="1341" w:type="pct"/>
                  <w:tcBorders>
                    <w:top w:val="single" w:color="000000" w:sz="4" w:space="0"/>
                    <w:left w:val="single" w:color="auto" w:sz="4" w:space="0"/>
                    <w:bottom w:val="single" w:color="000000" w:sz="4" w:space="0"/>
                    <w:right w:val="single" w:color="000000" w:sz="4" w:space="0"/>
                  </w:tcBorders>
                  <w:shd w:val="clear" w:color="auto" w:fill="auto"/>
                  <w:noWrap/>
                  <w:vAlign w:val="center"/>
                </w:tcPr>
                <w:p w14:paraId="227455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平方米</w:t>
                  </w:r>
                </w:p>
              </w:tc>
              <w:tc>
                <w:tcPr>
                  <w:tcW w:w="10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F98C32">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ascii="Times New Roman" w:hAnsi="Times New Roman" w:eastAsia="宋体" w:cs="Times New Roman"/>
                      <w:color w:val="auto"/>
                      <w:sz w:val="21"/>
                      <w:szCs w:val="21"/>
                      <w:highlight w:val="none"/>
                      <w:lang w:val="en-US" w:eastAsia="zh-CN"/>
                    </w:rPr>
                    <w:t>855.88</w:t>
                  </w:r>
                </w:p>
              </w:tc>
            </w:tr>
            <w:tr w14:paraId="0CDB16F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7" w:hRule="atLeast"/>
                <w:jc w:val="center"/>
              </w:trPr>
              <w:tc>
                <w:tcPr>
                  <w:tcW w:w="1207" w:type="pct"/>
                  <w:vMerge w:val="continue"/>
                  <w:tcBorders>
                    <w:left w:val="single" w:color="000000" w:sz="4" w:space="0"/>
                    <w:right w:val="single" w:color="000000" w:sz="4" w:space="0"/>
                  </w:tcBorders>
                  <w:shd w:val="clear" w:color="auto" w:fill="auto"/>
                  <w:vAlign w:val="center"/>
                </w:tcPr>
                <w:p w14:paraId="5208CF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678" w:type="pct"/>
                  <w:vMerge w:val="continue"/>
                  <w:tcBorders>
                    <w:left w:val="single" w:color="000000" w:sz="4" w:space="0"/>
                    <w:right w:val="single" w:color="auto" w:sz="4" w:space="0"/>
                  </w:tcBorders>
                  <w:shd w:val="clear" w:color="auto" w:fill="auto"/>
                  <w:noWrap/>
                  <w:vAlign w:val="center"/>
                </w:tcPr>
                <w:p w14:paraId="0FAD75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p>
              </w:tc>
              <w:tc>
                <w:tcPr>
                  <w:tcW w:w="68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89F62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2F</w:t>
                  </w:r>
                </w:p>
              </w:tc>
              <w:tc>
                <w:tcPr>
                  <w:tcW w:w="1341" w:type="pct"/>
                  <w:tcBorders>
                    <w:top w:val="single" w:color="000000" w:sz="4" w:space="0"/>
                    <w:left w:val="single" w:color="auto" w:sz="4" w:space="0"/>
                    <w:bottom w:val="single" w:color="000000" w:sz="4" w:space="0"/>
                    <w:right w:val="single" w:color="000000" w:sz="4" w:space="0"/>
                  </w:tcBorders>
                  <w:shd w:val="clear" w:color="auto" w:fill="auto"/>
                  <w:noWrap/>
                  <w:vAlign w:val="center"/>
                </w:tcPr>
                <w:p w14:paraId="2095F4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平方米</w:t>
                  </w:r>
                </w:p>
              </w:tc>
              <w:tc>
                <w:tcPr>
                  <w:tcW w:w="10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A02F02">
                  <w:pPr>
                    <w:keepNext w:val="0"/>
                    <w:keepLines w:val="0"/>
                    <w:suppressLineNumbers w:val="0"/>
                    <w:spacing w:before="0" w:beforeAutospacing="0" w:after="0" w:afterAutospacing="0" w:line="360" w:lineRule="auto"/>
                    <w:ind w:left="0" w:right="0"/>
                    <w:jc w:val="center"/>
                    <w:rPr>
                      <w:rFonts w:hint="eastAsia" w:ascii="Times New Roman" w:hAnsi="Times New Roman" w:eastAsia="宋体" w:cs="Times New Roman"/>
                      <w:i w:val="0"/>
                      <w:iCs w:val="0"/>
                      <w:color w:val="auto"/>
                      <w:kern w:val="0"/>
                      <w:sz w:val="21"/>
                      <w:szCs w:val="21"/>
                      <w:highlight w:val="none"/>
                      <w:u w:val="none"/>
                      <w:lang w:val="en-US" w:eastAsia="zh-CN"/>
                    </w:rPr>
                  </w:pPr>
                  <w:r>
                    <w:rPr>
                      <w:rFonts w:hint="eastAsia" w:ascii="Times New Roman" w:hAnsi="Times New Roman" w:eastAsia="宋体" w:cs="Times New Roman"/>
                      <w:color w:val="auto"/>
                      <w:sz w:val="21"/>
                      <w:szCs w:val="21"/>
                      <w:highlight w:val="none"/>
                      <w:lang w:val="en-US" w:eastAsia="zh-CN"/>
                    </w:rPr>
                    <w:t>706.04</w:t>
                  </w:r>
                </w:p>
              </w:tc>
            </w:tr>
            <w:tr w14:paraId="25E163C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7" w:hRule="atLeast"/>
                <w:jc w:val="center"/>
              </w:trPr>
              <w:tc>
                <w:tcPr>
                  <w:tcW w:w="1207" w:type="pct"/>
                  <w:vMerge w:val="continue"/>
                  <w:tcBorders>
                    <w:left w:val="single" w:color="000000" w:sz="4" w:space="0"/>
                    <w:right w:val="single" w:color="000000" w:sz="4" w:space="0"/>
                  </w:tcBorders>
                  <w:shd w:val="clear" w:color="auto" w:fill="auto"/>
                  <w:vAlign w:val="center"/>
                </w:tcPr>
                <w:p w14:paraId="775B86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678" w:type="pct"/>
                  <w:vMerge w:val="continue"/>
                  <w:tcBorders>
                    <w:left w:val="single" w:color="000000" w:sz="4" w:space="0"/>
                    <w:right w:val="single" w:color="auto" w:sz="4" w:space="0"/>
                  </w:tcBorders>
                  <w:shd w:val="clear" w:color="auto" w:fill="auto"/>
                  <w:noWrap/>
                  <w:vAlign w:val="center"/>
                </w:tcPr>
                <w:p w14:paraId="7ED535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p>
              </w:tc>
              <w:tc>
                <w:tcPr>
                  <w:tcW w:w="68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7A2AF6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3F</w:t>
                  </w:r>
                </w:p>
              </w:tc>
              <w:tc>
                <w:tcPr>
                  <w:tcW w:w="1341" w:type="pct"/>
                  <w:tcBorders>
                    <w:top w:val="single" w:color="000000" w:sz="4" w:space="0"/>
                    <w:left w:val="single" w:color="auto" w:sz="4" w:space="0"/>
                    <w:bottom w:val="single" w:color="000000" w:sz="4" w:space="0"/>
                    <w:right w:val="single" w:color="000000" w:sz="4" w:space="0"/>
                  </w:tcBorders>
                  <w:shd w:val="clear" w:color="auto" w:fill="auto"/>
                  <w:noWrap/>
                  <w:vAlign w:val="center"/>
                </w:tcPr>
                <w:p w14:paraId="25F2E3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平方米</w:t>
                  </w:r>
                </w:p>
              </w:tc>
              <w:tc>
                <w:tcPr>
                  <w:tcW w:w="10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FE66A3">
                  <w:pPr>
                    <w:keepNext w:val="0"/>
                    <w:keepLines w:val="0"/>
                    <w:suppressLineNumbers w:val="0"/>
                    <w:spacing w:before="0" w:beforeAutospacing="0" w:after="0" w:afterAutospacing="0" w:line="360" w:lineRule="auto"/>
                    <w:ind w:left="0" w:right="0"/>
                    <w:jc w:val="center"/>
                    <w:rPr>
                      <w:rFonts w:hint="eastAsia" w:ascii="Times New Roman" w:hAnsi="Times New Roman" w:eastAsia="宋体" w:cs="Times New Roman"/>
                      <w:i w:val="0"/>
                      <w:iCs w:val="0"/>
                      <w:color w:val="auto"/>
                      <w:kern w:val="0"/>
                      <w:sz w:val="21"/>
                      <w:szCs w:val="21"/>
                      <w:highlight w:val="none"/>
                      <w:u w:val="none"/>
                      <w:lang w:val="en-US" w:eastAsia="zh-CN"/>
                    </w:rPr>
                  </w:pPr>
                  <w:r>
                    <w:rPr>
                      <w:rFonts w:hint="eastAsia" w:ascii="Times New Roman" w:hAnsi="Times New Roman" w:eastAsia="宋体" w:cs="Times New Roman"/>
                      <w:color w:val="auto"/>
                      <w:sz w:val="21"/>
                      <w:szCs w:val="21"/>
                      <w:highlight w:val="none"/>
                      <w:lang w:val="en-US" w:eastAsia="zh-CN"/>
                    </w:rPr>
                    <w:t>706.04</w:t>
                  </w:r>
                </w:p>
              </w:tc>
            </w:tr>
            <w:tr w14:paraId="6CB8469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7" w:hRule="atLeast"/>
                <w:jc w:val="center"/>
              </w:trPr>
              <w:tc>
                <w:tcPr>
                  <w:tcW w:w="1207" w:type="pct"/>
                  <w:vMerge w:val="continue"/>
                  <w:tcBorders>
                    <w:left w:val="single" w:color="000000" w:sz="4" w:space="0"/>
                    <w:right w:val="single" w:color="000000" w:sz="4" w:space="0"/>
                  </w:tcBorders>
                  <w:shd w:val="clear" w:color="auto" w:fill="auto"/>
                  <w:vAlign w:val="center"/>
                </w:tcPr>
                <w:p w14:paraId="1B46CD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678" w:type="pct"/>
                  <w:vMerge w:val="continue"/>
                  <w:tcBorders>
                    <w:left w:val="single" w:color="000000" w:sz="4" w:space="0"/>
                    <w:bottom w:val="single" w:color="000000" w:sz="4" w:space="0"/>
                    <w:right w:val="single" w:color="auto" w:sz="4" w:space="0"/>
                  </w:tcBorders>
                  <w:shd w:val="clear" w:color="auto" w:fill="auto"/>
                  <w:noWrap/>
                  <w:vAlign w:val="center"/>
                </w:tcPr>
                <w:p w14:paraId="1F6BE2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p>
              </w:tc>
              <w:tc>
                <w:tcPr>
                  <w:tcW w:w="68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E20B7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4F</w:t>
                  </w:r>
                </w:p>
              </w:tc>
              <w:tc>
                <w:tcPr>
                  <w:tcW w:w="1341" w:type="pct"/>
                  <w:tcBorders>
                    <w:top w:val="single" w:color="000000" w:sz="4" w:space="0"/>
                    <w:left w:val="single" w:color="auto" w:sz="4" w:space="0"/>
                    <w:bottom w:val="single" w:color="000000" w:sz="4" w:space="0"/>
                    <w:right w:val="single" w:color="000000" w:sz="4" w:space="0"/>
                  </w:tcBorders>
                  <w:shd w:val="clear" w:color="auto" w:fill="auto"/>
                  <w:noWrap/>
                  <w:vAlign w:val="center"/>
                </w:tcPr>
                <w:p w14:paraId="1BFD32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平方米</w:t>
                  </w:r>
                </w:p>
              </w:tc>
              <w:tc>
                <w:tcPr>
                  <w:tcW w:w="10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F79098">
                  <w:pPr>
                    <w:keepNext w:val="0"/>
                    <w:keepLines w:val="0"/>
                    <w:suppressLineNumbers w:val="0"/>
                    <w:spacing w:before="0" w:beforeAutospacing="0" w:after="0" w:afterAutospacing="0" w:line="360" w:lineRule="auto"/>
                    <w:ind w:left="0" w:right="0"/>
                    <w:jc w:val="center"/>
                    <w:rPr>
                      <w:rFonts w:hint="eastAsia" w:ascii="Times New Roman" w:hAnsi="Times New Roman" w:eastAsia="宋体" w:cs="Times New Roman"/>
                      <w:i w:val="0"/>
                      <w:iCs w:val="0"/>
                      <w:color w:val="auto"/>
                      <w:kern w:val="0"/>
                      <w:sz w:val="21"/>
                      <w:szCs w:val="21"/>
                      <w:highlight w:val="none"/>
                      <w:u w:val="none"/>
                      <w:lang w:val="en-US" w:eastAsia="zh-CN"/>
                    </w:rPr>
                  </w:pPr>
                  <w:r>
                    <w:rPr>
                      <w:rFonts w:hint="eastAsia" w:ascii="Times New Roman" w:hAnsi="Times New Roman" w:eastAsia="宋体" w:cs="Times New Roman"/>
                      <w:color w:val="auto"/>
                      <w:sz w:val="21"/>
                      <w:szCs w:val="21"/>
                      <w:highlight w:val="none"/>
                      <w:lang w:val="en-US" w:eastAsia="zh-CN"/>
                    </w:rPr>
                    <w:t>706.04</w:t>
                  </w:r>
                </w:p>
              </w:tc>
            </w:tr>
            <w:tr w14:paraId="13FB03A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7" w:hRule="atLeast"/>
                <w:jc w:val="center"/>
              </w:trPr>
              <w:tc>
                <w:tcPr>
                  <w:tcW w:w="12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48538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359"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2391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sz w:val="21"/>
                      <w:szCs w:val="21"/>
                      <w:highlight w:val="none"/>
                      <w:u w:val="none"/>
                      <w:lang w:val="en-US" w:eastAsia="zh-CN"/>
                    </w:rPr>
                    <w:t>2#</w:t>
                  </w:r>
                  <w:r>
                    <w:rPr>
                      <w:rFonts w:hint="eastAsia" w:cs="Times New Roman"/>
                      <w:i w:val="0"/>
                      <w:iCs w:val="0"/>
                      <w:color w:val="auto"/>
                      <w:sz w:val="21"/>
                      <w:szCs w:val="21"/>
                      <w:highlight w:val="none"/>
                      <w:u w:val="none"/>
                      <w:lang w:val="en-US" w:eastAsia="zh-CN"/>
                    </w:rPr>
                    <w:t>厂房</w:t>
                  </w:r>
                </w:p>
              </w:tc>
              <w:tc>
                <w:tcPr>
                  <w:tcW w:w="1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1E20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平方米</w:t>
                  </w:r>
                </w:p>
              </w:tc>
              <w:tc>
                <w:tcPr>
                  <w:tcW w:w="10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D33F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6256.00</w:t>
                  </w:r>
                </w:p>
              </w:tc>
            </w:tr>
            <w:tr w14:paraId="28A8885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7" w:hRule="atLeast"/>
                <w:jc w:val="center"/>
              </w:trPr>
              <w:tc>
                <w:tcPr>
                  <w:tcW w:w="12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F9B34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359"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D786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sz w:val="21"/>
                      <w:szCs w:val="21"/>
                      <w:highlight w:val="none"/>
                      <w:u w:val="none"/>
                      <w:lang w:val="en-US" w:eastAsia="zh-CN"/>
                    </w:rPr>
                    <w:t>3#厂房</w:t>
                  </w:r>
                </w:p>
              </w:tc>
              <w:tc>
                <w:tcPr>
                  <w:tcW w:w="1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4FEC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平方米</w:t>
                  </w:r>
                </w:p>
              </w:tc>
              <w:tc>
                <w:tcPr>
                  <w:tcW w:w="10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2847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7360.00</w:t>
                  </w:r>
                </w:p>
              </w:tc>
            </w:tr>
            <w:tr w14:paraId="0D29F31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7" w:hRule="atLeast"/>
                <w:jc w:val="center"/>
              </w:trPr>
              <w:tc>
                <w:tcPr>
                  <w:tcW w:w="12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156FB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359"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6652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sz w:val="21"/>
                      <w:szCs w:val="21"/>
                      <w:highlight w:val="none"/>
                      <w:u w:val="none"/>
                      <w:lang w:val="en-US" w:eastAsia="zh-CN"/>
                    </w:rPr>
                    <w:t>4#厂房</w:t>
                  </w:r>
                </w:p>
              </w:tc>
              <w:tc>
                <w:tcPr>
                  <w:tcW w:w="1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0DF4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平方米</w:t>
                  </w:r>
                </w:p>
              </w:tc>
              <w:tc>
                <w:tcPr>
                  <w:tcW w:w="10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EF76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7775.00</w:t>
                  </w:r>
                </w:p>
              </w:tc>
            </w:tr>
            <w:tr w14:paraId="2854C7C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7" w:hRule="atLeast"/>
                <w:jc w:val="center"/>
              </w:trPr>
              <w:tc>
                <w:tcPr>
                  <w:tcW w:w="12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3737A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359"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15A6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sz w:val="21"/>
                      <w:szCs w:val="21"/>
                      <w:highlight w:val="none"/>
                      <w:u w:val="none"/>
                      <w:lang w:val="en-US" w:eastAsia="zh-CN"/>
                    </w:rPr>
                    <w:t>消防水池及泵房</w:t>
                  </w:r>
                </w:p>
              </w:tc>
              <w:tc>
                <w:tcPr>
                  <w:tcW w:w="1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0820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平方米</w:t>
                  </w:r>
                </w:p>
              </w:tc>
              <w:tc>
                <w:tcPr>
                  <w:tcW w:w="10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1167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275.56</w:t>
                  </w:r>
                </w:p>
              </w:tc>
            </w:tr>
          </w:tbl>
          <w:p w14:paraId="6A86C1E1">
            <w:pPr>
              <w:pStyle w:val="107"/>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工程组成一览表</w:t>
            </w:r>
          </w:p>
          <w:tbl>
            <w:tblPr>
              <w:tblStyle w:val="39"/>
              <w:tblW w:w="9277"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94"/>
              <w:gridCol w:w="645"/>
              <w:gridCol w:w="1393"/>
              <w:gridCol w:w="6545"/>
            </w:tblGrid>
            <w:tr w14:paraId="03D2E3A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54" w:hRule="atLeast"/>
                <w:jc w:val="center"/>
              </w:trPr>
              <w:tc>
                <w:tcPr>
                  <w:tcW w:w="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8AAFC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序号</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BC4BD6">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项目类别</w:t>
                  </w:r>
                </w:p>
              </w:tc>
              <w:tc>
                <w:tcPr>
                  <w:tcW w:w="13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8F7FE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建设内容</w:t>
                  </w:r>
                </w:p>
              </w:tc>
              <w:tc>
                <w:tcPr>
                  <w:tcW w:w="65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81E797">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位置、用途、占地面积</w:t>
                  </w:r>
                </w:p>
              </w:tc>
            </w:tr>
            <w:tr w14:paraId="62DBB3F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77" w:hRule="atLeast"/>
                <w:jc w:val="center"/>
              </w:trPr>
              <w:tc>
                <w:tcPr>
                  <w:tcW w:w="69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BF2FED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1</w:t>
                  </w:r>
                </w:p>
              </w:tc>
              <w:tc>
                <w:tcPr>
                  <w:tcW w:w="64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857F9A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主体工程</w:t>
                  </w:r>
                </w:p>
              </w:tc>
              <w:tc>
                <w:tcPr>
                  <w:tcW w:w="13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50214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破碎洗料车间</w:t>
                  </w:r>
                </w:p>
              </w:tc>
              <w:tc>
                <w:tcPr>
                  <w:tcW w:w="65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492656">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位于</w:t>
                  </w:r>
                  <w:r>
                    <w:rPr>
                      <w:rFonts w:hint="eastAsia" w:cs="Times New Roman"/>
                      <w:i w:val="0"/>
                      <w:iCs w:val="0"/>
                      <w:color w:val="auto"/>
                      <w:kern w:val="0"/>
                      <w:sz w:val="21"/>
                      <w:szCs w:val="21"/>
                      <w:highlight w:val="none"/>
                      <w:u w:val="none"/>
                      <w:lang w:val="en-US" w:eastAsia="zh-CN"/>
                    </w:rPr>
                    <w:t>4</w:t>
                  </w:r>
                  <w:r>
                    <w:rPr>
                      <w:rFonts w:hint="default" w:ascii="Times New Roman" w:hAnsi="Times New Roman" w:eastAsia="宋体" w:cs="Times New Roman"/>
                      <w:i w:val="0"/>
                      <w:iCs w:val="0"/>
                      <w:color w:val="auto"/>
                      <w:kern w:val="0"/>
                      <w:sz w:val="21"/>
                      <w:szCs w:val="21"/>
                      <w:highlight w:val="none"/>
                      <w:u w:val="none"/>
                      <w:lang w:val="en-US" w:eastAsia="zh-CN"/>
                    </w:rPr>
                    <w:t>#厂房，为1层建筑</w:t>
                  </w:r>
                  <w:r>
                    <w:rPr>
                      <w:rFonts w:hint="eastAsia" w:cs="Times New Roman"/>
                      <w:i w:val="0"/>
                      <w:iCs w:val="0"/>
                      <w:color w:val="auto"/>
                      <w:kern w:val="0"/>
                      <w:sz w:val="21"/>
                      <w:szCs w:val="21"/>
                      <w:highlight w:val="none"/>
                      <w:u w:val="none"/>
                      <w:lang w:val="en-US" w:eastAsia="zh-CN"/>
                    </w:rPr>
                    <w:t>，总高度为13.15米</w:t>
                  </w:r>
                  <w:r>
                    <w:rPr>
                      <w:rFonts w:hint="default" w:ascii="Times New Roman" w:hAnsi="Times New Roman" w:eastAsia="宋体" w:cs="Times New Roman"/>
                      <w:i w:val="0"/>
                      <w:iCs w:val="0"/>
                      <w:color w:val="auto"/>
                      <w:kern w:val="0"/>
                      <w:sz w:val="21"/>
                      <w:szCs w:val="21"/>
                      <w:highlight w:val="none"/>
                      <w:u w:val="none"/>
                      <w:lang w:val="en-US" w:eastAsia="zh-CN"/>
                    </w:rPr>
                    <w:t>，</w:t>
                  </w:r>
                  <w:r>
                    <w:rPr>
                      <w:rFonts w:hint="eastAsia" w:cs="Times New Roman"/>
                      <w:i w:val="0"/>
                      <w:iCs w:val="0"/>
                      <w:color w:val="auto"/>
                      <w:kern w:val="0"/>
                      <w:sz w:val="21"/>
                      <w:szCs w:val="21"/>
                      <w:highlight w:val="none"/>
                      <w:u w:val="none"/>
                      <w:lang w:val="en-US" w:eastAsia="zh-CN"/>
                    </w:rPr>
                    <w:t>尺寸159m*50m，</w:t>
                  </w:r>
                  <w:r>
                    <w:rPr>
                      <w:rFonts w:hint="default" w:ascii="Times New Roman" w:hAnsi="Times New Roman" w:eastAsia="宋体" w:cs="Times New Roman"/>
                      <w:i w:val="0"/>
                      <w:iCs w:val="0"/>
                      <w:color w:val="auto"/>
                      <w:kern w:val="0"/>
                      <w:sz w:val="21"/>
                      <w:szCs w:val="21"/>
                      <w:highlight w:val="none"/>
                      <w:u w:val="none"/>
                      <w:lang w:val="en-US" w:eastAsia="zh-CN"/>
                    </w:rPr>
                    <w:t>占地面积为</w:t>
                  </w:r>
                  <w:r>
                    <w:rPr>
                      <w:rFonts w:hint="eastAsia"/>
                      <w:color w:val="auto"/>
                      <w:kern w:val="2"/>
                      <w:sz w:val="21"/>
                      <w:szCs w:val="20"/>
                      <w:highlight w:val="none"/>
                      <w:lang w:val="en-US" w:eastAsia="zh-CN" w:bidi="ar-SA"/>
                    </w:rPr>
                    <w:t>7775.00</w:t>
                  </w:r>
                  <w:r>
                    <w:rPr>
                      <w:rFonts w:hint="default" w:ascii="Times New Roman" w:hAnsi="Times New Roman" w:eastAsia="宋体" w:cs="Times New Roman"/>
                      <w:i w:val="0"/>
                      <w:iCs w:val="0"/>
                      <w:color w:val="auto"/>
                      <w:kern w:val="0"/>
                      <w:sz w:val="21"/>
                      <w:szCs w:val="21"/>
                      <w:highlight w:val="none"/>
                      <w:u w:val="none"/>
                      <w:lang w:val="en-US" w:eastAsia="zh-CN"/>
                    </w:rPr>
                    <w:t>平方米，建筑面积</w:t>
                  </w:r>
                  <w:r>
                    <w:rPr>
                      <w:rFonts w:hint="eastAsia"/>
                      <w:color w:val="auto"/>
                      <w:kern w:val="2"/>
                      <w:sz w:val="21"/>
                      <w:szCs w:val="20"/>
                      <w:highlight w:val="none"/>
                      <w:lang w:val="en-US" w:eastAsia="zh-CN" w:bidi="ar-SA"/>
                    </w:rPr>
                    <w:t>7775.00</w:t>
                  </w:r>
                  <w:r>
                    <w:rPr>
                      <w:rFonts w:hint="default" w:ascii="Times New Roman" w:hAnsi="Times New Roman" w:eastAsia="宋体" w:cs="Times New Roman"/>
                      <w:i w:val="0"/>
                      <w:iCs w:val="0"/>
                      <w:color w:val="auto"/>
                      <w:kern w:val="0"/>
                      <w:sz w:val="21"/>
                      <w:szCs w:val="21"/>
                      <w:highlight w:val="none"/>
                      <w:u w:val="none"/>
                      <w:lang w:val="en-US" w:eastAsia="zh-CN"/>
                    </w:rPr>
                    <w:t>平方米，设置在项目中心</w:t>
                  </w:r>
                  <w:r>
                    <w:rPr>
                      <w:rFonts w:hint="eastAsia" w:cs="Times New Roman"/>
                      <w:i w:val="0"/>
                      <w:iCs w:val="0"/>
                      <w:color w:val="auto"/>
                      <w:kern w:val="0"/>
                      <w:sz w:val="21"/>
                      <w:szCs w:val="21"/>
                      <w:highlight w:val="none"/>
                      <w:u w:val="none"/>
                      <w:lang w:val="en-US" w:eastAsia="zh-CN"/>
                    </w:rPr>
                    <w:t>东</w:t>
                  </w:r>
                  <w:r>
                    <w:rPr>
                      <w:rFonts w:hint="default" w:ascii="Times New Roman" w:hAnsi="Times New Roman" w:eastAsia="宋体" w:cs="Times New Roman"/>
                      <w:i w:val="0"/>
                      <w:iCs w:val="0"/>
                      <w:color w:val="auto"/>
                      <w:kern w:val="0"/>
                      <w:sz w:val="21"/>
                      <w:szCs w:val="21"/>
                      <w:highlight w:val="none"/>
                      <w:u w:val="none"/>
                      <w:lang w:val="en-US" w:eastAsia="zh-CN"/>
                    </w:rPr>
                    <w:t>侧。主要工序为：</w:t>
                  </w:r>
                  <w:r>
                    <w:rPr>
                      <w:rFonts w:hint="eastAsia" w:cs="Times New Roman"/>
                      <w:i w:val="0"/>
                      <w:iCs w:val="0"/>
                      <w:color w:val="auto"/>
                      <w:kern w:val="0"/>
                      <w:sz w:val="21"/>
                      <w:szCs w:val="21"/>
                      <w:highlight w:val="none"/>
                      <w:u w:val="none"/>
                      <w:lang w:val="en-US" w:eastAsia="zh-CN"/>
                    </w:rPr>
                    <w:t>破碎、洗料</w:t>
                  </w:r>
                  <w:r>
                    <w:rPr>
                      <w:rFonts w:hint="default" w:ascii="Times New Roman" w:hAnsi="Times New Roman" w:eastAsia="宋体" w:cs="Times New Roman"/>
                      <w:i w:val="0"/>
                      <w:iCs w:val="0"/>
                      <w:color w:val="auto"/>
                      <w:kern w:val="0"/>
                      <w:sz w:val="21"/>
                      <w:szCs w:val="21"/>
                      <w:highlight w:val="none"/>
                      <w:u w:val="none"/>
                      <w:lang w:val="en-US" w:eastAsia="zh-CN"/>
                    </w:rPr>
                    <w:t>工序</w:t>
                  </w:r>
                  <w:r>
                    <w:rPr>
                      <w:rFonts w:hint="eastAsia" w:cs="Times New Roman"/>
                      <w:i w:val="0"/>
                      <w:iCs w:val="0"/>
                      <w:color w:val="auto"/>
                      <w:kern w:val="0"/>
                      <w:sz w:val="21"/>
                      <w:szCs w:val="21"/>
                      <w:highlight w:val="none"/>
                      <w:u w:val="none"/>
                      <w:lang w:val="en-US" w:eastAsia="zh-CN"/>
                    </w:rPr>
                    <w:t>，</w:t>
                  </w:r>
                  <w:r>
                    <w:rPr>
                      <w:rFonts w:hint="default" w:ascii="Times New Roman" w:hAnsi="Times New Roman" w:eastAsia="宋体" w:cs="Times New Roman"/>
                      <w:i w:val="0"/>
                      <w:iCs w:val="0"/>
                      <w:color w:val="auto"/>
                      <w:kern w:val="0"/>
                      <w:sz w:val="21"/>
                      <w:szCs w:val="21"/>
                      <w:highlight w:val="none"/>
                      <w:u w:val="none"/>
                      <w:lang w:val="en-US" w:eastAsia="zh-CN"/>
                    </w:rPr>
                    <w:t>设有</w:t>
                  </w:r>
                  <w:r>
                    <w:rPr>
                      <w:rFonts w:hint="eastAsia" w:cs="Times New Roman"/>
                      <w:i w:val="0"/>
                      <w:iCs w:val="0"/>
                      <w:color w:val="auto"/>
                      <w:kern w:val="0"/>
                      <w:sz w:val="21"/>
                      <w:szCs w:val="21"/>
                      <w:highlight w:val="none"/>
                      <w:u w:val="none"/>
                      <w:lang w:val="en-US" w:eastAsia="zh-CN"/>
                    </w:rPr>
                    <w:t>1</w:t>
                  </w:r>
                  <w:r>
                    <w:rPr>
                      <w:rFonts w:hint="default" w:ascii="Times New Roman" w:hAnsi="Times New Roman" w:eastAsia="宋体" w:cs="Times New Roman"/>
                      <w:i w:val="0"/>
                      <w:iCs w:val="0"/>
                      <w:color w:val="auto"/>
                      <w:kern w:val="0"/>
                      <w:sz w:val="21"/>
                      <w:szCs w:val="21"/>
                      <w:highlight w:val="none"/>
                      <w:u w:val="none"/>
                      <w:lang w:val="en-US" w:eastAsia="zh-CN"/>
                    </w:rPr>
                    <w:t>条生产线</w:t>
                  </w:r>
                  <w:r>
                    <w:rPr>
                      <w:rFonts w:hint="eastAsia" w:cs="Times New Roman"/>
                      <w:i w:val="0"/>
                      <w:iCs w:val="0"/>
                      <w:color w:val="auto"/>
                      <w:kern w:val="0"/>
                      <w:sz w:val="21"/>
                      <w:szCs w:val="21"/>
                      <w:highlight w:val="none"/>
                      <w:u w:val="none"/>
                      <w:lang w:val="en-US" w:eastAsia="zh-CN"/>
                    </w:rPr>
                    <w:t>，包括设置锤破机、洗料机设备</w:t>
                  </w:r>
                  <w:r>
                    <w:rPr>
                      <w:rFonts w:hint="default" w:ascii="Times New Roman" w:hAnsi="Times New Roman" w:eastAsia="宋体" w:cs="Times New Roman"/>
                      <w:i w:val="0"/>
                      <w:iCs w:val="0"/>
                      <w:color w:val="auto"/>
                      <w:kern w:val="0"/>
                      <w:sz w:val="21"/>
                      <w:szCs w:val="21"/>
                      <w:highlight w:val="none"/>
                      <w:u w:val="none"/>
                      <w:lang w:val="en-US" w:eastAsia="zh-CN"/>
                    </w:rPr>
                    <w:t>，主要对</w:t>
                  </w:r>
                  <w:r>
                    <w:rPr>
                      <w:rFonts w:hint="eastAsia" w:cs="Times New Roman"/>
                      <w:i w:val="0"/>
                      <w:iCs w:val="0"/>
                      <w:color w:val="auto"/>
                      <w:kern w:val="0"/>
                      <w:sz w:val="21"/>
                      <w:szCs w:val="21"/>
                      <w:highlight w:val="none"/>
                      <w:u w:val="none"/>
                      <w:lang w:val="en-US" w:eastAsia="zh-CN"/>
                    </w:rPr>
                    <w:t>废塑料</w:t>
                  </w:r>
                  <w:r>
                    <w:rPr>
                      <w:rFonts w:hint="default" w:ascii="Times New Roman" w:hAnsi="Times New Roman" w:eastAsia="宋体" w:cs="Times New Roman"/>
                      <w:i w:val="0"/>
                      <w:iCs w:val="0"/>
                      <w:color w:val="auto"/>
                      <w:kern w:val="0"/>
                      <w:sz w:val="21"/>
                      <w:szCs w:val="21"/>
                      <w:highlight w:val="none"/>
                      <w:u w:val="none"/>
                      <w:lang w:val="en-US" w:eastAsia="zh-CN"/>
                    </w:rPr>
                    <w:t>进行</w:t>
                  </w:r>
                  <w:r>
                    <w:rPr>
                      <w:rFonts w:hint="eastAsia" w:cs="Times New Roman"/>
                      <w:i w:val="0"/>
                      <w:iCs w:val="0"/>
                      <w:color w:val="auto"/>
                      <w:kern w:val="0"/>
                      <w:sz w:val="21"/>
                      <w:szCs w:val="21"/>
                      <w:highlight w:val="none"/>
                      <w:u w:val="none"/>
                      <w:lang w:val="en-US" w:eastAsia="zh-CN"/>
                    </w:rPr>
                    <w:t>破碎、清洗</w:t>
                  </w:r>
                  <w:r>
                    <w:rPr>
                      <w:rFonts w:hint="default" w:ascii="Times New Roman" w:hAnsi="Times New Roman" w:eastAsia="宋体" w:cs="Times New Roman"/>
                      <w:i w:val="0"/>
                      <w:iCs w:val="0"/>
                      <w:color w:val="auto"/>
                      <w:kern w:val="0"/>
                      <w:sz w:val="21"/>
                      <w:szCs w:val="21"/>
                      <w:highlight w:val="none"/>
                      <w:u w:val="none"/>
                      <w:lang w:val="en-US" w:eastAsia="zh-CN"/>
                    </w:rPr>
                    <w:t>。</w:t>
                  </w:r>
                </w:p>
              </w:tc>
            </w:tr>
            <w:tr w14:paraId="75F53ED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77" w:hRule="atLeast"/>
                <w:jc w:val="center"/>
              </w:trPr>
              <w:tc>
                <w:tcPr>
                  <w:tcW w:w="694" w:type="dxa"/>
                  <w:vMerge w:val="continue"/>
                  <w:tcBorders>
                    <w:left w:val="single" w:color="000000" w:sz="4" w:space="0"/>
                    <w:right w:val="single" w:color="000000" w:sz="4" w:space="0"/>
                  </w:tcBorders>
                  <w:shd w:val="clear" w:color="auto" w:fill="auto"/>
                  <w:vAlign w:val="center"/>
                </w:tcPr>
                <w:p w14:paraId="23D5668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645" w:type="dxa"/>
                  <w:vMerge w:val="continue"/>
                  <w:tcBorders>
                    <w:left w:val="single" w:color="000000" w:sz="4" w:space="0"/>
                    <w:right w:val="single" w:color="000000" w:sz="4" w:space="0"/>
                  </w:tcBorders>
                  <w:shd w:val="clear" w:color="auto" w:fill="auto"/>
                  <w:vAlign w:val="center"/>
                </w:tcPr>
                <w:p w14:paraId="6576B0F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13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2D86EA">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分选车间</w:t>
                  </w:r>
                </w:p>
              </w:tc>
              <w:tc>
                <w:tcPr>
                  <w:tcW w:w="65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79244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both"/>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位于</w:t>
                  </w:r>
                  <w:r>
                    <w:rPr>
                      <w:rFonts w:hint="eastAsia" w:ascii="Times New Roman" w:hAnsi="Times New Roman" w:cs="Times New Roman"/>
                      <w:i w:val="0"/>
                      <w:iCs w:val="0"/>
                      <w:color w:val="auto"/>
                      <w:kern w:val="0"/>
                      <w:sz w:val="21"/>
                      <w:szCs w:val="21"/>
                      <w:highlight w:val="none"/>
                      <w:u w:val="none"/>
                      <w:lang w:val="en-US" w:eastAsia="zh-CN"/>
                    </w:rPr>
                    <w:t>2</w:t>
                  </w:r>
                  <w:r>
                    <w:rPr>
                      <w:rFonts w:hint="default" w:ascii="Times New Roman" w:hAnsi="Times New Roman" w:eastAsia="宋体" w:cs="Times New Roman"/>
                      <w:i w:val="0"/>
                      <w:iCs w:val="0"/>
                      <w:color w:val="auto"/>
                      <w:kern w:val="0"/>
                      <w:sz w:val="21"/>
                      <w:szCs w:val="21"/>
                      <w:highlight w:val="none"/>
                      <w:u w:val="none"/>
                      <w:lang w:val="en-US" w:eastAsia="zh-CN"/>
                    </w:rPr>
                    <w:t>#厂房，为1层建筑</w:t>
                  </w:r>
                  <w:r>
                    <w:rPr>
                      <w:rFonts w:hint="eastAsia" w:cs="Times New Roman"/>
                      <w:i w:val="0"/>
                      <w:iCs w:val="0"/>
                      <w:color w:val="auto"/>
                      <w:kern w:val="0"/>
                      <w:sz w:val="21"/>
                      <w:szCs w:val="21"/>
                      <w:highlight w:val="none"/>
                      <w:u w:val="none"/>
                      <w:lang w:val="en-US" w:eastAsia="zh-CN"/>
                    </w:rPr>
                    <w:t>，总高度为13.15米</w:t>
                  </w:r>
                  <w:r>
                    <w:rPr>
                      <w:rFonts w:hint="default" w:ascii="Times New Roman" w:hAnsi="Times New Roman" w:eastAsia="宋体" w:cs="Times New Roman"/>
                      <w:i w:val="0"/>
                      <w:iCs w:val="0"/>
                      <w:color w:val="auto"/>
                      <w:kern w:val="0"/>
                      <w:sz w:val="21"/>
                      <w:szCs w:val="21"/>
                      <w:highlight w:val="none"/>
                      <w:u w:val="none"/>
                      <w:lang w:val="en-US" w:eastAsia="zh-CN"/>
                    </w:rPr>
                    <w:t>，</w:t>
                  </w:r>
                  <w:r>
                    <w:rPr>
                      <w:rFonts w:hint="eastAsia" w:ascii="Times New Roman" w:hAnsi="Times New Roman" w:cs="Times New Roman"/>
                      <w:i w:val="0"/>
                      <w:iCs w:val="0"/>
                      <w:color w:val="auto"/>
                      <w:kern w:val="0"/>
                      <w:sz w:val="21"/>
                      <w:szCs w:val="21"/>
                      <w:highlight w:val="none"/>
                      <w:u w:val="none"/>
                      <w:lang w:val="en-US" w:eastAsia="zh-CN"/>
                    </w:rPr>
                    <w:t>尺寸</w:t>
                  </w:r>
                  <w:r>
                    <w:rPr>
                      <w:rFonts w:hint="default" w:ascii="Times New Roman" w:hAnsi="Times New Roman" w:eastAsia="宋体" w:cs="Times New Roman"/>
                      <w:i w:val="0"/>
                      <w:iCs w:val="0"/>
                      <w:color w:val="auto"/>
                      <w:kern w:val="0"/>
                      <w:sz w:val="21"/>
                      <w:szCs w:val="21"/>
                      <w:highlight w:val="none"/>
                      <w:u w:val="none"/>
                      <w:lang w:val="en-US" w:eastAsia="zh-CN"/>
                    </w:rPr>
                    <w:t>144m*45m</w:t>
                  </w:r>
                  <w:r>
                    <w:rPr>
                      <w:rFonts w:hint="eastAsia" w:ascii="Times New Roman" w:hAnsi="Times New Roman" w:cs="Times New Roman"/>
                      <w:i w:val="0"/>
                      <w:iCs w:val="0"/>
                      <w:color w:val="auto"/>
                      <w:kern w:val="0"/>
                      <w:sz w:val="21"/>
                      <w:szCs w:val="21"/>
                      <w:highlight w:val="none"/>
                      <w:u w:val="none"/>
                      <w:lang w:val="en-US" w:eastAsia="zh-CN"/>
                    </w:rPr>
                    <w:t>，</w:t>
                  </w:r>
                  <w:r>
                    <w:rPr>
                      <w:rFonts w:hint="default" w:ascii="Times New Roman" w:hAnsi="Times New Roman" w:eastAsia="宋体" w:cs="Times New Roman"/>
                      <w:i w:val="0"/>
                      <w:iCs w:val="0"/>
                      <w:color w:val="auto"/>
                      <w:kern w:val="0"/>
                      <w:sz w:val="21"/>
                      <w:szCs w:val="21"/>
                      <w:highlight w:val="none"/>
                      <w:u w:val="none"/>
                      <w:lang w:val="en-US" w:eastAsia="zh-CN"/>
                    </w:rPr>
                    <w:t>占地面积为</w:t>
                  </w:r>
                  <w:r>
                    <w:rPr>
                      <w:rFonts w:hint="eastAsia"/>
                      <w:color w:val="auto"/>
                      <w:kern w:val="2"/>
                      <w:sz w:val="21"/>
                      <w:szCs w:val="20"/>
                      <w:highlight w:val="none"/>
                      <w:lang w:val="en-US" w:eastAsia="zh-CN" w:bidi="ar-SA"/>
                    </w:rPr>
                    <w:t>6256.00</w:t>
                  </w:r>
                  <w:r>
                    <w:rPr>
                      <w:rFonts w:hint="default" w:ascii="Times New Roman" w:hAnsi="Times New Roman" w:eastAsia="宋体" w:cs="Times New Roman"/>
                      <w:i w:val="0"/>
                      <w:iCs w:val="0"/>
                      <w:color w:val="auto"/>
                      <w:kern w:val="0"/>
                      <w:sz w:val="21"/>
                      <w:szCs w:val="21"/>
                      <w:highlight w:val="none"/>
                      <w:u w:val="none"/>
                      <w:lang w:val="en-US" w:eastAsia="zh-CN"/>
                    </w:rPr>
                    <w:t>平方米，建筑面积</w:t>
                  </w:r>
                  <w:r>
                    <w:rPr>
                      <w:rFonts w:hint="eastAsia"/>
                      <w:color w:val="auto"/>
                      <w:kern w:val="2"/>
                      <w:sz w:val="21"/>
                      <w:szCs w:val="20"/>
                      <w:highlight w:val="none"/>
                      <w:lang w:val="en-US" w:eastAsia="zh-CN" w:bidi="ar-SA"/>
                    </w:rPr>
                    <w:t>6256.00</w:t>
                  </w:r>
                  <w:r>
                    <w:rPr>
                      <w:rFonts w:hint="default" w:ascii="Times New Roman" w:hAnsi="Times New Roman" w:eastAsia="宋体" w:cs="Times New Roman"/>
                      <w:i w:val="0"/>
                      <w:iCs w:val="0"/>
                      <w:color w:val="auto"/>
                      <w:kern w:val="0"/>
                      <w:sz w:val="21"/>
                      <w:szCs w:val="21"/>
                      <w:highlight w:val="none"/>
                      <w:u w:val="none"/>
                      <w:lang w:val="en-US" w:eastAsia="zh-CN"/>
                    </w:rPr>
                    <w:t>平方米，设置在项目中心</w:t>
                  </w:r>
                  <w:r>
                    <w:rPr>
                      <w:rFonts w:hint="eastAsia" w:cs="Times New Roman"/>
                      <w:i w:val="0"/>
                      <w:iCs w:val="0"/>
                      <w:color w:val="auto"/>
                      <w:kern w:val="0"/>
                      <w:sz w:val="21"/>
                      <w:szCs w:val="21"/>
                      <w:highlight w:val="none"/>
                      <w:u w:val="none"/>
                      <w:lang w:val="en-US" w:eastAsia="zh-CN"/>
                    </w:rPr>
                    <w:t>南</w:t>
                  </w:r>
                  <w:r>
                    <w:rPr>
                      <w:rFonts w:hint="default" w:ascii="Times New Roman" w:hAnsi="Times New Roman" w:eastAsia="宋体" w:cs="Times New Roman"/>
                      <w:i w:val="0"/>
                      <w:iCs w:val="0"/>
                      <w:color w:val="auto"/>
                      <w:kern w:val="0"/>
                      <w:sz w:val="21"/>
                      <w:szCs w:val="21"/>
                      <w:highlight w:val="none"/>
                      <w:u w:val="none"/>
                      <w:lang w:val="en-US" w:eastAsia="zh-CN"/>
                    </w:rPr>
                    <w:t>侧。主要工序为</w:t>
                  </w:r>
                  <w:r>
                    <w:rPr>
                      <w:rFonts w:hint="eastAsia" w:ascii="Times New Roman" w:hAnsi="Times New Roman" w:cs="Times New Roman"/>
                      <w:i w:val="0"/>
                      <w:iCs w:val="0"/>
                      <w:color w:val="auto"/>
                      <w:kern w:val="0"/>
                      <w:sz w:val="21"/>
                      <w:szCs w:val="21"/>
                      <w:highlight w:val="none"/>
                      <w:u w:val="none"/>
                      <w:lang w:val="en-US" w:eastAsia="zh-CN"/>
                    </w:rPr>
                    <w:t>分选</w:t>
                  </w:r>
                  <w:r>
                    <w:rPr>
                      <w:rFonts w:hint="default" w:ascii="Times New Roman" w:hAnsi="Times New Roman" w:eastAsia="宋体" w:cs="Times New Roman"/>
                      <w:i w:val="0"/>
                      <w:iCs w:val="0"/>
                      <w:color w:val="auto"/>
                      <w:kern w:val="0"/>
                      <w:sz w:val="21"/>
                      <w:szCs w:val="21"/>
                      <w:highlight w:val="none"/>
                      <w:u w:val="none"/>
                      <w:lang w:val="en-US" w:eastAsia="zh-CN"/>
                    </w:rPr>
                    <w:t>。设有</w:t>
                  </w:r>
                  <w:r>
                    <w:rPr>
                      <w:rFonts w:hint="eastAsia" w:cs="Times New Roman"/>
                      <w:i w:val="0"/>
                      <w:iCs w:val="0"/>
                      <w:color w:val="auto"/>
                      <w:kern w:val="0"/>
                      <w:sz w:val="21"/>
                      <w:szCs w:val="21"/>
                      <w:highlight w:val="none"/>
                      <w:u w:val="none"/>
                      <w:lang w:val="en-US" w:eastAsia="zh-CN"/>
                    </w:rPr>
                    <w:t>1条分选线</w:t>
                  </w:r>
                  <w:r>
                    <w:rPr>
                      <w:rFonts w:hint="default" w:ascii="Times New Roman" w:hAnsi="Times New Roman" w:eastAsia="宋体" w:cs="Times New Roman"/>
                      <w:i w:val="0"/>
                      <w:iCs w:val="0"/>
                      <w:color w:val="auto"/>
                      <w:kern w:val="0"/>
                      <w:sz w:val="21"/>
                      <w:szCs w:val="21"/>
                      <w:highlight w:val="none"/>
                      <w:u w:val="none"/>
                      <w:lang w:val="en-US" w:eastAsia="zh-CN"/>
                    </w:rPr>
                    <w:t>，</w:t>
                  </w:r>
                  <w:r>
                    <w:rPr>
                      <w:rFonts w:hint="eastAsia" w:ascii="Times New Roman" w:hAnsi="Times New Roman" w:cs="Times New Roman"/>
                      <w:i w:val="0"/>
                      <w:iCs w:val="0"/>
                      <w:color w:val="auto"/>
                      <w:kern w:val="0"/>
                      <w:sz w:val="21"/>
                      <w:szCs w:val="21"/>
                      <w:highlight w:val="none"/>
                      <w:u w:val="none"/>
                      <w:lang w:val="en-US" w:eastAsia="zh-CN"/>
                    </w:rPr>
                    <w:t>设置静电分选机</w:t>
                  </w:r>
                  <w:r>
                    <w:rPr>
                      <w:rFonts w:hint="eastAsia" w:cs="Times New Roman"/>
                      <w:i w:val="0"/>
                      <w:iCs w:val="0"/>
                      <w:color w:val="auto"/>
                      <w:kern w:val="0"/>
                      <w:sz w:val="21"/>
                      <w:szCs w:val="21"/>
                      <w:highlight w:val="none"/>
                      <w:u w:val="none"/>
                      <w:lang w:val="en-US" w:eastAsia="zh-CN"/>
                    </w:rPr>
                    <w:t>、材质机、分色机</w:t>
                  </w:r>
                  <w:r>
                    <w:rPr>
                      <w:rFonts w:hint="eastAsia" w:ascii="Times New Roman" w:hAnsi="Times New Roman" w:cs="Times New Roman"/>
                      <w:i w:val="0"/>
                      <w:iCs w:val="0"/>
                      <w:color w:val="auto"/>
                      <w:kern w:val="0"/>
                      <w:sz w:val="21"/>
                      <w:szCs w:val="21"/>
                      <w:highlight w:val="none"/>
                      <w:u w:val="none"/>
                      <w:lang w:val="en-US" w:eastAsia="zh-CN"/>
                    </w:rPr>
                    <w:t>，</w:t>
                  </w:r>
                  <w:r>
                    <w:rPr>
                      <w:rFonts w:hint="default" w:ascii="Times New Roman" w:hAnsi="Times New Roman" w:eastAsia="宋体" w:cs="Times New Roman"/>
                      <w:i w:val="0"/>
                      <w:iCs w:val="0"/>
                      <w:color w:val="auto"/>
                      <w:kern w:val="0"/>
                      <w:sz w:val="21"/>
                      <w:szCs w:val="21"/>
                      <w:highlight w:val="none"/>
                      <w:u w:val="none"/>
                      <w:lang w:val="en-US" w:eastAsia="zh-CN"/>
                    </w:rPr>
                    <w:t>对</w:t>
                  </w:r>
                  <w:r>
                    <w:rPr>
                      <w:rFonts w:hint="eastAsia" w:ascii="Times New Roman" w:hAnsi="Times New Roman" w:cs="Times New Roman"/>
                      <w:i w:val="0"/>
                      <w:iCs w:val="0"/>
                      <w:color w:val="auto"/>
                      <w:kern w:val="0"/>
                      <w:sz w:val="21"/>
                      <w:szCs w:val="21"/>
                      <w:highlight w:val="none"/>
                      <w:u w:val="none"/>
                      <w:lang w:val="en-US" w:eastAsia="zh-CN"/>
                    </w:rPr>
                    <w:t>废塑料</w:t>
                  </w:r>
                  <w:r>
                    <w:rPr>
                      <w:rFonts w:hint="default" w:ascii="Times New Roman" w:hAnsi="Times New Roman" w:eastAsia="宋体" w:cs="Times New Roman"/>
                      <w:i w:val="0"/>
                      <w:iCs w:val="0"/>
                      <w:color w:val="auto"/>
                      <w:kern w:val="0"/>
                      <w:sz w:val="21"/>
                      <w:szCs w:val="21"/>
                      <w:highlight w:val="none"/>
                      <w:u w:val="none"/>
                      <w:lang w:val="en-US" w:eastAsia="zh-CN"/>
                    </w:rPr>
                    <w:t>进行</w:t>
                  </w:r>
                  <w:r>
                    <w:rPr>
                      <w:rFonts w:hint="eastAsia" w:ascii="Times New Roman" w:hAnsi="Times New Roman" w:cs="Times New Roman"/>
                      <w:i w:val="0"/>
                      <w:iCs w:val="0"/>
                      <w:color w:val="auto"/>
                      <w:kern w:val="0"/>
                      <w:sz w:val="21"/>
                      <w:szCs w:val="21"/>
                      <w:highlight w:val="none"/>
                      <w:u w:val="none"/>
                      <w:lang w:val="en-US" w:eastAsia="zh-CN"/>
                    </w:rPr>
                    <w:t>分选</w:t>
                  </w:r>
                  <w:r>
                    <w:rPr>
                      <w:rFonts w:hint="default" w:ascii="Times New Roman" w:hAnsi="Times New Roman" w:eastAsia="宋体" w:cs="Times New Roman"/>
                      <w:i w:val="0"/>
                      <w:iCs w:val="0"/>
                      <w:color w:val="auto"/>
                      <w:kern w:val="0"/>
                      <w:sz w:val="21"/>
                      <w:szCs w:val="21"/>
                      <w:highlight w:val="none"/>
                      <w:u w:val="none"/>
                      <w:lang w:val="en-US" w:eastAsia="zh-CN"/>
                    </w:rPr>
                    <w:t>。</w:t>
                  </w:r>
                </w:p>
              </w:tc>
            </w:tr>
            <w:tr w14:paraId="4166A59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19" w:hRule="atLeast"/>
                <w:jc w:val="center"/>
              </w:trPr>
              <w:tc>
                <w:tcPr>
                  <w:tcW w:w="6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0382CA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4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CE4D03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3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045251">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rPr>
                    <w:t>3#</w:t>
                  </w:r>
                  <w:r>
                    <w:rPr>
                      <w:rFonts w:hint="default" w:ascii="Times New Roman" w:hAnsi="Times New Roman" w:eastAsia="宋体" w:cs="Times New Roman"/>
                      <w:i w:val="0"/>
                      <w:iCs w:val="0"/>
                      <w:color w:val="auto"/>
                      <w:kern w:val="0"/>
                      <w:sz w:val="21"/>
                      <w:szCs w:val="21"/>
                      <w:highlight w:val="none"/>
                      <w:u w:val="none"/>
                      <w:lang w:val="en-US" w:eastAsia="zh-CN"/>
                    </w:rPr>
                    <w:t>厂房</w:t>
                  </w:r>
                </w:p>
              </w:tc>
              <w:tc>
                <w:tcPr>
                  <w:tcW w:w="65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0A009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空置厂房</w:t>
                  </w:r>
                  <w:r>
                    <w:rPr>
                      <w:rFonts w:hint="eastAsia" w:cs="Times New Roman"/>
                      <w:i w:val="0"/>
                      <w:iCs w:val="0"/>
                      <w:color w:val="auto"/>
                      <w:kern w:val="0"/>
                      <w:sz w:val="21"/>
                      <w:szCs w:val="21"/>
                      <w:highlight w:val="none"/>
                      <w:u w:val="none"/>
                      <w:lang w:val="en-US" w:eastAsia="zh-CN"/>
                    </w:rPr>
                    <w:t>，</w:t>
                  </w:r>
                  <w:r>
                    <w:rPr>
                      <w:rFonts w:hint="default" w:ascii="Times New Roman" w:hAnsi="Times New Roman" w:eastAsia="宋体" w:cs="Times New Roman"/>
                      <w:i w:val="0"/>
                      <w:iCs w:val="0"/>
                      <w:color w:val="auto"/>
                      <w:kern w:val="0"/>
                      <w:sz w:val="21"/>
                      <w:szCs w:val="21"/>
                      <w:highlight w:val="none"/>
                      <w:u w:val="none"/>
                      <w:lang w:val="en-US" w:eastAsia="zh-CN"/>
                    </w:rPr>
                    <w:t>为1层建筑</w:t>
                  </w:r>
                  <w:r>
                    <w:rPr>
                      <w:rFonts w:hint="eastAsia" w:cs="Times New Roman"/>
                      <w:i w:val="0"/>
                      <w:iCs w:val="0"/>
                      <w:color w:val="auto"/>
                      <w:kern w:val="0"/>
                      <w:sz w:val="21"/>
                      <w:szCs w:val="21"/>
                      <w:highlight w:val="none"/>
                      <w:u w:val="none"/>
                      <w:lang w:val="en-US" w:eastAsia="zh-CN"/>
                    </w:rPr>
                    <w:t>，总高度为13.15米</w:t>
                  </w:r>
                  <w:r>
                    <w:rPr>
                      <w:rFonts w:hint="default" w:ascii="Times New Roman" w:hAnsi="Times New Roman" w:eastAsia="宋体" w:cs="Times New Roman"/>
                      <w:i w:val="0"/>
                      <w:iCs w:val="0"/>
                      <w:color w:val="auto"/>
                      <w:kern w:val="0"/>
                      <w:sz w:val="21"/>
                      <w:szCs w:val="21"/>
                      <w:highlight w:val="none"/>
                      <w:u w:val="none"/>
                      <w:lang w:val="en-US" w:eastAsia="zh-CN"/>
                    </w:rPr>
                    <w:t>，</w:t>
                  </w:r>
                  <w:r>
                    <w:rPr>
                      <w:rFonts w:hint="eastAsia" w:cs="Times New Roman"/>
                      <w:i w:val="0"/>
                      <w:iCs w:val="0"/>
                      <w:color w:val="auto"/>
                      <w:kern w:val="0"/>
                      <w:sz w:val="21"/>
                      <w:szCs w:val="21"/>
                      <w:highlight w:val="none"/>
                      <w:u w:val="none"/>
                      <w:lang w:val="en-US" w:eastAsia="zh-CN"/>
                    </w:rPr>
                    <w:t>建筑面积为7360.00平方米，近期用作物料仓库，远期用于二期</w:t>
                  </w:r>
                  <w:r>
                    <w:rPr>
                      <w:rFonts w:hint="default" w:ascii="Times New Roman" w:hAnsi="Times New Roman" w:eastAsia="宋体" w:cs="Times New Roman"/>
                      <w:i w:val="0"/>
                      <w:iCs w:val="0"/>
                      <w:color w:val="auto"/>
                      <w:kern w:val="0"/>
                      <w:sz w:val="21"/>
                      <w:szCs w:val="21"/>
                      <w:highlight w:val="none"/>
                      <w:u w:val="none"/>
                      <w:lang w:val="en-US" w:eastAsia="zh-CN"/>
                    </w:rPr>
                    <w:t>项目。</w:t>
                  </w:r>
                </w:p>
              </w:tc>
            </w:tr>
            <w:tr w14:paraId="18AF670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54" w:hRule="atLeast"/>
                <w:jc w:val="center"/>
              </w:trPr>
              <w:tc>
                <w:tcPr>
                  <w:tcW w:w="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57FB4A">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2</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00720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辅助工程</w:t>
                  </w:r>
                </w:p>
              </w:tc>
              <w:tc>
                <w:tcPr>
                  <w:tcW w:w="13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B30CE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综合</w:t>
                  </w:r>
                  <w:r>
                    <w:rPr>
                      <w:rFonts w:hint="default" w:ascii="Times New Roman" w:hAnsi="Times New Roman" w:eastAsia="宋体" w:cs="Times New Roman"/>
                      <w:i w:val="0"/>
                      <w:iCs w:val="0"/>
                      <w:color w:val="auto"/>
                      <w:kern w:val="0"/>
                      <w:sz w:val="21"/>
                      <w:szCs w:val="21"/>
                      <w:highlight w:val="none"/>
                      <w:u w:val="none"/>
                      <w:lang w:val="en-US" w:eastAsia="zh-CN"/>
                    </w:rPr>
                    <w:t>楼</w:t>
                  </w:r>
                </w:p>
              </w:tc>
              <w:tc>
                <w:tcPr>
                  <w:tcW w:w="65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92B87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both"/>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占地面积约</w:t>
                  </w:r>
                  <w:r>
                    <w:rPr>
                      <w:rFonts w:hint="eastAsia" w:cs="Times New Roman"/>
                      <w:i w:val="0"/>
                      <w:iCs w:val="0"/>
                      <w:color w:val="auto"/>
                      <w:kern w:val="0"/>
                      <w:sz w:val="21"/>
                      <w:szCs w:val="21"/>
                      <w:highlight w:val="none"/>
                      <w:u w:val="none"/>
                      <w:lang w:val="en-US" w:eastAsia="zh-CN"/>
                    </w:rPr>
                    <w:t>855.88</w:t>
                  </w:r>
                  <w:r>
                    <w:rPr>
                      <w:rFonts w:hint="default" w:ascii="Times New Roman" w:hAnsi="Times New Roman" w:eastAsia="宋体" w:cs="Times New Roman"/>
                      <w:i w:val="0"/>
                      <w:iCs w:val="0"/>
                      <w:color w:val="auto"/>
                      <w:kern w:val="0"/>
                      <w:sz w:val="21"/>
                      <w:szCs w:val="21"/>
                      <w:highlight w:val="none"/>
                      <w:u w:val="none"/>
                      <w:lang w:val="en-US" w:eastAsia="zh-CN"/>
                    </w:rPr>
                    <w:t>平方米，为</w:t>
                  </w:r>
                  <w:r>
                    <w:rPr>
                      <w:rFonts w:hint="eastAsia" w:cs="Times New Roman"/>
                      <w:i w:val="0"/>
                      <w:iCs w:val="0"/>
                      <w:color w:val="auto"/>
                      <w:kern w:val="0"/>
                      <w:sz w:val="21"/>
                      <w:szCs w:val="21"/>
                      <w:highlight w:val="none"/>
                      <w:u w:val="none"/>
                      <w:lang w:val="en-US" w:eastAsia="zh-CN"/>
                    </w:rPr>
                    <w:t>4</w:t>
                  </w:r>
                  <w:r>
                    <w:rPr>
                      <w:rFonts w:hint="default" w:ascii="Times New Roman" w:hAnsi="Times New Roman" w:eastAsia="宋体" w:cs="Times New Roman"/>
                      <w:i w:val="0"/>
                      <w:iCs w:val="0"/>
                      <w:color w:val="auto"/>
                      <w:kern w:val="0"/>
                      <w:sz w:val="21"/>
                      <w:szCs w:val="21"/>
                      <w:highlight w:val="none"/>
                      <w:u w:val="none"/>
                      <w:lang w:val="en-US" w:eastAsia="zh-CN"/>
                    </w:rPr>
                    <w:t>层建筑，</w:t>
                  </w:r>
                  <w:r>
                    <w:rPr>
                      <w:rFonts w:hint="eastAsia" w:cs="Times New Roman"/>
                      <w:i w:val="0"/>
                      <w:iCs w:val="0"/>
                      <w:color w:val="auto"/>
                      <w:kern w:val="0"/>
                      <w:sz w:val="21"/>
                      <w:szCs w:val="21"/>
                      <w:highlight w:val="none"/>
                      <w:u w:val="none"/>
                      <w:lang w:val="en-US" w:eastAsia="zh-CN"/>
                    </w:rPr>
                    <w:t>总高度15米，</w:t>
                  </w:r>
                  <w:r>
                    <w:rPr>
                      <w:rFonts w:hint="default" w:ascii="Times New Roman" w:hAnsi="Times New Roman" w:eastAsia="宋体" w:cs="Times New Roman"/>
                      <w:i w:val="0"/>
                      <w:iCs w:val="0"/>
                      <w:color w:val="auto"/>
                      <w:kern w:val="0"/>
                      <w:sz w:val="21"/>
                      <w:szCs w:val="21"/>
                      <w:highlight w:val="none"/>
                      <w:u w:val="none"/>
                      <w:lang w:val="en-US" w:eastAsia="zh-CN"/>
                    </w:rPr>
                    <w:t>建筑面积</w:t>
                  </w:r>
                  <w:r>
                    <w:rPr>
                      <w:rFonts w:hint="eastAsia" w:cs="Times New Roman"/>
                      <w:i w:val="0"/>
                      <w:iCs w:val="0"/>
                      <w:color w:val="auto"/>
                      <w:kern w:val="0"/>
                      <w:sz w:val="21"/>
                      <w:szCs w:val="21"/>
                      <w:highlight w:val="none"/>
                      <w:u w:val="none"/>
                      <w:lang w:val="en-US" w:eastAsia="zh-CN"/>
                    </w:rPr>
                    <w:t>2974.00</w:t>
                  </w:r>
                  <w:r>
                    <w:rPr>
                      <w:rFonts w:hint="default" w:ascii="Times New Roman" w:hAnsi="Times New Roman" w:eastAsia="宋体" w:cs="Times New Roman"/>
                      <w:i w:val="0"/>
                      <w:iCs w:val="0"/>
                      <w:color w:val="auto"/>
                      <w:kern w:val="0"/>
                      <w:sz w:val="21"/>
                      <w:szCs w:val="21"/>
                      <w:highlight w:val="none"/>
                      <w:u w:val="none"/>
                      <w:lang w:val="en-US" w:eastAsia="zh-CN"/>
                    </w:rPr>
                    <w:t>平方米，设置在项目中心</w:t>
                  </w:r>
                  <w:r>
                    <w:rPr>
                      <w:rFonts w:hint="eastAsia" w:cs="Times New Roman"/>
                      <w:i w:val="0"/>
                      <w:iCs w:val="0"/>
                      <w:color w:val="auto"/>
                      <w:kern w:val="0"/>
                      <w:sz w:val="21"/>
                      <w:szCs w:val="21"/>
                      <w:highlight w:val="none"/>
                      <w:u w:val="none"/>
                      <w:lang w:val="en-US" w:eastAsia="zh-CN"/>
                    </w:rPr>
                    <w:t>西南侧</w:t>
                  </w:r>
                  <w:r>
                    <w:rPr>
                      <w:rFonts w:hint="default" w:ascii="Times New Roman" w:hAnsi="Times New Roman" w:eastAsia="宋体" w:cs="Times New Roman"/>
                      <w:i w:val="0"/>
                      <w:iCs w:val="0"/>
                      <w:color w:val="auto"/>
                      <w:kern w:val="0"/>
                      <w:sz w:val="21"/>
                      <w:szCs w:val="21"/>
                      <w:highlight w:val="none"/>
                      <w:u w:val="none"/>
                      <w:lang w:val="en-US" w:eastAsia="zh-CN"/>
                    </w:rPr>
                    <w:t>，</w:t>
                  </w:r>
                  <w:r>
                    <w:rPr>
                      <w:rFonts w:hint="eastAsia" w:cs="Times New Roman"/>
                      <w:i w:val="0"/>
                      <w:iCs w:val="0"/>
                      <w:color w:val="auto"/>
                      <w:kern w:val="0"/>
                      <w:sz w:val="21"/>
                      <w:szCs w:val="21"/>
                      <w:highlight w:val="none"/>
                      <w:u w:val="none"/>
                      <w:lang w:val="en-US" w:eastAsia="zh-CN"/>
                    </w:rPr>
                    <w:t>主要为办公室及员工宿舍，</w:t>
                  </w:r>
                  <w:r>
                    <w:rPr>
                      <w:rFonts w:hint="default" w:ascii="Times New Roman" w:hAnsi="Times New Roman" w:eastAsia="宋体" w:cs="Times New Roman"/>
                      <w:i w:val="0"/>
                      <w:iCs w:val="0"/>
                      <w:color w:val="auto"/>
                      <w:kern w:val="0"/>
                      <w:sz w:val="21"/>
                      <w:szCs w:val="21"/>
                      <w:highlight w:val="none"/>
                      <w:u w:val="none"/>
                      <w:lang w:val="en-US" w:eastAsia="zh-CN"/>
                    </w:rPr>
                    <w:t>内部设食堂。</w:t>
                  </w:r>
                </w:p>
              </w:tc>
            </w:tr>
            <w:tr w14:paraId="633956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77" w:hRule="atLeast"/>
                <w:jc w:val="center"/>
              </w:trPr>
              <w:tc>
                <w:tcPr>
                  <w:tcW w:w="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EDF0F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3</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A73061">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储运工程</w:t>
                  </w:r>
                </w:p>
              </w:tc>
              <w:tc>
                <w:tcPr>
                  <w:tcW w:w="13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2DE335">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物料仓库</w:t>
                  </w:r>
                </w:p>
              </w:tc>
              <w:tc>
                <w:tcPr>
                  <w:tcW w:w="65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4148DC">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both"/>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rPr>
                    <w:t>位于</w:t>
                  </w:r>
                  <w:r>
                    <w:rPr>
                      <w:rFonts w:hint="eastAsia" w:cs="Times New Roman"/>
                      <w:i w:val="0"/>
                      <w:iCs w:val="0"/>
                      <w:color w:val="auto"/>
                      <w:kern w:val="0"/>
                      <w:sz w:val="21"/>
                      <w:szCs w:val="21"/>
                      <w:highlight w:val="none"/>
                      <w:u w:val="none"/>
                      <w:lang w:val="en-US" w:eastAsia="zh-CN"/>
                    </w:rPr>
                    <w:t>3</w:t>
                  </w:r>
                  <w:r>
                    <w:rPr>
                      <w:rFonts w:hint="default" w:ascii="Times New Roman" w:hAnsi="Times New Roman" w:eastAsia="宋体" w:cs="Times New Roman"/>
                      <w:i w:val="0"/>
                      <w:iCs w:val="0"/>
                      <w:color w:val="auto"/>
                      <w:kern w:val="0"/>
                      <w:sz w:val="21"/>
                      <w:szCs w:val="21"/>
                      <w:highlight w:val="none"/>
                      <w:u w:val="none"/>
                      <w:lang w:val="en-US" w:eastAsia="zh-CN"/>
                    </w:rPr>
                    <w:t>#厂房，占地面积</w:t>
                  </w:r>
                  <w:r>
                    <w:rPr>
                      <w:rFonts w:hint="eastAsia" w:cs="Times New Roman"/>
                      <w:i w:val="0"/>
                      <w:iCs w:val="0"/>
                      <w:color w:val="auto"/>
                      <w:kern w:val="0"/>
                      <w:sz w:val="21"/>
                      <w:szCs w:val="21"/>
                      <w:highlight w:val="none"/>
                      <w:u w:val="none"/>
                      <w:lang w:val="en-US" w:eastAsia="zh-CN"/>
                    </w:rPr>
                    <w:t>7360</w:t>
                  </w:r>
                  <w:r>
                    <w:rPr>
                      <w:rFonts w:hint="default" w:ascii="Times New Roman" w:hAnsi="Times New Roman" w:eastAsia="宋体" w:cs="Times New Roman"/>
                      <w:i w:val="0"/>
                      <w:iCs w:val="0"/>
                      <w:color w:val="auto"/>
                      <w:kern w:val="0"/>
                      <w:sz w:val="21"/>
                      <w:szCs w:val="21"/>
                      <w:highlight w:val="none"/>
                      <w:u w:val="none"/>
                      <w:lang w:val="en-US" w:eastAsia="zh-CN"/>
                    </w:rPr>
                    <w:t>平方米，建筑面积</w:t>
                  </w:r>
                  <w:r>
                    <w:rPr>
                      <w:rFonts w:hint="eastAsia" w:cs="Times New Roman"/>
                      <w:i w:val="0"/>
                      <w:iCs w:val="0"/>
                      <w:color w:val="auto"/>
                      <w:kern w:val="0"/>
                      <w:sz w:val="21"/>
                      <w:szCs w:val="21"/>
                      <w:highlight w:val="none"/>
                      <w:u w:val="none"/>
                      <w:lang w:val="en-US" w:eastAsia="zh-CN"/>
                    </w:rPr>
                    <w:t>7360</w:t>
                  </w:r>
                  <w:r>
                    <w:rPr>
                      <w:rFonts w:hint="default" w:ascii="Times New Roman" w:hAnsi="Times New Roman" w:eastAsia="宋体" w:cs="Times New Roman"/>
                      <w:i w:val="0"/>
                      <w:iCs w:val="0"/>
                      <w:color w:val="auto"/>
                      <w:kern w:val="0"/>
                      <w:sz w:val="21"/>
                      <w:szCs w:val="21"/>
                      <w:highlight w:val="none"/>
                      <w:u w:val="none"/>
                      <w:lang w:val="en-US" w:eastAsia="zh-CN"/>
                    </w:rPr>
                    <w:t>平方米</w:t>
                  </w:r>
                  <w:r>
                    <w:rPr>
                      <w:rFonts w:hint="eastAsia" w:cs="Times New Roman"/>
                      <w:i w:val="0"/>
                      <w:iCs w:val="0"/>
                      <w:color w:val="auto"/>
                      <w:kern w:val="0"/>
                      <w:sz w:val="21"/>
                      <w:szCs w:val="21"/>
                      <w:highlight w:val="none"/>
                      <w:u w:val="none"/>
                      <w:lang w:val="en-US" w:eastAsia="zh-CN"/>
                    </w:rPr>
                    <w:t>，</w:t>
                  </w:r>
                  <w:r>
                    <w:rPr>
                      <w:rFonts w:hint="default" w:ascii="Times New Roman" w:hAnsi="Times New Roman" w:eastAsia="宋体" w:cs="Times New Roman"/>
                      <w:i w:val="0"/>
                      <w:iCs w:val="0"/>
                      <w:color w:val="auto"/>
                      <w:kern w:val="0"/>
                      <w:sz w:val="21"/>
                      <w:szCs w:val="21"/>
                      <w:highlight w:val="none"/>
                      <w:u w:val="none"/>
                      <w:lang w:val="en-US" w:eastAsia="zh-CN"/>
                    </w:rPr>
                    <w:t>为1层建筑</w:t>
                  </w:r>
                  <w:r>
                    <w:rPr>
                      <w:rFonts w:hint="eastAsia" w:cs="Times New Roman"/>
                      <w:i w:val="0"/>
                      <w:iCs w:val="0"/>
                      <w:color w:val="auto"/>
                      <w:kern w:val="0"/>
                      <w:sz w:val="21"/>
                      <w:szCs w:val="21"/>
                      <w:highlight w:val="none"/>
                      <w:u w:val="none"/>
                      <w:lang w:val="en-US" w:eastAsia="zh-CN"/>
                    </w:rPr>
                    <w:t>，总高度为13.15米</w:t>
                  </w:r>
                  <w:r>
                    <w:rPr>
                      <w:rFonts w:hint="default" w:ascii="Times New Roman" w:hAnsi="Times New Roman" w:eastAsia="宋体" w:cs="Times New Roman"/>
                      <w:i w:val="0"/>
                      <w:iCs w:val="0"/>
                      <w:color w:val="auto"/>
                      <w:kern w:val="0"/>
                      <w:sz w:val="21"/>
                      <w:szCs w:val="21"/>
                      <w:highlight w:val="none"/>
                      <w:u w:val="none"/>
                      <w:lang w:val="en-US" w:eastAsia="zh-CN"/>
                    </w:rPr>
                    <w:t>。用于储存加工物料、产品，另在</w:t>
                  </w:r>
                  <w:r>
                    <w:rPr>
                      <w:rFonts w:hint="eastAsia" w:cs="Times New Roman"/>
                      <w:i w:val="0"/>
                      <w:iCs w:val="0"/>
                      <w:color w:val="auto"/>
                      <w:kern w:val="0"/>
                      <w:sz w:val="21"/>
                      <w:szCs w:val="21"/>
                      <w:highlight w:val="none"/>
                      <w:u w:val="none"/>
                      <w:lang w:val="en-US" w:eastAsia="zh-CN"/>
                    </w:rPr>
                    <w:t>4</w:t>
                  </w:r>
                  <w:r>
                    <w:rPr>
                      <w:rFonts w:hint="default" w:ascii="Times New Roman" w:hAnsi="Times New Roman" w:eastAsia="宋体" w:cs="Times New Roman"/>
                      <w:i w:val="0"/>
                      <w:iCs w:val="0"/>
                      <w:color w:val="auto"/>
                      <w:kern w:val="0"/>
                      <w:sz w:val="21"/>
                      <w:szCs w:val="21"/>
                      <w:highlight w:val="none"/>
                      <w:u w:val="none"/>
                      <w:lang w:val="en-US" w:eastAsia="zh-CN"/>
                    </w:rPr>
                    <w:t>#厂房设有化学品仓用于</w:t>
                  </w:r>
                  <w:r>
                    <w:rPr>
                      <w:rFonts w:hint="eastAsia" w:cs="Times New Roman"/>
                      <w:i w:val="0"/>
                      <w:iCs w:val="0"/>
                      <w:color w:val="auto"/>
                      <w:kern w:val="0"/>
                      <w:sz w:val="21"/>
                      <w:szCs w:val="21"/>
                      <w:highlight w:val="none"/>
                      <w:u w:val="none"/>
                      <w:lang w:val="en-US" w:eastAsia="zh-CN"/>
                    </w:rPr>
                    <w:t>化学</w:t>
                  </w:r>
                  <w:r>
                    <w:rPr>
                      <w:rFonts w:hint="default" w:ascii="Times New Roman" w:hAnsi="Times New Roman" w:eastAsia="宋体" w:cs="Times New Roman"/>
                      <w:i w:val="0"/>
                      <w:iCs w:val="0"/>
                      <w:color w:val="auto"/>
                      <w:kern w:val="0"/>
                      <w:sz w:val="21"/>
                      <w:szCs w:val="21"/>
                      <w:highlight w:val="none"/>
                      <w:u w:val="none"/>
                      <w:lang w:val="en-US" w:eastAsia="zh-CN"/>
                    </w:rPr>
                    <w:t>试剂</w:t>
                  </w:r>
                  <w:r>
                    <w:rPr>
                      <w:rFonts w:hint="eastAsia" w:cs="Times New Roman"/>
                      <w:i w:val="0"/>
                      <w:iCs w:val="0"/>
                      <w:color w:val="auto"/>
                      <w:kern w:val="0"/>
                      <w:sz w:val="21"/>
                      <w:szCs w:val="21"/>
                      <w:highlight w:val="none"/>
                      <w:u w:val="none"/>
                      <w:lang w:val="en-US" w:eastAsia="zh-CN"/>
                    </w:rPr>
                    <w:t>（如烧碱）</w:t>
                  </w:r>
                  <w:r>
                    <w:rPr>
                      <w:rFonts w:hint="default" w:ascii="Times New Roman" w:hAnsi="Times New Roman" w:eastAsia="宋体" w:cs="Times New Roman"/>
                      <w:i w:val="0"/>
                      <w:iCs w:val="0"/>
                      <w:color w:val="auto"/>
                      <w:kern w:val="0"/>
                      <w:sz w:val="21"/>
                      <w:szCs w:val="21"/>
                      <w:highlight w:val="none"/>
                      <w:u w:val="none"/>
                      <w:lang w:val="en-US" w:eastAsia="zh-CN"/>
                    </w:rPr>
                    <w:t>，占地约</w:t>
                  </w:r>
                  <w:r>
                    <w:rPr>
                      <w:rFonts w:hint="eastAsia" w:cs="Times New Roman"/>
                      <w:i w:val="0"/>
                      <w:iCs w:val="0"/>
                      <w:color w:val="auto"/>
                      <w:kern w:val="0"/>
                      <w:sz w:val="21"/>
                      <w:szCs w:val="21"/>
                      <w:highlight w:val="none"/>
                      <w:u w:val="none"/>
                      <w:lang w:val="en-US" w:eastAsia="zh-CN"/>
                    </w:rPr>
                    <w:t>20</w:t>
                  </w:r>
                  <w:r>
                    <w:rPr>
                      <w:rFonts w:hint="default" w:ascii="Times New Roman" w:hAnsi="Times New Roman" w:cs="Times New Roman"/>
                      <w:i w:val="0"/>
                      <w:iCs w:val="0"/>
                      <w:color w:val="auto"/>
                      <w:kern w:val="0"/>
                      <w:sz w:val="21"/>
                      <w:szCs w:val="21"/>
                      <w:highlight w:val="none"/>
                      <w:u w:val="none"/>
                      <w:lang w:val="en-US" w:eastAsia="zh-CN"/>
                    </w:rPr>
                    <w:t>平方米</w:t>
                  </w:r>
                  <w:r>
                    <w:rPr>
                      <w:rFonts w:hint="eastAsia" w:cs="Times New Roman"/>
                      <w:i w:val="0"/>
                      <w:iCs w:val="0"/>
                      <w:color w:val="auto"/>
                      <w:kern w:val="0"/>
                      <w:sz w:val="21"/>
                      <w:szCs w:val="21"/>
                      <w:highlight w:val="none"/>
                      <w:u w:val="none"/>
                      <w:lang w:val="en-US" w:eastAsia="zh-CN"/>
                    </w:rPr>
                    <w:t>，全部面积在一期项目投入使用</w:t>
                  </w:r>
                  <w:r>
                    <w:rPr>
                      <w:rFonts w:hint="default" w:ascii="Times New Roman" w:hAnsi="Times New Roman" w:eastAsia="宋体" w:cs="Times New Roman"/>
                      <w:i w:val="0"/>
                      <w:iCs w:val="0"/>
                      <w:color w:val="auto"/>
                      <w:kern w:val="0"/>
                      <w:sz w:val="21"/>
                      <w:szCs w:val="21"/>
                      <w:highlight w:val="none"/>
                      <w:u w:val="none"/>
                      <w:lang w:val="en-US" w:eastAsia="zh-CN"/>
                    </w:rPr>
                    <w:t>。</w:t>
                  </w:r>
                  <w:r>
                    <w:rPr>
                      <w:rFonts w:hint="eastAsia" w:cs="Times New Roman"/>
                      <w:i w:val="0"/>
                      <w:iCs w:val="0"/>
                      <w:color w:val="auto"/>
                      <w:kern w:val="0"/>
                      <w:sz w:val="21"/>
                      <w:szCs w:val="21"/>
                      <w:highlight w:val="none"/>
                      <w:u w:val="none"/>
                      <w:lang w:val="en-US" w:eastAsia="zh-CN"/>
                    </w:rPr>
                    <w:t>同时2#厂房设置混合料塑料毛料储存区，面积约300平方米；4#厂房内设置PP/ABS/PS破碎料、压包塑料储存区，面积约400平方米。</w:t>
                  </w:r>
                </w:p>
              </w:tc>
            </w:tr>
            <w:tr w14:paraId="7911F8E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19" w:hRule="atLeast"/>
                <w:jc w:val="center"/>
              </w:trPr>
              <w:tc>
                <w:tcPr>
                  <w:tcW w:w="69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39522B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4</w:t>
                  </w:r>
                </w:p>
              </w:tc>
              <w:tc>
                <w:tcPr>
                  <w:tcW w:w="64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A64420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公用工程</w:t>
                  </w:r>
                </w:p>
              </w:tc>
              <w:tc>
                <w:tcPr>
                  <w:tcW w:w="13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FF27F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供电</w:t>
                  </w:r>
                </w:p>
              </w:tc>
              <w:tc>
                <w:tcPr>
                  <w:tcW w:w="65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21824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both"/>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rPr>
                    <w:t>年用电量158万kW/h，</w:t>
                  </w:r>
                  <w:r>
                    <w:rPr>
                      <w:rFonts w:hint="default" w:ascii="Times New Roman" w:hAnsi="Times New Roman" w:eastAsia="宋体" w:cs="Times New Roman"/>
                      <w:i w:val="0"/>
                      <w:iCs w:val="0"/>
                      <w:color w:val="auto"/>
                      <w:kern w:val="0"/>
                      <w:sz w:val="21"/>
                      <w:szCs w:val="21"/>
                      <w:highlight w:val="none"/>
                      <w:u w:val="none"/>
                      <w:lang w:val="en-US" w:eastAsia="zh-CN"/>
                    </w:rPr>
                    <w:t>由市政电网供给，</w:t>
                  </w:r>
                  <w:r>
                    <w:rPr>
                      <w:rFonts w:hint="eastAsia" w:cs="Times New Roman"/>
                      <w:i w:val="0"/>
                      <w:iCs w:val="0"/>
                      <w:color w:val="auto"/>
                      <w:kern w:val="0"/>
                      <w:sz w:val="21"/>
                      <w:szCs w:val="21"/>
                      <w:highlight w:val="none"/>
                      <w:u w:val="none"/>
                      <w:lang w:val="en-US" w:eastAsia="zh-CN"/>
                    </w:rPr>
                    <w:t>设</w:t>
                  </w:r>
                  <w:r>
                    <w:rPr>
                      <w:rFonts w:hint="default" w:ascii="Times New Roman" w:hAnsi="Times New Roman" w:eastAsia="宋体" w:cs="Times New Roman"/>
                      <w:i w:val="0"/>
                      <w:iCs w:val="0"/>
                      <w:color w:val="auto"/>
                      <w:kern w:val="0"/>
                      <w:sz w:val="21"/>
                      <w:szCs w:val="21"/>
                      <w:highlight w:val="none"/>
                      <w:u w:val="none"/>
                      <w:lang w:val="en-US" w:eastAsia="zh-CN"/>
                    </w:rPr>
                    <w:t>备用发电机</w:t>
                  </w:r>
                  <w:r>
                    <w:rPr>
                      <w:rFonts w:hint="eastAsia" w:cs="Times New Roman"/>
                      <w:i w:val="0"/>
                      <w:iCs w:val="0"/>
                      <w:color w:val="auto"/>
                      <w:kern w:val="0"/>
                      <w:sz w:val="21"/>
                      <w:szCs w:val="21"/>
                      <w:highlight w:val="none"/>
                      <w:u w:val="none"/>
                      <w:lang w:val="en-US" w:eastAsia="zh-CN"/>
                    </w:rPr>
                    <w:t>1台，功率为120kw</w:t>
                  </w:r>
                </w:p>
              </w:tc>
            </w:tr>
            <w:tr w14:paraId="5226994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19" w:hRule="atLeast"/>
                <w:jc w:val="center"/>
              </w:trPr>
              <w:tc>
                <w:tcPr>
                  <w:tcW w:w="6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5A376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4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326A51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3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0A685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供水</w:t>
                  </w:r>
                </w:p>
              </w:tc>
              <w:tc>
                <w:tcPr>
                  <w:tcW w:w="65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CB6E9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由当地自来水管网供给</w:t>
                  </w:r>
                </w:p>
              </w:tc>
            </w:tr>
            <w:tr w14:paraId="0EC491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9" w:hRule="atLeast"/>
                <w:jc w:val="center"/>
              </w:trPr>
              <w:tc>
                <w:tcPr>
                  <w:tcW w:w="6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02E3C51">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4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82745B1">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3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1B18E6">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供气</w:t>
                  </w:r>
                </w:p>
              </w:tc>
              <w:tc>
                <w:tcPr>
                  <w:tcW w:w="65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2BB41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rPr>
                    <w:t>食堂</w:t>
                  </w:r>
                  <w:r>
                    <w:rPr>
                      <w:rFonts w:hint="default" w:ascii="Times New Roman" w:hAnsi="Times New Roman" w:eastAsia="宋体" w:cs="Times New Roman"/>
                      <w:i w:val="0"/>
                      <w:iCs w:val="0"/>
                      <w:color w:val="auto"/>
                      <w:kern w:val="0"/>
                      <w:sz w:val="21"/>
                      <w:szCs w:val="21"/>
                      <w:highlight w:val="none"/>
                      <w:u w:val="none"/>
                      <w:lang w:val="en-US" w:eastAsia="zh-CN"/>
                    </w:rPr>
                    <w:t>天然气为当地管道天然气供给</w:t>
                  </w:r>
                </w:p>
              </w:tc>
            </w:tr>
            <w:tr w14:paraId="3E88D0E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77" w:hRule="atLeast"/>
                <w:jc w:val="center"/>
              </w:trPr>
              <w:tc>
                <w:tcPr>
                  <w:tcW w:w="694" w:type="dxa"/>
                  <w:vMerge w:val="restart"/>
                  <w:tcBorders>
                    <w:top w:val="single" w:color="000000" w:sz="4" w:space="0"/>
                    <w:left w:val="single" w:color="000000" w:sz="4" w:space="0"/>
                    <w:right w:val="single" w:color="000000" w:sz="4" w:space="0"/>
                  </w:tcBorders>
                  <w:shd w:val="clear" w:color="auto" w:fill="auto"/>
                  <w:vAlign w:val="center"/>
                </w:tcPr>
                <w:p w14:paraId="6BD20E7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5</w:t>
                  </w:r>
                </w:p>
              </w:tc>
              <w:tc>
                <w:tcPr>
                  <w:tcW w:w="645" w:type="dxa"/>
                  <w:vMerge w:val="restart"/>
                  <w:tcBorders>
                    <w:top w:val="single" w:color="000000" w:sz="4" w:space="0"/>
                    <w:left w:val="single" w:color="000000" w:sz="4" w:space="0"/>
                    <w:right w:val="single" w:color="000000" w:sz="4" w:space="0"/>
                  </w:tcBorders>
                  <w:shd w:val="clear" w:color="auto" w:fill="auto"/>
                  <w:vAlign w:val="center"/>
                </w:tcPr>
                <w:p w14:paraId="157544F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环保工程</w:t>
                  </w:r>
                </w:p>
              </w:tc>
              <w:tc>
                <w:tcPr>
                  <w:tcW w:w="1393" w:type="dxa"/>
                  <w:vMerge w:val="restart"/>
                  <w:tcBorders>
                    <w:top w:val="single" w:color="000000" w:sz="4" w:space="0"/>
                    <w:left w:val="single" w:color="000000" w:sz="4" w:space="0"/>
                    <w:right w:val="single" w:color="000000" w:sz="4" w:space="0"/>
                  </w:tcBorders>
                  <w:shd w:val="clear" w:color="auto" w:fill="auto"/>
                  <w:vAlign w:val="center"/>
                </w:tcPr>
                <w:p w14:paraId="1489DEE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废气</w:t>
                  </w:r>
                </w:p>
              </w:tc>
              <w:tc>
                <w:tcPr>
                  <w:tcW w:w="65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54C70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①</w:t>
                  </w:r>
                  <w:r>
                    <w:rPr>
                      <w:rFonts w:hint="eastAsia" w:cs="Times New Roman"/>
                      <w:i w:val="0"/>
                      <w:iCs w:val="0"/>
                      <w:color w:val="auto"/>
                      <w:kern w:val="0"/>
                      <w:sz w:val="21"/>
                      <w:szCs w:val="21"/>
                      <w:highlight w:val="none"/>
                      <w:u w:val="none"/>
                      <w:lang w:val="en-US" w:eastAsia="zh-CN"/>
                    </w:rPr>
                    <w:t>破碎工序</w:t>
                  </w:r>
                  <w:r>
                    <w:rPr>
                      <w:rFonts w:hint="default" w:ascii="Times New Roman" w:hAnsi="Times New Roman" w:eastAsia="宋体" w:cs="Times New Roman"/>
                      <w:i w:val="0"/>
                      <w:iCs w:val="0"/>
                      <w:color w:val="auto"/>
                      <w:kern w:val="0"/>
                      <w:sz w:val="21"/>
                      <w:szCs w:val="21"/>
                      <w:highlight w:val="none"/>
                      <w:u w:val="none"/>
                      <w:lang w:val="en-US" w:eastAsia="zh-CN"/>
                    </w:rPr>
                    <w:t>产生的污染物主要有颗粒物，</w:t>
                  </w:r>
                  <w:r>
                    <w:rPr>
                      <w:rFonts w:hint="eastAsia" w:cs="Times New Roman"/>
                      <w:i w:val="0"/>
                      <w:iCs w:val="0"/>
                      <w:color w:val="auto"/>
                      <w:kern w:val="0"/>
                      <w:sz w:val="21"/>
                      <w:szCs w:val="21"/>
                      <w:highlight w:val="none"/>
                      <w:u w:val="none"/>
                      <w:lang w:val="en-US" w:eastAsia="zh-CN"/>
                    </w:rPr>
                    <w:t>设置1个布袋除尘器（处理效率99%）处理，</w:t>
                  </w:r>
                  <w:r>
                    <w:rPr>
                      <w:rFonts w:hint="default" w:ascii="Times New Roman" w:hAnsi="Times New Roman" w:eastAsia="宋体" w:cs="Times New Roman"/>
                      <w:i w:val="0"/>
                      <w:iCs w:val="0"/>
                      <w:color w:val="auto"/>
                      <w:kern w:val="0"/>
                      <w:sz w:val="21"/>
                      <w:szCs w:val="21"/>
                      <w:highlight w:val="none"/>
                      <w:u w:val="none"/>
                      <w:lang w:val="en-US" w:eastAsia="zh-CN"/>
                    </w:rPr>
                    <w:t>经引风机引至排气筒DA001高空排放，排放高度为15m</w:t>
                  </w:r>
                  <w:r>
                    <w:rPr>
                      <w:rFonts w:hint="eastAsia" w:cs="Times New Roman"/>
                      <w:i w:val="0"/>
                      <w:iCs w:val="0"/>
                      <w:color w:val="auto"/>
                      <w:kern w:val="0"/>
                      <w:sz w:val="21"/>
                      <w:szCs w:val="21"/>
                      <w:highlight w:val="none"/>
                      <w:u w:val="none"/>
                      <w:lang w:val="en-US" w:eastAsia="zh-CN"/>
                    </w:rPr>
                    <w:t>。</w:t>
                  </w:r>
                </w:p>
              </w:tc>
            </w:tr>
            <w:tr w14:paraId="5F92471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58" w:hRule="atLeast"/>
                <w:jc w:val="center"/>
              </w:trPr>
              <w:tc>
                <w:tcPr>
                  <w:tcW w:w="694" w:type="dxa"/>
                  <w:vMerge w:val="continue"/>
                  <w:tcBorders>
                    <w:left w:val="single" w:color="000000" w:sz="4" w:space="0"/>
                    <w:right w:val="single" w:color="000000" w:sz="4" w:space="0"/>
                  </w:tcBorders>
                  <w:shd w:val="clear" w:color="auto" w:fill="auto"/>
                  <w:vAlign w:val="center"/>
                </w:tcPr>
                <w:p w14:paraId="40D5DA87">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645" w:type="dxa"/>
                  <w:vMerge w:val="continue"/>
                  <w:tcBorders>
                    <w:left w:val="single" w:color="000000" w:sz="4" w:space="0"/>
                    <w:right w:val="single" w:color="000000" w:sz="4" w:space="0"/>
                  </w:tcBorders>
                  <w:shd w:val="clear" w:color="auto" w:fill="auto"/>
                  <w:vAlign w:val="center"/>
                </w:tcPr>
                <w:p w14:paraId="5A963850">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1393" w:type="dxa"/>
                  <w:vMerge w:val="continue"/>
                  <w:tcBorders>
                    <w:left w:val="single" w:color="000000" w:sz="4" w:space="0"/>
                    <w:right w:val="single" w:color="000000" w:sz="4" w:space="0"/>
                  </w:tcBorders>
                  <w:shd w:val="clear" w:color="auto" w:fill="auto"/>
                  <w:vAlign w:val="center"/>
                </w:tcPr>
                <w:p w14:paraId="7E52CA9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65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DA65F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both"/>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color w:val="auto"/>
                      <w:kern w:val="2"/>
                      <w:sz w:val="21"/>
                      <w:szCs w:val="21"/>
                      <w:highlight w:val="none"/>
                      <w:lang w:val="en-US" w:eastAsia="zh-CN"/>
                    </w:rPr>
                    <w:t>②废水处理设施产生的恶臭（硫化氢、氨、臭气浓度）无组织排放</w:t>
                  </w:r>
                </w:p>
              </w:tc>
            </w:tr>
            <w:tr w14:paraId="21D358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694" w:type="dxa"/>
                  <w:vMerge w:val="continue"/>
                  <w:tcBorders>
                    <w:left w:val="single" w:color="000000" w:sz="4" w:space="0"/>
                    <w:right w:val="single" w:color="000000" w:sz="4" w:space="0"/>
                  </w:tcBorders>
                  <w:shd w:val="clear" w:color="auto" w:fill="auto"/>
                  <w:vAlign w:val="center"/>
                </w:tcPr>
                <w:p w14:paraId="60ABF0E5">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45" w:type="dxa"/>
                  <w:vMerge w:val="continue"/>
                  <w:tcBorders>
                    <w:left w:val="single" w:color="000000" w:sz="4" w:space="0"/>
                    <w:right w:val="single" w:color="000000" w:sz="4" w:space="0"/>
                  </w:tcBorders>
                  <w:shd w:val="clear" w:color="auto" w:fill="auto"/>
                  <w:vAlign w:val="center"/>
                </w:tcPr>
                <w:p w14:paraId="06C0116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393" w:type="dxa"/>
                  <w:vMerge w:val="continue"/>
                  <w:tcBorders>
                    <w:left w:val="single" w:color="000000" w:sz="4" w:space="0"/>
                    <w:right w:val="single" w:color="000000" w:sz="4" w:space="0"/>
                  </w:tcBorders>
                  <w:shd w:val="clear" w:color="auto" w:fill="auto"/>
                  <w:vAlign w:val="center"/>
                </w:tcPr>
                <w:p w14:paraId="3F07484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5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83FBE5">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both"/>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③食堂油烟通过油烟净化器处理后由排气筒DA002高空排放，排放高度15m</w:t>
                  </w:r>
                </w:p>
              </w:tc>
            </w:tr>
            <w:tr w14:paraId="27D142F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6" w:hRule="atLeast"/>
                <w:jc w:val="center"/>
              </w:trPr>
              <w:tc>
                <w:tcPr>
                  <w:tcW w:w="694" w:type="dxa"/>
                  <w:vMerge w:val="continue"/>
                  <w:tcBorders>
                    <w:left w:val="single" w:color="000000" w:sz="4" w:space="0"/>
                    <w:right w:val="single" w:color="000000" w:sz="4" w:space="0"/>
                  </w:tcBorders>
                  <w:shd w:val="clear" w:color="auto" w:fill="auto"/>
                  <w:vAlign w:val="center"/>
                </w:tcPr>
                <w:p w14:paraId="0FA2F2D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45" w:type="dxa"/>
                  <w:vMerge w:val="continue"/>
                  <w:tcBorders>
                    <w:left w:val="single" w:color="000000" w:sz="4" w:space="0"/>
                    <w:right w:val="single" w:color="000000" w:sz="4" w:space="0"/>
                  </w:tcBorders>
                  <w:shd w:val="clear" w:color="auto" w:fill="auto"/>
                  <w:vAlign w:val="center"/>
                </w:tcPr>
                <w:p w14:paraId="37B0FFA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3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4DC12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废水</w:t>
                  </w:r>
                </w:p>
              </w:tc>
              <w:tc>
                <w:tcPr>
                  <w:tcW w:w="65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D85EF0">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生产废水通入自建污水处理站中，经“</w:t>
                  </w:r>
                  <w:r>
                    <w:rPr>
                      <w:rFonts w:hint="eastAsia" w:cs="Times New Roman"/>
                      <w:i w:val="0"/>
                      <w:iCs w:val="0"/>
                      <w:color w:val="auto"/>
                      <w:kern w:val="0"/>
                      <w:sz w:val="21"/>
                      <w:szCs w:val="21"/>
                      <w:highlight w:val="none"/>
                      <w:u w:val="none"/>
                      <w:lang w:val="en-US" w:eastAsia="zh-CN"/>
                    </w:rPr>
                    <w:t>中和调节+絮凝沉淀+A/O+二沉池+消毒</w:t>
                  </w:r>
                  <w:r>
                    <w:rPr>
                      <w:rFonts w:hint="default" w:ascii="Times New Roman" w:hAnsi="Times New Roman" w:eastAsia="宋体" w:cs="Times New Roman"/>
                      <w:i w:val="0"/>
                      <w:iCs w:val="0"/>
                      <w:color w:val="auto"/>
                      <w:kern w:val="0"/>
                      <w:sz w:val="21"/>
                      <w:szCs w:val="21"/>
                      <w:highlight w:val="none"/>
                      <w:u w:val="none"/>
                      <w:lang w:val="en-US" w:eastAsia="zh-CN"/>
                    </w:rPr>
                    <w:t>”</w:t>
                  </w:r>
                  <w:r>
                    <w:rPr>
                      <w:rFonts w:hint="eastAsia" w:cs="Times New Roman"/>
                      <w:i w:val="0"/>
                      <w:iCs w:val="0"/>
                      <w:color w:val="auto"/>
                      <w:kern w:val="0"/>
                      <w:sz w:val="21"/>
                      <w:szCs w:val="21"/>
                      <w:highlight w:val="none"/>
                      <w:u w:val="none"/>
                      <w:lang w:val="en-US" w:eastAsia="zh-CN"/>
                    </w:rPr>
                    <w:t>处理后循环使用、定期排放；</w:t>
                  </w:r>
                  <w:r>
                    <w:rPr>
                      <w:rFonts w:hint="default" w:ascii="Times New Roman" w:hAnsi="Times New Roman" w:eastAsia="宋体" w:cs="Times New Roman"/>
                      <w:i w:val="0"/>
                      <w:iCs w:val="0"/>
                      <w:color w:val="auto"/>
                      <w:kern w:val="0"/>
                      <w:sz w:val="21"/>
                      <w:szCs w:val="21"/>
                      <w:highlight w:val="none"/>
                      <w:u w:val="none"/>
                      <w:lang w:val="en-US" w:eastAsia="zh-CN"/>
                    </w:rPr>
                    <w:t>生活污水采取“三级化粪池”预处理后，</w:t>
                  </w:r>
                  <w:r>
                    <w:rPr>
                      <w:rFonts w:hint="eastAsia" w:cs="Times New Roman"/>
                      <w:i w:val="0"/>
                      <w:iCs w:val="0"/>
                      <w:color w:val="auto"/>
                      <w:kern w:val="0"/>
                      <w:sz w:val="21"/>
                      <w:szCs w:val="21"/>
                      <w:highlight w:val="none"/>
                      <w:u w:val="none"/>
                      <w:lang w:val="en-US" w:eastAsia="zh-CN"/>
                    </w:rPr>
                    <w:t>与经处理的外排生产废水一并经DW001排放口</w:t>
                  </w:r>
                  <w:r>
                    <w:rPr>
                      <w:rFonts w:hint="default" w:ascii="Times New Roman" w:hAnsi="Times New Roman" w:eastAsia="宋体" w:cs="Times New Roman"/>
                      <w:i w:val="0"/>
                      <w:iCs w:val="0"/>
                      <w:color w:val="auto"/>
                      <w:kern w:val="0"/>
                      <w:sz w:val="21"/>
                      <w:szCs w:val="21"/>
                      <w:highlight w:val="none"/>
                      <w:u w:val="none"/>
                      <w:lang w:val="en-US" w:eastAsia="zh-CN"/>
                    </w:rPr>
                    <w:t>排入园区污水处理厂进一步处理，处理达标后通过出水管道输送尾水，经废水排放口（WS-LC005001）排放至榴村霜降坑河，最终流入武江；</w:t>
                  </w:r>
                </w:p>
              </w:tc>
            </w:tr>
            <w:tr w14:paraId="4F4840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54" w:hRule="atLeast"/>
                <w:jc w:val="center"/>
              </w:trPr>
              <w:tc>
                <w:tcPr>
                  <w:tcW w:w="694" w:type="dxa"/>
                  <w:vMerge w:val="continue"/>
                  <w:tcBorders>
                    <w:left w:val="single" w:color="000000" w:sz="4" w:space="0"/>
                    <w:right w:val="single" w:color="000000" w:sz="4" w:space="0"/>
                  </w:tcBorders>
                  <w:shd w:val="clear" w:color="auto" w:fill="auto"/>
                  <w:vAlign w:val="center"/>
                </w:tcPr>
                <w:p w14:paraId="6F7054F0">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45" w:type="dxa"/>
                  <w:vMerge w:val="continue"/>
                  <w:tcBorders>
                    <w:left w:val="single" w:color="000000" w:sz="4" w:space="0"/>
                    <w:right w:val="single" w:color="000000" w:sz="4" w:space="0"/>
                  </w:tcBorders>
                  <w:shd w:val="clear" w:color="auto" w:fill="auto"/>
                  <w:vAlign w:val="center"/>
                </w:tcPr>
                <w:p w14:paraId="6BAC737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39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38E22D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固废</w:t>
                  </w:r>
                </w:p>
              </w:tc>
              <w:tc>
                <w:tcPr>
                  <w:tcW w:w="65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50FF1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危险废物暂存间建筑面积2</w:t>
                  </w:r>
                  <w:r>
                    <w:rPr>
                      <w:rFonts w:hint="eastAsia" w:cs="Times New Roman"/>
                      <w:i w:val="0"/>
                      <w:iCs w:val="0"/>
                      <w:color w:val="auto"/>
                      <w:kern w:val="0"/>
                      <w:sz w:val="21"/>
                      <w:szCs w:val="21"/>
                      <w:highlight w:val="none"/>
                      <w:u w:val="none"/>
                      <w:lang w:val="en-US" w:eastAsia="zh-CN"/>
                    </w:rPr>
                    <w:t>5</w:t>
                  </w:r>
                  <w:r>
                    <w:rPr>
                      <w:rFonts w:hint="default" w:ascii="Times New Roman" w:hAnsi="Times New Roman" w:cs="Times New Roman"/>
                      <w:i w:val="0"/>
                      <w:iCs w:val="0"/>
                      <w:color w:val="auto"/>
                      <w:kern w:val="0"/>
                      <w:sz w:val="21"/>
                      <w:szCs w:val="21"/>
                      <w:highlight w:val="none"/>
                      <w:u w:val="none"/>
                      <w:lang w:val="en-US" w:eastAsia="zh-CN"/>
                    </w:rPr>
                    <w:t>平方米</w:t>
                  </w:r>
                  <w:r>
                    <w:rPr>
                      <w:rFonts w:hint="default" w:ascii="Times New Roman" w:hAnsi="Times New Roman" w:eastAsia="宋体" w:cs="Times New Roman"/>
                      <w:i w:val="0"/>
                      <w:iCs w:val="0"/>
                      <w:color w:val="auto"/>
                      <w:kern w:val="0"/>
                      <w:sz w:val="21"/>
                      <w:szCs w:val="21"/>
                      <w:highlight w:val="none"/>
                      <w:u w:val="none"/>
                      <w:lang w:val="en-US" w:eastAsia="zh-CN"/>
                    </w:rPr>
                    <w:t>，用于危险废物存放</w:t>
                  </w:r>
                  <w:r>
                    <w:rPr>
                      <w:rFonts w:hint="eastAsia" w:cs="Times New Roman"/>
                      <w:i w:val="0"/>
                      <w:iCs w:val="0"/>
                      <w:color w:val="auto"/>
                      <w:kern w:val="0"/>
                      <w:sz w:val="21"/>
                      <w:szCs w:val="21"/>
                      <w:highlight w:val="none"/>
                      <w:u w:val="none"/>
                      <w:lang w:val="en-US" w:eastAsia="zh-CN"/>
                    </w:rPr>
                    <w:t>，位于3#厂房</w:t>
                  </w:r>
                  <w:r>
                    <w:rPr>
                      <w:rFonts w:hint="default" w:ascii="Times New Roman" w:hAnsi="Times New Roman" w:eastAsia="宋体" w:cs="Times New Roman"/>
                      <w:i w:val="0"/>
                      <w:iCs w:val="0"/>
                      <w:color w:val="auto"/>
                      <w:kern w:val="0"/>
                      <w:sz w:val="21"/>
                      <w:szCs w:val="21"/>
                      <w:highlight w:val="none"/>
                      <w:u w:val="none"/>
                      <w:lang w:val="en-US" w:eastAsia="zh-CN"/>
                    </w:rPr>
                    <w:t>；</w:t>
                  </w:r>
                </w:p>
              </w:tc>
            </w:tr>
            <w:tr w14:paraId="2104948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65" w:hRule="atLeast"/>
                <w:jc w:val="center"/>
              </w:trPr>
              <w:tc>
                <w:tcPr>
                  <w:tcW w:w="694" w:type="dxa"/>
                  <w:vMerge w:val="continue"/>
                  <w:tcBorders>
                    <w:left w:val="single" w:color="000000" w:sz="4" w:space="0"/>
                    <w:right w:val="single" w:color="000000" w:sz="4" w:space="0"/>
                  </w:tcBorders>
                  <w:shd w:val="clear" w:color="auto" w:fill="auto"/>
                  <w:vAlign w:val="center"/>
                </w:tcPr>
                <w:p w14:paraId="62DD6BB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45" w:type="dxa"/>
                  <w:vMerge w:val="continue"/>
                  <w:tcBorders>
                    <w:left w:val="single" w:color="000000" w:sz="4" w:space="0"/>
                    <w:right w:val="single" w:color="000000" w:sz="4" w:space="0"/>
                  </w:tcBorders>
                  <w:shd w:val="clear" w:color="auto" w:fill="auto"/>
                  <w:vAlign w:val="center"/>
                </w:tcPr>
                <w:p w14:paraId="207F2EC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39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40A0A9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5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67B8B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一般固体废物暂存间占地面积2</w:t>
                  </w:r>
                  <w:r>
                    <w:rPr>
                      <w:rFonts w:hint="eastAsia" w:cs="Times New Roman"/>
                      <w:i w:val="0"/>
                      <w:iCs w:val="0"/>
                      <w:color w:val="auto"/>
                      <w:kern w:val="0"/>
                      <w:sz w:val="21"/>
                      <w:szCs w:val="21"/>
                      <w:highlight w:val="none"/>
                      <w:u w:val="none"/>
                      <w:lang w:val="en-US" w:eastAsia="zh-CN"/>
                    </w:rPr>
                    <w:t>5</w:t>
                  </w:r>
                  <w:r>
                    <w:rPr>
                      <w:rFonts w:hint="default" w:ascii="Times New Roman" w:hAnsi="Times New Roman" w:cs="Times New Roman"/>
                      <w:i w:val="0"/>
                      <w:iCs w:val="0"/>
                      <w:color w:val="auto"/>
                      <w:kern w:val="0"/>
                      <w:sz w:val="21"/>
                      <w:szCs w:val="21"/>
                      <w:highlight w:val="none"/>
                      <w:u w:val="none"/>
                      <w:lang w:val="en-US" w:eastAsia="zh-CN"/>
                    </w:rPr>
                    <w:t>平方米</w:t>
                  </w:r>
                  <w:r>
                    <w:rPr>
                      <w:rFonts w:hint="default" w:ascii="Times New Roman" w:hAnsi="Times New Roman" w:eastAsia="宋体" w:cs="Times New Roman"/>
                      <w:i w:val="0"/>
                      <w:iCs w:val="0"/>
                      <w:color w:val="auto"/>
                      <w:kern w:val="0"/>
                      <w:sz w:val="21"/>
                      <w:szCs w:val="21"/>
                      <w:highlight w:val="none"/>
                      <w:u w:val="none"/>
                      <w:lang w:val="en-US" w:eastAsia="zh-CN"/>
                    </w:rPr>
                    <w:t>，用于一般固废暂存</w:t>
                  </w:r>
                  <w:r>
                    <w:rPr>
                      <w:rFonts w:hint="eastAsia" w:cs="Times New Roman"/>
                      <w:i w:val="0"/>
                      <w:iCs w:val="0"/>
                      <w:color w:val="auto"/>
                      <w:kern w:val="0"/>
                      <w:sz w:val="21"/>
                      <w:szCs w:val="21"/>
                      <w:highlight w:val="none"/>
                      <w:u w:val="none"/>
                      <w:lang w:val="en-US" w:eastAsia="zh-CN"/>
                    </w:rPr>
                    <w:t>位于4#厂房</w:t>
                  </w:r>
                  <w:r>
                    <w:rPr>
                      <w:rFonts w:hint="default" w:ascii="Times New Roman" w:hAnsi="Times New Roman" w:eastAsia="宋体" w:cs="Times New Roman"/>
                      <w:i w:val="0"/>
                      <w:iCs w:val="0"/>
                      <w:color w:val="auto"/>
                      <w:kern w:val="0"/>
                      <w:sz w:val="21"/>
                      <w:szCs w:val="21"/>
                      <w:highlight w:val="none"/>
                      <w:u w:val="none"/>
                      <w:lang w:val="en-US" w:eastAsia="zh-CN"/>
                    </w:rPr>
                    <w:t>。</w:t>
                  </w:r>
                </w:p>
              </w:tc>
            </w:tr>
            <w:tr w14:paraId="4DC031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5" w:hRule="atLeast"/>
                <w:jc w:val="center"/>
              </w:trPr>
              <w:tc>
                <w:tcPr>
                  <w:tcW w:w="694" w:type="dxa"/>
                  <w:vMerge w:val="continue"/>
                  <w:tcBorders>
                    <w:left w:val="single" w:color="000000" w:sz="4" w:space="0"/>
                    <w:bottom w:val="single" w:color="000000" w:sz="4" w:space="0"/>
                    <w:right w:val="single" w:color="000000" w:sz="4" w:space="0"/>
                  </w:tcBorders>
                  <w:shd w:val="clear" w:color="auto" w:fill="auto"/>
                  <w:vAlign w:val="center"/>
                </w:tcPr>
                <w:p w14:paraId="15651401">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45" w:type="dxa"/>
                  <w:vMerge w:val="continue"/>
                  <w:tcBorders>
                    <w:left w:val="single" w:color="000000" w:sz="4" w:space="0"/>
                    <w:bottom w:val="single" w:color="000000" w:sz="4" w:space="0"/>
                    <w:right w:val="single" w:color="000000" w:sz="4" w:space="0"/>
                  </w:tcBorders>
                  <w:shd w:val="clear" w:color="auto" w:fill="auto"/>
                  <w:vAlign w:val="center"/>
                </w:tcPr>
                <w:p w14:paraId="57ED1FBC">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3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3D65A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风险防范措施</w:t>
                  </w:r>
                </w:p>
              </w:tc>
              <w:tc>
                <w:tcPr>
                  <w:tcW w:w="65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87E415">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both"/>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本项目设置</w:t>
                  </w:r>
                  <w:r>
                    <w:rPr>
                      <w:rFonts w:hint="default" w:ascii="Times New Roman" w:hAnsi="Times New Roman" w:cs="Times New Roman"/>
                      <w:b w:val="0"/>
                      <w:bCs w:val="0"/>
                      <w:color w:val="auto"/>
                      <w:sz w:val="21"/>
                      <w:szCs w:val="21"/>
                      <w:highlight w:val="none"/>
                    </w:rPr>
                    <w:t>1个有效容积为</w:t>
                  </w:r>
                  <w:r>
                    <w:rPr>
                      <w:rFonts w:hint="default" w:ascii="Times New Roman" w:hAnsi="Times New Roman" w:cs="Times New Roman"/>
                      <w:b w:val="0"/>
                      <w:bCs w:val="0"/>
                      <w:color w:val="auto"/>
                      <w:sz w:val="21"/>
                      <w:szCs w:val="21"/>
                      <w:highlight w:val="none"/>
                      <w:lang w:val="en-US" w:eastAsia="zh-CN"/>
                    </w:rPr>
                    <w:t>350</w:t>
                  </w:r>
                  <w:r>
                    <w:rPr>
                      <w:rFonts w:hint="default" w:ascii="Times New Roman" w:hAnsi="Times New Roman" w:cs="Times New Roman"/>
                      <w:b w:val="0"/>
                      <w:bCs w:val="0"/>
                      <w:color w:val="auto"/>
                      <w:sz w:val="21"/>
                      <w:szCs w:val="21"/>
                      <w:highlight w:val="none"/>
                    </w:rPr>
                    <w:t>m</w:t>
                  </w:r>
                  <w:r>
                    <w:rPr>
                      <w:rFonts w:hint="default" w:ascii="Times New Roman" w:hAnsi="Times New Roman" w:cs="Times New Roman"/>
                      <w:b w:val="0"/>
                      <w:bCs w:val="0"/>
                      <w:color w:val="auto"/>
                      <w:sz w:val="21"/>
                      <w:szCs w:val="21"/>
                      <w:highlight w:val="none"/>
                      <w:vertAlign w:val="superscript"/>
                    </w:rPr>
                    <w:t>3</w:t>
                  </w:r>
                  <w:r>
                    <w:rPr>
                      <w:rFonts w:hint="default" w:ascii="Times New Roman" w:hAnsi="Times New Roman" w:cs="Times New Roman"/>
                      <w:b w:val="0"/>
                      <w:bCs w:val="0"/>
                      <w:color w:val="auto"/>
                      <w:sz w:val="21"/>
                      <w:szCs w:val="21"/>
                      <w:highlight w:val="none"/>
                    </w:rPr>
                    <w:t>的事故应急池</w:t>
                  </w:r>
                  <w:r>
                    <w:rPr>
                      <w:rFonts w:hint="eastAsia" w:ascii="Times New Roman" w:hAnsi="Times New Roman" w:cs="Times New Roman"/>
                      <w:b w:val="0"/>
                      <w:bCs w:val="0"/>
                      <w:color w:val="auto"/>
                      <w:sz w:val="21"/>
                      <w:szCs w:val="21"/>
                      <w:highlight w:val="none"/>
                      <w:lang w:eastAsia="zh-CN"/>
                    </w:rPr>
                    <w:t>，</w:t>
                  </w:r>
                  <w:r>
                    <w:rPr>
                      <w:rFonts w:hint="eastAsia" w:ascii="Times New Roman" w:hAnsi="Times New Roman" w:cs="Times New Roman"/>
                      <w:b w:val="0"/>
                      <w:bCs w:val="0"/>
                      <w:color w:val="auto"/>
                      <w:sz w:val="21"/>
                      <w:szCs w:val="21"/>
                      <w:highlight w:val="none"/>
                      <w:lang w:val="en-US" w:eastAsia="zh-CN"/>
                    </w:rPr>
                    <w:t>用于满足消防或其他事故时废水收集需要</w:t>
                  </w:r>
                </w:p>
              </w:tc>
            </w:tr>
          </w:tbl>
          <w:p w14:paraId="1F764502">
            <w:pPr>
              <w:pStyle w:val="5"/>
              <w:numPr>
                <w:ilvl w:val="3"/>
                <w:numId w:val="0"/>
              </w:numPr>
              <w:suppressLineNumbers w:val="0"/>
              <w:spacing w:before="0" w:beforeAutospacing="0" w:after="0" w:afterAutospacing="0"/>
              <w:ind w:left="-960" w:right="0" w:firstLine="1440"/>
              <w:rPr>
                <w:rFonts w:hint="default" w:ascii="Times New Roman" w:hAnsi="Times New Roman" w:cs="Times New Roman"/>
                <w:color w:val="auto"/>
                <w:highlight w:val="none"/>
              </w:rPr>
            </w:pPr>
            <w:r>
              <w:rPr>
                <w:rFonts w:hint="default" w:ascii="Times New Roman" w:hAnsi="Times New Roman" w:cs="Times New Roman"/>
                <w:color w:val="auto"/>
                <w:szCs w:val="24"/>
                <w:highlight w:val="none"/>
              </w:rPr>
              <w:t>2、</w:t>
            </w:r>
            <w:r>
              <w:rPr>
                <w:rFonts w:hint="default" w:ascii="Times New Roman" w:hAnsi="Times New Roman" w:cs="Times New Roman"/>
                <w:color w:val="auto"/>
                <w:highlight w:val="none"/>
              </w:rPr>
              <w:t>产品方案</w:t>
            </w:r>
          </w:p>
          <w:p w14:paraId="0D8AFC26">
            <w:pPr>
              <w:keepNext w:val="0"/>
              <w:keepLines w:val="0"/>
              <w:suppressLineNumbers w:val="0"/>
              <w:tabs>
                <w:tab w:val="left" w:pos="6960"/>
              </w:tabs>
              <w:spacing w:before="0" w:beforeAutospacing="0" w:after="0" w:afterAutospacing="0"/>
              <w:ind w:left="0" w:right="0" w:firstLine="480" w:firstLineChars="20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eastAsia="zh-CN"/>
              </w:rPr>
              <w:t>（</w:t>
            </w:r>
            <w:r>
              <w:rPr>
                <w:rFonts w:hint="default" w:ascii="Times New Roman" w:hAnsi="Times New Roman" w:cs="Times New Roman"/>
                <w:b/>
                <w:bCs/>
                <w:color w:val="auto"/>
                <w:highlight w:val="none"/>
                <w:lang w:val="en-US" w:eastAsia="zh-CN"/>
              </w:rPr>
              <w:t>1</w:t>
            </w:r>
            <w:r>
              <w:rPr>
                <w:rFonts w:hint="default" w:ascii="Times New Roman" w:hAnsi="Times New Roman" w:cs="Times New Roman"/>
                <w:b/>
                <w:bCs/>
                <w:color w:val="auto"/>
                <w:highlight w:val="none"/>
                <w:lang w:eastAsia="zh-CN"/>
              </w:rPr>
              <w:t>）</w:t>
            </w:r>
            <w:r>
              <w:rPr>
                <w:rFonts w:hint="default" w:ascii="Times New Roman" w:hAnsi="Times New Roman" w:cs="Times New Roman"/>
                <w:b/>
                <w:bCs/>
                <w:color w:val="auto"/>
                <w:highlight w:val="none"/>
                <w:lang w:val="en-US" w:eastAsia="zh-CN"/>
              </w:rPr>
              <w:t>产品方案</w:t>
            </w:r>
          </w:p>
          <w:p w14:paraId="39A2266D">
            <w:pPr>
              <w:keepNext w:val="0"/>
              <w:keepLines w:val="0"/>
              <w:suppressLineNumbers w:val="0"/>
              <w:tabs>
                <w:tab w:val="left" w:pos="6960"/>
              </w:tabs>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本项目生产的 PP、PS、ABS 破碎料主要用于下游塑料制品企业作为再生原料，其质量控制主要依据国家标准 GB/T 37821-2019《废塑料再生利用技术规范》 及相关行业通用要求。产品中有害物质限量需符合 GB/T 45091-2024《塑料 再生塑料限用物质限量要求》，确保铅、镉、汞、六价铬等重金属含量不超标。</w:t>
            </w:r>
          </w:p>
          <w:p w14:paraId="4AED04DE">
            <w:pPr>
              <w:keepNext w:val="0"/>
              <w:keepLines w:val="0"/>
              <w:suppressLineNumbers w:val="0"/>
              <w:tabs>
                <w:tab w:val="left" w:pos="6960"/>
              </w:tabs>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产品质量主要控制指标包括外观（色泽、杂质）、含水率、熔体流动速率（MFR）及力学性能等。其中，含水率控制在 0.5% 以下，以确保后续加工不产生气泡；杂质含量控制在 0.1% 以下，以保证产品纯度。对于 ABS 产品，因其主要用于注塑件，需额外控制冲击强度。项目生产产品见下表。</w:t>
            </w:r>
          </w:p>
          <w:p w14:paraId="7F29819A">
            <w:pPr>
              <w:pStyle w:val="107"/>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产品产量一览表</w:t>
            </w:r>
          </w:p>
          <w:tbl>
            <w:tblPr>
              <w:tblStyle w:val="39"/>
              <w:tblW w:w="492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539"/>
              <w:gridCol w:w="1217"/>
              <w:gridCol w:w="1425"/>
              <w:gridCol w:w="5956"/>
            </w:tblGrid>
            <w:tr w14:paraId="6971F7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447" w:hRule="atLeast"/>
                <w:jc w:val="center"/>
              </w:trPr>
              <w:tc>
                <w:tcPr>
                  <w:tcW w:w="295" w:type="pct"/>
                  <w:vAlign w:val="center"/>
                </w:tcPr>
                <w:p w14:paraId="7FE9DF9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序号</w:t>
                  </w:r>
                </w:p>
              </w:tc>
              <w:tc>
                <w:tcPr>
                  <w:tcW w:w="666" w:type="pct"/>
                  <w:vAlign w:val="center"/>
                </w:tcPr>
                <w:p w14:paraId="50EA64D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产品名称</w:t>
                  </w:r>
                </w:p>
              </w:tc>
              <w:tc>
                <w:tcPr>
                  <w:tcW w:w="780" w:type="pct"/>
                  <w:vAlign w:val="center"/>
                </w:tcPr>
                <w:p w14:paraId="50A08DB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color w:val="auto"/>
                      <w:sz w:val="21"/>
                      <w:szCs w:val="21"/>
                      <w:highlight w:val="none"/>
                      <w:lang w:val="en-US" w:eastAsia="zh-CN"/>
                    </w:rPr>
                  </w:pPr>
                  <w:r>
                    <w:rPr>
                      <w:rFonts w:hint="eastAsia" w:cs="Times New Roman"/>
                      <w:b/>
                      <w:color w:val="auto"/>
                      <w:sz w:val="21"/>
                      <w:szCs w:val="21"/>
                      <w:highlight w:val="none"/>
                      <w:lang w:val="en-US" w:eastAsia="zh-CN"/>
                    </w:rPr>
                    <w:t>年产量</w:t>
                  </w:r>
                </w:p>
              </w:tc>
              <w:tc>
                <w:tcPr>
                  <w:tcW w:w="3257" w:type="pct"/>
                  <w:vAlign w:val="center"/>
                </w:tcPr>
                <w:p w14:paraId="5F07ADD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备注说明</w:t>
                  </w:r>
                </w:p>
              </w:tc>
            </w:tr>
            <w:tr w14:paraId="4CC427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892" w:hRule="atLeast"/>
                <w:jc w:val="center"/>
              </w:trPr>
              <w:tc>
                <w:tcPr>
                  <w:tcW w:w="295" w:type="pct"/>
                  <w:vAlign w:val="center"/>
                </w:tcPr>
                <w:p w14:paraId="519D33B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666" w:type="pct"/>
                  <w:vAlign w:val="center"/>
                </w:tcPr>
                <w:p w14:paraId="2022E4C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破碎料</w:t>
                  </w:r>
                </w:p>
              </w:tc>
              <w:tc>
                <w:tcPr>
                  <w:tcW w:w="780" w:type="pct"/>
                  <w:vAlign w:val="center"/>
                </w:tcPr>
                <w:p w14:paraId="0062AC50">
                  <w:pPr>
                    <w:keepNext w:val="0"/>
                    <w:keepLines w:val="0"/>
                    <w:pageBreakBefore w:val="0"/>
                    <w:widowControl w:val="0"/>
                    <w:suppressLineNumbers w:val="0"/>
                    <w:tabs>
                      <w:tab w:val="left" w:pos="1305"/>
                    </w:tabs>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kern w:val="0"/>
                      <w:sz w:val="21"/>
                      <w:szCs w:val="21"/>
                      <w:highlight w:val="none"/>
                      <w:vertAlign w:val="baseline"/>
                      <w:lang w:val="en-US"/>
                    </w:rPr>
                  </w:pPr>
                  <w:r>
                    <w:rPr>
                      <w:rFonts w:hint="eastAsia" w:cs="Times New Roman"/>
                      <w:b w:val="0"/>
                      <w:bCs w:val="0"/>
                      <w:color w:val="auto"/>
                      <w:kern w:val="0"/>
                      <w:sz w:val="21"/>
                      <w:szCs w:val="21"/>
                      <w:highlight w:val="none"/>
                      <w:lang w:val="en-US" w:eastAsia="zh-CN"/>
                    </w:rPr>
                    <w:t>7.1万吨</w:t>
                  </w:r>
                </w:p>
              </w:tc>
              <w:tc>
                <w:tcPr>
                  <w:tcW w:w="3257" w:type="pct"/>
                  <w:vAlign w:val="center"/>
                </w:tcPr>
                <w:p w14:paraId="60EB1BF4">
                  <w:pPr>
                    <w:keepNext w:val="0"/>
                    <w:keepLines w:val="0"/>
                    <w:pageBreakBefore w:val="0"/>
                    <w:widowControl w:val="0"/>
                    <w:suppressLineNumbers w:val="0"/>
                    <w:tabs>
                      <w:tab w:val="left" w:pos="1305"/>
                    </w:tabs>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rPr>
                    <w:t>外购</w:t>
                  </w:r>
                  <w:r>
                    <w:rPr>
                      <w:rFonts w:hint="eastAsia" w:cs="Times New Roman"/>
                      <w:color w:val="auto"/>
                      <w:kern w:val="0"/>
                      <w:sz w:val="21"/>
                      <w:szCs w:val="21"/>
                      <w:highlight w:val="none"/>
                      <w:lang w:val="en-US" w:eastAsia="zh-CN"/>
                    </w:rPr>
                    <w:t>混合料塑料毛料、PP/ABS/PS破碎料进行进一步破碎清洗与分选</w:t>
                  </w:r>
                </w:p>
              </w:tc>
            </w:tr>
            <w:tr w14:paraId="309F8C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892" w:hRule="atLeast"/>
                <w:jc w:val="center"/>
              </w:trPr>
              <w:tc>
                <w:tcPr>
                  <w:tcW w:w="5000" w:type="pct"/>
                  <w:gridSpan w:val="4"/>
                  <w:vAlign w:val="center"/>
                </w:tcPr>
                <w:p w14:paraId="71E0B8E4">
                  <w:pPr>
                    <w:keepNext w:val="0"/>
                    <w:keepLines w:val="0"/>
                    <w:pageBreakBefore w:val="0"/>
                    <w:widowControl w:val="0"/>
                    <w:suppressLineNumbers w:val="0"/>
                    <w:tabs>
                      <w:tab w:val="left" w:pos="1305"/>
                    </w:tabs>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毛料主要为已经被其他厂家或回收点初步破碎过的塑料，它们是大小不一的碎片，例如去掉标签的瓶片、薄膜碎片或注塑件的边角料，这种物料已经过初步减容，但可能含有泥沙、纸屑或其他杂质。</w:t>
                  </w:r>
                </w:p>
              </w:tc>
            </w:tr>
          </w:tbl>
          <w:p w14:paraId="7E57AA30">
            <w:pPr>
              <w:pStyle w:val="107"/>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产品</w:t>
            </w:r>
            <w:r>
              <w:rPr>
                <w:rFonts w:hint="eastAsia" w:cs="Times New Roman"/>
                <w:b/>
                <w:bCs/>
                <w:color w:val="auto"/>
                <w:sz w:val="21"/>
                <w:szCs w:val="21"/>
                <w:highlight w:val="none"/>
                <w:lang w:val="en-US" w:eastAsia="zh-CN"/>
              </w:rPr>
              <w:t>质量标准</w:t>
            </w:r>
            <w:r>
              <w:rPr>
                <w:rFonts w:hint="default" w:ascii="Times New Roman" w:hAnsi="Times New Roman" w:cs="Times New Roman"/>
                <w:b/>
                <w:bCs/>
                <w:color w:val="auto"/>
                <w:sz w:val="21"/>
                <w:szCs w:val="21"/>
                <w:highlight w:val="none"/>
              </w:rPr>
              <w:t>一览表</w:t>
            </w:r>
          </w:p>
          <w:tbl>
            <w:tblPr>
              <w:tblStyle w:val="39"/>
              <w:tblW w:w="928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17"/>
              <w:gridCol w:w="925"/>
              <w:gridCol w:w="1819"/>
              <w:gridCol w:w="1717"/>
              <w:gridCol w:w="1546"/>
              <w:gridCol w:w="2162"/>
            </w:tblGrid>
            <w:tr w14:paraId="09E59EE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60" w:hRule="atLeast"/>
              </w:trPr>
              <w:tc>
                <w:tcPr>
                  <w:tcW w:w="6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DF4B4A">
                  <w:pPr>
                    <w:keepNext w:val="0"/>
                    <w:keepLines w:val="0"/>
                    <w:widowControl/>
                    <w:suppressLineNumbers w:val="0"/>
                    <w:spacing w:before="0" w:beforeAutospacing="0" w:after="0" w:afterAutospacing="0" w:line="240" w:lineRule="auto"/>
                    <w:ind w:left="0" w:right="0"/>
                    <w:jc w:val="center"/>
                    <w:textAlignment w:val="center"/>
                    <w:rPr>
                      <w:rFonts w:hint="eastAsia" w:ascii="宋体" w:hAnsi="宋体" w:eastAsia="宋体" w:cs="宋体"/>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bidi="ar"/>
                    </w:rPr>
                    <w:t>检测项目</w:t>
                  </w:r>
                </w:p>
              </w:tc>
              <w:tc>
                <w:tcPr>
                  <w:tcW w:w="4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3E65AC">
                  <w:pPr>
                    <w:keepNext w:val="0"/>
                    <w:keepLines w:val="0"/>
                    <w:widowControl/>
                    <w:suppressLineNumbers w:val="0"/>
                    <w:spacing w:before="0" w:beforeAutospacing="0" w:after="0" w:afterAutospacing="0" w:line="240" w:lineRule="auto"/>
                    <w:ind w:left="0" w:right="0"/>
                    <w:jc w:val="center"/>
                    <w:textAlignment w:val="center"/>
                    <w:rPr>
                      <w:rFonts w:hint="eastAsia" w:ascii="宋体" w:hAnsi="宋体" w:eastAsia="宋体" w:cs="宋体"/>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bidi="ar"/>
                    </w:rPr>
                    <w:t>单位</w:t>
                  </w:r>
                </w:p>
              </w:tc>
              <w:tc>
                <w:tcPr>
                  <w:tcW w:w="9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38EFD2">
                  <w:pPr>
                    <w:keepNext w:val="0"/>
                    <w:keepLines w:val="0"/>
                    <w:widowControl/>
                    <w:suppressLineNumbers w:val="0"/>
                    <w:spacing w:before="0" w:beforeAutospacing="0" w:after="0" w:afterAutospacing="0" w:line="240" w:lineRule="auto"/>
                    <w:ind w:left="0" w:right="0"/>
                    <w:jc w:val="center"/>
                    <w:textAlignment w:val="center"/>
                    <w:rPr>
                      <w:rFonts w:hint="eastAsia" w:ascii="宋体" w:hAnsi="宋体" w:eastAsia="宋体" w:cs="宋体"/>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bidi="ar"/>
                    </w:rPr>
                    <w:t>聚丙烯 (PP) 破碎料</w:t>
                  </w:r>
                </w:p>
              </w:tc>
              <w:tc>
                <w:tcPr>
                  <w:tcW w:w="9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33EC82">
                  <w:pPr>
                    <w:keepNext w:val="0"/>
                    <w:keepLines w:val="0"/>
                    <w:widowControl/>
                    <w:suppressLineNumbers w:val="0"/>
                    <w:spacing w:before="0" w:beforeAutospacing="0" w:after="0" w:afterAutospacing="0" w:line="240" w:lineRule="auto"/>
                    <w:ind w:left="0" w:right="0"/>
                    <w:jc w:val="center"/>
                    <w:textAlignment w:val="center"/>
                    <w:rPr>
                      <w:rFonts w:hint="eastAsia" w:ascii="宋体" w:hAnsi="宋体" w:eastAsia="宋体" w:cs="宋体"/>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bidi="ar"/>
                    </w:rPr>
                    <w:t>聚苯乙烯 (PS) 硫璃料</w:t>
                  </w:r>
                </w:p>
              </w:tc>
              <w:tc>
                <w:tcPr>
                  <w:tcW w:w="8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98D59F">
                  <w:pPr>
                    <w:keepNext w:val="0"/>
                    <w:keepLines w:val="0"/>
                    <w:widowControl/>
                    <w:suppressLineNumbers w:val="0"/>
                    <w:spacing w:before="0" w:beforeAutospacing="0" w:after="0" w:afterAutospacing="0" w:line="240" w:lineRule="auto"/>
                    <w:ind w:left="0" w:right="0"/>
                    <w:jc w:val="center"/>
                    <w:textAlignment w:val="center"/>
                    <w:rPr>
                      <w:rFonts w:hint="eastAsia" w:ascii="宋体" w:hAnsi="宋体" w:eastAsia="宋体" w:cs="宋体"/>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bidi="ar"/>
                    </w:rPr>
                    <w:t>丙烯腈-丁二烯-苯乙烯 (ABS) 破碎料</w:t>
                  </w:r>
                </w:p>
              </w:tc>
              <w:tc>
                <w:tcPr>
                  <w:tcW w:w="11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16D231">
                  <w:pPr>
                    <w:keepNext w:val="0"/>
                    <w:keepLines w:val="0"/>
                    <w:widowControl/>
                    <w:suppressLineNumbers w:val="0"/>
                    <w:spacing w:before="0" w:beforeAutospacing="0" w:after="0" w:afterAutospacing="0" w:line="240" w:lineRule="auto"/>
                    <w:ind w:left="0" w:right="0"/>
                    <w:jc w:val="center"/>
                    <w:textAlignment w:val="center"/>
                    <w:rPr>
                      <w:rFonts w:hint="eastAsia" w:ascii="宋体" w:hAnsi="宋体" w:eastAsia="宋体" w:cs="宋体"/>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bidi="ar"/>
                    </w:rPr>
                    <w:t>备注/参考依据</w:t>
                  </w:r>
                </w:p>
              </w:tc>
            </w:tr>
            <w:tr w14:paraId="065C0B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40" w:hRule="atLeast"/>
              </w:trPr>
              <w:tc>
                <w:tcPr>
                  <w:tcW w:w="6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99AF0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外观</w:t>
                  </w:r>
                </w:p>
              </w:tc>
              <w:tc>
                <w:tcPr>
                  <w:tcW w:w="4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EE487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w:t>
                  </w:r>
                </w:p>
              </w:tc>
              <w:tc>
                <w:tcPr>
                  <w:tcW w:w="9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C3CF1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颗粒或片状，色泽均匀，无明显杂质、焦黑粒</w:t>
                  </w:r>
                </w:p>
              </w:tc>
              <w:tc>
                <w:tcPr>
                  <w:tcW w:w="9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D4974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透明或半透明片状/颗粒，无明显黄变、油污</w:t>
                  </w:r>
                </w:p>
              </w:tc>
              <w:tc>
                <w:tcPr>
                  <w:tcW w:w="8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E33DF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颗粒状，色泽均匀（通常为米黄或黑色），无明显杂色粒、黑点</w:t>
                  </w:r>
                </w:p>
              </w:tc>
              <w:tc>
                <w:tcPr>
                  <w:tcW w:w="11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B5DBD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目测法，依据 GB/T 37821</w:t>
                  </w:r>
                </w:p>
              </w:tc>
            </w:tr>
            <w:tr w14:paraId="7204E2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6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BC728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粒径</w:t>
                  </w:r>
                </w:p>
              </w:tc>
              <w:tc>
                <w:tcPr>
                  <w:tcW w:w="4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62404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mm</w:t>
                  </w:r>
                </w:p>
              </w:tc>
              <w:tc>
                <w:tcPr>
                  <w:tcW w:w="9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5D856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3 - 10 (均匀)</w:t>
                  </w:r>
                </w:p>
              </w:tc>
              <w:tc>
                <w:tcPr>
                  <w:tcW w:w="9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EEFAE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3 - 10 (均匀)</w:t>
                  </w:r>
                </w:p>
              </w:tc>
              <w:tc>
                <w:tcPr>
                  <w:tcW w:w="8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BB2D4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3 - 8 (均匀)</w:t>
                  </w:r>
                </w:p>
              </w:tc>
              <w:tc>
                <w:tcPr>
                  <w:tcW w:w="11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E5969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根据破碎机筛网孔径调整</w:t>
                  </w:r>
                </w:p>
              </w:tc>
            </w:tr>
            <w:tr w14:paraId="386EB22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6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6EA27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含水率</w:t>
                  </w:r>
                </w:p>
              </w:tc>
              <w:tc>
                <w:tcPr>
                  <w:tcW w:w="4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2176D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w:t>
                  </w:r>
                </w:p>
              </w:tc>
              <w:tc>
                <w:tcPr>
                  <w:tcW w:w="9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B6D2E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 0.5</w:t>
                  </w:r>
                </w:p>
              </w:tc>
              <w:tc>
                <w:tcPr>
                  <w:tcW w:w="9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59E0A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 0.5</w:t>
                  </w:r>
                </w:p>
              </w:tc>
              <w:tc>
                <w:tcPr>
                  <w:tcW w:w="8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1562E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 0.3</w:t>
                  </w:r>
                </w:p>
              </w:tc>
              <w:tc>
                <w:tcPr>
                  <w:tcW w:w="11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3831E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依据 GH/T 1479 及行业惯例</w:t>
                  </w:r>
                </w:p>
              </w:tc>
            </w:tr>
            <w:tr w14:paraId="00C3D67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60" w:hRule="atLeast"/>
              </w:trPr>
              <w:tc>
                <w:tcPr>
                  <w:tcW w:w="6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D694C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杂质含量</w:t>
                  </w:r>
                </w:p>
              </w:tc>
              <w:tc>
                <w:tcPr>
                  <w:tcW w:w="4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C9627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w:t>
                  </w:r>
                </w:p>
              </w:tc>
              <w:tc>
                <w:tcPr>
                  <w:tcW w:w="9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F7D33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 0.1 (金属/非金属)</w:t>
                  </w:r>
                </w:p>
              </w:tc>
              <w:tc>
                <w:tcPr>
                  <w:tcW w:w="9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A84F9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 0.1 (纸屑/泥沙)</w:t>
                  </w:r>
                </w:p>
              </w:tc>
              <w:tc>
                <w:tcPr>
                  <w:tcW w:w="8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9D7F1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 0.05 (黑点/杂质)</w:t>
                  </w:r>
                </w:p>
              </w:tc>
              <w:tc>
                <w:tcPr>
                  <w:tcW w:w="11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9499C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依据 GB/T 37821，指非同类塑料杂质</w:t>
                  </w:r>
                </w:p>
              </w:tc>
            </w:tr>
            <w:tr w14:paraId="23ED42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6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B2F14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灰分</w:t>
                  </w:r>
                </w:p>
              </w:tc>
              <w:tc>
                <w:tcPr>
                  <w:tcW w:w="4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DEE60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w:t>
                  </w:r>
                </w:p>
              </w:tc>
              <w:tc>
                <w:tcPr>
                  <w:tcW w:w="9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8C9A1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 3.0</w:t>
                  </w:r>
                </w:p>
              </w:tc>
              <w:tc>
                <w:tcPr>
                  <w:tcW w:w="9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A9F3D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 2.0</w:t>
                  </w:r>
                </w:p>
              </w:tc>
              <w:tc>
                <w:tcPr>
                  <w:tcW w:w="8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76537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 1.0</w:t>
                  </w:r>
                </w:p>
              </w:tc>
              <w:tc>
                <w:tcPr>
                  <w:tcW w:w="11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AFDF9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反映无机物填充及泥沙含量</w:t>
                  </w:r>
                </w:p>
              </w:tc>
            </w:tr>
            <w:tr w14:paraId="281E75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6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E3038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熔体流动速率 (MFR)</w:t>
                  </w:r>
                </w:p>
              </w:tc>
              <w:tc>
                <w:tcPr>
                  <w:tcW w:w="4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7B3F5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g/10min</w:t>
                  </w:r>
                </w:p>
              </w:tc>
              <w:tc>
                <w:tcPr>
                  <w:tcW w:w="9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6752E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符合客户要求 (通常 0.5-5.0)</w:t>
                  </w:r>
                </w:p>
              </w:tc>
              <w:tc>
                <w:tcPr>
                  <w:tcW w:w="9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6A686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符合客户要求 (通常 1.0-10)</w:t>
                  </w:r>
                </w:p>
              </w:tc>
              <w:tc>
                <w:tcPr>
                  <w:tcW w:w="8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4A278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符合客户要求 (通常 0.5-10)</w:t>
                  </w:r>
                </w:p>
              </w:tc>
              <w:tc>
                <w:tcPr>
                  <w:tcW w:w="11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500E4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依据 GB/T 3682，衡量加工流动性</w:t>
                  </w:r>
                </w:p>
              </w:tc>
            </w:tr>
            <w:tr w14:paraId="75A5EA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6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C9234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拉伸强度</w:t>
                  </w:r>
                </w:p>
              </w:tc>
              <w:tc>
                <w:tcPr>
                  <w:tcW w:w="4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90BE8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MPa</w:t>
                  </w:r>
                </w:p>
              </w:tc>
              <w:tc>
                <w:tcPr>
                  <w:tcW w:w="9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F64CF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 20</w:t>
                  </w:r>
                </w:p>
              </w:tc>
              <w:tc>
                <w:tcPr>
                  <w:tcW w:w="9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E7B07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 15</w:t>
                  </w:r>
                </w:p>
              </w:tc>
              <w:tc>
                <w:tcPr>
                  <w:tcW w:w="8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F172D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 30</w:t>
                  </w:r>
                </w:p>
              </w:tc>
              <w:tc>
                <w:tcPr>
                  <w:tcW w:w="11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DB8A2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依据 GB/T 1040，衡量力学性能</w:t>
                  </w:r>
                </w:p>
              </w:tc>
            </w:tr>
            <w:tr w14:paraId="4ED1E29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60" w:hRule="atLeast"/>
              </w:trPr>
              <w:tc>
                <w:tcPr>
                  <w:tcW w:w="6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CB77A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简支梁冲击强度 (缺口)</w:t>
                  </w:r>
                </w:p>
              </w:tc>
              <w:tc>
                <w:tcPr>
                  <w:tcW w:w="4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75F15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kJ/m²</w:t>
                  </w:r>
                </w:p>
              </w:tc>
              <w:tc>
                <w:tcPr>
                  <w:tcW w:w="9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DA2FB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w:t>
                  </w:r>
                </w:p>
              </w:tc>
              <w:tc>
                <w:tcPr>
                  <w:tcW w:w="9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04716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w:t>
                  </w:r>
                </w:p>
              </w:tc>
              <w:tc>
                <w:tcPr>
                  <w:tcW w:w="8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2F0E1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 10</w:t>
                  </w:r>
                </w:p>
              </w:tc>
              <w:tc>
                <w:tcPr>
                  <w:tcW w:w="11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21828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依据 GB/T 1043，ABS特有重要指标</w:t>
                  </w:r>
                </w:p>
              </w:tc>
            </w:tr>
            <w:tr w14:paraId="7E4FF5A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6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EEB9C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执行标准</w:t>
                  </w:r>
                </w:p>
              </w:tc>
              <w:tc>
                <w:tcPr>
                  <w:tcW w:w="4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28516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w:t>
                  </w:r>
                </w:p>
              </w:tc>
              <w:tc>
                <w:tcPr>
                  <w:tcW w:w="9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219F1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参照 GB/T 37821</w:t>
                  </w:r>
                </w:p>
              </w:tc>
              <w:tc>
                <w:tcPr>
                  <w:tcW w:w="9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67150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参照 GB/T 37821</w:t>
                  </w:r>
                </w:p>
              </w:tc>
              <w:tc>
                <w:tcPr>
                  <w:tcW w:w="8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78F1D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参照 GB/T 37821</w:t>
                  </w:r>
                </w:p>
              </w:tc>
              <w:tc>
                <w:tcPr>
                  <w:tcW w:w="11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55C5A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通用技术规范</w:t>
                  </w:r>
                </w:p>
              </w:tc>
            </w:tr>
          </w:tbl>
          <w:p w14:paraId="1374DAC4">
            <w:pPr>
              <w:pStyle w:val="5"/>
              <w:numPr>
                <w:ilvl w:val="3"/>
                <w:numId w:val="0"/>
              </w:numPr>
              <w:suppressLineNumbers w:val="0"/>
              <w:spacing w:before="0" w:beforeAutospacing="0" w:after="0" w:afterAutospacing="0"/>
              <w:ind w:left="-960" w:right="0" w:firstLine="1440"/>
              <w:rPr>
                <w:rFonts w:hint="default" w:ascii="Times New Roman" w:hAnsi="Times New Roman" w:cs="Times New Roman"/>
                <w:color w:val="auto"/>
                <w:highlight w:val="none"/>
              </w:rPr>
            </w:pPr>
            <w:r>
              <w:rPr>
                <w:rFonts w:hint="default" w:ascii="Times New Roman" w:hAnsi="Times New Roman" w:cs="Times New Roman"/>
                <w:color w:val="auto"/>
                <w:szCs w:val="24"/>
                <w:highlight w:val="none"/>
              </w:rPr>
              <w:t>3、</w:t>
            </w:r>
            <w:r>
              <w:rPr>
                <w:rFonts w:hint="default" w:ascii="Times New Roman" w:hAnsi="Times New Roman" w:cs="Times New Roman"/>
                <w:color w:val="auto"/>
                <w:highlight w:val="none"/>
              </w:rPr>
              <w:t>原辅材料及用量</w:t>
            </w:r>
          </w:p>
          <w:p w14:paraId="78FF80A7">
            <w:pPr>
              <w:pStyle w:val="6"/>
              <w:widowControl/>
              <w:numPr>
                <w:ilvl w:val="4"/>
                <w:numId w:val="0"/>
              </w:numPr>
              <w:suppressLineNumbers w:val="0"/>
              <w:spacing w:before="0" w:beforeAutospacing="0" w:after="0" w:afterAutospacing="0"/>
              <w:ind w:left="-960" w:right="0" w:firstLine="144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（1）原辅材料用量</w:t>
            </w:r>
          </w:p>
          <w:p w14:paraId="10A184BE">
            <w:pPr>
              <w:pStyle w:val="12"/>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w:t>
            </w:r>
            <w:r>
              <w:rPr>
                <w:rFonts w:hint="eastAsia" w:cs="Times New Roman"/>
                <w:color w:val="auto"/>
                <w:highlight w:val="none"/>
                <w:lang w:val="en-US" w:eastAsia="zh-CN"/>
              </w:rPr>
              <w:t>主要从其他厂家外购塑料毛料进一步破碎，</w:t>
            </w:r>
            <w:r>
              <w:rPr>
                <w:rFonts w:hint="default" w:ascii="Times New Roman" w:hAnsi="Times New Roman" w:cs="Times New Roman"/>
                <w:color w:val="auto"/>
                <w:highlight w:val="none"/>
              </w:rPr>
              <w:t>为严格控制原料品质，防止危险废物及违禁品进入生产环节，本项目拟采取以下管控措施：</w:t>
            </w:r>
          </w:p>
          <w:p w14:paraId="6A0B930A">
            <w:pPr>
              <w:pStyle w:val="12"/>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① 严格的供应商筛选制度</w:t>
            </w:r>
          </w:p>
          <w:p w14:paraId="6F01FF8E">
            <w:pPr>
              <w:pStyle w:val="12"/>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建立合格供应商名录，仅从具备再生资源回收资质的单位采购。在采购合同中明确约定：严禁夹带废化学容器（如化工桶、油漆桶、农药瓶）、医疗废物、废旧轮胎、废旧电子产品及受放射性污染的废塑料。一旦发现违规供货，立即终止合作并追责。</w:t>
            </w:r>
          </w:p>
          <w:p w14:paraId="60E7A0A9">
            <w:pPr>
              <w:pStyle w:val="12"/>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② 入厂验收与分拣制度</w:t>
            </w:r>
          </w:p>
          <w:p w14:paraId="4FF4F73B">
            <w:pPr>
              <w:pStyle w:val="12"/>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建立废塑料入厂检验台账。原料进场时，由专职质检员进行全数目视检查，利用叉车或抓斗进行辅助翻检。</w:t>
            </w:r>
          </w:p>
          <w:p w14:paraId="48709667">
            <w:pPr>
              <w:pStyle w:val="12"/>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③ 设置</w:t>
            </w:r>
            <w:r>
              <w:rPr>
                <w:rFonts w:hint="eastAsia" w:cs="Times New Roman"/>
                <w:color w:val="auto"/>
                <w:highlight w:val="none"/>
                <w:lang w:val="en-US" w:eastAsia="zh-CN"/>
              </w:rPr>
              <w:t>专职检查</w:t>
            </w:r>
            <w:r>
              <w:rPr>
                <w:rFonts w:hint="default" w:ascii="Times New Roman" w:hAnsi="Times New Roman" w:cs="Times New Roman"/>
                <w:color w:val="auto"/>
                <w:highlight w:val="none"/>
              </w:rPr>
              <w:t>工位</w:t>
            </w:r>
          </w:p>
          <w:p w14:paraId="0A46758E">
            <w:pPr>
              <w:pStyle w:val="12"/>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在破碎工序前设置人工</w:t>
            </w:r>
            <w:r>
              <w:rPr>
                <w:rFonts w:hint="eastAsia" w:cs="Times New Roman"/>
                <w:color w:val="auto"/>
                <w:highlight w:val="none"/>
                <w:lang w:val="en-US" w:eastAsia="zh-CN"/>
              </w:rPr>
              <w:t>检查</w:t>
            </w:r>
            <w:r>
              <w:rPr>
                <w:rFonts w:hint="default" w:ascii="Times New Roman" w:hAnsi="Times New Roman" w:cs="Times New Roman"/>
                <w:color w:val="auto"/>
                <w:highlight w:val="none"/>
              </w:rPr>
              <w:t>平台，配备专职</w:t>
            </w:r>
            <w:r>
              <w:rPr>
                <w:rFonts w:hint="eastAsia" w:cs="Times New Roman"/>
                <w:color w:val="auto"/>
                <w:highlight w:val="none"/>
                <w:lang w:val="en-US" w:eastAsia="zh-CN"/>
              </w:rPr>
              <w:t>检查</w:t>
            </w:r>
            <w:r>
              <w:rPr>
                <w:rFonts w:hint="default" w:ascii="Times New Roman" w:hAnsi="Times New Roman" w:cs="Times New Roman"/>
                <w:color w:val="auto"/>
                <w:highlight w:val="none"/>
              </w:rPr>
              <w:t>人员。利用人工手选的方式，在破碎前</w:t>
            </w:r>
            <w:r>
              <w:rPr>
                <w:rFonts w:hint="eastAsia" w:cs="Times New Roman"/>
                <w:color w:val="auto"/>
                <w:highlight w:val="none"/>
                <w:lang w:val="en-US" w:eastAsia="zh-CN"/>
              </w:rPr>
              <w:t>检查</w:t>
            </w:r>
            <w:r>
              <w:rPr>
                <w:rFonts w:hint="default" w:ascii="Times New Roman" w:hAnsi="Times New Roman" w:cs="Times New Roman"/>
                <w:color w:val="auto"/>
                <w:highlight w:val="none"/>
              </w:rPr>
              <w:t>疑似危险废物的容器</w:t>
            </w:r>
            <w:r>
              <w:rPr>
                <w:rFonts w:hint="eastAsia" w:cs="Times New Roman"/>
                <w:color w:val="auto"/>
                <w:highlight w:val="none"/>
                <w:lang w:eastAsia="zh-CN"/>
              </w:rPr>
              <w:t>，</w:t>
            </w:r>
            <w:r>
              <w:rPr>
                <w:rFonts w:hint="eastAsia" w:cs="Times New Roman"/>
                <w:color w:val="auto"/>
                <w:highlight w:val="none"/>
                <w:lang w:val="en-US" w:eastAsia="zh-CN"/>
              </w:rPr>
              <w:t>以免混入生产</w:t>
            </w:r>
            <w:r>
              <w:rPr>
                <w:rFonts w:hint="default" w:ascii="Times New Roman" w:hAnsi="Times New Roman" w:cs="Times New Roman"/>
                <w:color w:val="auto"/>
                <w:highlight w:val="none"/>
              </w:rPr>
              <w:t>。</w:t>
            </w:r>
          </w:p>
          <w:p w14:paraId="73C5988C">
            <w:pPr>
              <w:pStyle w:val="12"/>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原辅材料种类及年用量见下表。</w:t>
            </w:r>
          </w:p>
          <w:p w14:paraId="062907F0">
            <w:pPr>
              <w:pStyle w:val="107"/>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原辅材料一览表</w:t>
            </w:r>
          </w:p>
          <w:tbl>
            <w:tblPr>
              <w:tblStyle w:val="39"/>
              <w:tblW w:w="4984"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470"/>
              <w:gridCol w:w="1419"/>
              <w:gridCol w:w="1281"/>
              <w:gridCol w:w="899"/>
              <w:gridCol w:w="647"/>
              <w:gridCol w:w="738"/>
              <w:gridCol w:w="1408"/>
              <w:gridCol w:w="1275"/>
              <w:gridCol w:w="1123"/>
            </w:tblGrid>
            <w:tr w14:paraId="5CBA3ED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95" w:hRule="atLeast"/>
                <w:jc w:val="center"/>
              </w:trPr>
              <w:tc>
                <w:tcPr>
                  <w:tcW w:w="2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6881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序号</w:t>
                  </w:r>
                </w:p>
              </w:tc>
              <w:tc>
                <w:tcPr>
                  <w:tcW w:w="7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DB1B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名称</w:t>
                  </w:r>
                </w:p>
              </w:tc>
              <w:tc>
                <w:tcPr>
                  <w:tcW w:w="6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F03B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年用量</w:t>
                  </w:r>
                </w:p>
              </w:tc>
              <w:tc>
                <w:tcPr>
                  <w:tcW w:w="4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18AE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最大贮存量</w:t>
                  </w:r>
                </w:p>
              </w:tc>
              <w:tc>
                <w:tcPr>
                  <w:tcW w:w="3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4A63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单位</w:t>
                  </w:r>
                </w:p>
              </w:tc>
              <w:tc>
                <w:tcPr>
                  <w:tcW w:w="3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9363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形态</w:t>
                  </w:r>
                </w:p>
              </w:tc>
              <w:tc>
                <w:tcPr>
                  <w:tcW w:w="7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A8F8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型号/规格</w:t>
                  </w:r>
                </w:p>
              </w:tc>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EB22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使用环节</w:t>
                  </w:r>
                </w:p>
              </w:tc>
              <w:tc>
                <w:tcPr>
                  <w:tcW w:w="6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915F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贮存位置</w:t>
                  </w:r>
                </w:p>
              </w:tc>
            </w:tr>
            <w:tr w14:paraId="28A2637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2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E6E4F4">
                  <w:pPr>
                    <w:keepNext w:val="0"/>
                    <w:keepLines w:val="0"/>
                    <w:pageBreakBefore w:val="0"/>
                    <w:widowControl/>
                    <w:numPr>
                      <w:ilvl w:val="0"/>
                      <w:numId w:val="8"/>
                    </w:numPr>
                    <w:suppressLineNumbers w:val="0"/>
                    <w:kinsoku/>
                    <w:wordWrap/>
                    <w:overflowPunct/>
                    <w:topLinePunct w:val="0"/>
                    <w:autoSpaceDE/>
                    <w:autoSpaceDN/>
                    <w:bidi w:val="0"/>
                    <w:adjustRightInd/>
                    <w:snapToGrid/>
                    <w:spacing w:before="0" w:beforeAutospacing="0" w:after="0" w:afterAutospacing="0" w:line="276" w:lineRule="auto"/>
                    <w:ind w:left="0" w:leftChars="0" w:right="0" w:firstLine="0" w:firstLineChars="0"/>
                    <w:jc w:val="right"/>
                    <w:textAlignment w:val="center"/>
                    <w:rPr>
                      <w:rFonts w:hint="default" w:ascii="Times New Roman" w:hAnsi="Times New Roman" w:eastAsia="宋体" w:cs="Times New Roman"/>
                      <w:i w:val="0"/>
                      <w:iCs w:val="0"/>
                      <w:color w:val="auto"/>
                      <w:sz w:val="21"/>
                      <w:szCs w:val="21"/>
                      <w:highlight w:val="none"/>
                      <w:u w:val="none"/>
                    </w:rPr>
                  </w:pPr>
                </w:p>
              </w:tc>
              <w:tc>
                <w:tcPr>
                  <w:tcW w:w="7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1314E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r>
                    <w:rPr>
                      <w:rFonts w:hint="eastAsia"/>
                      <w:color w:val="auto"/>
                      <w:sz w:val="21"/>
                      <w:szCs w:val="21"/>
                      <w:highlight w:val="none"/>
                      <w:lang w:val="en-US" w:eastAsia="zh-CN"/>
                    </w:rPr>
                    <w:t>混合料塑料毛料（含PP/ABS/PS）</w:t>
                  </w:r>
                </w:p>
              </w:tc>
              <w:tc>
                <w:tcPr>
                  <w:tcW w:w="6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E4EC17">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i w:val="0"/>
                      <w:iCs w:val="0"/>
                      <w:color w:val="auto"/>
                      <w:sz w:val="21"/>
                      <w:szCs w:val="21"/>
                      <w:highlight w:val="none"/>
                      <w:u w:val="none"/>
                      <w:lang w:val="en-US"/>
                    </w:rPr>
                  </w:pPr>
                  <w:r>
                    <w:rPr>
                      <w:rFonts w:hint="eastAsia"/>
                      <w:color w:val="auto"/>
                      <w:sz w:val="21"/>
                      <w:szCs w:val="21"/>
                      <w:highlight w:val="none"/>
                      <w:lang w:val="en-US" w:eastAsia="zh-CN"/>
                    </w:rPr>
                    <w:t>71250</w:t>
                  </w:r>
                </w:p>
              </w:tc>
              <w:tc>
                <w:tcPr>
                  <w:tcW w:w="4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6277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1000</w:t>
                  </w:r>
                </w:p>
              </w:tc>
              <w:tc>
                <w:tcPr>
                  <w:tcW w:w="3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C0AA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t</w:t>
                  </w:r>
                </w:p>
              </w:tc>
              <w:tc>
                <w:tcPr>
                  <w:tcW w:w="3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942B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固态</w:t>
                  </w:r>
                </w:p>
              </w:tc>
              <w:tc>
                <w:tcPr>
                  <w:tcW w:w="7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861066">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76" w:lineRule="auto"/>
                    <w:ind w:left="0" w:right="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混合料</w:t>
                  </w:r>
                </w:p>
              </w:tc>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21D7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rPr>
                    <w:t>破碎清洗</w:t>
                  </w:r>
                  <w:r>
                    <w:rPr>
                      <w:rFonts w:hint="default" w:ascii="Times New Roman" w:hAnsi="Times New Roman" w:eastAsia="宋体" w:cs="Times New Roman"/>
                      <w:i w:val="0"/>
                      <w:iCs w:val="0"/>
                      <w:color w:val="auto"/>
                      <w:kern w:val="0"/>
                      <w:sz w:val="21"/>
                      <w:szCs w:val="21"/>
                      <w:highlight w:val="none"/>
                      <w:u w:val="none"/>
                      <w:lang w:val="en-US" w:eastAsia="zh-CN"/>
                    </w:rPr>
                    <w:t>车间</w:t>
                  </w:r>
                </w:p>
              </w:tc>
              <w:tc>
                <w:tcPr>
                  <w:tcW w:w="6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E7E3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物料仓库（</w:t>
                  </w:r>
                  <w:r>
                    <w:rPr>
                      <w:rFonts w:hint="eastAsia" w:cs="Times New Roman"/>
                      <w:i w:val="0"/>
                      <w:iCs w:val="0"/>
                      <w:color w:val="auto"/>
                      <w:kern w:val="0"/>
                      <w:sz w:val="21"/>
                      <w:szCs w:val="21"/>
                      <w:highlight w:val="none"/>
                      <w:u w:val="none"/>
                      <w:lang w:val="en-US" w:eastAsia="zh-CN"/>
                    </w:rPr>
                    <w:t>4</w:t>
                  </w:r>
                  <w:r>
                    <w:rPr>
                      <w:rFonts w:hint="default" w:ascii="Times New Roman" w:hAnsi="Times New Roman" w:eastAsia="宋体" w:cs="Times New Roman"/>
                      <w:i w:val="0"/>
                      <w:iCs w:val="0"/>
                      <w:color w:val="auto"/>
                      <w:kern w:val="0"/>
                      <w:sz w:val="21"/>
                      <w:szCs w:val="21"/>
                      <w:highlight w:val="none"/>
                      <w:u w:val="none"/>
                      <w:lang w:val="en-US" w:eastAsia="zh-CN"/>
                    </w:rPr>
                    <w:t>#厂房）</w:t>
                  </w:r>
                </w:p>
              </w:tc>
            </w:tr>
            <w:tr w14:paraId="2AE947D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95" w:hRule="atLeast"/>
                <w:jc w:val="center"/>
              </w:trPr>
              <w:tc>
                <w:tcPr>
                  <w:tcW w:w="2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714EEA">
                  <w:pPr>
                    <w:keepNext w:val="0"/>
                    <w:keepLines w:val="0"/>
                    <w:pageBreakBefore w:val="0"/>
                    <w:widowControl/>
                    <w:numPr>
                      <w:ilvl w:val="0"/>
                      <w:numId w:val="8"/>
                    </w:numPr>
                    <w:suppressLineNumbers w:val="0"/>
                    <w:kinsoku/>
                    <w:wordWrap/>
                    <w:overflowPunct/>
                    <w:topLinePunct w:val="0"/>
                    <w:autoSpaceDE/>
                    <w:autoSpaceDN/>
                    <w:bidi w:val="0"/>
                    <w:adjustRightInd/>
                    <w:snapToGrid/>
                    <w:spacing w:before="0" w:beforeAutospacing="0" w:after="0" w:afterAutospacing="0" w:line="276" w:lineRule="auto"/>
                    <w:ind w:left="0" w:leftChars="0" w:right="0" w:firstLine="0" w:firstLineChars="0"/>
                    <w:jc w:val="right"/>
                    <w:textAlignment w:val="center"/>
                    <w:rPr>
                      <w:rFonts w:hint="default" w:ascii="Times New Roman" w:hAnsi="Times New Roman" w:eastAsia="宋体" w:cs="Times New Roman"/>
                      <w:i w:val="0"/>
                      <w:iCs w:val="0"/>
                      <w:color w:val="auto"/>
                      <w:sz w:val="21"/>
                      <w:szCs w:val="21"/>
                      <w:highlight w:val="none"/>
                      <w:u w:val="none"/>
                    </w:rPr>
                  </w:pPr>
                </w:p>
              </w:tc>
              <w:tc>
                <w:tcPr>
                  <w:tcW w:w="7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DABB68">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i w:val="0"/>
                      <w:iCs w:val="0"/>
                      <w:color w:val="auto"/>
                      <w:sz w:val="21"/>
                      <w:szCs w:val="21"/>
                      <w:highlight w:val="none"/>
                      <w:u w:val="none"/>
                    </w:rPr>
                  </w:pPr>
                  <w:r>
                    <w:rPr>
                      <w:rFonts w:hint="eastAsia"/>
                      <w:color w:val="auto"/>
                      <w:sz w:val="21"/>
                      <w:szCs w:val="21"/>
                      <w:highlight w:val="none"/>
                      <w:lang w:val="en-US" w:eastAsia="zh-CN"/>
                    </w:rPr>
                    <w:t>烧碱</w:t>
                  </w:r>
                </w:p>
              </w:tc>
              <w:tc>
                <w:tcPr>
                  <w:tcW w:w="6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0D81A7">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i w:val="0"/>
                      <w:iCs w:val="0"/>
                      <w:color w:val="auto"/>
                      <w:sz w:val="21"/>
                      <w:szCs w:val="21"/>
                      <w:highlight w:val="none"/>
                      <w:u w:val="none"/>
                      <w:lang w:val="en-US"/>
                    </w:rPr>
                  </w:pPr>
                  <w:r>
                    <w:rPr>
                      <w:rFonts w:hint="eastAsia"/>
                      <w:color w:val="auto"/>
                      <w:sz w:val="21"/>
                      <w:szCs w:val="21"/>
                      <w:highlight w:val="none"/>
                      <w:lang w:val="en-US" w:eastAsia="zh-CN"/>
                    </w:rPr>
                    <w:t>15</w:t>
                  </w:r>
                </w:p>
              </w:tc>
              <w:tc>
                <w:tcPr>
                  <w:tcW w:w="4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7ADD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1.5</w:t>
                  </w:r>
                </w:p>
              </w:tc>
              <w:tc>
                <w:tcPr>
                  <w:tcW w:w="3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04C3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t</w:t>
                  </w:r>
                </w:p>
              </w:tc>
              <w:tc>
                <w:tcPr>
                  <w:tcW w:w="3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F35D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液态</w:t>
                  </w:r>
                </w:p>
              </w:tc>
              <w:tc>
                <w:tcPr>
                  <w:tcW w:w="7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0828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25kg/桶</w:t>
                  </w:r>
                </w:p>
              </w:tc>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7609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rPr>
                    <w:t>破碎清洗</w:t>
                  </w:r>
                  <w:r>
                    <w:rPr>
                      <w:rFonts w:hint="default" w:ascii="Times New Roman" w:hAnsi="Times New Roman" w:eastAsia="宋体" w:cs="Times New Roman"/>
                      <w:i w:val="0"/>
                      <w:iCs w:val="0"/>
                      <w:color w:val="auto"/>
                      <w:kern w:val="0"/>
                      <w:sz w:val="21"/>
                      <w:szCs w:val="21"/>
                      <w:highlight w:val="none"/>
                      <w:u w:val="none"/>
                      <w:lang w:val="en-US" w:eastAsia="zh-CN"/>
                    </w:rPr>
                    <w:t>车间</w:t>
                  </w:r>
                </w:p>
              </w:tc>
              <w:tc>
                <w:tcPr>
                  <w:tcW w:w="6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ECD9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3#厂房</w:t>
                  </w:r>
                </w:p>
              </w:tc>
            </w:tr>
            <w:tr w14:paraId="4A304B7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jc w:val="center"/>
              </w:trPr>
              <w:tc>
                <w:tcPr>
                  <w:tcW w:w="2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F72632">
                  <w:pPr>
                    <w:keepNext w:val="0"/>
                    <w:keepLines w:val="0"/>
                    <w:pageBreakBefore w:val="0"/>
                    <w:widowControl/>
                    <w:numPr>
                      <w:ilvl w:val="0"/>
                      <w:numId w:val="8"/>
                    </w:numPr>
                    <w:suppressLineNumbers w:val="0"/>
                    <w:kinsoku/>
                    <w:wordWrap/>
                    <w:overflowPunct/>
                    <w:topLinePunct w:val="0"/>
                    <w:autoSpaceDE/>
                    <w:autoSpaceDN/>
                    <w:bidi w:val="0"/>
                    <w:adjustRightInd/>
                    <w:snapToGrid/>
                    <w:spacing w:before="0" w:beforeAutospacing="0" w:after="0" w:afterAutospacing="0" w:line="276" w:lineRule="auto"/>
                    <w:ind w:left="0" w:leftChars="0" w:right="0" w:firstLine="0" w:firstLineChars="0"/>
                    <w:jc w:val="right"/>
                    <w:textAlignment w:val="center"/>
                    <w:rPr>
                      <w:rFonts w:hint="default" w:ascii="Times New Roman" w:hAnsi="Times New Roman" w:eastAsia="宋体" w:cs="Times New Roman"/>
                      <w:i w:val="0"/>
                      <w:iCs w:val="0"/>
                      <w:color w:val="auto"/>
                      <w:sz w:val="21"/>
                      <w:szCs w:val="21"/>
                      <w:highlight w:val="none"/>
                      <w:u w:val="none"/>
                    </w:rPr>
                  </w:pPr>
                </w:p>
              </w:tc>
              <w:tc>
                <w:tcPr>
                  <w:tcW w:w="7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A9C5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pH调整剂</w:t>
                  </w:r>
                </w:p>
                <w:p w14:paraId="3426DE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（硫酸70%）</w:t>
                  </w:r>
                </w:p>
              </w:tc>
              <w:tc>
                <w:tcPr>
                  <w:tcW w:w="6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225A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rPr>
                    <w:t>28</w:t>
                  </w:r>
                </w:p>
              </w:tc>
              <w:tc>
                <w:tcPr>
                  <w:tcW w:w="4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7E99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rPr>
                    <w:t>3</w:t>
                  </w:r>
                </w:p>
              </w:tc>
              <w:tc>
                <w:tcPr>
                  <w:tcW w:w="3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2DF7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t</w:t>
                  </w:r>
                </w:p>
              </w:tc>
              <w:tc>
                <w:tcPr>
                  <w:tcW w:w="3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7808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液态</w:t>
                  </w:r>
                </w:p>
              </w:tc>
              <w:tc>
                <w:tcPr>
                  <w:tcW w:w="7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CE0F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25kg/桶</w:t>
                  </w:r>
                </w:p>
              </w:tc>
              <w:tc>
                <w:tcPr>
                  <w:tcW w:w="68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57423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自建污水处理站</w:t>
                  </w:r>
                </w:p>
              </w:tc>
              <w:tc>
                <w:tcPr>
                  <w:tcW w:w="60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494BB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自建污水处理站</w:t>
                  </w:r>
                </w:p>
              </w:tc>
            </w:tr>
            <w:tr w14:paraId="3C40906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jc w:val="center"/>
              </w:trPr>
              <w:tc>
                <w:tcPr>
                  <w:tcW w:w="2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4A25FB">
                  <w:pPr>
                    <w:keepNext w:val="0"/>
                    <w:keepLines w:val="0"/>
                    <w:pageBreakBefore w:val="0"/>
                    <w:widowControl/>
                    <w:numPr>
                      <w:ilvl w:val="0"/>
                      <w:numId w:val="8"/>
                    </w:numPr>
                    <w:suppressLineNumbers w:val="0"/>
                    <w:kinsoku/>
                    <w:wordWrap/>
                    <w:overflowPunct/>
                    <w:topLinePunct w:val="0"/>
                    <w:autoSpaceDE/>
                    <w:autoSpaceDN/>
                    <w:bidi w:val="0"/>
                    <w:adjustRightInd/>
                    <w:snapToGrid/>
                    <w:spacing w:before="0" w:beforeAutospacing="0" w:after="0" w:afterAutospacing="0" w:line="276" w:lineRule="auto"/>
                    <w:ind w:left="0" w:leftChars="0" w:right="0" w:firstLine="0" w:firstLineChars="0"/>
                    <w:jc w:val="right"/>
                    <w:textAlignment w:val="center"/>
                    <w:rPr>
                      <w:rFonts w:hint="default" w:ascii="Times New Roman" w:hAnsi="Times New Roman" w:eastAsia="宋体" w:cs="Times New Roman"/>
                      <w:i w:val="0"/>
                      <w:iCs w:val="0"/>
                      <w:color w:val="auto"/>
                      <w:sz w:val="21"/>
                      <w:szCs w:val="21"/>
                      <w:highlight w:val="none"/>
                      <w:u w:val="none"/>
                    </w:rPr>
                  </w:pPr>
                </w:p>
              </w:tc>
              <w:tc>
                <w:tcPr>
                  <w:tcW w:w="7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835B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PAC</w:t>
                  </w:r>
                </w:p>
              </w:tc>
              <w:tc>
                <w:tcPr>
                  <w:tcW w:w="6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0AF6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rPr>
                    <w:t>0.5</w:t>
                  </w:r>
                </w:p>
              </w:tc>
              <w:tc>
                <w:tcPr>
                  <w:tcW w:w="4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E5E3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rPr>
                    <w:t>0.</w:t>
                  </w:r>
                  <w:r>
                    <w:rPr>
                      <w:rFonts w:hint="eastAsia" w:cs="Times New Roman"/>
                      <w:i w:val="0"/>
                      <w:iCs w:val="0"/>
                      <w:color w:val="auto"/>
                      <w:kern w:val="0"/>
                      <w:sz w:val="21"/>
                      <w:szCs w:val="21"/>
                      <w:highlight w:val="none"/>
                      <w:u w:val="none"/>
                      <w:lang w:val="en-US" w:eastAsia="zh-CN"/>
                    </w:rPr>
                    <w:t>1</w:t>
                  </w:r>
                </w:p>
              </w:tc>
              <w:tc>
                <w:tcPr>
                  <w:tcW w:w="3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CCC3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t</w:t>
                  </w:r>
                </w:p>
              </w:tc>
              <w:tc>
                <w:tcPr>
                  <w:tcW w:w="3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752E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固态</w:t>
                  </w:r>
                </w:p>
              </w:tc>
              <w:tc>
                <w:tcPr>
                  <w:tcW w:w="7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0A10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25kg/袋</w:t>
                  </w:r>
                </w:p>
              </w:tc>
              <w:tc>
                <w:tcPr>
                  <w:tcW w:w="68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2F441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0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81113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r>
            <w:tr w14:paraId="170BABF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jc w:val="center"/>
              </w:trPr>
              <w:tc>
                <w:tcPr>
                  <w:tcW w:w="2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5375BF">
                  <w:pPr>
                    <w:keepNext w:val="0"/>
                    <w:keepLines w:val="0"/>
                    <w:pageBreakBefore w:val="0"/>
                    <w:widowControl/>
                    <w:numPr>
                      <w:ilvl w:val="0"/>
                      <w:numId w:val="8"/>
                    </w:numPr>
                    <w:suppressLineNumbers w:val="0"/>
                    <w:kinsoku/>
                    <w:wordWrap/>
                    <w:overflowPunct/>
                    <w:topLinePunct w:val="0"/>
                    <w:autoSpaceDE/>
                    <w:autoSpaceDN/>
                    <w:bidi w:val="0"/>
                    <w:adjustRightInd/>
                    <w:snapToGrid/>
                    <w:spacing w:before="0" w:beforeAutospacing="0" w:after="0" w:afterAutospacing="0" w:line="276" w:lineRule="auto"/>
                    <w:ind w:left="0" w:leftChars="0" w:right="0" w:firstLine="0" w:firstLineChars="0"/>
                    <w:jc w:val="right"/>
                    <w:textAlignment w:val="center"/>
                    <w:rPr>
                      <w:rFonts w:hint="default" w:ascii="Times New Roman" w:hAnsi="Times New Roman" w:eastAsia="宋体" w:cs="Times New Roman"/>
                      <w:i w:val="0"/>
                      <w:iCs w:val="0"/>
                      <w:color w:val="auto"/>
                      <w:sz w:val="21"/>
                      <w:szCs w:val="21"/>
                      <w:highlight w:val="none"/>
                      <w:u w:val="none"/>
                    </w:rPr>
                  </w:pPr>
                </w:p>
              </w:tc>
              <w:tc>
                <w:tcPr>
                  <w:tcW w:w="7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88E2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PAM</w:t>
                  </w:r>
                </w:p>
              </w:tc>
              <w:tc>
                <w:tcPr>
                  <w:tcW w:w="6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35D7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rPr>
                    <w:t>0.</w:t>
                  </w:r>
                  <w:r>
                    <w:rPr>
                      <w:rFonts w:hint="eastAsia" w:cs="Times New Roman"/>
                      <w:i w:val="0"/>
                      <w:iCs w:val="0"/>
                      <w:color w:val="auto"/>
                      <w:kern w:val="0"/>
                      <w:sz w:val="21"/>
                      <w:szCs w:val="21"/>
                      <w:highlight w:val="none"/>
                      <w:u w:val="none"/>
                      <w:lang w:val="en-US" w:eastAsia="zh-CN"/>
                    </w:rPr>
                    <w:t>02</w:t>
                  </w:r>
                </w:p>
              </w:tc>
              <w:tc>
                <w:tcPr>
                  <w:tcW w:w="4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FA0E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0.1</w:t>
                  </w:r>
                </w:p>
              </w:tc>
              <w:tc>
                <w:tcPr>
                  <w:tcW w:w="3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FF9F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t</w:t>
                  </w:r>
                </w:p>
              </w:tc>
              <w:tc>
                <w:tcPr>
                  <w:tcW w:w="3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26B3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固态</w:t>
                  </w:r>
                </w:p>
              </w:tc>
              <w:tc>
                <w:tcPr>
                  <w:tcW w:w="7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19BC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25kg/袋</w:t>
                  </w:r>
                </w:p>
              </w:tc>
              <w:tc>
                <w:tcPr>
                  <w:tcW w:w="68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41F15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0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D4C02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r>
            <w:tr w14:paraId="14C2A3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jc w:val="center"/>
              </w:trPr>
              <w:tc>
                <w:tcPr>
                  <w:tcW w:w="2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EFD189">
                  <w:pPr>
                    <w:keepNext w:val="0"/>
                    <w:keepLines w:val="0"/>
                    <w:pageBreakBefore w:val="0"/>
                    <w:widowControl/>
                    <w:numPr>
                      <w:ilvl w:val="0"/>
                      <w:numId w:val="8"/>
                    </w:numPr>
                    <w:suppressLineNumbers w:val="0"/>
                    <w:kinsoku/>
                    <w:wordWrap/>
                    <w:overflowPunct/>
                    <w:topLinePunct w:val="0"/>
                    <w:autoSpaceDE/>
                    <w:autoSpaceDN/>
                    <w:bidi w:val="0"/>
                    <w:adjustRightInd/>
                    <w:snapToGrid/>
                    <w:spacing w:before="0" w:beforeAutospacing="0" w:after="0" w:afterAutospacing="0" w:line="276" w:lineRule="auto"/>
                    <w:ind w:left="0" w:leftChars="0" w:right="0" w:firstLine="0" w:firstLineChars="0"/>
                    <w:jc w:val="right"/>
                    <w:textAlignment w:val="center"/>
                    <w:rPr>
                      <w:rFonts w:hint="default" w:ascii="Times New Roman" w:hAnsi="Times New Roman" w:eastAsia="宋体" w:cs="Times New Roman"/>
                      <w:i w:val="0"/>
                      <w:iCs w:val="0"/>
                      <w:color w:val="auto"/>
                      <w:sz w:val="21"/>
                      <w:szCs w:val="21"/>
                      <w:highlight w:val="none"/>
                      <w:u w:val="none"/>
                    </w:rPr>
                  </w:pPr>
                </w:p>
              </w:tc>
              <w:tc>
                <w:tcPr>
                  <w:tcW w:w="7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D11F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机油</w:t>
                  </w:r>
                </w:p>
                <w:p w14:paraId="7A0165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（润滑油）</w:t>
                  </w:r>
                </w:p>
              </w:tc>
              <w:tc>
                <w:tcPr>
                  <w:tcW w:w="6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5B96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0.</w:t>
                  </w:r>
                  <w:r>
                    <w:rPr>
                      <w:rFonts w:hint="eastAsia" w:cs="Times New Roman"/>
                      <w:i w:val="0"/>
                      <w:iCs w:val="0"/>
                      <w:color w:val="auto"/>
                      <w:kern w:val="0"/>
                      <w:sz w:val="21"/>
                      <w:szCs w:val="21"/>
                      <w:highlight w:val="none"/>
                      <w:u w:val="none"/>
                      <w:lang w:val="en-US" w:eastAsia="zh-CN"/>
                    </w:rPr>
                    <w:t>9</w:t>
                  </w:r>
                </w:p>
              </w:tc>
              <w:tc>
                <w:tcPr>
                  <w:tcW w:w="4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CF3F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0.</w:t>
                  </w:r>
                  <w:r>
                    <w:rPr>
                      <w:rFonts w:hint="eastAsia" w:cs="Times New Roman"/>
                      <w:i w:val="0"/>
                      <w:iCs w:val="0"/>
                      <w:color w:val="auto"/>
                      <w:kern w:val="0"/>
                      <w:sz w:val="21"/>
                      <w:szCs w:val="21"/>
                      <w:highlight w:val="none"/>
                      <w:u w:val="none"/>
                      <w:lang w:val="en-US" w:eastAsia="zh-CN"/>
                    </w:rPr>
                    <w:t>9</w:t>
                  </w:r>
                </w:p>
              </w:tc>
              <w:tc>
                <w:tcPr>
                  <w:tcW w:w="3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42FE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t</w:t>
                  </w:r>
                </w:p>
              </w:tc>
              <w:tc>
                <w:tcPr>
                  <w:tcW w:w="3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8450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液态</w:t>
                  </w:r>
                </w:p>
              </w:tc>
              <w:tc>
                <w:tcPr>
                  <w:tcW w:w="7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0828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200L/桶</w:t>
                  </w:r>
                </w:p>
              </w:tc>
              <w:tc>
                <w:tcPr>
                  <w:tcW w:w="68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82E56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设备运行维护</w:t>
                  </w:r>
                </w:p>
              </w:tc>
              <w:tc>
                <w:tcPr>
                  <w:tcW w:w="60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BC6B9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rPr>
                    <w:t>3</w:t>
                  </w:r>
                  <w:r>
                    <w:rPr>
                      <w:rFonts w:hint="default" w:ascii="Times New Roman" w:hAnsi="Times New Roman" w:eastAsia="宋体" w:cs="Times New Roman"/>
                      <w:i w:val="0"/>
                      <w:iCs w:val="0"/>
                      <w:color w:val="auto"/>
                      <w:kern w:val="0"/>
                      <w:sz w:val="21"/>
                      <w:szCs w:val="21"/>
                      <w:highlight w:val="none"/>
                      <w:u w:val="none"/>
                      <w:lang w:val="en-US" w:eastAsia="zh-CN"/>
                    </w:rPr>
                    <w:t>#</w:t>
                  </w:r>
                  <w:r>
                    <w:rPr>
                      <w:rFonts w:hint="default" w:ascii="Times New Roman" w:hAnsi="Times New Roman" w:cs="Times New Roman"/>
                      <w:color w:val="auto"/>
                      <w:sz w:val="21"/>
                      <w:szCs w:val="21"/>
                      <w:highlight w:val="none"/>
                      <w:lang w:val="en-US" w:eastAsia="zh-CN"/>
                    </w:rPr>
                    <w:t>厂房</w:t>
                  </w:r>
                  <w:r>
                    <w:rPr>
                      <w:rFonts w:hint="default" w:ascii="Times New Roman" w:hAnsi="Times New Roman" w:cs="Times New Roman"/>
                      <w:i w:val="0"/>
                      <w:iCs w:val="0"/>
                      <w:color w:val="auto"/>
                      <w:kern w:val="0"/>
                      <w:sz w:val="21"/>
                      <w:szCs w:val="21"/>
                      <w:highlight w:val="none"/>
                      <w:u w:val="none"/>
                      <w:lang w:val="en-US" w:eastAsia="zh-CN"/>
                    </w:rPr>
                    <w:t>化学品仓</w:t>
                  </w:r>
                </w:p>
              </w:tc>
            </w:tr>
            <w:tr w14:paraId="69EAF13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jc w:val="center"/>
              </w:trPr>
              <w:tc>
                <w:tcPr>
                  <w:tcW w:w="2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79E27F">
                  <w:pPr>
                    <w:keepNext w:val="0"/>
                    <w:keepLines w:val="0"/>
                    <w:pageBreakBefore w:val="0"/>
                    <w:widowControl/>
                    <w:numPr>
                      <w:ilvl w:val="0"/>
                      <w:numId w:val="8"/>
                    </w:numPr>
                    <w:suppressLineNumbers w:val="0"/>
                    <w:kinsoku/>
                    <w:wordWrap/>
                    <w:overflowPunct/>
                    <w:topLinePunct w:val="0"/>
                    <w:autoSpaceDE/>
                    <w:autoSpaceDN/>
                    <w:bidi w:val="0"/>
                    <w:adjustRightInd/>
                    <w:snapToGrid/>
                    <w:spacing w:before="0" w:beforeAutospacing="0" w:after="0" w:afterAutospacing="0" w:line="276" w:lineRule="auto"/>
                    <w:ind w:left="0" w:leftChars="0" w:right="0" w:firstLine="0" w:firstLineChars="0"/>
                    <w:jc w:val="right"/>
                    <w:textAlignment w:val="center"/>
                    <w:rPr>
                      <w:rFonts w:hint="default" w:ascii="Times New Roman" w:hAnsi="Times New Roman" w:eastAsia="宋体" w:cs="Times New Roman"/>
                      <w:i w:val="0"/>
                      <w:iCs w:val="0"/>
                      <w:color w:val="auto"/>
                      <w:sz w:val="21"/>
                      <w:szCs w:val="21"/>
                      <w:highlight w:val="none"/>
                      <w:u w:val="none"/>
                    </w:rPr>
                  </w:pPr>
                </w:p>
              </w:tc>
              <w:tc>
                <w:tcPr>
                  <w:tcW w:w="7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63AE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rPr>
                    <w:t>柴油</w:t>
                  </w:r>
                </w:p>
              </w:tc>
              <w:tc>
                <w:tcPr>
                  <w:tcW w:w="6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C6C5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rPr>
                    <w:t>0.</w:t>
                  </w:r>
                  <w:r>
                    <w:rPr>
                      <w:rFonts w:hint="eastAsia" w:cs="Times New Roman"/>
                      <w:i w:val="0"/>
                      <w:iCs w:val="0"/>
                      <w:color w:val="auto"/>
                      <w:kern w:val="0"/>
                      <w:sz w:val="21"/>
                      <w:szCs w:val="21"/>
                      <w:highlight w:val="none"/>
                      <w:u w:val="none"/>
                      <w:lang w:val="en-US" w:eastAsia="zh-CN"/>
                    </w:rPr>
                    <w:t>85</w:t>
                  </w:r>
                </w:p>
              </w:tc>
              <w:tc>
                <w:tcPr>
                  <w:tcW w:w="4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3173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rPr>
                    <w:t>0.</w:t>
                  </w:r>
                  <w:r>
                    <w:rPr>
                      <w:rFonts w:hint="eastAsia" w:cs="Times New Roman"/>
                      <w:i w:val="0"/>
                      <w:iCs w:val="0"/>
                      <w:color w:val="auto"/>
                      <w:kern w:val="0"/>
                      <w:sz w:val="21"/>
                      <w:szCs w:val="21"/>
                      <w:highlight w:val="none"/>
                      <w:u w:val="none"/>
                      <w:lang w:val="en-US" w:eastAsia="zh-CN"/>
                    </w:rPr>
                    <w:t>85</w:t>
                  </w:r>
                </w:p>
              </w:tc>
              <w:tc>
                <w:tcPr>
                  <w:tcW w:w="3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4005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t</w:t>
                  </w:r>
                </w:p>
              </w:tc>
              <w:tc>
                <w:tcPr>
                  <w:tcW w:w="3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2E5D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液态</w:t>
                  </w:r>
                </w:p>
              </w:tc>
              <w:tc>
                <w:tcPr>
                  <w:tcW w:w="7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2FDE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200L/桶</w:t>
                  </w:r>
                </w:p>
              </w:tc>
              <w:tc>
                <w:tcPr>
                  <w:tcW w:w="68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62D8F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0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80429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r>
            <w:tr w14:paraId="177B0D3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jc w:val="center"/>
              </w:trPr>
              <w:tc>
                <w:tcPr>
                  <w:tcW w:w="2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49EA0E">
                  <w:pPr>
                    <w:keepNext w:val="0"/>
                    <w:keepLines w:val="0"/>
                    <w:pageBreakBefore w:val="0"/>
                    <w:widowControl/>
                    <w:numPr>
                      <w:ilvl w:val="0"/>
                      <w:numId w:val="8"/>
                    </w:numPr>
                    <w:suppressLineNumbers w:val="0"/>
                    <w:kinsoku/>
                    <w:wordWrap/>
                    <w:overflowPunct/>
                    <w:topLinePunct w:val="0"/>
                    <w:autoSpaceDE/>
                    <w:autoSpaceDN/>
                    <w:bidi w:val="0"/>
                    <w:adjustRightInd/>
                    <w:snapToGrid/>
                    <w:spacing w:before="0" w:beforeAutospacing="0" w:after="0" w:afterAutospacing="0" w:line="276" w:lineRule="auto"/>
                    <w:ind w:left="0" w:leftChars="0" w:right="0" w:firstLine="0" w:firstLineChars="0"/>
                    <w:jc w:val="right"/>
                    <w:textAlignment w:val="center"/>
                    <w:rPr>
                      <w:rFonts w:hint="default" w:ascii="Times New Roman" w:hAnsi="Times New Roman" w:cs="Times New Roman"/>
                      <w:i w:val="0"/>
                      <w:iCs w:val="0"/>
                      <w:color w:val="auto"/>
                      <w:kern w:val="0"/>
                      <w:sz w:val="21"/>
                      <w:szCs w:val="21"/>
                      <w:highlight w:val="none"/>
                      <w:u w:val="none"/>
                      <w:lang w:val="en-US" w:eastAsia="zh-CN"/>
                    </w:rPr>
                  </w:pPr>
                </w:p>
              </w:tc>
              <w:tc>
                <w:tcPr>
                  <w:tcW w:w="7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CA4D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olor w:val="auto"/>
                      <w:sz w:val="21"/>
                      <w:szCs w:val="21"/>
                      <w:highlight w:val="none"/>
                    </w:rPr>
                    <w:t>复合净水剂</w:t>
                  </w:r>
                </w:p>
              </w:tc>
              <w:tc>
                <w:tcPr>
                  <w:tcW w:w="6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6360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0.5</w:t>
                  </w:r>
                </w:p>
              </w:tc>
              <w:tc>
                <w:tcPr>
                  <w:tcW w:w="4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7EC3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0.1</w:t>
                  </w:r>
                </w:p>
              </w:tc>
              <w:tc>
                <w:tcPr>
                  <w:tcW w:w="3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E10F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t</w:t>
                  </w:r>
                </w:p>
              </w:tc>
              <w:tc>
                <w:tcPr>
                  <w:tcW w:w="3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84F0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固态</w:t>
                  </w:r>
                </w:p>
              </w:tc>
              <w:tc>
                <w:tcPr>
                  <w:tcW w:w="7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E870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25kg/袋</w:t>
                  </w:r>
                </w:p>
              </w:tc>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25E2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自建污水处理站</w:t>
                  </w:r>
                </w:p>
              </w:tc>
              <w:tc>
                <w:tcPr>
                  <w:tcW w:w="6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1069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自建污水处理站</w:t>
                  </w:r>
                </w:p>
              </w:tc>
            </w:tr>
          </w:tbl>
          <w:p w14:paraId="07849E50">
            <w:pPr>
              <w:pStyle w:val="6"/>
              <w:widowControl/>
              <w:numPr>
                <w:ilvl w:val="4"/>
                <w:numId w:val="0"/>
              </w:numPr>
              <w:suppressLineNumbers w:val="0"/>
              <w:spacing w:before="0" w:beforeAutospacing="0" w:after="0" w:afterAutospacing="0"/>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（2）部分原辅材料理化性质</w:t>
            </w:r>
          </w:p>
          <w:p w14:paraId="206C4E83">
            <w:pPr>
              <w:pStyle w:val="107"/>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原辅材料性质一览表</w:t>
            </w:r>
          </w:p>
          <w:tbl>
            <w:tblPr>
              <w:tblStyle w:val="3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60"/>
              <w:gridCol w:w="1374"/>
              <w:gridCol w:w="6414"/>
              <w:gridCol w:w="1042"/>
            </w:tblGrid>
            <w:tr w14:paraId="251898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60" w:type="dxa"/>
                  <w:vAlign w:val="center"/>
                </w:tcPr>
                <w:p w14:paraId="098D7A54">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rPr>
                  </w:pPr>
                  <w:r>
                    <w:rPr>
                      <w:rFonts w:hint="default" w:ascii="Times New Roman" w:hAnsi="Times New Roman" w:eastAsia="宋体" w:cs="Times New Roman"/>
                      <w:b w:val="0"/>
                      <w:bCs/>
                      <w:color w:val="auto"/>
                      <w:highlight w:val="none"/>
                    </w:rPr>
                    <w:t>序号</w:t>
                  </w:r>
                </w:p>
              </w:tc>
              <w:tc>
                <w:tcPr>
                  <w:tcW w:w="1376" w:type="dxa"/>
                  <w:vAlign w:val="center"/>
                </w:tcPr>
                <w:p w14:paraId="6E652E2D">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rPr>
                  </w:pPr>
                  <w:r>
                    <w:rPr>
                      <w:rFonts w:hint="default" w:ascii="Times New Roman" w:hAnsi="Times New Roman" w:eastAsia="宋体" w:cs="Times New Roman"/>
                      <w:b w:val="0"/>
                      <w:bCs/>
                      <w:color w:val="auto"/>
                      <w:highlight w:val="none"/>
                    </w:rPr>
                    <w:t>原辅材料</w:t>
                  </w:r>
                </w:p>
                <w:p w14:paraId="56A576CE">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rPr>
                  </w:pPr>
                  <w:r>
                    <w:rPr>
                      <w:rFonts w:hint="default" w:ascii="Times New Roman" w:hAnsi="Times New Roman" w:eastAsia="宋体" w:cs="Times New Roman"/>
                      <w:b w:val="0"/>
                      <w:bCs/>
                      <w:color w:val="auto"/>
                      <w:highlight w:val="none"/>
                    </w:rPr>
                    <w:t>名称</w:t>
                  </w:r>
                </w:p>
              </w:tc>
              <w:tc>
                <w:tcPr>
                  <w:tcW w:w="6436" w:type="dxa"/>
                  <w:vAlign w:val="center"/>
                </w:tcPr>
                <w:p w14:paraId="2132F4B0">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rPr>
                  </w:pPr>
                  <w:r>
                    <w:rPr>
                      <w:rFonts w:hint="default" w:ascii="Times New Roman" w:hAnsi="Times New Roman" w:eastAsia="宋体" w:cs="Times New Roman"/>
                      <w:b w:val="0"/>
                      <w:bCs/>
                      <w:color w:val="auto"/>
                      <w:highlight w:val="none"/>
                    </w:rPr>
                    <w:t>性质</w:t>
                  </w:r>
                </w:p>
              </w:tc>
              <w:tc>
                <w:tcPr>
                  <w:tcW w:w="1044" w:type="dxa"/>
                  <w:vAlign w:val="center"/>
                </w:tcPr>
                <w:p w14:paraId="5702B90D">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lang w:val="en-US" w:eastAsia="zh-CN"/>
                    </w:rPr>
                  </w:pPr>
                  <w:r>
                    <w:rPr>
                      <w:rFonts w:hint="eastAsia" w:ascii="Times New Roman" w:hAnsi="Times New Roman" w:eastAsia="宋体" w:cs="Times New Roman"/>
                      <w:b w:val="0"/>
                      <w:bCs/>
                      <w:color w:val="auto"/>
                      <w:highlight w:val="none"/>
                      <w:lang w:val="en-US" w:eastAsia="zh-CN"/>
                    </w:rPr>
                    <w:t>是否为危险化学品</w:t>
                  </w:r>
                </w:p>
              </w:tc>
            </w:tr>
            <w:tr w14:paraId="57B887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63" w:hRule="atLeast"/>
                <w:jc w:val="center"/>
              </w:trPr>
              <w:tc>
                <w:tcPr>
                  <w:tcW w:w="460" w:type="dxa"/>
                  <w:vAlign w:val="center"/>
                </w:tcPr>
                <w:p w14:paraId="43DF10C4">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rPr>
                  </w:pPr>
                  <w:r>
                    <w:rPr>
                      <w:rFonts w:hint="default" w:ascii="Times New Roman" w:hAnsi="Times New Roman" w:eastAsia="宋体" w:cs="Times New Roman"/>
                      <w:b w:val="0"/>
                      <w:bCs/>
                      <w:color w:val="auto"/>
                      <w:highlight w:val="none"/>
                    </w:rPr>
                    <w:t>1</w:t>
                  </w:r>
                </w:p>
              </w:tc>
              <w:tc>
                <w:tcPr>
                  <w:tcW w:w="1376" w:type="dxa"/>
                  <w:vAlign w:val="center"/>
                </w:tcPr>
                <w:p w14:paraId="0A5307F4">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rPr>
                  </w:pPr>
                  <w:r>
                    <w:rPr>
                      <w:rFonts w:hint="default" w:ascii="Times New Roman" w:hAnsi="Times New Roman" w:eastAsia="宋体" w:cs="Times New Roman"/>
                      <w:b w:val="0"/>
                      <w:bCs/>
                      <w:color w:val="auto"/>
                      <w:highlight w:val="none"/>
                    </w:rPr>
                    <w:t>聚丙烯（PP）</w:t>
                  </w:r>
                </w:p>
              </w:tc>
              <w:tc>
                <w:tcPr>
                  <w:tcW w:w="6436" w:type="dxa"/>
                  <w:vAlign w:val="center"/>
                </w:tcPr>
                <w:p w14:paraId="00B2A45A">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rPr>
                  </w:pPr>
                  <w:r>
                    <w:rPr>
                      <w:rFonts w:hint="default" w:ascii="Times New Roman" w:hAnsi="Times New Roman" w:eastAsia="宋体" w:cs="Times New Roman"/>
                      <w:b w:val="0"/>
                      <w:bCs/>
                      <w:color w:val="auto"/>
                      <w:highlight w:val="none"/>
                    </w:rPr>
                    <w:t>由丙烯聚合而成的高分子化合物，比重：0.9-0.91 g/cm</w:t>
                  </w:r>
                  <w:r>
                    <w:rPr>
                      <w:rFonts w:hint="default" w:ascii="Times New Roman" w:hAnsi="Times New Roman" w:eastAsia="宋体" w:cs="Times New Roman"/>
                      <w:b w:val="0"/>
                      <w:bCs/>
                      <w:color w:val="auto"/>
                      <w:highlight w:val="none"/>
                      <w:vertAlign w:val="superscript"/>
                    </w:rPr>
                    <w:t>3</w:t>
                  </w:r>
                  <w:r>
                    <w:rPr>
                      <w:rFonts w:hint="default" w:ascii="Times New Roman" w:hAnsi="Times New Roman" w:eastAsia="宋体" w:cs="Times New Roman"/>
                      <w:b w:val="0"/>
                      <w:bCs/>
                      <w:color w:val="auto"/>
                      <w:highlight w:val="none"/>
                    </w:rPr>
                    <w:t>，成型收缩率 1.0～2.5%，</w:t>
                  </w:r>
                  <w:r>
                    <w:rPr>
                      <w:rFonts w:hint="default" w:ascii="Times New Roman" w:hAnsi="Times New Roman" w:eastAsia="宋体" w:cs="Times New Roman"/>
                      <w:b w:val="0"/>
                      <w:bCs/>
                      <w:color w:val="auto"/>
                      <w:highlight w:val="none"/>
                      <w:shd w:val="clear" w:color="FFFFFF" w:fill="D9D9D9"/>
                      <w:lang w:eastAsia="zh-CN"/>
                    </w:rPr>
                    <w:t>溶解</w:t>
                  </w:r>
                  <w:r>
                    <w:rPr>
                      <w:rFonts w:hint="default" w:ascii="Times New Roman" w:hAnsi="Times New Roman" w:eastAsia="宋体" w:cs="Times New Roman"/>
                      <w:b w:val="0"/>
                      <w:bCs/>
                      <w:color w:val="auto"/>
                      <w:highlight w:val="none"/>
                      <w:shd w:val="clear" w:color="FFFFFF" w:fill="D9D9D9"/>
                    </w:rPr>
                    <w:t>温度：160～</w:t>
                  </w:r>
                  <w:r>
                    <w:rPr>
                      <w:rFonts w:hint="default" w:ascii="Times New Roman" w:hAnsi="Times New Roman" w:eastAsia="宋体" w:cs="Times New Roman"/>
                      <w:b w:val="0"/>
                      <w:bCs/>
                      <w:color w:val="auto"/>
                      <w:highlight w:val="none"/>
                      <w:shd w:val="clear" w:color="FFFFFF" w:fill="D9D9D9"/>
                      <w:lang w:val="en-US" w:eastAsia="zh-CN"/>
                    </w:rPr>
                    <w:t>175</w:t>
                  </w:r>
                  <w:r>
                    <w:rPr>
                      <w:rFonts w:hint="default" w:ascii="Times New Roman" w:hAnsi="Times New Roman" w:eastAsia="宋体" w:cs="Times New Roman"/>
                      <w:b w:val="0"/>
                      <w:bCs/>
                      <w:color w:val="auto"/>
                      <w:highlight w:val="none"/>
                      <w:shd w:val="clear" w:color="FFFFFF" w:fill="D9D9D9"/>
                    </w:rPr>
                    <w:t>℃</w:t>
                  </w:r>
                  <w:r>
                    <w:rPr>
                      <w:rFonts w:hint="default" w:ascii="Times New Roman" w:hAnsi="Times New Roman" w:eastAsia="宋体" w:cs="Times New Roman"/>
                      <w:b w:val="0"/>
                      <w:bCs/>
                      <w:color w:val="auto"/>
                      <w:highlight w:val="none"/>
                    </w:rPr>
                    <w:t>，加工温度在 200-300℃左右较好，3</w:t>
                  </w:r>
                  <w:r>
                    <w:rPr>
                      <w:rFonts w:hint="default" w:ascii="Times New Roman" w:hAnsi="Times New Roman" w:eastAsia="宋体" w:cs="Times New Roman"/>
                      <w:b w:val="0"/>
                      <w:bCs/>
                      <w:color w:val="auto"/>
                      <w:highlight w:val="none"/>
                      <w:shd w:val="clear" w:color="FFFFFF" w:fill="D9D9D9"/>
                    </w:rPr>
                    <w:t>00℃</w:t>
                  </w:r>
                  <w:r>
                    <w:rPr>
                      <w:rFonts w:hint="default" w:ascii="Times New Roman" w:hAnsi="Times New Roman" w:eastAsia="宋体" w:cs="Times New Roman"/>
                      <w:b w:val="0"/>
                      <w:bCs/>
                      <w:color w:val="auto"/>
                      <w:highlight w:val="none"/>
                      <w:shd w:val="clear" w:color="FFFFFF" w:fill="D9D9D9"/>
                      <w:lang w:eastAsia="zh-CN"/>
                    </w:rPr>
                    <w:t>以上开始分解</w:t>
                  </w:r>
                  <w:r>
                    <w:rPr>
                      <w:rFonts w:hint="default" w:ascii="Times New Roman" w:hAnsi="Times New Roman" w:eastAsia="宋体" w:cs="Times New Roman"/>
                      <w:b w:val="0"/>
                      <w:bCs/>
                      <w:color w:val="auto"/>
                      <w:highlight w:val="none"/>
                      <w:lang w:eastAsia="zh-CN"/>
                    </w:rPr>
                    <w:t>，</w:t>
                  </w:r>
                  <w:r>
                    <w:rPr>
                      <w:rFonts w:hint="default" w:ascii="Times New Roman" w:hAnsi="Times New Roman" w:eastAsia="宋体" w:cs="Times New Roman"/>
                      <w:b w:val="0"/>
                      <w:bCs/>
                      <w:color w:val="auto"/>
                      <w:highlight w:val="none"/>
                    </w:rPr>
                    <w:t>有良好的热稳定性（分解温度为310℃）。无嗅、无味。是常用树脂中最轻的一种。机械性能优良。耐热性良好，连续使用温度可达110-120℃。化学稳定性好，除强氧化剂外，与大多数化学药品不发生作用。耐水性特别好。电绝缘性优良。但易老化，低温下冲击强度较差。</w:t>
                  </w:r>
                </w:p>
              </w:tc>
              <w:tc>
                <w:tcPr>
                  <w:tcW w:w="1044" w:type="dxa"/>
                  <w:vAlign w:val="center"/>
                </w:tcPr>
                <w:p w14:paraId="33247421">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eastAsia" w:ascii="Times New Roman" w:hAnsi="Times New Roman" w:eastAsia="宋体" w:cs="Times New Roman"/>
                      <w:b w:val="0"/>
                      <w:bCs/>
                      <w:color w:val="auto"/>
                      <w:highlight w:val="none"/>
                      <w:lang w:eastAsia="zh-CN"/>
                    </w:rPr>
                  </w:pPr>
                  <w:r>
                    <w:rPr>
                      <w:rFonts w:hint="eastAsia" w:ascii="Times New Roman" w:hAnsi="Times New Roman" w:eastAsia="宋体" w:cs="Times New Roman"/>
                      <w:b w:val="0"/>
                      <w:bCs/>
                      <w:color w:val="auto"/>
                      <w:highlight w:val="none"/>
                      <w:lang w:val="en-US" w:eastAsia="zh-CN"/>
                    </w:rPr>
                    <w:t>否</w:t>
                  </w:r>
                </w:p>
              </w:tc>
            </w:tr>
            <w:tr w14:paraId="3999E8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460" w:type="dxa"/>
                  <w:vAlign w:val="center"/>
                </w:tcPr>
                <w:p w14:paraId="6E7AE066">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rPr>
                  </w:pPr>
                  <w:r>
                    <w:rPr>
                      <w:rFonts w:hint="default" w:ascii="Times New Roman" w:hAnsi="Times New Roman" w:eastAsia="宋体" w:cs="Times New Roman"/>
                      <w:b w:val="0"/>
                      <w:bCs/>
                      <w:color w:val="auto"/>
                      <w:highlight w:val="none"/>
                    </w:rPr>
                    <w:t>2</w:t>
                  </w:r>
                </w:p>
              </w:tc>
              <w:tc>
                <w:tcPr>
                  <w:tcW w:w="1376" w:type="dxa"/>
                  <w:vAlign w:val="center"/>
                </w:tcPr>
                <w:p w14:paraId="754BA5E4">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lang w:eastAsia="zh-CN"/>
                    </w:rPr>
                  </w:pPr>
                  <w:r>
                    <w:rPr>
                      <w:rFonts w:hint="default" w:ascii="Times New Roman" w:hAnsi="Times New Roman" w:eastAsia="宋体" w:cs="Times New Roman"/>
                      <w:b w:val="0"/>
                      <w:bCs/>
                      <w:color w:val="auto"/>
                      <w:highlight w:val="none"/>
                      <w:lang w:eastAsia="zh-CN"/>
                    </w:rPr>
                    <w:t>聚苯乙烯（</w:t>
                  </w:r>
                  <w:r>
                    <w:rPr>
                      <w:rFonts w:hint="default" w:ascii="Times New Roman" w:hAnsi="Times New Roman" w:eastAsia="宋体" w:cs="Times New Roman"/>
                      <w:b w:val="0"/>
                      <w:bCs/>
                      <w:color w:val="auto"/>
                      <w:highlight w:val="none"/>
                      <w:lang w:val="en-US" w:eastAsia="zh-CN"/>
                    </w:rPr>
                    <w:t>PS</w:t>
                  </w:r>
                  <w:r>
                    <w:rPr>
                      <w:rFonts w:hint="default" w:ascii="Times New Roman" w:hAnsi="Times New Roman" w:eastAsia="宋体" w:cs="Times New Roman"/>
                      <w:b w:val="0"/>
                      <w:bCs/>
                      <w:color w:val="auto"/>
                      <w:highlight w:val="none"/>
                      <w:lang w:eastAsia="zh-CN"/>
                    </w:rPr>
                    <w:t>）</w:t>
                  </w:r>
                </w:p>
              </w:tc>
              <w:tc>
                <w:tcPr>
                  <w:tcW w:w="6436" w:type="dxa"/>
                  <w:vAlign w:val="center"/>
                </w:tcPr>
                <w:p w14:paraId="2578E084">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lang w:eastAsia="zh-CN"/>
                    </w:rPr>
                  </w:pPr>
                  <w:r>
                    <w:rPr>
                      <w:rFonts w:hint="default" w:ascii="Times New Roman" w:hAnsi="Times New Roman" w:eastAsia="宋体" w:cs="Times New Roman"/>
                      <w:b w:val="0"/>
                      <w:bCs/>
                      <w:color w:val="auto"/>
                      <w:highlight w:val="none"/>
                      <w:lang w:eastAsia="zh-CN"/>
                    </w:rPr>
                    <w:t>由苯乙烯聚合而成的高分子化合物</w:t>
                  </w:r>
                  <w:r>
                    <w:rPr>
                      <w:rFonts w:hint="default" w:ascii="Times New Roman" w:hAnsi="Times New Roman" w:eastAsia="宋体" w:cs="Times New Roman"/>
                      <w:b w:val="0"/>
                      <w:bCs/>
                      <w:color w:val="auto"/>
                      <w:highlight w:val="none"/>
                    </w:rPr>
                    <w:t>，英文名称为Poly(styrene)，CAS号为9003-53-6，</w:t>
                  </w:r>
                  <w:r>
                    <w:rPr>
                      <w:rFonts w:hint="default" w:ascii="Times New Roman" w:hAnsi="Times New Roman" w:eastAsia="宋体" w:cs="Times New Roman"/>
                      <w:b w:val="0"/>
                      <w:bCs/>
                      <w:color w:val="auto"/>
                      <w:highlight w:val="none"/>
                    </w:rPr>
                    <w:fldChar w:fldCharType="begin"/>
                  </w:r>
                  <w:r>
                    <w:rPr>
                      <w:rFonts w:hint="default" w:ascii="Times New Roman" w:hAnsi="Times New Roman" w:eastAsia="宋体" w:cs="Times New Roman"/>
                      <w:b w:val="0"/>
                      <w:bCs/>
                      <w:color w:val="auto"/>
                      <w:highlight w:val="none"/>
                    </w:rPr>
                    <w:instrText xml:space="preserve"> HYPERLINK "https://baike.so.com/doc/2751462.html" \t "https://baike.so.com/doc/_blank" </w:instrText>
                  </w:r>
                  <w:r>
                    <w:rPr>
                      <w:rFonts w:hint="default" w:ascii="Times New Roman" w:hAnsi="Times New Roman" w:eastAsia="宋体" w:cs="Times New Roman"/>
                      <w:b w:val="0"/>
                      <w:bCs/>
                      <w:color w:val="auto"/>
                      <w:highlight w:val="none"/>
                    </w:rPr>
                    <w:fldChar w:fldCharType="separate"/>
                  </w:r>
                  <w:r>
                    <w:rPr>
                      <w:rFonts w:hint="default" w:ascii="Times New Roman" w:hAnsi="Times New Roman" w:eastAsia="宋体" w:cs="Times New Roman"/>
                      <w:b w:val="0"/>
                      <w:bCs/>
                      <w:color w:val="auto"/>
                      <w:highlight w:val="none"/>
                    </w:rPr>
                    <w:t>相对密度</w:t>
                  </w:r>
                  <w:r>
                    <w:rPr>
                      <w:rFonts w:hint="default" w:ascii="Times New Roman" w:hAnsi="Times New Roman" w:eastAsia="宋体" w:cs="Times New Roman"/>
                      <w:b w:val="0"/>
                      <w:bCs/>
                      <w:color w:val="auto"/>
                      <w:highlight w:val="none"/>
                    </w:rPr>
                    <w:fldChar w:fldCharType="end"/>
                  </w:r>
                  <w:r>
                    <w:rPr>
                      <w:rFonts w:hint="default" w:ascii="Times New Roman" w:hAnsi="Times New Roman" w:eastAsia="宋体" w:cs="Times New Roman"/>
                      <w:b w:val="0"/>
                      <w:bCs/>
                      <w:color w:val="auto"/>
                      <w:highlight w:val="none"/>
                    </w:rPr>
                    <w:t> 1.04~1.09</w:t>
                  </w:r>
                  <w:r>
                    <w:rPr>
                      <w:rFonts w:hint="default" w:ascii="Times New Roman" w:hAnsi="Times New Roman" w:eastAsia="宋体" w:cs="Times New Roman"/>
                      <w:b w:val="0"/>
                      <w:bCs/>
                      <w:color w:val="auto"/>
                      <w:highlight w:val="none"/>
                      <w:lang w:eastAsia="zh-CN"/>
                    </w:rPr>
                    <w:t>，</w:t>
                  </w:r>
                  <w:r>
                    <w:rPr>
                      <w:rFonts w:hint="default" w:ascii="Times New Roman" w:hAnsi="Times New Roman" w:eastAsia="宋体" w:cs="Times New Roman"/>
                      <w:b w:val="0"/>
                      <w:bCs/>
                      <w:color w:val="auto"/>
                      <w:highlight w:val="none"/>
                      <w:shd w:val="clear" w:color="FFFFFF" w:fill="D9D9D9"/>
                      <w:lang w:eastAsia="zh-CN"/>
                    </w:rPr>
                    <w:t>熔点</w:t>
                  </w:r>
                  <w:r>
                    <w:rPr>
                      <w:rFonts w:hint="default" w:ascii="Times New Roman" w:hAnsi="Times New Roman" w:eastAsia="宋体" w:cs="Times New Roman"/>
                      <w:b w:val="0"/>
                      <w:bCs/>
                      <w:color w:val="auto"/>
                      <w:highlight w:val="none"/>
                      <w:shd w:val="clear" w:color="FFFFFF" w:fill="D9D9D9"/>
                      <w:lang w:val="en-US" w:eastAsia="zh-CN"/>
                    </w:rPr>
                    <w:t>240℃</w:t>
                  </w:r>
                  <w:r>
                    <w:rPr>
                      <w:rFonts w:hint="default" w:ascii="Times New Roman" w:hAnsi="Times New Roman" w:eastAsia="宋体" w:cs="Times New Roman"/>
                      <w:b w:val="0"/>
                      <w:bCs/>
                      <w:color w:val="auto"/>
                      <w:highlight w:val="none"/>
                      <w:lang w:val="en-US" w:eastAsia="zh-CN"/>
                    </w:rPr>
                    <w:t>，</w:t>
                  </w:r>
                  <w:r>
                    <w:rPr>
                      <w:rFonts w:hint="default" w:ascii="Times New Roman" w:hAnsi="Times New Roman" w:eastAsia="宋体" w:cs="Times New Roman"/>
                      <w:b w:val="0"/>
                      <w:bCs/>
                      <w:color w:val="auto"/>
                      <w:highlight w:val="none"/>
                      <w:shd w:val="clear" w:color="FFFFFF" w:fill="D9D9D9"/>
                      <w:lang w:val="en-US" w:eastAsia="zh-CN"/>
                    </w:rPr>
                    <w:t>裂解温度330℃</w:t>
                  </w:r>
                  <w:r>
                    <w:rPr>
                      <w:rFonts w:hint="default" w:ascii="Times New Roman" w:hAnsi="Times New Roman" w:eastAsia="宋体" w:cs="Times New Roman"/>
                      <w:b w:val="0"/>
                      <w:bCs/>
                      <w:color w:val="auto"/>
                      <w:highlight w:val="none"/>
                      <w:lang w:val="en-US" w:eastAsia="zh-CN"/>
                    </w:rPr>
                    <w:t>。</w:t>
                  </w:r>
                  <w:r>
                    <w:rPr>
                      <w:rFonts w:hint="default" w:ascii="Times New Roman" w:hAnsi="Times New Roman" w:eastAsia="宋体" w:cs="Times New Roman"/>
                      <w:b w:val="0"/>
                      <w:bCs/>
                      <w:color w:val="auto"/>
                      <w:highlight w:val="none"/>
                    </w:rPr>
                    <w:t>主要用于发泡成型，用作保温、隔热、防震、包装材料及漂浮制品。性状无色、无臭、无味而有光泽的透明固体。</w:t>
                  </w:r>
                </w:p>
                <w:p w14:paraId="04F8827E">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rPr>
                  </w:pPr>
                  <w:r>
                    <w:rPr>
                      <w:rFonts w:hint="default" w:ascii="Times New Roman" w:hAnsi="Times New Roman" w:eastAsia="宋体" w:cs="Times New Roman"/>
                      <w:b w:val="0"/>
                      <w:bCs/>
                      <w:color w:val="auto"/>
                      <w:highlight w:val="none"/>
                    </w:rPr>
                    <w:t>通用型（R）适用于包装材料；阻燃型（F）适用于建筑、绝热材料。</w:t>
                  </w:r>
                </w:p>
              </w:tc>
              <w:tc>
                <w:tcPr>
                  <w:tcW w:w="1044" w:type="dxa"/>
                  <w:vAlign w:val="center"/>
                </w:tcPr>
                <w:p w14:paraId="3AE93A2F">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lang w:val="en-US" w:eastAsia="zh-CN"/>
                    </w:rPr>
                  </w:pPr>
                  <w:r>
                    <w:rPr>
                      <w:rFonts w:hint="eastAsia" w:ascii="Times New Roman" w:hAnsi="Times New Roman" w:eastAsia="宋体" w:cs="Times New Roman"/>
                      <w:b w:val="0"/>
                      <w:bCs/>
                      <w:color w:val="auto"/>
                      <w:highlight w:val="none"/>
                      <w:lang w:val="en-US" w:eastAsia="zh-CN"/>
                    </w:rPr>
                    <w:t>否</w:t>
                  </w:r>
                </w:p>
              </w:tc>
            </w:tr>
            <w:tr w14:paraId="17678C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460" w:type="dxa"/>
                  <w:vAlign w:val="center"/>
                </w:tcPr>
                <w:p w14:paraId="303096DC">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kern w:val="2"/>
                      <w:sz w:val="21"/>
                      <w:szCs w:val="22"/>
                      <w:highlight w:val="none"/>
                      <w:lang w:val="en-US" w:eastAsia="zh-CN" w:bidi="ar-SA"/>
                    </w:rPr>
                  </w:pPr>
                  <w:r>
                    <w:rPr>
                      <w:rFonts w:hint="eastAsia" w:ascii="Times New Roman" w:hAnsi="Times New Roman" w:eastAsia="宋体" w:cs="Times New Roman"/>
                      <w:b w:val="0"/>
                      <w:bCs/>
                      <w:color w:val="auto"/>
                      <w:highlight w:val="none"/>
                      <w:lang w:val="en-US" w:eastAsia="zh-CN"/>
                    </w:rPr>
                    <w:t>3</w:t>
                  </w:r>
                </w:p>
              </w:tc>
              <w:tc>
                <w:tcPr>
                  <w:tcW w:w="1376" w:type="dxa"/>
                  <w:vAlign w:val="center"/>
                </w:tcPr>
                <w:p w14:paraId="2BAAD30A">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lang w:val="en-US" w:eastAsia="zh-CN"/>
                    </w:rPr>
                  </w:pPr>
                  <w:r>
                    <w:rPr>
                      <w:rFonts w:hint="default" w:ascii="Times New Roman" w:hAnsi="Times New Roman" w:eastAsia="宋体" w:cs="Times New Roman"/>
                      <w:b w:val="0"/>
                      <w:bCs/>
                      <w:color w:val="auto"/>
                      <w:highlight w:val="none"/>
                      <w:lang w:val="en-US" w:eastAsia="zh-CN"/>
                    </w:rPr>
                    <w:t>聚丙烯腈-丁二烯-苯乙烯共聚物</w:t>
                  </w:r>
                </w:p>
                <w:p w14:paraId="1EAFE335">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lang w:eastAsia="zh-CN"/>
                    </w:rPr>
                  </w:pPr>
                  <w:r>
                    <w:rPr>
                      <w:rFonts w:hint="default" w:ascii="Times New Roman" w:hAnsi="Times New Roman" w:eastAsia="宋体" w:cs="Times New Roman"/>
                      <w:b w:val="0"/>
                      <w:bCs/>
                      <w:color w:val="auto"/>
                      <w:highlight w:val="none"/>
                      <w:lang w:eastAsia="zh-CN"/>
                    </w:rPr>
                    <w:t>（</w:t>
                  </w:r>
                  <w:r>
                    <w:rPr>
                      <w:rFonts w:hint="default" w:ascii="Times New Roman" w:hAnsi="Times New Roman" w:eastAsia="宋体" w:cs="Times New Roman"/>
                      <w:b w:val="0"/>
                      <w:bCs/>
                      <w:color w:val="auto"/>
                      <w:highlight w:val="none"/>
                      <w:lang w:val="en-US" w:eastAsia="zh-CN"/>
                    </w:rPr>
                    <w:t>ABS</w:t>
                  </w:r>
                  <w:r>
                    <w:rPr>
                      <w:rFonts w:hint="default" w:ascii="Times New Roman" w:hAnsi="Times New Roman" w:eastAsia="宋体" w:cs="Times New Roman"/>
                      <w:b w:val="0"/>
                      <w:bCs/>
                      <w:color w:val="auto"/>
                      <w:highlight w:val="none"/>
                      <w:lang w:eastAsia="zh-CN"/>
                    </w:rPr>
                    <w:t>）</w:t>
                  </w:r>
                </w:p>
              </w:tc>
              <w:tc>
                <w:tcPr>
                  <w:tcW w:w="6436" w:type="dxa"/>
                  <w:vAlign w:val="center"/>
                </w:tcPr>
                <w:p w14:paraId="33FAFD5C">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shd w:val="clear" w:color="auto" w:fill="auto"/>
                      <w:lang w:val="en-US" w:eastAsia="zh-CN"/>
                    </w:rPr>
                  </w:pPr>
                  <w:r>
                    <w:rPr>
                      <w:rFonts w:hint="default" w:ascii="Times New Roman" w:hAnsi="Times New Roman" w:eastAsia="宋体" w:cs="Times New Roman"/>
                      <w:b w:val="0"/>
                      <w:bCs/>
                      <w:color w:val="auto"/>
                      <w:highlight w:val="none"/>
                      <w:shd w:val="clear" w:color="auto" w:fill="auto"/>
                      <w:lang w:eastAsia="zh-CN"/>
                    </w:rPr>
                    <w:t>由丙烯腈、丁二烯、苯乙烯聚合而成，密度</w:t>
                  </w:r>
                  <w:r>
                    <w:rPr>
                      <w:rFonts w:hint="default" w:ascii="Times New Roman" w:hAnsi="Times New Roman" w:eastAsia="宋体" w:cs="Times New Roman"/>
                      <w:b w:val="0"/>
                      <w:bCs/>
                      <w:color w:val="auto"/>
                      <w:highlight w:val="none"/>
                      <w:shd w:val="clear" w:color="auto" w:fill="auto"/>
                      <w:lang w:val="en-US" w:eastAsia="zh-CN"/>
                    </w:rPr>
                    <w:t>1.1g/cm</w:t>
                  </w:r>
                  <w:r>
                    <w:rPr>
                      <w:rFonts w:hint="default" w:ascii="Times New Roman" w:hAnsi="Times New Roman" w:eastAsia="宋体" w:cs="Times New Roman"/>
                      <w:b w:val="0"/>
                      <w:bCs/>
                      <w:color w:val="auto"/>
                      <w:highlight w:val="none"/>
                      <w:shd w:val="clear" w:color="auto" w:fill="auto"/>
                      <w:vertAlign w:val="superscript"/>
                      <w:lang w:val="en-US" w:eastAsia="zh-CN"/>
                    </w:rPr>
                    <w:t>3</w:t>
                  </w:r>
                  <w:r>
                    <w:rPr>
                      <w:rFonts w:hint="default" w:ascii="Times New Roman" w:hAnsi="Times New Roman" w:eastAsia="宋体" w:cs="Times New Roman"/>
                      <w:b w:val="0"/>
                      <w:bCs/>
                      <w:color w:val="auto"/>
                      <w:highlight w:val="none"/>
                      <w:shd w:val="clear" w:color="auto" w:fill="auto"/>
                      <w:lang w:val="en-US" w:eastAsia="zh-CN"/>
                    </w:rPr>
                    <w:t>，熔融温度217~237℃，热解温度270℃。</w:t>
                  </w:r>
                  <w:r>
                    <w:rPr>
                      <w:rFonts w:hint="default" w:ascii="Times New Roman" w:hAnsi="Times New Roman" w:eastAsia="宋体" w:cs="Times New Roman"/>
                      <w:b w:val="0"/>
                      <w:bCs/>
                      <w:color w:val="auto"/>
                      <w:highlight w:val="none"/>
                      <w:shd w:val="clear" w:color="auto" w:fill="auto"/>
                      <w:lang w:val="en-US" w:eastAsia="zh-CN"/>
                    </w:rPr>
                    <w:fldChar w:fldCharType="begin"/>
                  </w:r>
                  <w:r>
                    <w:rPr>
                      <w:rFonts w:hint="default" w:ascii="Times New Roman" w:hAnsi="Times New Roman" w:eastAsia="宋体" w:cs="Times New Roman"/>
                      <w:b w:val="0"/>
                      <w:bCs/>
                      <w:color w:val="auto"/>
                      <w:highlight w:val="none"/>
                      <w:shd w:val="clear" w:color="auto" w:fill="auto"/>
                      <w:lang w:val="en-US" w:eastAsia="zh-CN"/>
                    </w:rPr>
                    <w:instrText xml:space="preserve"> HYPERLINK "https://baike.baidu.com/item/ABS%E6%A0%91%E8%84%82/4898776?fromModule=lemma_inlink" \t "https://baike.baidu.com/item/ABS%E6%9D%90%E6%96%99/_blank" </w:instrText>
                  </w:r>
                  <w:r>
                    <w:rPr>
                      <w:rFonts w:hint="default" w:ascii="Times New Roman" w:hAnsi="Times New Roman" w:eastAsia="宋体" w:cs="Times New Roman"/>
                      <w:b w:val="0"/>
                      <w:bCs/>
                      <w:color w:val="auto"/>
                      <w:highlight w:val="none"/>
                      <w:shd w:val="clear" w:color="auto" w:fill="auto"/>
                      <w:lang w:val="en-US" w:eastAsia="zh-CN"/>
                    </w:rPr>
                    <w:fldChar w:fldCharType="separate"/>
                  </w:r>
                  <w:r>
                    <w:rPr>
                      <w:rFonts w:hint="default" w:ascii="Times New Roman" w:hAnsi="Times New Roman" w:eastAsia="宋体" w:cs="Times New Roman"/>
                      <w:b w:val="0"/>
                      <w:bCs/>
                      <w:color w:val="auto"/>
                      <w:highlight w:val="none"/>
                      <w:shd w:val="clear" w:color="auto" w:fill="auto"/>
                      <w:lang w:val="en-US" w:eastAsia="zh-CN"/>
                    </w:rPr>
                    <w:t>ABS树脂</w:t>
                  </w:r>
                  <w:r>
                    <w:rPr>
                      <w:rFonts w:hint="default" w:ascii="Times New Roman" w:hAnsi="Times New Roman" w:eastAsia="宋体" w:cs="Times New Roman"/>
                      <w:b w:val="0"/>
                      <w:bCs/>
                      <w:color w:val="auto"/>
                      <w:highlight w:val="none"/>
                      <w:shd w:val="clear" w:color="auto" w:fill="auto"/>
                      <w:lang w:val="en-US" w:eastAsia="zh-CN"/>
                    </w:rPr>
                    <w:fldChar w:fldCharType="end"/>
                  </w:r>
                  <w:r>
                    <w:rPr>
                      <w:rFonts w:hint="default" w:ascii="Times New Roman" w:hAnsi="Times New Roman" w:eastAsia="宋体" w:cs="Times New Roman"/>
                      <w:b w:val="0"/>
                      <w:bCs/>
                      <w:color w:val="auto"/>
                      <w:highlight w:val="none"/>
                      <w:shd w:val="clear" w:color="auto" w:fill="auto"/>
                      <w:lang w:val="en-US" w:eastAsia="zh-CN"/>
                    </w:rPr>
                    <w:t>的最大应用领域是汽车、电子电器，建材及DIY制作领域。</w:t>
                  </w:r>
                  <w:r>
                    <w:rPr>
                      <w:rFonts w:hint="default" w:ascii="Times New Roman" w:hAnsi="Times New Roman" w:eastAsia="宋体" w:cs="Times New Roman"/>
                      <w:b w:val="0"/>
                      <w:bCs/>
                      <w:color w:val="auto"/>
                      <w:highlight w:val="none"/>
                      <w:shd w:val="clear" w:color="auto" w:fill="auto"/>
                      <w:lang w:val="en-US" w:eastAsia="zh-CN"/>
                    </w:rPr>
                    <w:fldChar w:fldCharType="begin"/>
                  </w:r>
                  <w:r>
                    <w:rPr>
                      <w:rFonts w:hint="default" w:ascii="Times New Roman" w:hAnsi="Times New Roman" w:eastAsia="宋体" w:cs="Times New Roman"/>
                      <w:b w:val="0"/>
                      <w:bCs/>
                      <w:color w:val="auto"/>
                      <w:highlight w:val="none"/>
                      <w:shd w:val="clear" w:color="auto" w:fill="auto"/>
                      <w:lang w:val="en-US" w:eastAsia="zh-CN"/>
                    </w:rPr>
                    <w:instrText xml:space="preserve"> HYPERLINK "https://baike.baidu.com/item/ABS%E5%B7%A5%E7%A8%8B%E5%A1%91%E6%96%99/9493120?fromModule=lemma_inlink" \t "https://baike.baidu.com/item/ABS%E6%9D%90%E6%96%99/_blank" </w:instrText>
                  </w:r>
                  <w:r>
                    <w:rPr>
                      <w:rFonts w:hint="default" w:ascii="Times New Roman" w:hAnsi="Times New Roman" w:eastAsia="宋体" w:cs="Times New Roman"/>
                      <w:b w:val="0"/>
                      <w:bCs/>
                      <w:color w:val="auto"/>
                      <w:highlight w:val="none"/>
                      <w:shd w:val="clear" w:color="auto" w:fill="auto"/>
                      <w:lang w:val="en-US" w:eastAsia="zh-CN"/>
                    </w:rPr>
                    <w:fldChar w:fldCharType="separate"/>
                  </w:r>
                  <w:r>
                    <w:rPr>
                      <w:rFonts w:hint="default" w:ascii="Times New Roman" w:hAnsi="Times New Roman" w:eastAsia="宋体" w:cs="Times New Roman"/>
                      <w:b w:val="0"/>
                      <w:bCs/>
                      <w:color w:val="auto"/>
                      <w:highlight w:val="none"/>
                      <w:shd w:val="clear" w:color="auto" w:fill="auto"/>
                      <w:lang w:val="en-US" w:eastAsia="zh-CN"/>
                    </w:rPr>
                    <w:t>ABS工程塑料</w:t>
                  </w:r>
                  <w:r>
                    <w:rPr>
                      <w:rFonts w:hint="default" w:ascii="Times New Roman" w:hAnsi="Times New Roman" w:eastAsia="宋体" w:cs="Times New Roman"/>
                      <w:b w:val="0"/>
                      <w:bCs/>
                      <w:color w:val="auto"/>
                      <w:highlight w:val="none"/>
                      <w:shd w:val="clear" w:color="auto" w:fill="auto"/>
                      <w:lang w:val="en-US" w:eastAsia="zh-CN"/>
                    </w:rPr>
                    <w:fldChar w:fldCharType="end"/>
                  </w:r>
                  <w:r>
                    <w:rPr>
                      <w:rFonts w:hint="default" w:ascii="Times New Roman" w:hAnsi="Times New Roman" w:eastAsia="宋体" w:cs="Times New Roman"/>
                      <w:b w:val="0"/>
                      <w:bCs/>
                      <w:color w:val="auto"/>
                      <w:highlight w:val="none"/>
                      <w:shd w:val="clear" w:color="auto" w:fill="auto"/>
                      <w:lang w:val="en-US" w:eastAsia="zh-CN"/>
                    </w:rPr>
                    <w:t>外观为不透明呈象牙色粒料，其制品可着成五颜六色，并具有高光泽度。ABS吸水率低，ABS同其他材料的结合性好，易于表面印刷、涂层和镀层处理。ABS的氧指数为18~20，属易燃聚合物，火焰呈黄色，有黑烟，并发出特殊的肉桂味。</w:t>
                  </w:r>
                </w:p>
              </w:tc>
              <w:tc>
                <w:tcPr>
                  <w:tcW w:w="1044" w:type="dxa"/>
                  <w:vAlign w:val="center"/>
                </w:tcPr>
                <w:p w14:paraId="0BC0F5F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sz w:val="21"/>
                      <w:szCs w:val="21"/>
                      <w:highlight w:val="none"/>
                    </w:rPr>
                  </w:pPr>
                  <w:r>
                    <w:rPr>
                      <w:rFonts w:hint="eastAsia" w:ascii="Times New Roman" w:hAnsi="Times New Roman" w:eastAsia="宋体" w:cs="Times New Roman"/>
                      <w:b w:val="0"/>
                      <w:bCs/>
                      <w:color w:val="auto"/>
                      <w:sz w:val="21"/>
                      <w:szCs w:val="21"/>
                      <w:highlight w:val="none"/>
                      <w:lang w:val="en-US" w:eastAsia="zh-CN"/>
                    </w:rPr>
                    <w:t>否</w:t>
                  </w:r>
                </w:p>
              </w:tc>
            </w:tr>
            <w:tr w14:paraId="0DE30D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460" w:type="dxa"/>
                  <w:vAlign w:val="center"/>
                </w:tcPr>
                <w:p w14:paraId="3CDCC020">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lang w:val="en-US" w:eastAsia="zh-CN"/>
                    </w:rPr>
                  </w:pPr>
                  <w:r>
                    <w:rPr>
                      <w:rFonts w:hint="eastAsia" w:ascii="Times New Roman" w:hAnsi="Times New Roman" w:eastAsia="宋体" w:cs="Times New Roman"/>
                      <w:b w:val="0"/>
                      <w:bCs/>
                      <w:color w:val="auto"/>
                      <w:highlight w:val="none"/>
                      <w:lang w:val="en-US" w:eastAsia="zh-CN"/>
                    </w:rPr>
                    <w:t>4</w:t>
                  </w:r>
                </w:p>
              </w:tc>
              <w:tc>
                <w:tcPr>
                  <w:tcW w:w="1376" w:type="dxa"/>
                  <w:vAlign w:val="center"/>
                </w:tcPr>
                <w:p w14:paraId="18B7972E">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lang w:eastAsia="zh-CN"/>
                    </w:rPr>
                  </w:pPr>
                  <w:r>
                    <w:rPr>
                      <w:rFonts w:hint="default" w:ascii="Times New Roman" w:hAnsi="Times New Roman" w:eastAsia="宋体" w:cs="Times New Roman"/>
                      <w:b w:val="0"/>
                      <w:bCs/>
                      <w:color w:val="auto"/>
                      <w:highlight w:val="none"/>
                      <w:lang w:eastAsia="zh-CN"/>
                    </w:rPr>
                    <w:t>pH调整剂（硫酸70%）</w:t>
                  </w:r>
                </w:p>
              </w:tc>
              <w:tc>
                <w:tcPr>
                  <w:tcW w:w="6436" w:type="dxa"/>
                  <w:vAlign w:val="center"/>
                </w:tcPr>
                <w:p w14:paraId="0C85A0C5">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lang w:eastAsia="zh-CN"/>
                    </w:rPr>
                  </w:pPr>
                  <w:r>
                    <w:rPr>
                      <w:rFonts w:hint="eastAsia" w:ascii="Times New Roman" w:hAnsi="Times New Roman" w:eastAsia="宋体" w:cs="Times New Roman"/>
                      <w:b w:val="0"/>
                      <w:bCs/>
                      <w:color w:val="auto"/>
                      <w:highlight w:val="none"/>
                      <w:lang w:val="en-US" w:eastAsia="zh-CN"/>
                    </w:rPr>
                    <w:t>主要含</w:t>
                  </w:r>
                  <w:r>
                    <w:rPr>
                      <w:rFonts w:hint="default" w:ascii="Times New Roman" w:hAnsi="Times New Roman" w:eastAsia="宋体" w:cs="Times New Roman"/>
                      <w:b w:val="0"/>
                      <w:bCs/>
                      <w:color w:val="auto"/>
                      <w:highlight w:val="none"/>
                      <w:lang w:eastAsia="zh-CN"/>
                    </w:rPr>
                    <w:t>硫酸70%</w:t>
                  </w:r>
                  <w:r>
                    <w:rPr>
                      <w:rFonts w:hint="eastAsia" w:ascii="Times New Roman" w:hAnsi="Times New Roman" w:eastAsia="宋体" w:cs="Times New Roman"/>
                      <w:b w:val="0"/>
                      <w:bCs/>
                      <w:color w:val="auto"/>
                      <w:highlight w:val="none"/>
                      <w:lang w:eastAsia="zh-CN"/>
                    </w:rPr>
                    <w:t>、</w:t>
                  </w:r>
                  <w:r>
                    <w:rPr>
                      <w:rFonts w:hint="default" w:ascii="Times New Roman" w:hAnsi="Times New Roman" w:eastAsia="宋体" w:cs="Times New Roman"/>
                      <w:b w:val="0"/>
                      <w:bCs/>
                      <w:color w:val="auto"/>
                      <w:highlight w:val="none"/>
                      <w:lang w:eastAsia="zh-CN"/>
                    </w:rPr>
                    <w:t>水30%</w:t>
                  </w:r>
                  <w:r>
                    <w:rPr>
                      <w:rFonts w:hint="eastAsia" w:ascii="Times New Roman" w:hAnsi="Times New Roman" w:eastAsia="宋体" w:cs="Times New Roman"/>
                      <w:b w:val="0"/>
                      <w:bCs/>
                      <w:color w:val="auto"/>
                      <w:highlight w:val="none"/>
                      <w:lang w:eastAsia="zh-CN"/>
                    </w:rPr>
                    <w:t>，</w:t>
                  </w:r>
                  <w:r>
                    <w:rPr>
                      <w:rFonts w:hint="default" w:ascii="Times New Roman" w:hAnsi="Times New Roman" w:cs="Times New Roman"/>
                      <w:b w:val="0"/>
                      <w:bCs/>
                      <w:color w:val="auto"/>
                      <w:kern w:val="2"/>
                      <w:highlight w:val="none"/>
                    </w:rPr>
                    <w:t>化学式H</w:t>
                  </w:r>
                  <w:r>
                    <w:rPr>
                      <w:rFonts w:hint="default" w:ascii="Times New Roman" w:hAnsi="Times New Roman" w:cs="Times New Roman"/>
                      <w:b w:val="0"/>
                      <w:bCs/>
                      <w:color w:val="auto"/>
                      <w:kern w:val="2"/>
                      <w:highlight w:val="none"/>
                      <w:vertAlign w:val="subscript"/>
                    </w:rPr>
                    <w:t>2</w:t>
                  </w:r>
                  <w:r>
                    <w:rPr>
                      <w:rFonts w:hint="default" w:ascii="Times New Roman" w:hAnsi="Times New Roman" w:cs="Times New Roman"/>
                      <w:b w:val="0"/>
                      <w:bCs/>
                      <w:color w:val="auto"/>
                      <w:kern w:val="2"/>
                      <w:highlight w:val="none"/>
                    </w:rPr>
                    <w:t>SO</w:t>
                  </w:r>
                  <w:r>
                    <w:rPr>
                      <w:rFonts w:hint="default" w:ascii="Times New Roman" w:hAnsi="Times New Roman" w:cs="Times New Roman"/>
                      <w:b w:val="0"/>
                      <w:bCs/>
                      <w:color w:val="auto"/>
                      <w:kern w:val="2"/>
                      <w:highlight w:val="none"/>
                      <w:vertAlign w:val="subscript"/>
                    </w:rPr>
                    <w:t>4</w:t>
                  </w:r>
                  <w:r>
                    <w:rPr>
                      <w:rFonts w:hint="default" w:ascii="Times New Roman" w:hAnsi="Times New Roman" w:cs="Times New Roman"/>
                      <w:b w:val="0"/>
                      <w:bCs/>
                      <w:color w:val="auto"/>
                      <w:kern w:val="2"/>
                      <w:highlight w:val="none"/>
                    </w:rPr>
                    <w:t>，是一种活泼的二元无机强酸。无水硫酸为无色油状液体，密度为1.84g/cm</w:t>
                  </w:r>
                  <w:r>
                    <w:rPr>
                      <w:rFonts w:hint="default" w:ascii="Times New Roman" w:hAnsi="Times New Roman" w:cs="Times New Roman"/>
                      <w:b w:val="0"/>
                      <w:bCs/>
                      <w:color w:val="auto"/>
                      <w:kern w:val="2"/>
                      <w:highlight w:val="none"/>
                      <w:vertAlign w:val="superscript"/>
                    </w:rPr>
                    <w:t>3</w:t>
                  </w:r>
                  <w:r>
                    <w:rPr>
                      <w:rFonts w:hint="default" w:ascii="Times New Roman" w:hAnsi="Times New Roman" w:cs="Times New Roman"/>
                      <w:b w:val="0"/>
                      <w:bCs/>
                      <w:color w:val="auto"/>
                      <w:kern w:val="2"/>
                      <w:highlight w:val="none"/>
                    </w:rPr>
                    <w:t>，熔点10.4℃，沸点338℃；具有强烈的腐蚀性和氧化性，能和许多金属发生反应，高浓度时有强烈吸水性，可用作脱水剂，碳化含碳水化合物的物质；与水混合时，亦会放出大量热能。</w:t>
                  </w:r>
                </w:p>
              </w:tc>
              <w:tc>
                <w:tcPr>
                  <w:tcW w:w="1044" w:type="dxa"/>
                  <w:vAlign w:val="center"/>
                </w:tcPr>
                <w:p w14:paraId="69DDDCD0">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rPr>
                  </w:pPr>
                  <w:r>
                    <w:rPr>
                      <w:rFonts w:hint="eastAsia" w:ascii="Times New Roman" w:hAnsi="Times New Roman" w:cs="Times New Roman"/>
                      <w:b w:val="0"/>
                      <w:bCs/>
                      <w:color w:val="auto"/>
                      <w:kern w:val="2"/>
                      <w:highlight w:val="none"/>
                      <w:lang w:val="en-US" w:eastAsia="zh-CN"/>
                    </w:rPr>
                    <w:t>是，具有</w:t>
                  </w:r>
                  <w:r>
                    <w:rPr>
                      <w:rFonts w:hint="default" w:ascii="Times New Roman" w:hAnsi="Times New Roman" w:cs="Times New Roman"/>
                      <w:b w:val="0"/>
                      <w:bCs/>
                      <w:color w:val="auto"/>
                      <w:kern w:val="2"/>
                      <w:highlight w:val="none"/>
                    </w:rPr>
                    <w:t>强烈的腐蚀性和氧化性</w:t>
                  </w:r>
                </w:p>
              </w:tc>
            </w:tr>
            <w:tr w14:paraId="198D48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460" w:type="dxa"/>
                  <w:vAlign w:val="center"/>
                </w:tcPr>
                <w:p w14:paraId="2EE07E2B">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lang w:val="en-US" w:eastAsia="zh-CN"/>
                    </w:rPr>
                  </w:pPr>
                  <w:r>
                    <w:rPr>
                      <w:rFonts w:hint="eastAsia" w:ascii="Times New Roman" w:hAnsi="Times New Roman" w:eastAsia="宋体" w:cs="Times New Roman"/>
                      <w:b w:val="0"/>
                      <w:bCs/>
                      <w:color w:val="auto"/>
                      <w:highlight w:val="none"/>
                      <w:lang w:val="en-US" w:eastAsia="zh-CN"/>
                    </w:rPr>
                    <w:t>5</w:t>
                  </w:r>
                </w:p>
              </w:tc>
              <w:tc>
                <w:tcPr>
                  <w:tcW w:w="1376" w:type="dxa"/>
                  <w:vAlign w:val="center"/>
                </w:tcPr>
                <w:p w14:paraId="1E5948A8">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lang w:val="en-US" w:eastAsia="zh-CN"/>
                    </w:rPr>
                  </w:pPr>
                  <w:r>
                    <w:rPr>
                      <w:rFonts w:hint="eastAsia" w:ascii="Times New Roman" w:hAnsi="Times New Roman" w:eastAsia="宋体" w:cs="Times New Roman"/>
                      <w:b w:val="0"/>
                      <w:bCs/>
                      <w:color w:val="auto"/>
                      <w:highlight w:val="none"/>
                      <w:lang w:val="en-US" w:eastAsia="zh-CN"/>
                    </w:rPr>
                    <w:t>PAC</w:t>
                  </w:r>
                </w:p>
              </w:tc>
              <w:tc>
                <w:tcPr>
                  <w:tcW w:w="6436" w:type="dxa"/>
                  <w:vAlign w:val="center"/>
                </w:tcPr>
                <w:p w14:paraId="6DC0E2AC">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leftChars="0" w:right="0" w:rightChars="0"/>
                    <w:jc w:val="both"/>
                    <w:rPr>
                      <w:rFonts w:hint="default" w:ascii="Times New Roman" w:hAnsi="Times New Roman" w:eastAsia="宋体" w:cs="Times New Roman"/>
                      <w:b w:val="0"/>
                      <w:bCs/>
                      <w:color w:val="auto"/>
                      <w:kern w:val="2"/>
                      <w:highlight w:val="none"/>
                    </w:rPr>
                  </w:pPr>
                  <w:r>
                    <w:rPr>
                      <w:rFonts w:hint="default" w:ascii="Times New Roman" w:hAnsi="Times New Roman" w:cs="Times New Roman"/>
                      <w:color w:val="auto"/>
                      <w:kern w:val="2"/>
                      <w:highlight w:val="none"/>
                    </w:rPr>
                    <w:t>颜色呈黄色或淡黄色、深褐色、深灰色树脂状固体。该产品有较强的架桥吸附性能，在水解过程中，伴随发生凝聚，吸附和沉淀等物理化学过程。聚合氯化铝与传统无机混凝剂的根本区别在于传统无机混凝剂为低分子结晶盐，而聚合氯化铝的结构由形态多变的多元羧基络合物组成，絮凝沉淀速度快，适用pH值范围宽，对管道设备无腐蚀性，净水效果明显，能有效</w:t>
                  </w:r>
                  <w:r>
                    <w:rPr>
                      <w:rFonts w:hint="default" w:ascii="Times New Roman" w:hAnsi="Times New Roman" w:cs="Times New Roman"/>
                      <w:color w:val="auto"/>
                      <w:kern w:val="2"/>
                      <w:highlight w:val="none"/>
                      <w:lang w:eastAsia="zh-CN"/>
                    </w:rPr>
                    <w:t>去</w:t>
                  </w:r>
                  <w:r>
                    <w:rPr>
                      <w:rFonts w:hint="default" w:ascii="Times New Roman" w:hAnsi="Times New Roman" w:cs="Times New Roman"/>
                      <w:color w:val="auto"/>
                      <w:kern w:val="2"/>
                      <w:highlight w:val="none"/>
                    </w:rPr>
                    <w:t>除水中色质SS、COD、BOD及砷、汞等重金属离子，该产品广泛用于饮用水、工业用水和污水处理领域</w:t>
                  </w:r>
                </w:p>
              </w:tc>
              <w:tc>
                <w:tcPr>
                  <w:tcW w:w="1044" w:type="dxa"/>
                  <w:vAlign w:val="center"/>
                </w:tcPr>
                <w:p w14:paraId="32A47A0C">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eastAsia" w:ascii="Times New Roman" w:hAnsi="Times New Roman" w:eastAsia="宋体" w:cs="Times New Roman"/>
                      <w:b w:val="0"/>
                      <w:bCs/>
                      <w:color w:val="auto"/>
                      <w:highlight w:val="none"/>
                      <w:lang w:val="en-US" w:eastAsia="zh-CN"/>
                    </w:rPr>
                  </w:pPr>
                  <w:r>
                    <w:rPr>
                      <w:rFonts w:hint="eastAsia" w:ascii="Times New Roman" w:hAnsi="Times New Roman" w:eastAsia="宋体" w:cs="Times New Roman"/>
                      <w:b w:val="0"/>
                      <w:bCs/>
                      <w:color w:val="auto"/>
                      <w:highlight w:val="none"/>
                      <w:lang w:val="en-US" w:eastAsia="zh-CN"/>
                    </w:rPr>
                    <w:t>否</w:t>
                  </w:r>
                </w:p>
              </w:tc>
            </w:tr>
            <w:tr w14:paraId="7AF9C4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460" w:type="dxa"/>
                  <w:vAlign w:val="center"/>
                </w:tcPr>
                <w:p w14:paraId="69F78D06">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lang w:val="en-US" w:eastAsia="zh-CN"/>
                    </w:rPr>
                  </w:pPr>
                  <w:r>
                    <w:rPr>
                      <w:rFonts w:hint="eastAsia" w:ascii="Times New Roman" w:hAnsi="Times New Roman" w:eastAsia="宋体" w:cs="Times New Roman"/>
                      <w:b w:val="0"/>
                      <w:bCs/>
                      <w:color w:val="auto"/>
                      <w:highlight w:val="none"/>
                      <w:lang w:val="en-US" w:eastAsia="zh-CN"/>
                    </w:rPr>
                    <w:t>6</w:t>
                  </w:r>
                </w:p>
              </w:tc>
              <w:tc>
                <w:tcPr>
                  <w:tcW w:w="1376" w:type="dxa"/>
                  <w:vAlign w:val="center"/>
                </w:tcPr>
                <w:p w14:paraId="66E2A627">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lang w:val="en-US" w:eastAsia="zh-CN"/>
                    </w:rPr>
                  </w:pPr>
                  <w:r>
                    <w:rPr>
                      <w:rFonts w:hint="eastAsia" w:ascii="Times New Roman" w:hAnsi="Times New Roman" w:eastAsia="宋体" w:cs="Times New Roman"/>
                      <w:b w:val="0"/>
                      <w:bCs/>
                      <w:color w:val="auto"/>
                      <w:highlight w:val="none"/>
                      <w:lang w:val="en-US" w:eastAsia="zh-CN"/>
                    </w:rPr>
                    <w:t>PAM</w:t>
                  </w:r>
                </w:p>
              </w:tc>
              <w:tc>
                <w:tcPr>
                  <w:tcW w:w="6436" w:type="dxa"/>
                  <w:vAlign w:val="center"/>
                </w:tcPr>
                <w:p w14:paraId="58C15C37">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leftChars="0" w:right="0" w:rightChars="0"/>
                    <w:jc w:val="both"/>
                    <w:rPr>
                      <w:rFonts w:hint="default" w:ascii="Times New Roman" w:hAnsi="Times New Roman" w:eastAsia="宋体" w:cs="Times New Roman"/>
                      <w:b w:val="0"/>
                      <w:bCs/>
                      <w:color w:val="auto"/>
                      <w:kern w:val="2"/>
                      <w:highlight w:val="none"/>
                    </w:rPr>
                  </w:pPr>
                  <w:r>
                    <w:rPr>
                      <w:rFonts w:hint="default" w:ascii="Times New Roman" w:hAnsi="Times New Roman" w:cs="Times New Roman"/>
                      <w:color w:val="auto"/>
                      <w:kern w:val="2"/>
                      <w:highlight w:val="none"/>
                    </w:rPr>
                    <w:t>聚丙烯酰胺（PAM）是一种线型高分子聚合物，化学式为</w:t>
                  </w:r>
                  <w:r>
                    <w:rPr>
                      <w:rFonts w:hint="default" w:ascii="Times New Roman" w:hAnsi="Times New Roman" w:cs="Times New Roman"/>
                      <w:color w:val="auto"/>
                      <w:kern w:val="2"/>
                      <w:highlight w:val="none"/>
                      <w:lang w:eastAsia="zh-CN"/>
                    </w:rPr>
                    <w:t>（</w:t>
                  </w:r>
                  <w:r>
                    <w:rPr>
                      <w:rFonts w:hint="default" w:ascii="Times New Roman" w:hAnsi="Times New Roman" w:cs="Times New Roman"/>
                      <w:color w:val="auto"/>
                      <w:kern w:val="2"/>
                      <w:highlight w:val="none"/>
                    </w:rPr>
                    <w:t>C</w:t>
                  </w:r>
                  <w:r>
                    <w:rPr>
                      <w:rFonts w:hint="default" w:ascii="Times New Roman" w:hAnsi="Times New Roman" w:cs="Times New Roman"/>
                      <w:color w:val="auto"/>
                      <w:kern w:val="2"/>
                      <w:highlight w:val="none"/>
                      <w:vertAlign w:val="subscript"/>
                    </w:rPr>
                    <w:t>3</w:t>
                  </w:r>
                  <w:r>
                    <w:rPr>
                      <w:rFonts w:hint="default" w:ascii="Times New Roman" w:hAnsi="Times New Roman" w:cs="Times New Roman"/>
                      <w:color w:val="auto"/>
                      <w:kern w:val="2"/>
                      <w:highlight w:val="none"/>
                    </w:rPr>
                    <w:t>H</w:t>
                  </w:r>
                  <w:r>
                    <w:rPr>
                      <w:rFonts w:hint="default" w:ascii="Times New Roman" w:hAnsi="Times New Roman" w:cs="Times New Roman"/>
                      <w:color w:val="auto"/>
                      <w:kern w:val="2"/>
                      <w:highlight w:val="none"/>
                      <w:vertAlign w:val="subscript"/>
                    </w:rPr>
                    <w:t>5</w:t>
                  </w:r>
                  <w:r>
                    <w:rPr>
                      <w:rFonts w:hint="default" w:ascii="Times New Roman" w:hAnsi="Times New Roman" w:cs="Times New Roman"/>
                      <w:color w:val="auto"/>
                      <w:kern w:val="2"/>
                      <w:highlight w:val="none"/>
                    </w:rPr>
                    <w:t>NO</w:t>
                  </w:r>
                  <w:r>
                    <w:rPr>
                      <w:rFonts w:hint="default" w:ascii="Times New Roman" w:hAnsi="Times New Roman" w:cs="Times New Roman"/>
                      <w:color w:val="auto"/>
                      <w:kern w:val="2"/>
                      <w:highlight w:val="none"/>
                      <w:lang w:eastAsia="zh-CN"/>
                    </w:rPr>
                    <w:t>）</w:t>
                  </w:r>
                  <w:r>
                    <w:rPr>
                      <w:rFonts w:hint="default" w:ascii="Times New Roman" w:hAnsi="Times New Roman" w:cs="Times New Roman"/>
                      <w:color w:val="auto"/>
                      <w:kern w:val="2"/>
                      <w:highlight w:val="none"/>
                    </w:rPr>
                    <w:t>n。在常温下为坚硬的玻璃态固体，产品有胶液、胶乳和白色粉粒、半透明珠粒和薄片等。热稳定性良好。能以任意比例溶于水，水溶液为均匀透明的液体。长期存放后会因聚合物缓慢</w:t>
                  </w:r>
                  <w:r>
                    <w:rPr>
                      <w:rFonts w:hint="default" w:ascii="Times New Roman" w:hAnsi="Times New Roman" w:cs="Times New Roman"/>
                      <w:color w:val="auto"/>
                      <w:kern w:val="2"/>
                      <w:highlight w:val="none"/>
                      <w:lang w:val="en-US" w:eastAsia="zh-CN"/>
                    </w:rPr>
                    <w:t>地</w:t>
                  </w:r>
                  <w:r>
                    <w:rPr>
                      <w:rFonts w:hint="default" w:ascii="Times New Roman" w:hAnsi="Times New Roman" w:cs="Times New Roman"/>
                      <w:color w:val="auto"/>
                      <w:kern w:val="2"/>
                      <w:highlight w:val="none"/>
                    </w:rPr>
                    <w:t>降解而使溶液粘度下降，特别是在贮运条件较差时更为明显。聚丙烯酰胺可作为润滑剂、悬浮剂、粘土稳定剂、驱油剂、降失水剂和增稠剂使用</w:t>
                  </w:r>
                </w:p>
              </w:tc>
              <w:tc>
                <w:tcPr>
                  <w:tcW w:w="1044" w:type="dxa"/>
                  <w:vAlign w:val="center"/>
                </w:tcPr>
                <w:p w14:paraId="40073774">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lang w:val="en-US" w:eastAsia="zh-CN"/>
                    </w:rPr>
                  </w:pPr>
                  <w:r>
                    <w:rPr>
                      <w:rFonts w:hint="eastAsia" w:ascii="Times New Roman" w:hAnsi="Times New Roman" w:eastAsia="宋体" w:cs="Times New Roman"/>
                      <w:b w:val="0"/>
                      <w:bCs/>
                      <w:color w:val="auto"/>
                      <w:highlight w:val="none"/>
                      <w:lang w:val="en-US" w:eastAsia="zh-CN"/>
                    </w:rPr>
                    <w:t>否</w:t>
                  </w:r>
                </w:p>
              </w:tc>
            </w:tr>
            <w:tr w14:paraId="7F2FD4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460" w:type="dxa"/>
                  <w:vAlign w:val="center"/>
                </w:tcPr>
                <w:p w14:paraId="1B8191E8">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lang w:val="en-US" w:eastAsia="zh-CN"/>
                    </w:rPr>
                  </w:pPr>
                  <w:r>
                    <w:rPr>
                      <w:rFonts w:hint="eastAsia" w:eastAsia="宋体" w:cs="Times New Roman"/>
                      <w:b w:val="0"/>
                      <w:bCs/>
                      <w:color w:val="auto"/>
                      <w:highlight w:val="none"/>
                      <w:lang w:val="en-US" w:eastAsia="zh-CN"/>
                    </w:rPr>
                    <w:t>7</w:t>
                  </w:r>
                </w:p>
              </w:tc>
              <w:tc>
                <w:tcPr>
                  <w:tcW w:w="1376" w:type="dxa"/>
                  <w:vAlign w:val="center"/>
                </w:tcPr>
                <w:p w14:paraId="321F69DE">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lang w:val="en-US" w:eastAsia="zh-CN"/>
                    </w:rPr>
                  </w:pPr>
                  <w:r>
                    <w:rPr>
                      <w:rFonts w:hint="eastAsia" w:eastAsia="宋体" w:cs="Times New Roman"/>
                      <w:b w:val="0"/>
                      <w:bCs/>
                      <w:color w:val="auto"/>
                      <w:highlight w:val="none"/>
                      <w:lang w:val="en-US" w:eastAsia="zh-CN"/>
                    </w:rPr>
                    <w:t>烧碱</w:t>
                  </w:r>
                </w:p>
              </w:tc>
              <w:tc>
                <w:tcPr>
                  <w:tcW w:w="6436" w:type="dxa"/>
                  <w:vAlign w:val="center"/>
                </w:tcPr>
                <w:p w14:paraId="77F8526C">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leftChars="0" w:right="0" w:rightChars="0"/>
                    <w:jc w:val="both"/>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物理性质</w:t>
                  </w:r>
                  <w:r>
                    <w:rPr>
                      <w:rFonts w:hint="eastAsia" w:cs="Times New Roman"/>
                      <w:color w:val="auto"/>
                      <w:kern w:val="2"/>
                      <w:highlight w:val="none"/>
                      <w:lang w:eastAsia="zh-CN"/>
                    </w:rPr>
                    <w:t>：</w:t>
                  </w:r>
                  <w:r>
                    <w:rPr>
                      <w:rFonts w:hint="default" w:ascii="Times New Roman" w:hAnsi="Times New Roman" w:cs="Times New Roman"/>
                      <w:color w:val="auto"/>
                      <w:kern w:val="2"/>
                      <w:highlight w:val="none"/>
                    </w:rPr>
                    <w:t>密度：2.130 g/cm³</w:t>
                  </w:r>
                  <w:r>
                    <w:rPr>
                      <w:rFonts w:hint="eastAsia" w:cs="Times New Roman"/>
                      <w:color w:val="auto"/>
                      <w:kern w:val="2"/>
                      <w:highlight w:val="none"/>
                      <w:lang w:val="en-US" w:eastAsia="zh-CN"/>
                    </w:rPr>
                    <w:t xml:space="preserve"> </w:t>
                  </w:r>
                  <w:r>
                    <w:rPr>
                      <w:rFonts w:hint="default" w:ascii="Times New Roman" w:hAnsi="Times New Roman" w:cs="Times New Roman"/>
                      <w:color w:val="auto"/>
                      <w:kern w:val="2"/>
                      <w:highlight w:val="none"/>
                    </w:rPr>
                    <w:t>熔点：318.4℃(591 K)</w:t>
                  </w:r>
                  <w:r>
                    <w:rPr>
                      <w:rFonts w:hint="eastAsia" w:cs="Times New Roman"/>
                      <w:color w:val="auto"/>
                      <w:kern w:val="2"/>
                      <w:highlight w:val="none"/>
                      <w:lang w:val="en-US" w:eastAsia="zh-CN"/>
                    </w:rPr>
                    <w:t xml:space="preserve"> </w:t>
                  </w:r>
                  <w:r>
                    <w:rPr>
                      <w:rFonts w:hint="default" w:ascii="Times New Roman" w:hAnsi="Times New Roman" w:cs="Times New Roman"/>
                      <w:color w:val="auto"/>
                      <w:kern w:val="2"/>
                      <w:highlight w:val="none"/>
                    </w:rPr>
                    <w:t xml:space="preserve">沸点：1390 ℃ (1663 K) </w:t>
                  </w:r>
                  <w:r>
                    <w:rPr>
                      <w:rFonts w:hint="eastAsia" w:cs="Times New Roman"/>
                      <w:color w:val="auto"/>
                      <w:kern w:val="2"/>
                      <w:highlight w:val="none"/>
                      <w:lang w:val="en-US" w:eastAsia="zh-CN"/>
                    </w:rPr>
                    <w:t xml:space="preserve"> </w:t>
                  </w:r>
                  <w:r>
                    <w:rPr>
                      <w:rFonts w:hint="default" w:ascii="Times New Roman" w:hAnsi="Times New Roman" w:cs="Times New Roman"/>
                      <w:color w:val="auto"/>
                      <w:kern w:val="2"/>
                      <w:highlight w:val="none"/>
                    </w:rPr>
                    <w:t xml:space="preserve">蒸气压：24.5mmHg( 25°C) </w:t>
                  </w:r>
                  <w:r>
                    <w:rPr>
                      <w:rFonts w:hint="eastAsia" w:cs="Times New Roman"/>
                      <w:color w:val="auto"/>
                      <w:kern w:val="2"/>
                      <w:highlight w:val="none"/>
                      <w:lang w:val="en-US" w:eastAsia="zh-CN"/>
                    </w:rPr>
                    <w:t xml:space="preserve"> </w:t>
                  </w:r>
                  <w:r>
                    <w:rPr>
                      <w:rFonts w:hint="default" w:ascii="Times New Roman" w:hAnsi="Times New Roman" w:cs="Times New Roman"/>
                      <w:color w:val="auto"/>
                      <w:kern w:val="2"/>
                      <w:highlight w:val="none"/>
                    </w:rPr>
                    <w:t xml:space="preserve">饱和蒸气压：0.13 Kpa（739℃） </w:t>
                  </w:r>
                  <w:r>
                    <w:rPr>
                      <w:rFonts w:hint="eastAsia" w:cs="Times New Roman"/>
                      <w:color w:val="auto"/>
                      <w:kern w:val="2"/>
                      <w:highlight w:val="none"/>
                      <w:lang w:val="en-US" w:eastAsia="zh-CN"/>
                    </w:rPr>
                    <w:t xml:space="preserve"> </w:t>
                  </w:r>
                  <w:r>
                    <w:rPr>
                      <w:rFonts w:hint="default" w:ascii="Times New Roman" w:hAnsi="Times New Roman" w:cs="Times New Roman"/>
                      <w:color w:val="auto"/>
                      <w:kern w:val="2"/>
                      <w:highlight w:val="none"/>
                    </w:rPr>
                    <w:t>外观：白色结晶性粉末</w:t>
                  </w:r>
                  <w:r>
                    <w:rPr>
                      <w:rFonts w:hint="eastAsia" w:cs="Times New Roman"/>
                      <w:color w:val="auto"/>
                      <w:kern w:val="2"/>
                      <w:highlight w:val="none"/>
                      <w:lang w:val="en-US" w:eastAsia="zh-CN"/>
                    </w:rPr>
                    <w:t xml:space="preserve"> </w:t>
                  </w:r>
                  <w:r>
                    <w:rPr>
                      <w:rFonts w:hint="default" w:ascii="Times New Roman" w:hAnsi="Times New Roman" w:cs="Times New Roman"/>
                      <w:color w:val="auto"/>
                      <w:kern w:val="2"/>
                      <w:highlight w:val="none"/>
                    </w:rPr>
                    <w:t xml:space="preserve">溶解性：易溶于水、乙醇、甘油，不溶于丙酮、乙醚 </w:t>
                  </w:r>
                </w:p>
                <w:p w14:paraId="52F4FE23">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leftChars="0" w:right="0" w:rightChars="0"/>
                    <w:jc w:val="both"/>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化学性质</w:t>
                  </w:r>
                  <w:r>
                    <w:rPr>
                      <w:rFonts w:hint="eastAsia" w:cs="Times New Roman"/>
                      <w:color w:val="auto"/>
                      <w:kern w:val="2"/>
                      <w:highlight w:val="none"/>
                      <w:lang w:eastAsia="zh-CN"/>
                    </w:rPr>
                    <w:t>：</w:t>
                  </w:r>
                  <w:r>
                    <w:rPr>
                      <w:rFonts w:hint="default" w:ascii="Times New Roman" w:hAnsi="Times New Roman" w:cs="Times New Roman"/>
                      <w:color w:val="auto"/>
                      <w:kern w:val="2"/>
                      <w:highlight w:val="none"/>
                    </w:rPr>
                    <w:t>氢氧化钠对纤维、皮肤、玻璃、陶瓷等有腐蚀作用，溶解或浓溶液稀释时会放出热量；与无机酸发生中和反应也能产生大量热，生成相应的盐类；与金属铝和锌、非金属硼和硅等反应放出氢；与氯、溴、碘等卤素发生歧化反应。能从水溶液中沉淀金属离子成为氢氧化物；能使油脂发生皂化反应，生成相应的有机酸的钠盐和醇，这是去除织物上的油污的原理</w:t>
                  </w:r>
                </w:p>
              </w:tc>
              <w:tc>
                <w:tcPr>
                  <w:tcW w:w="1044" w:type="dxa"/>
                  <w:vAlign w:val="center"/>
                </w:tcPr>
                <w:p w14:paraId="2E469174">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lang w:val="en-US" w:eastAsia="zh-CN"/>
                    </w:rPr>
                  </w:pPr>
                  <w:r>
                    <w:rPr>
                      <w:rFonts w:hint="eastAsia" w:eastAsia="宋体" w:cs="Times New Roman"/>
                      <w:b w:val="0"/>
                      <w:bCs/>
                      <w:color w:val="auto"/>
                      <w:highlight w:val="none"/>
                      <w:lang w:val="en-US" w:eastAsia="zh-CN"/>
                    </w:rPr>
                    <w:t>是</w:t>
                  </w:r>
                </w:p>
              </w:tc>
            </w:tr>
          </w:tbl>
          <w:p w14:paraId="737F729D">
            <w:pPr>
              <w:pStyle w:val="5"/>
              <w:numPr>
                <w:ilvl w:val="3"/>
                <w:numId w:val="0"/>
              </w:numPr>
              <w:suppressLineNumbers w:val="0"/>
              <w:spacing w:before="0" w:beforeAutospacing="0" w:after="0" w:afterAutospacing="0"/>
              <w:ind w:left="-960" w:right="0" w:firstLine="1440"/>
              <w:rPr>
                <w:rFonts w:hint="default" w:ascii="Times New Roman" w:hAnsi="Times New Roman" w:cs="Times New Roman"/>
                <w:color w:val="auto"/>
                <w:highlight w:val="none"/>
              </w:rPr>
            </w:pPr>
            <w:r>
              <w:rPr>
                <w:rFonts w:hint="default" w:ascii="Times New Roman" w:hAnsi="Times New Roman" w:cs="Times New Roman"/>
                <w:color w:val="auto"/>
                <w:szCs w:val="24"/>
                <w:highlight w:val="none"/>
              </w:rPr>
              <w:t>4、</w:t>
            </w:r>
            <w:r>
              <w:rPr>
                <w:rFonts w:hint="default" w:ascii="Times New Roman" w:hAnsi="Times New Roman" w:cs="Times New Roman"/>
                <w:color w:val="auto"/>
                <w:highlight w:val="none"/>
              </w:rPr>
              <w:t>生产设备</w:t>
            </w:r>
          </w:p>
          <w:p w14:paraId="2B24CC5B">
            <w:pPr>
              <w:pStyle w:val="12"/>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w:t>
            </w:r>
            <w:r>
              <w:rPr>
                <w:rFonts w:hint="eastAsia" w:cs="Times New Roman"/>
                <w:color w:val="auto"/>
                <w:highlight w:val="none"/>
                <w:lang w:val="en-US" w:eastAsia="zh-CN"/>
              </w:rPr>
              <w:t>产品量为7.1万吨，年工作时间330天，实行一天3班制，则项目生产能力为9t/h。根据建设单位提供资料，项目购置与产能相匹配的生产设备，</w:t>
            </w:r>
            <w:r>
              <w:rPr>
                <w:rFonts w:hint="default" w:ascii="Times New Roman" w:hAnsi="Times New Roman" w:cs="Times New Roman"/>
                <w:color w:val="auto"/>
                <w:highlight w:val="none"/>
              </w:rPr>
              <w:t>生产设备</w:t>
            </w:r>
            <w:r>
              <w:rPr>
                <w:rFonts w:hint="eastAsia" w:cs="Times New Roman"/>
                <w:color w:val="auto"/>
                <w:highlight w:val="none"/>
                <w:lang w:val="en-US" w:eastAsia="zh-CN"/>
              </w:rPr>
              <w:t>型号与产能分析详</w:t>
            </w:r>
            <w:r>
              <w:rPr>
                <w:rFonts w:hint="default" w:ascii="Times New Roman" w:hAnsi="Times New Roman" w:cs="Times New Roman"/>
                <w:color w:val="auto"/>
                <w:highlight w:val="none"/>
              </w:rPr>
              <w:t>见下表。</w:t>
            </w:r>
          </w:p>
          <w:p w14:paraId="45455769">
            <w:pPr>
              <w:pStyle w:val="107"/>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生产设备一览表</w:t>
            </w:r>
          </w:p>
          <w:tbl>
            <w:tblPr>
              <w:tblStyle w:val="39"/>
              <w:tblW w:w="9055" w:type="dxa"/>
              <w:tblInd w:w="-2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588"/>
              <w:gridCol w:w="1089"/>
              <w:gridCol w:w="623"/>
              <w:gridCol w:w="783"/>
              <w:gridCol w:w="933"/>
              <w:gridCol w:w="770"/>
              <w:gridCol w:w="880"/>
              <w:gridCol w:w="1077"/>
              <w:gridCol w:w="1406"/>
              <w:gridCol w:w="906"/>
            </w:tblGrid>
            <w:tr w14:paraId="3E212EB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65" w:hRule="atLeast"/>
              </w:trPr>
              <w:tc>
                <w:tcPr>
                  <w:tcW w:w="5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8A39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rPr>
                    <w:t>序号</w:t>
                  </w:r>
                </w:p>
              </w:tc>
              <w:tc>
                <w:tcPr>
                  <w:tcW w:w="10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BD92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rPr>
                    <w:t>设备名称</w:t>
                  </w:r>
                </w:p>
              </w:tc>
              <w:tc>
                <w:tcPr>
                  <w:tcW w:w="6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41A4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rPr>
                    <w:t>数量</w:t>
                  </w:r>
                </w:p>
              </w:tc>
              <w:tc>
                <w:tcPr>
                  <w:tcW w:w="7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87C6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rPr>
                    <w:t>规格型号</w:t>
                  </w:r>
                </w:p>
              </w:tc>
              <w:tc>
                <w:tcPr>
                  <w:tcW w:w="9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56FF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rPr>
                    <w:t>生产能力 (t/h)</w:t>
                  </w:r>
                </w:p>
              </w:tc>
              <w:tc>
                <w:tcPr>
                  <w:tcW w:w="7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E909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rPr>
                    <w:t>总能力 (t/h)</w:t>
                  </w: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64E3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rPr>
                    <w:t>是否满足 ≥9 t/h</w:t>
                  </w:r>
                </w:p>
              </w:tc>
              <w:tc>
                <w:tcPr>
                  <w:tcW w:w="10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1879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rPr>
                    <w:t>备注说明</w:t>
                  </w:r>
                </w:p>
              </w:tc>
              <w:tc>
                <w:tcPr>
                  <w:tcW w:w="14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90E1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rPr>
                    <w:t>用途</w:t>
                  </w:r>
                </w:p>
              </w:tc>
              <w:tc>
                <w:tcPr>
                  <w:tcW w:w="9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38E8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rPr>
                    <w:t>摆放位置</w:t>
                  </w:r>
                </w:p>
              </w:tc>
            </w:tr>
            <w:tr w14:paraId="33A39F2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65" w:hRule="atLeast"/>
              </w:trPr>
              <w:tc>
                <w:tcPr>
                  <w:tcW w:w="5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3FD2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1</w:t>
                  </w:r>
                </w:p>
              </w:tc>
              <w:tc>
                <w:tcPr>
                  <w:tcW w:w="10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F0EF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锤破机</w:t>
                  </w:r>
                </w:p>
              </w:tc>
              <w:tc>
                <w:tcPr>
                  <w:tcW w:w="6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3528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2台</w:t>
                  </w:r>
                </w:p>
              </w:tc>
              <w:tc>
                <w:tcPr>
                  <w:tcW w:w="7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BAE5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120</w:t>
                  </w:r>
                </w:p>
              </w:tc>
              <w:tc>
                <w:tcPr>
                  <w:tcW w:w="9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97EA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7</w:t>
                  </w:r>
                </w:p>
              </w:tc>
              <w:tc>
                <w:tcPr>
                  <w:tcW w:w="7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E2CD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14</w:t>
                  </w: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A4DF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 xml:space="preserve"> 是</w:t>
                  </w:r>
                </w:p>
              </w:tc>
              <w:tc>
                <w:tcPr>
                  <w:tcW w:w="10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E478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粗碎，可并联运行</w:t>
                  </w:r>
                </w:p>
              </w:tc>
              <w:tc>
                <w:tcPr>
                  <w:tcW w:w="14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28F1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粗糙锤破塑料</w:t>
                  </w:r>
                </w:p>
              </w:tc>
              <w:tc>
                <w:tcPr>
                  <w:tcW w:w="9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FCB9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4</w:t>
                  </w:r>
                  <w:r>
                    <w:rPr>
                      <w:rFonts w:hint="eastAsia" w:ascii="宋体" w:hAnsi="宋体" w:eastAsia="宋体" w:cs="宋体"/>
                      <w:i w:val="0"/>
                      <w:iCs w:val="0"/>
                      <w:color w:val="auto"/>
                      <w:kern w:val="0"/>
                      <w:sz w:val="20"/>
                      <w:szCs w:val="20"/>
                      <w:highlight w:val="none"/>
                      <w:u w:val="none"/>
                      <w:lang w:val="en-US" w:eastAsia="zh-CN"/>
                    </w:rPr>
                    <w:t>号厂房</w:t>
                  </w:r>
                </w:p>
              </w:tc>
            </w:tr>
            <w:tr w14:paraId="67A437D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16" w:hRule="atLeast"/>
              </w:trPr>
              <w:tc>
                <w:tcPr>
                  <w:tcW w:w="5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D6A0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2</w:t>
                  </w:r>
                </w:p>
              </w:tc>
              <w:tc>
                <w:tcPr>
                  <w:tcW w:w="10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25D8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破碎机</w:t>
                  </w:r>
                </w:p>
              </w:tc>
              <w:tc>
                <w:tcPr>
                  <w:tcW w:w="6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A48C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6台</w:t>
                  </w:r>
                </w:p>
              </w:tc>
              <w:tc>
                <w:tcPr>
                  <w:tcW w:w="7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BFA8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120</w:t>
                  </w:r>
                </w:p>
              </w:tc>
              <w:tc>
                <w:tcPr>
                  <w:tcW w:w="9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D990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10</w:t>
                  </w:r>
                </w:p>
              </w:tc>
              <w:tc>
                <w:tcPr>
                  <w:tcW w:w="7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4D20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60</w:t>
                  </w: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121D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是</w:t>
                  </w:r>
                </w:p>
              </w:tc>
              <w:tc>
                <w:tcPr>
                  <w:tcW w:w="10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8EF3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细碎主力设备</w:t>
                  </w:r>
                </w:p>
              </w:tc>
              <w:tc>
                <w:tcPr>
                  <w:tcW w:w="14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9891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精细破碎塑料（其中</w:t>
                  </w:r>
                  <w:r>
                    <w:rPr>
                      <w:rFonts w:hint="eastAsia" w:ascii="Times New Roman" w:hAnsi="Times New Roman" w:eastAsia="宋体" w:cs="Times New Roman"/>
                      <w:i w:val="0"/>
                      <w:iCs w:val="0"/>
                      <w:color w:val="auto"/>
                      <w:kern w:val="0"/>
                      <w:sz w:val="20"/>
                      <w:szCs w:val="20"/>
                      <w:highlight w:val="none"/>
                      <w:u w:val="none"/>
                      <w:lang w:val="en-US" w:eastAsia="zh-CN"/>
                    </w:rPr>
                    <w:t>1</w:t>
                  </w:r>
                  <w:r>
                    <w:rPr>
                      <w:rFonts w:hint="eastAsia" w:ascii="宋体" w:hAnsi="宋体" w:eastAsia="宋体" w:cs="宋体"/>
                      <w:i w:val="0"/>
                      <w:iCs w:val="0"/>
                      <w:color w:val="auto"/>
                      <w:kern w:val="0"/>
                      <w:sz w:val="20"/>
                      <w:szCs w:val="20"/>
                      <w:highlight w:val="none"/>
                      <w:u w:val="none"/>
                      <w:lang w:val="en-US" w:eastAsia="zh-CN"/>
                    </w:rPr>
                    <w:t>台用于干法破碎）</w:t>
                  </w:r>
                </w:p>
              </w:tc>
              <w:tc>
                <w:tcPr>
                  <w:tcW w:w="9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10E4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4</w:t>
                  </w:r>
                  <w:r>
                    <w:rPr>
                      <w:rFonts w:hint="eastAsia" w:ascii="宋体" w:hAnsi="宋体" w:eastAsia="宋体" w:cs="宋体"/>
                      <w:i w:val="0"/>
                      <w:iCs w:val="0"/>
                      <w:color w:val="auto"/>
                      <w:kern w:val="0"/>
                      <w:sz w:val="20"/>
                      <w:szCs w:val="20"/>
                      <w:highlight w:val="none"/>
                      <w:u w:val="none"/>
                      <w:lang w:val="en-US" w:eastAsia="zh-CN"/>
                    </w:rPr>
                    <w:t>号厂房</w:t>
                  </w:r>
                </w:p>
              </w:tc>
            </w:tr>
            <w:tr w14:paraId="0276690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68" w:hRule="atLeast"/>
              </w:trPr>
              <w:tc>
                <w:tcPr>
                  <w:tcW w:w="5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E4FA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3</w:t>
                  </w:r>
                </w:p>
              </w:tc>
              <w:tc>
                <w:tcPr>
                  <w:tcW w:w="10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5331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洗料整套设备</w:t>
                  </w:r>
                </w:p>
              </w:tc>
              <w:tc>
                <w:tcPr>
                  <w:tcW w:w="6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4D6B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4套</w:t>
                  </w:r>
                </w:p>
              </w:tc>
              <w:tc>
                <w:tcPr>
                  <w:tcW w:w="7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83E2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w:t>
                  </w:r>
                </w:p>
              </w:tc>
              <w:tc>
                <w:tcPr>
                  <w:tcW w:w="9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4866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8</w:t>
                  </w:r>
                </w:p>
              </w:tc>
              <w:tc>
                <w:tcPr>
                  <w:tcW w:w="7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1531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32</w:t>
                  </w: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7D4C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是</w:t>
                  </w:r>
                </w:p>
              </w:tc>
              <w:tc>
                <w:tcPr>
                  <w:tcW w:w="10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D66E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含清洗+脱水甩干</w:t>
                  </w:r>
                </w:p>
              </w:tc>
              <w:tc>
                <w:tcPr>
                  <w:tcW w:w="14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624D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清洗塑料，含甩干功能</w:t>
                  </w:r>
                </w:p>
              </w:tc>
              <w:tc>
                <w:tcPr>
                  <w:tcW w:w="9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E710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4</w:t>
                  </w:r>
                  <w:r>
                    <w:rPr>
                      <w:rFonts w:hint="eastAsia" w:ascii="宋体" w:hAnsi="宋体" w:eastAsia="宋体" w:cs="宋体"/>
                      <w:i w:val="0"/>
                      <w:iCs w:val="0"/>
                      <w:color w:val="auto"/>
                      <w:kern w:val="0"/>
                      <w:sz w:val="20"/>
                      <w:szCs w:val="20"/>
                      <w:highlight w:val="none"/>
                      <w:u w:val="none"/>
                      <w:lang w:val="en-US" w:eastAsia="zh-CN"/>
                    </w:rPr>
                    <w:t>号厂房</w:t>
                  </w:r>
                </w:p>
              </w:tc>
            </w:tr>
            <w:tr w14:paraId="7767B54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65" w:hRule="atLeast"/>
              </w:trPr>
              <w:tc>
                <w:tcPr>
                  <w:tcW w:w="5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466B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4</w:t>
                  </w:r>
                </w:p>
              </w:tc>
              <w:tc>
                <w:tcPr>
                  <w:tcW w:w="10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938D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硅胶机</w:t>
                  </w:r>
                </w:p>
              </w:tc>
              <w:tc>
                <w:tcPr>
                  <w:tcW w:w="6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83DC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12个</w:t>
                  </w:r>
                </w:p>
              </w:tc>
              <w:tc>
                <w:tcPr>
                  <w:tcW w:w="7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35D9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180</w:t>
                  </w:r>
                </w:p>
              </w:tc>
              <w:tc>
                <w:tcPr>
                  <w:tcW w:w="9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02DB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2.5</w:t>
                  </w:r>
                </w:p>
              </w:tc>
              <w:tc>
                <w:tcPr>
                  <w:tcW w:w="7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8A39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30</w:t>
                  </w: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2202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是</w:t>
                  </w:r>
                </w:p>
              </w:tc>
              <w:tc>
                <w:tcPr>
                  <w:tcW w:w="10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DB27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单台小，但数量多</w:t>
                  </w:r>
                </w:p>
              </w:tc>
              <w:tc>
                <w:tcPr>
                  <w:tcW w:w="14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1FA5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分选硅胶杂质</w:t>
                  </w:r>
                </w:p>
              </w:tc>
              <w:tc>
                <w:tcPr>
                  <w:tcW w:w="9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9C15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2</w:t>
                  </w:r>
                  <w:r>
                    <w:rPr>
                      <w:rFonts w:hint="eastAsia" w:ascii="宋体" w:hAnsi="宋体" w:eastAsia="宋体" w:cs="宋体"/>
                      <w:i w:val="0"/>
                      <w:iCs w:val="0"/>
                      <w:color w:val="auto"/>
                      <w:kern w:val="0"/>
                      <w:sz w:val="20"/>
                      <w:szCs w:val="20"/>
                      <w:highlight w:val="none"/>
                      <w:u w:val="none"/>
                      <w:lang w:val="en-US" w:eastAsia="zh-CN"/>
                    </w:rPr>
                    <w:t>号厂房</w:t>
                  </w:r>
                </w:p>
              </w:tc>
            </w:tr>
            <w:tr w14:paraId="4CEA1CB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65" w:hRule="atLeast"/>
              </w:trPr>
              <w:tc>
                <w:tcPr>
                  <w:tcW w:w="5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5CD5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5</w:t>
                  </w:r>
                </w:p>
              </w:tc>
              <w:tc>
                <w:tcPr>
                  <w:tcW w:w="10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631A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静电分选机</w:t>
                  </w:r>
                </w:p>
              </w:tc>
              <w:tc>
                <w:tcPr>
                  <w:tcW w:w="6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1588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4套</w:t>
                  </w:r>
                </w:p>
              </w:tc>
              <w:tc>
                <w:tcPr>
                  <w:tcW w:w="7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520B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300</w:t>
                  </w:r>
                </w:p>
              </w:tc>
              <w:tc>
                <w:tcPr>
                  <w:tcW w:w="9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C01A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12</w:t>
                  </w:r>
                </w:p>
              </w:tc>
              <w:tc>
                <w:tcPr>
                  <w:tcW w:w="7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49F0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48</w:t>
                  </w: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9FEB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both"/>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 xml:space="preserve"> 是</w:t>
                  </w:r>
                </w:p>
              </w:tc>
              <w:tc>
                <w:tcPr>
                  <w:tcW w:w="10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D054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分离金属/非金属</w:t>
                  </w:r>
                </w:p>
              </w:tc>
              <w:tc>
                <w:tcPr>
                  <w:tcW w:w="14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834D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分选杂质塑料种类</w:t>
                  </w:r>
                </w:p>
              </w:tc>
              <w:tc>
                <w:tcPr>
                  <w:tcW w:w="9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5992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2</w:t>
                  </w:r>
                  <w:r>
                    <w:rPr>
                      <w:rFonts w:hint="eastAsia" w:ascii="宋体" w:hAnsi="宋体" w:eastAsia="宋体" w:cs="宋体"/>
                      <w:i w:val="0"/>
                      <w:iCs w:val="0"/>
                      <w:color w:val="auto"/>
                      <w:kern w:val="0"/>
                      <w:sz w:val="20"/>
                      <w:szCs w:val="20"/>
                      <w:highlight w:val="none"/>
                      <w:u w:val="none"/>
                      <w:lang w:val="en-US" w:eastAsia="zh-CN"/>
                    </w:rPr>
                    <w:t>号厂房</w:t>
                  </w:r>
                </w:p>
              </w:tc>
            </w:tr>
            <w:tr w14:paraId="38BBB0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65" w:hRule="atLeast"/>
              </w:trPr>
              <w:tc>
                <w:tcPr>
                  <w:tcW w:w="5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486A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6</w:t>
                  </w:r>
                </w:p>
              </w:tc>
              <w:tc>
                <w:tcPr>
                  <w:tcW w:w="10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BD02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材质分选机</w:t>
                  </w:r>
                </w:p>
              </w:tc>
              <w:tc>
                <w:tcPr>
                  <w:tcW w:w="6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B17D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2套</w:t>
                  </w:r>
                </w:p>
              </w:tc>
              <w:tc>
                <w:tcPr>
                  <w:tcW w:w="7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4579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80</w:t>
                  </w:r>
                </w:p>
              </w:tc>
              <w:tc>
                <w:tcPr>
                  <w:tcW w:w="9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5856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4.5</w:t>
                  </w:r>
                </w:p>
              </w:tc>
              <w:tc>
                <w:tcPr>
                  <w:tcW w:w="7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7C3F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9</w:t>
                  </w: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2E61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是</w:t>
                  </w:r>
                </w:p>
              </w:tc>
              <w:tc>
                <w:tcPr>
                  <w:tcW w:w="10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51A6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w:t>
                  </w:r>
                </w:p>
              </w:tc>
              <w:tc>
                <w:tcPr>
                  <w:tcW w:w="14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2200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分选塑料种类</w:t>
                  </w:r>
                </w:p>
              </w:tc>
              <w:tc>
                <w:tcPr>
                  <w:tcW w:w="9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5F2E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2</w:t>
                  </w:r>
                  <w:r>
                    <w:rPr>
                      <w:rFonts w:hint="eastAsia" w:ascii="宋体" w:hAnsi="宋体" w:eastAsia="宋体" w:cs="宋体"/>
                      <w:i w:val="0"/>
                      <w:iCs w:val="0"/>
                      <w:color w:val="auto"/>
                      <w:kern w:val="0"/>
                      <w:sz w:val="20"/>
                      <w:szCs w:val="20"/>
                      <w:highlight w:val="none"/>
                      <w:u w:val="none"/>
                      <w:lang w:val="en-US" w:eastAsia="zh-CN"/>
                    </w:rPr>
                    <w:t>号厂房</w:t>
                  </w:r>
                </w:p>
              </w:tc>
            </w:tr>
            <w:tr w14:paraId="05230F9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2" w:hRule="atLeast"/>
              </w:trPr>
              <w:tc>
                <w:tcPr>
                  <w:tcW w:w="5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0339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7</w:t>
                  </w:r>
                </w:p>
              </w:tc>
              <w:tc>
                <w:tcPr>
                  <w:tcW w:w="10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70C9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空压机</w:t>
                  </w:r>
                </w:p>
              </w:tc>
              <w:tc>
                <w:tcPr>
                  <w:tcW w:w="6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B725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2台</w:t>
                  </w:r>
                </w:p>
              </w:tc>
              <w:tc>
                <w:tcPr>
                  <w:tcW w:w="7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8F2C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120</w:t>
                  </w:r>
                </w:p>
              </w:tc>
              <w:tc>
                <w:tcPr>
                  <w:tcW w:w="9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8F6E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w:t>
                  </w:r>
                </w:p>
              </w:tc>
              <w:tc>
                <w:tcPr>
                  <w:tcW w:w="7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B07F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w:t>
                  </w: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8861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w:t>
                  </w:r>
                </w:p>
              </w:tc>
              <w:tc>
                <w:tcPr>
                  <w:tcW w:w="10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4EE2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rPr>
                    <w:t>辅助设备</w:t>
                  </w:r>
                </w:p>
              </w:tc>
              <w:tc>
                <w:tcPr>
                  <w:tcW w:w="14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7A71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rPr>
                      <w:rFonts w:hint="eastAsia" w:ascii="宋体" w:hAnsi="宋体" w:eastAsia="宋体" w:cs="宋体"/>
                      <w:i w:val="0"/>
                      <w:iCs w:val="0"/>
                      <w:color w:val="auto"/>
                      <w:sz w:val="20"/>
                      <w:szCs w:val="20"/>
                      <w:highlight w:val="none"/>
                      <w:u w:val="none"/>
                    </w:rPr>
                  </w:pPr>
                </w:p>
              </w:tc>
              <w:tc>
                <w:tcPr>
                  <w:tcW w:w="9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6B54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right="0" w:firstLineChars="0"/>
                    <w:jc w:val="center"/>
                    <w:rPr>
                      <w:rFonts w:hint="eastAsia" w:ascii="宋体" w:hAnsi="宋体" w:eastAsia="宋体" w:cs="宋体"/>
                      <w:i w:val="0"/>
                      <w:iCs w:val="0"/>
                      <w:color w:val="auto"/>
                      <w:sz w:val="20"/>
                      <w:szCs w:val="20"/>
                      <w:highlight w:val="none"/>
                      <w:u w:val="none"/>
                    </w:rPr>
                  </w:pPr>
                </w:p>
              </w:tc>
            </w:tr>
          </w:tbl>
          <w:p w14:paraId="4C06E069">
            <w:pPr>
              <w:pStyle w:val="65"/>
              <w:keepNext w:val="0"/>
              <w:keepLines w:val="0"/>
              <w:suppressLineNumbers w:val="0"/>
              <w:spacing w:beforeAutospacing="0" w:afterAutospacing="0"/>
              <w:ind w:left="0" w:right="0" w:firstLine="480" w:firstLineChars="200"/>
              <w:jc w:val="left"/>
              <w:rPr>
                <w:rFonts w:hint="default" w:ascii="Times New Roman" w:hAnsi="Times New Roman" w:eastAsia="宋体" w:cs="Times New Roman"/>
                <w:b/>
                <w:bCs/>
                <w:color w:val="auto"/>
                <w:sz w:val="21"/>
                <w:szCs w:val="21"/>
                <w:highlight w:val="none"/>
                <w:lang w:val="en-US" w:eastAsia="zh-CN"/>
              </w:rPr>
            </w:pPr>
            <w:r>
              <w:rPr>
                <w:rFonts w:hint="eastAsia"/>
                <w:color w:val="auto"/>
                <w:highlight w:val="none"/>
                <w:lang w:val="en-US" w:eastAsia="zh-CN"/>
              </w:rPr>
              <w:t>本项目为连续生产线，所以制约产能的机器为材质分选机。</w:t>
            </w:r>
          </w:p>
          <w:p w14:paraId="76D24BF2">
            <w:pPr>
              <w:pStyle w:val="5"/>
              <w:numPr>
                <w:ilvl w:val="3"/>
                <w:numId w:val="0"/>
              </w:numPr>
              <w:suppressLineNumbers w:val="0"/>
              <w:spacing w:before="0" w:beforeAutospacing="0" w:after="0" w:afterAutospacing="0"/>
              <w:ind w:left="480" w:right="0"/>
              <w:rPr>
                <w:rFonts w:hint="default" w:ascii="Times New Roman" w:hAnsi="Times New Roman" w:cs="Times New Roman"/>
                <w:color w:val="auto"/>
                <w:highlight w:val="none"/>
              </w:rPr>
            </w:pPr>
            <w:r>
              <w:rPr>
                <w:rFonts w:hint="default" w:ascii="Times New Roman" w:hAnsi="Times New Roman" w:cs="Times New Roman"/>
                <w:color w:val="auto"/>
                <w:sz w:val="21"/>
                <w:szCs w:val="21"/>
                <w:highlight w:val="none"/>
              </w:rPr>
              <w:t>5</w:t>
            </w:r>
            <w:r>
              <w:rPr>
                <w:rFonts w:hint="default" w:ascii="Times New Roman" w:hAnsi="Times New Roman" w:cs="Times New Roman"/>
                <w:color w:val="auto"/>
                <w:highlight w:val="none"/>
              </w:rPr>
              <w:t>、劳动定员和工作制度</w:t>
            </w:r>
          </w:p>
          <w:p w14:paraId="5F03232E">
            <w:pPr>
              <w:pStyle w:val="107"/>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劳动定员与工作制度一览表</w:t>
            </w:r>
          </w:p>
          <w:tbl>
            <w:tblPr>
              <w:tblStyle w:val="39"/>
              <w:tblW w:w="4985"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2311"/>
              <w:gridCol w:w="2313"/>
              <w:gridCol w:w="2314"/>
              <w:gridCol w:w="2314"/>
            </w:tblGrid>
            <w:tr w14:paraId="51ACD7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6" w:hRule="atLeast"/>
                <w:jc w:val="center"/>
              </w:trPr>
              <w:tc>
                <w:tcPr>
                  <w:tcW w:w="1249" w:type="pct"/>
                  <w:vAlign w:val="center"/>
                </w:tcPr>
                <w:p w14:paraId="3D40BB93">
                  <w:pPr>
                    <w:pStyle w:val="60"/>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指标</w:t>
                  </w:r>
                </w:p>
              </w:tc>
              <w:tc>
                <w:tcPr>
                  <w:tcW w:w="1250" w:type="pct"/>
                  <w:vAlign w:val="center"/>
                </w:tcPr>
                <w:p w14:paraId="0EC29FF2">
                  <w:pPr>
                    <w:pStyle w:val="60"/>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内容</w:t>
                  </w:r>
                </w:p>
              </w:tc>
              <w:tc>
                <w:tcPr>
                  <w:tcW w:w="1250" w:type="pct"/>
                  <w:vAlign w:val="center"/>
                </w:tcPr>
                <w:p w14:paraId="0C0091D2">
                  <w:pPr>
                    <w:pStyle w:val="60"/>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指标</w:t>
                  </w:r>
                </w:p>
              </w:tc>
              <w:tc>
                <w:tcPr>
                  <w:tcW w:w="1250" w:type="pct"/>
                  <w:vAlign w:val="center"/>
                </w:tcPr>
                <w:p w14:paraId="165849B1">
                  <w:pPr>
                    <w:pStyle w:val="60"/>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内容</w:t>
                  </w:r>
                </w:p>
              </w:tc>
            </w:tr>
            <w:tr w14:paraId="2D78EE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2" w:hRule="atLeast"/>
                <w:jc w:val="center"/>
              </w:trPr>
              <w:tc>
                <w:tcPr>
                  <w:tcW w:w="1249" w:type="pct"/>
                  <w:vAlign w:val="center"/>
                </w:tcPr>
                <w:p w14:paraId="10F3BE0D">
                  <w:pPr>
                    <w:pStyle w:val="60"/>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劳动定员</w:t>
                  </w:r>
                </w:p>
              </w:tc>
              <w:tc>
                <w:tcPr>
                  <w:tcW w:w="1250" w:type="pct"/>
                  <w:vAlign w:val="center"/>
                </w:tcPr>
                <w:p w14:paraId="02D170E4">
                  <w:pPr>
                    <w:pStyle w:val="60"/>
                    <w:keepNext w:val="0"/>
                    <w:keepLines w:val="0"/>
                    <w:widowControl/>
                    <w:suppressLineNumbers w:val="0"/>
                    <w:spacing w:before="0" w:beforeAutospacing="0" w:after="0" w:afterAutospacing="0" w:line="360" w:lineRule="auto"/>
                    <w:ind w:left="0" w:right="0"/>
                    <w:rPr>
                      <w:rFonts w:hint="default" w:ascii="Times New Roman" w:hAnsi="Times New Roman" w:eastAsia="宋体" w:cs="Times New Roman"/>
                      <w:color w:val="auto"/>
                      <w:kern w:val="2"/>
                      <w:highlight w:val="none"/>
                      <w:lang w:eastAsia="zh-CN"/>
                    </w:rPr>
                  </w:pPr>
                  <w:r>
                    <w:rPr>
                      <w:rFonts w:hint="eastAsia" w:cs="Times New Roman"/>
                      <w:color w:val="auto"/>
                      <w:kern w:val="2"/>
                      <w:sz w:val="21"/>
                      <w:szCs w:val="21"/>
                      <w:highlight w:val="none"/>
                      <w:lang w:val="en-US" w:eastAsia="zh-CN"/>
                    </w:rPr>
                    <w:t>10</w:t>
                  </w:r>
                  <w:r>
                    <w:rPr>
                      <w:rFonts w:hint="eastAsia" w:ascii="Times New Roman" w:hAnsi="Times New Roman" w:cs="Times New Roman"/>
                      <w:color w:val="auto"/>
                      <w:kern w:val="2"/>
                      <w:sz w:val="21"/>
                      <w:szCs w:val="21"/>
                      <w:highlight w:val="none"/>
                      <w:lang w:val="en-US" w:eastAsia="zh-CN"/>
                    </w:rPr>
                    <w:t>0</w:t>
                  </w:r>
                  <w:r>
                    <w:rPr>
                      <w:rFonts w:hint="default" w:ascii="Times New Roman" w:hAnsi="Times New Roman" w:cs="Times New Roman"/>
                      <w:color w:val="auto"/>
                      <w:kern w:val="2"/>
                      <w:sz w:val="21"/>
                      <w:szCs w:val="21"/>
                      <w:highlight w:val="none"/>
                      <w:lang w:eastAsia="zh-CN"/>
                    </w:rPr>
                    <w:t>人</w:t>
                  </w:r>
                </w:p>
              </w:tc>
              <w:tc>
                <w:tcPr>
                  <w:tcW w:w="1250" w:type="pct"/>
                  <w:vAlign w:val="center"/>
                </w:tcPr>
                <w:p w14:paraId="6625E674">
                  <w:pPr>
                    <w:pStyle w:val="60"/>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食宿安排</w:t>
                  </w:r>
                </w:p>
              </w:tc>
              <w:tc>
                <w:tcPr>
                  <w:tcW w:w="1250" w:type="pct"/>
                  <w:vAlign w:val="center"/>
                </w:tcPr>
                <w:p w14:paraId="36EF9DA6">
                  <w:pPr>
                    <w:pStyle w:val="60"/>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kern w:val="2"/>
                      <w:highlight w:val="none"/>
                      <w:lang w:eastAsia="zh-CN"/>
                    </w:rPr>
                  </w:pPr>
                  <w:r>
                    <w:rPr>
                      <w:rFonts w:hint="default" w:ascii="Times New Roman" w:hAnsi="Times New Roman" w:cs="Times New Roman"/>
                      <w:color w:val="auto"/>
                      <w:kern w:val="2"/>
                      <w:highlight w:val="none"/>
                      <w:lang w:eastAsia="zh-CN"/>
                    </w:rPr>
                    <w:t>提供</w:t>
                  </w:r>
                  <w:r>
                    <w:rPr>
                      <w:rFonts w:hint="eastAsia" w:cs="Times New Roman"/>
                      <w:color w:val="auto"/>
                      <w:kern w:val="2"/>
                      <w:highlight w:val="none"/>
                      <w:lang w:eastAsia="zh-CN"/>
                    </w:rPr>
                    <w:t>食</w:t>
                  </w:r>
                  <w:r>
                    <w:rPr>
                      <w:rFonts w:hint="default" w:ascii="Times New Roman" w:hAnsi="Times New Roman" w:cs="Times New Roman"/>
                      <w:color w:val="auto"/>
                      <w:kern w:val="2"/>
                      <w:highlight w:val="none"/>
                      <w:lang w:eastAsia="zh-CN"/>
                    </w:rPr>
                    <w:t>宿</w:t>
                  </w:r>
                </w:p>
              </w:tc>
            </w:tr>
            <w:tr w14:paraId="7A7599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6" w:hRule="atLeast"/>
                <w:jc w:val="center"/>
              </w:trPr>
              <w:tc>
                <w:tcPr>
                  <w:tcW w:w="1249" w:type="pct"/>
                  <w:vAlign w:val="center"/>
                </w:tcPr>
                <w:p w14:paraId="4034C023">
                  <w:pPr>
                    <w:pStyle w:val="60"/>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工作时间</w:t>
                  </w:r>
                </w:p>
              </w:tc>
              <w:tc>
                <w:tcPr>
                  <w:tcW w:w="1250" w:type="pct"/>
                  <w:vAlign w:val="center"/>
                </w:tcPr>
                <w:p w14:paraId="0A8DAA95">
                  <w:pPr>
                    <w:pStyle w:val="60"/>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每年3</w:t>
                  </w:r>
                  <w:r>
                    <w:rPr>
                      <w:rFonts w:hint="eastAsia" w:cs="Times New Roman"/>
                      <w:color w:val="auto"/>
                      <w:kern w:val="2"/>
                      <w:highlight w:val="none"/>
                      <w:lang w:val="en-US" w:eastAsia="zh-CN"/>
                    </w:rPr>
                    <w:t>3</w:t>
                  </w:r>
                  <w:r>
                    <w:rPr>
                      <w:rFonts w:hint="default" w:ascii="Times New Roman" w:hAnsi="Times New Roman" w:cs="Times New Roman"/>
                      <w:color w:val="auto"/>
                      <w:kern w:val="2"/>
                      <w:highlight w:val="none"/>
                    </w:rPr>
                    <w:t>0日，每</w:t>
                  </w:r>
                  <w:r>
                    <w:rPr>
                      <w:rFonts w:hint="eastAsia" w:cs="Times New Roman"/>
                      <w:color w:val="auto"/>
                      <w:kern w:val="2"/>
                      <w:highlight w:val="none"/>
                      <w:lang w:val="en-US" w:eastAsia="zh-CN"/>
                    </w:rPr>
                    <w:t>班</w:t>
                  </w:r>
                  <w:r>
                    <w:rPr>
                      <w:rFonts w:hint="default" w:ascii="Times New Roman" w:hAnsi="Times New Roman" w:cs="Times New Roman"/>
                      <w:color w:val="auto"/>
                      <w:kern w:val="2"/>
                      <w:highlight w:val="none"/>
                    </w:rPr>
                    <w:t>8小时</w:t>
                  </w:r>
                </w:p>
              </w:tc>
              <w:tc>
                <w:tcPr>
                  <w:tcW w:w="1250" w:type="pct"/>
                  <w:vAlign w:val="center"/>
                </w:tcPr>
                <w:p w14:paraId="75FF9054">
                  <w:pPr>
                    <w:pStyle w:val="60"/>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夜间生产</w:t>
                  </w:r>
                </w:p>
              </w:tc>
              <w:tc>
                <w:tcPr>
                  <w:tcW w:w="1250" w:type="pct"/>
                  <w:vAlign w:val="center"/>
                </w:tcPr>
                <w:p w14:paraId="61507FAC">
                  <w:pPr>
                    <w:pStyle w:val="60"/>
                    <w:keepNext w:val="0"/>
                    <w:keepLines w:val="0"/>
                    <w:widowControl/>
                    <w:suppressLineNumbers w:val="0"/>
                    <w:spacing w:before="0" w:beforeAutospacing="0" w:after="0" w:afterAutospacing="0"/>
                    <w:ind w:left="0" w:right="0"/>
                    <w:rPr>
                      <w:rFonts w:hint="eastAsia" w:ascii="Times New Roman" w:hAnsi="Times New Roman" w:eastAsia="宋体" w:cs="Times New Roman"/>
                      <w:color w:val="auto"/>
                      <w:kern w:val="2"/>
                      <w:highlight w:val="none"/>
                      <w:lang w:eastAsia="zh-CN"/>
                    </w:rPr>
                  </w:pPr>
                  <w:r>
                    <w:rPr>
                      <w:rFonts w:hint="eastAsia" w:cs="Times New Roman"/>
                      <w:color w:val="auto"/>
                      <w:kern w:val="2"/>
                      <w:highlight w:val="none"/>
                      <w:lang w:val="en-US" w:eastAsia="zh-CN"/>
                    </w:rPr>
                    <w:t>有</w:t>
                  </w:r>
                </w:p>
              </w:tc>
            </w:tr>
            <w:tr w14:paraId="437CF2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7" w:hRule="atLeast"/>
                <w:jc w:val="center"/>
              </w:trPr>
              <w:tc>
                <w:tcPr>
                  <w:tcW w:w="1249" w:type="pct"/>
                  <w:vAlign w:val="center"/>
                </w:tcPr>
                <w:p w14:paraId="1D0EB2D1">
                  <w:pPr>
                    <w:pStyle w:val="60"/>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工作班制</w:t>
                  </w:r>
                </w:p>
              </w:tc>
              <w:tc>
                <w:tcPr>
                  <w:tcW w:w="1250" w:type="pct"/>
                  <w:vAlign w:val="center"/>
                </w:tcPr>
                <w:p w14:paraId="1611C4BF">
                  <w:pPr>
                    <w:pStyle w:val="60"/>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r>
                    <w:rPr>
                      <w:rFonts w:hint="eastAsia" w:cs="Times New Roman"/>
                      <w:color w:val="auto"/>
                      <w:kern w:val="2"/>
                      <w:highlight w:val="none"/>
                      <w:lang w:val="en-US" w:eastAsia="zh-CN"/>
                    </w:rPr>
                    <w:t>三</w:t>
                  </w:r>
                  <w:r>
                    <w:rPr>
                      <w:rFonts w:hint="default" w:ascii="Times New Roman" w:hAnsi="Times New Roman" w:cs="Times New Roman"/>
                      <w:color w:val="auto"/>
                      <w:kern w:val="2"/>
                      <w:highlight w:val="none"/>
                    </w:rPr>
                    <w:t>班制</w:t>
                  </w:r>
                </w:p>
              </w:tc>
              <w:tc>
                <w:tcPr>
                  <w:tcW w:w="1250" w:type="pct"/>
                  <w:vAlign w:val="center"/>
                </w:tcPr>
                <w:p w14:paraId="3D27C69B">
                  <w:pPr>
                    <w:pStyle w:val="60"/>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w:t>
                  </w:r>
                </w:p>
              </w:tc>
              <w:tc>
                <w:tcPr>
                  <w:tcW w:w="1250" w:type="pct"/>
                  <w:vAlign w:val="center"/>
                </w:tcPr>
                <w:p w14:paraId="70558CD8">
                  <w:pPr>
                    <w:pStyle w:val="60"/>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w:t>
                  </w:r>
                </w:p>
              </w:tc>
            </w:tr>
          </w:tbl>
          <w:p w14:paraId="3E818744">
            <w:pPr>
              <w:pStyle w:val="5"/>
              <w:numPr>
                <w:ilvl w:val="3"/>
                <w:numId w:val="0"/>
              </w:numPr>
              <w:suppressLineNumbers w:val="0"/>
              <w:spacing w:before="0" w:beforeAutospacing="0" w:after="0" w:afterAutospacing="0"/>
              <w:ind w:left="480" w:right="0"/>
              <w:rPr>
                <w:rFonts w:hint="default" w:ascii="Times New Roman" w:hAnsi="Times New Roman" w:cs="Times New Roman"/>
                <w:color w:val="auto"/>
                <w:highlight w:val="none"/>
              </w:rPr>
            </w:pPr>
            <w:r>
              <w:rPr>
                <w:rFonts w:hint="default" w:ascii="Times New Roman" w:hAnsi="Times New Roman" w:cs="Times New Roman"/>
                <w:color w:val="auto"/>
                <w:highlight w:val="none"/>
              </w:rPr>
              <w:t>6、能源和资源消耗</w:t>
            </w:r>
          </w:p>
          <w:p w14:paraId="4A1F54AF">
            <w:pPr>
              <w:pStyle w:val="6"/>
              <w:widowControl/>
              <w:numPr>
                <w:ilvl w:val="4"/>
                <w:numId w:val="0"/>
              </w:numPr>
              <w:suppressLineNumbers w:val="0"/>
              <w:spacing w:before="0" w:beforeAutospacing="0" w:after="0" w:afterAutospacing="0"/>
              <w:ind w:left="-960" w:right="0" w:firstLine="1440"/>
              <w:rPr>
                <w:rFonts w:hint="default" w:ascii="Times New Roman" w:hAnsi="Times New Roman" w:cs="Times New Roman"/>
                <w:color w:val="auto"/>
                <w:kern w:val="2"/>
                <w:szCs w:val="32"/>
                <w:highlight w:val="none"/>
              </w:rPr>
            </w:pPr>
            <w:r>
              <w:rPr>
                <w:rFonts w:hint="default" w:ascii="Times New Roman" w:hAnsi="Times New Roman" w:cs="Times New Roman"/>
                <w:color w:val="auto"/>
                <w:kern w:val="2"/>
                <w:szCs w:val="32"/>
                <w:highlight w:val="none"/>
              </w:rPr>
              <w:t>（1）供电</w:t>
            </w:r>
          </w:p>
          <w:p w14:paraId="7087289E">
            <w:pPr>
              <w:keepNext w:val="0"/>
              <w:keepLines w:val="0"/>
              <w:suppressLineNumbers w:val="0"/>
              <w:adjustRightInd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本项目用电由市政供电网提供，年用电量约</w:t>
            </w:r>
            <w:r>
              <w:rPr>
                <w:rFonts w:hint="eastAsia" w:cs="Times New Roman"/>
                <w:color w:val="auto"/>
                <w:highlight w:val="none"/>
                <w:lang w:val="en-US" w:eastAsia="zh-CN"/>
              </w:rPr>
              <w:t>4</w:t>
            </w:r>
            <w:r>
              <w:rPr>
                <w:rFonts w:hint="default" w:ascii="Times New Roman" w:hAnsi="Times New Roman" w:cs="Times New Roman"/>
                <w:color w:val="auto"/>
                <w:highlight w:val="none"/>
              </w:rPr>
              <w:t>00万千瓦·时，设备用发电机</w:t>
            </w:r>
            <w:r>
              <w:rPr>
                <w:rFonts w:hint="eastAsia" w:cs="Times New Roman"/>
                <w:color w:val="auto"/>
                <w:highlight w:val="none"/>
                <w:lang w:val="en-US" w:eastAsia="zh-CN"/>
              </w:rPr>
              <w:t>1台，功率为120kW</w:t>
            </w:r>
            <w:r>
              <w:rPr>
                <w:rFonts w:hint="default" w:ascii="Times New Roman" w:hAnsi="Times New Roman" w:cs="Times New Roman"/>
                <w:color w:val="auto"/>
                <w:highlight w:val="none"/>
              </w:rPr>
              <w:t>。</w:t>
            </w:r>
          </w:p>
          <w:p w14:paraId="63C58C06">
            <w:pPr>
              <w:pStyle w:val="6"/>
              <w:widowControl/>
              <w:numPr>
                <w:ilvl w:val="4"/>
                <w:numId w:val="0"/>
              </w:numPr>
              <w:suppressLineNumbers w:val="0"/>
              <w:spacing w:before="0" w:beforeAutospacing="0" w:after="0" w:afterAutospacing="0"/>
              <w:ind w:left="-960" w:right="0" w:firstLine="144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（2）给水</w:t>
            </w:r>
          </w:p>
          <w:p w14:paraId="6ED615E6">
            <w:pPr>
              <w:keepNext w:val="0"/>
              <w:keepLines w:val="0"/>
              <w:suppressLineNumbers w:val="0"/>
              <w:adjustRightInd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本项目营运期用水主要为生活用水和生产用水，废水产生主要为生活污水和生产废水。</w:t>
            </w:r>
          </w:p>
          <w:p w14:paraId="7E9A8EC6">
            <w:pPr>
              <w:pStyle w:val="12"/>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①生活用水：本项目</w:t>
            </w:r>
            <w:r>
              <w:rPr>
                <w:rFonts w:hint="default" w:ascii="Times New Roman" w:hAnsi="Times New Roman" w:cs="Times New Roman"/>
                <w:color w:val="auto"/>
                <w:highlight w:val="none"/>
                <w:lang w:val="en-US" w:eastAsia="zh-CN"/>
              </w:rPr>
              <w:t>设置</w:t>
            </w:r>
            <w:r>
              <w:rPr>
                <w:rFonts w:hint="default" w:ascii="Times New Roman" w:hAnsi="Times New Roman" w:cs="Times New Roman"/>
                <w:color w:val="auto"/>
                <w:highlight w:val="none"/>
              </w:rPr>
              <w:t>职工宿舍</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设</w:t>
            </w:r>
            <w:r>
              <w:rPr>
                <w:rFonts w:hint="eastAsia" w:cs="Times New Roman"/>
                <w:color w:val="auto"/>
                <w:highlight w:val="none"/>
                <w:lang w:val="en-US" w:eastAsia="zh-CN"/>
              </w:rPr>
              <w:t>有</w:t>
            </w:r>
            <w:r>
              <w:rPr>
                <w:rFonts w:hint="default" w:ascii="Times New Roman" w:hAnsi="Times New Roman" w:cs="Times New Roman"/>
                <w:color w:val="auto"/>
                <w:highlight w:val="none"/>
                <w:lang w:val="en-US" w:eastAsia="zh-CN"/>
              </w:rPr>
              <w:t>食堂</w:t>
            </w:r>
            <w:r>
              <w:rPr>
                <w:rFonts w:hint="default" w:ascii="Times New Roman" w:hAnsi="Times New Roman" w:cs="Times New Roman"/>
                <w:color w:val="auto"/>
                <w:highlight w:val="none"/>
              </w:rPr>
              <w:t>，劳动定员</w:t>
            </w:r>
            <w:r>
              <w:rPr>
                <w:rFonts w:hint="eastAsia" w:cs="Times New Roman"/>
                <w:color w:val="auto"/>
                <w:highlight w:val="none"/>
                <w:lang w:val="en-US" w:eastAsia="zh-CN"/>
              </w:rPr>
              <w:t>10</w:t>
            </w:r>
            <w:r>
              <w:rPr>
                <w:rFonts w:hint="default" w:ascii="Times New Roman" w:hAnsi="Times New Roman" w:cs="Times New Roman"/>
                <w:color w:val="auto"/>
                <w:highlight w:val="none"/>
                <w:lang w:val="en-US" w:eastAsia="zh-CN"/>
              </w:rPr>
              <w:t>0</w:t>
            </w:r>
            <w:r>
              <w:rPr>
                <w:rFonts w:hint="default" w:ascii="Times New Roman" w:hAnsi="Times New Roman" w:cs="Times New Roman"/>
                <w:color w:val="auto"/>
                <w:highlight w:val="none"/>
              </w:rPr>
              <w:t>人，</w:t>
            </w:r>
            <w:r>
              <w:rPr>
                <w:rFonts w:hint="default" w:ascii="Times New Roman" w:hAnsi="Times New Roman" w:eastAsia="宋体" w:cs="Times New Roman"/>
                <w:bCs/>
                <w:color w:val="auto"/>
                <w:kern w:val="2"/>
                <w:sz w:val="24"/>
                <w:szCs w:val="24"/>
                <w:highlight w:val="none"/>
                <w:lang w:val="en-US" w:eastAsia="zh-CN" w:bidi="ar-SA"/>
              </w:rPr>
              <w:t>项目员工生活用水量参考广东省《用水定额第三部分：生活》（DB44/T1461.3-2021），员工参照表A.1中国家机构-国家行政机构-办公楼-无食堂和浴室</w:t>
            </w:r>
            <w:r>
              <w:rPr>
                <w:rFonts w:hint="eastAsia" w:eastAsia="宋体" w:cs="Times New Roman"/>
                <w:bCs/>
                <w:color w:val="auto"/>
                <w:kern w:val="2"/>
                <w:sz w:val="24"/>
                <w:szCs w:val="24"/>
                <w:highlight w:val="none"/>
                <w:lang w:val="en-US" w:eastAsia="zh-CN" w:bidi="ar-SA"/>
              </w:rPr>
              <w:t>通用</w:t>
            </w:r>
            <w:r>
              <w:rPr>
                <w:rFonts w:hint="default" w:ascii="Times New Roman" w:hAnsi="Times New Roman" w:eastAsia="宋体" w:cs="Times New Roman"/>
                <w:bCs/>
                <w:color w:val="auto"/>
                <w:kern w:val="2"/>
                <w:sz w:val="24"/>
                <w:szCs w:val="24"/>
                <w:highlight w:val="none"/>
                <w:lang w:val="en-US" w:eastAsia="zh-CN" w:bidi="ar-SA"/>
              </w:rPr>
              <w:t>值定额</w:t>
            </w:r>
            <w:r>
              <w:rPr>
                <w:rFonts w:hint="eastAsia" w:eastAsia="宋体" w:cs="Times New Roman"/>
                <w:bCs/>
                <w:color w:val="auto"/>
                <w:kern w:val="2"/>
                <w:sz w:val="24"/>
                <w:szCs w:val="24"/>
                <w:highlight w:val="none"/>
                <w:lang w:val="en-US" w:eastAsia="zh-CN" w:bidi="ar-SA"/>
              </w:rPr>
              <w:t>38</w:t>
            </w:r>
            <w:r>
              <w:rPr>
                <w:rFonts w:hint="default" w:ascii="Times New Roman" w:hAnsi="Times New Roman" w:eastAsia="宋体" w:cs="Times New Roman"/>
                <w:bCs/>
                <w:color w:val="auto"/>
                <w:kern w:val="2"/>
                <w:sz w:val="24"/>
                <w:szCs w:val="24"/>
                <w:highlight w:val="none"/>
                <w:lang w:val="en-US" w:eastAsia="zh-CN" w:bidi="ar-SA"/>
              </w:rPr>
              <w:t>m</w:t>
            </w:r>
            <w:r>
              <w:rPr>
                <w:rFonts w:hint="default" w:ascii="Times New Roman" w:hAnsi="Times New Roman" w:eastAsia="宋体" w:cs="Times New Roman"/>
                <w:bCs/>
                <w:color w:val="auto"/>
                <w:kern w:val="2"/>
                <w:sz w:val="24"/>
                <w:szCs w:val="24"/>
                <w:highlight w:val="none"/>
                <w:vertAlign w:val="superscript"/>
                <w:lang w:val="en-US" w:eastAsia="zh-CN" w:bidi="ar-SA"/>
              </w:rPr>
              <w:t>3</w:t>
            </w:r>
            <w:r>
              <w:rPr>
                <w:rFonts w:hint="default" w:ascii="Times New Roman" w:hAnsi="Times New Roman" w:eastAsia="宋体" w:cs="Times New Roman"/>
                <w:bCs/>
                <w:color w:val="auto"/>
                <w:kern w:val="2"/>
                <w:sz w:val="24"/>
                <w:szCs w:val="24"/>
                <w:highlight w:val="none"/>
                <w:lang w:val="en-US" w:eastAsia="zh-CN" w:bidi="ar-SA"/>
              </w:rPr>
              <w:t>/（人·a）计算，项目年运行</w:t>
            </w:r>
            <w:r>
              <w:rPr>
                <w:rFonts w:hint="eastAsia" w:eastAsia="宋体" w:cs="Times New Roman"/>
                <w:bCs/>
                <w:color w:val="auto"/>
                <w:kern w:val="2"/>
                <w:sz w:val="24"/>
                <w:szCs w:val="24"/>
                <w:highlight w:val="none"/>
                <w:lang w:val="en-US" w:eastAsia="zh-CN" w:bidi="ar-SA"/>
              </w:rPr>
              <w:t>330</w:t>
            </w:r>
            <w:r>
              <w:rPr>
                <w:rFonts w:hint="default" w:ascii="Times New Roman" w:hAnsi="Times New Roman" w:eastAsia="宋体" w:cs="Times New Roman"/>
                <w:bCs/>
                <w:color w:val="auto"/>
                <w:kern w:val="2"/>
                <w:sz w:val="24"/>
                <w:szCs w:val="24"/>
                <w:highlight w:val="none"/>
                <w:lang w:val="en-US" w:eastAsia="zh-CN" w:bidi="ar-SA"/>
              </w:rPr>
              <w:t>天，</w:t>
            </w:r>
            <w:r>
              <w:rPr>
                <w:rFonts w:hint="default" w:ascii="Times New Roman" w:hAnsi="Times New Roman" w:eastAsia="宋体" w:cs="Times New Roman"/>
                <w:b w:val="0"/>
                <w:bCs/>
                <w:color w:val="auto"/>
                <w:kern w:val="2"/>
                <w:sz w:val="24"/>
                <w:szCs w:val="24"/>
                <w:highlight w:val="none"/>
                <w:u w:val="single"/>
                <w:lang w:val="en-US" w:eastAsia="zh-CN" w:bidi="ar-SA"/>
              </w:rPr>
              <w:t>则项目生活用水总量为</w:t>
            </w:r>
            <w:r>
              <w:rPr>
                <w:rFonts w:hint="eastAsia" w:eastAsia="宋体" w:cs="Times New Roman"/>
                <w:b w:val="0"/>
                <w:bCs/>
                <w:color w:val="auto"/>
                <w:kern w:val="2"/>
                <w:sz w:val="24"/>
                <w:szCs w:val="24"/>
                <w:highlight w:val="none"/>
                <w:u w:val="single"/>
                <w:lang w:val="en-US" w:eastAsia="zh-CN" w:bidi="ar-SA"/>
              </w:rPr>
              <w:t>3800</w:t>
            </w:r>
            <w:r>
              <w:rPr>
                <w:rFonts w:hint="default" w:ascii="Times New Roman" w:hAnsi="Times New Roman" w:eastAsia="宋体" w:cs="Times New Roman"/>
                <w:b w:val="0"/>
                <w:bCs/>
                <w:color w:val="auto"/>
                <w:kern w:val="2"/>
                <w:sz w:val="24"/>
                <w:szCs w:val="24"/>
                <w:highlight w:val="none"/>
                <w:u w:val="single"/>
                <w:lang w:val="en-US" w:eastAsia="zh-CN" w:bidi="ar-SA"/>
              </w:rPr>
              <w:t xml:space="preserve"> m</w:t>
            </w:r>
            <w:r>
              <w:rPr>
                <w:rFonts w:hint="default" w:ascii="Times New Roman" w:hAnsi="Times New Roman" w:eastAsia="宋体" w:cs="Times New Roman"/>
                <w:b w:val="0"/>
                <w:bCs/>
                <w:color w:val="auto"/>
                <w:kern w:val="2"/>
                <w:sz w:val="24"/>
                <w:szCs w:val="24"/>
                <w:highlight w:val="none"/>
                <w:u w:val="single"/>
                <w:vertAlign w:val="superscript"/>
                <w:lang w:val="en-US" w:eastAsia="zh-CN" w:bidi="ar-SA"/>
              </w:rPr>
              <w:t>3</w:t>
            </w:r>
            <w:r>
              <w:rPr>
                <w:rFonts w:hint="default" w:ascii="Times New Roman" w:hAnsi="Times New Roman" w:eastAsia="宋体" w:cs="Times New Roman"/>
                <w:b w:val="0"/>
                <w:bCs/>
                <w:color w:val="auto"/>
                <w:kern w:val="2"/>
                <w:sz w:val="24"/>
                <w:szCs w:val="24"/>
                <w:highlight w:val="none"/>
                <w:u w:val="single"/>
                <w:lang w:val="en-US" w:eastAsia="zh-CN" w:bidi="ar-SA"/>
              </w:rPr>
              <w:t>/a（</w:t>
            </w:r>
            <w:r>
              <w:rPr>
                <w:rFonts w:hint="eastAsia" w:eastAsia="宋体" w:cs="Times New Roman"/>
                <w:b w:val="0"/>
                <w:bCs/>
                <w:color w:val="auto"/>
                <w:kern w:val="2"/>
                <w:sz w:val="24"/>
                <w:szCs w:val="24"/>
                <w:highlight w:val="none"/>
                <w:u w:val="single"/>
                <w:lang w:val="en-US" w:eastAsia="zh-CN" w:bidi="ar-SA"/>
              </w:rPr>
              <w:t>11</w:t>
            </w:r>
            <w:r>
              <w:rPr>
                <w:rFonts w:hint="default" w:ascii="Times New Roman" w:hAnsi="Times New Roman" w:eastAsia="宋体" w:cs="Times New Roman"/>
                <w:b w:val="0"/>
                <w:bCs/>
                <w:color w:val="auto"/>
                <w:kern w:val="2"/>
                <w:sz w:val="24"/>
                <w:szCs w:val="24"/>
                <w:highlight w:val="none"/>
                <w:u w:val="single"/>
                <w:lang w:val="en-US" w:eastAsia="zh-CN" w:bidi="ar-SA"/>
              </w:rPr>
              <w:t>.5</w:t>
            </w:r>
            <w:r>
              <w:rPr>
                <w:rFonts w:hint="eastAsia" w:eastAsia="宋体" w:cs="Times New Roman"/>
                <w:b w:val="0"/>
                <w:bCs/>
                <w:color w:val="auto"/>
                <w:kern w:val="2"/>
                <w:sz w:val="24"/>
                <w:szCs w:val="24"/>
                <w:highlight w:val="none"/>
                <w:u w:val="single"/>
                <w:lang w:val="en-US" w:eastAsia="zh-CN" w:bidi="ar-SA"/>
              </w:rPr>
              <w:t>2</w:t>
            </w:r>
            <w:r>
              <w:rPr>
                <w:rFonts w:hint="default" w:ascii="Times New Roman" w:hAnsi="Times New Roman" w:eastAsia="宋体" w:cs="Times New Roman"/>
                <w:b w:val="0"/>
                <w:bCs/>
                <w:color w:val="auto"/>
                <w:kern w:val="2"/>
                <w:sz w:val="24"/>
                <w:szCs w:val="24"/>
                <w:highlight w:val="none"/>
                <w:u w:val="single"/>
                <w:lang w:val="en-US" w:eastAsia="zh-CN" w:bidi="ar-SA"/>
              </w:rPr>
              <w:t xml:space="preserve"> m</w:t>
            </w:r>
            <w:r>
              <w:rPr>
                <w:rFonts w:hint="default" w:ascii="Times New Roman" w:hAnsi="Times New Roman" w:eastAsia="宋体" w:cs="Times New Roman"/>
                <w:b w:val="0"/>
                <w:bCs/>
                <w:color w:val="auto"/>
                <w:kern w:val="2"/>
                <w:sz w:val="24"/>
                <w:szCs w:val="24"/>
                <w:highlight w:val="none"/>
                <w:u w:val="single"/>
                <w:vertAlign w:val="superscript"/>
                <w:lang w:val="en-US" w:eastAsia="zh-CN" w:bidi="ar-SA"/>
              </w:rPr>
              <w:t>3</w:t>
            </w:r>
            <w:r>
              <w:rPr>
                <w:rFonts w:hint="default" w:ascii="Times New Roman" w:hAnsi="Times New Roman" w:eastAsia="宋体" w:cs="Times New Roman"/>
                <w:b w:val="0"/>
                <w:bCs/>
                <w:color w:val="auto"/>
                <w:kern w:val="2"/>
                <w:sz w:val="24"/>
                <w:szCs w:val="24"/>
                <w:highlight w:val="none"/>
                <w:u w:val="single"/>
                <w:lang w:val="en-US" w:eastAsia="zh-CN" w:bidi="ar-SA"/>
              </w:rPr>
              <w:t>/d）</w:t>
            </w:r>
            <w:r>
              <w:rPr>
                <w:rFonts w:hint="default" w:ascii="Times New Roman" w:hAnsi="Times New Roman" w:eastAsia="宋体" w:cs="Times New Roman"/>
                <w:bCs/>
                <w:color w:val="auto"/>
                <w:kern w:val="2"/>
                <w:sz w:val="24"/>
                <w:szCs w:val="24"/>
                <w:highlight w:val="none"/>
                <w:lang w:val="en-US" w:eastAsia="zh-CN" w:bidi="ar-SA"/>
              </w:rPr>
              <w:t>。</w:t>
            </w:r>
          </w:p>
          <w:p w14:paraId="3444A5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480" w:firstLineChars="200"/>
              <w:jc w:val="left"/>
              <w:textAlignment w:val="auto"/>
              <w:rPr>
                <w:rFonts w:hint="eastAsia" w:cs="Times New Roman"/>
                <w:color w:val="auto"/>
                <w:highlight w:val="none"/>
                <w:lang w:eastAsia="zh-CN"/>
              </w:rPr>
            </w:pPr>
            <w:r>
              <w:rPr>
                <w:rFonts w:hint="default" w:ascii="Times New Roman" w:hAnsi="Times New Roman" w:cs="Times New Roman"/>
                <w:color w:val="auto"/>
                <w:highlight w:val="none"/>
              </w:rPr>
              <w:t>②生产用水：本项目生产用水</w:t>
            </w:r>
            <w:r>
              <w:rPr>
                <w:rFonts w:hint="eastAsia" w:cs="Times New Roman"/>
                <w:color w:val="auto"/>
                <w:highlight w:val="none"/>
                <w:lang w:val="en-US" w:eastAsia="zh-CN"/>
              </w:rPr>
              <w:t>主要</w:t>
            </w:r>
            <w:r>
              <w:rPr>
                <w:rFonts w:hint="default" w:ascii="Times New Roman" w:hAnsi="Times New Roman" w:cs="Times New Roman"/>
                <w:color w:val="auto"/>
                <w:highlight w:val="none"/>
              </w:rPr>
              <w:t>为</w:t>
            </w:r>
            <w:r>
              <w:rPr>
                <w:rFonts w:hint="eastAsia" w:cs="Times New Roman"/>
                <w:color w:val="auto"/>
                <w:highlight w:val="none"/>
                <w:lang w:val="en-US" w:eastAsia="zh-CN"/>
              </w:rPr>
              <w:t>废塑料洗料</w:t>
            </w:r>
            <w:r>
              <w:rPr>
                <w:rFonts w:hint="default" w:ascii="Times New Roman" w:hAnsi="Times New Roman" w:cs="Times New Roman"/>
                <w:color w:val="auto"/>
                <w:highlight w:val="none"/>
              </w:rPr>
              <w:t>用水</w:t>
            </w:r>
            <w:r>
              <w:rPr>
                <w:rFonts w:hint="eastAsia" w:cs="Times New Roman"/>
                <w:color w:val="auto"/>
                <w:highlight w:val="none"/>
                <w:lang w:val="en-US" w:eastAsia="zh-CN"/>
              </w:rPr>
              <w:t>和冷却用水</w:t>
            </w:r>
            <w:r>
              <w:rPr>
                <w:rFonts w:hint="eastAsia" w:cs="Times New Roman"/>
                <w:color w:val="auto"/>
                <w:highlight w:val="none"/>
                <w:lang w:eastAsia="zh-CN"/>
              </w:rPr>
              <w:t>。</w:t>
            </w:r>
          </w:p>
          <w:p w14:paraId="331D71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480" w:firstLineChars="200"/>
              <w:jc w:val="left"/>
              <w:textAlignment w:val="auto"/>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废塑料洗料用水：</w:t>
            </w:r>
            <w:r>
              <w:rPr>
                <w:rFonts w:hint="default" w:ascii="Times New Roman" w:hAnsi="Times New Roman" w:eastAsia="宋体" w:cs="Times New Roman"/>
                <w:color w:val="auto"/>
                <w:sz w:val="24"/>
                <w:szCs w:val="24"/>
                <w:highlight w:val="none"/>
                <w:lang w:val="en-US" w:eastAsia="zh-CN"/>
              </w:rPr>
              <w:t>根据《排放源统计调查产排污核算方法和系数手册》中“4220 非金属废料和碎屑加工处理行业系数表”废PS、ABS、PE、PP类湿法破碎+清洗工业废水量为1.0吨/吨-原料，</w:t>
            </w:r>
            <w:r>
              <w:rPr>
                <w:rFonts w:hint="eastAsia" w:ascii="Times New Roman" w:hAnsi="Times New Roman" w:eastAsia="宋体" w:cs="Times New Roman"/>
                <w:color w:val="auto"/>
                <w:sz w:val="24"/>
                <w:szCs w:val="24"/>
                <w:highlight w:val="none"/>
                <w:lang w:val="en-US" w:eastAsia="zh-CN"/>
              </w:rPr>
              <w:t>项目混合料塑料毛料</w:t>
            </w:r>
            <w:r>
              <w:rPr>
                <w:rFonts w:hint="eastAsia" w:cs="Times New Roman"/>
                <w:color w:val="auto"/>
                <w:sz w:val="24"/>
                <w:szCs w:val="24"/>
                <w:highlight w:val="none"/>
                <w:lang w:val="en-US" w:eastAsia="zh-CN"/>
              </w:rPr>
              <w:t>（主要含PP/ABS/PS）</w:t>
            </w:r>
            <w:r>
              <w:rPr>
                <w:rFonts w:hint="eastAsia" w:ascii="Times New Roman" w:hAnsi="Times New Roman" w:eastAsia="宋体" w:cs="Times New Roman"/>
                <w:color w:val="auto"/>
                <w:sz w:val="24"/>
                <w:szCs w:val="24"/>
                <w:highlight w:val="none"/>
                <w:lang w:val="en-US" w:eastAsia="zh-CN"/>
              </w:rPr>
              <w:t>年清洗量为</w:t>
            </w:r>
            <w:r>
              <w:rPr>
                <w:rFonts w:hint="eastAsia" w:cs="Times New Roman"/>
                <w:color w:val="auto"/>
                <w:sz w:val="24"/>
                <w:szCs w:val="24"/>
                <w:highlight w:val="none"/>
                <w:lang w:val="en-US" w:eastAsia="zh-CN"/>
              </w:rPr>
              <w:t>64125</w:t>
            </w:r>
            <w:r>
              <w:rPr>
                <w:rFonts w:hint="eastAsia" w:ascii="Times New Roman" w:hAnsi="Times New Roman" w:eastAsia="宋体" w:cs="Times New Roman"/>
                <w:color w:val="auto"/>
                <w:sz w:val="24"/>
                <w:szCs w:val="24"/>
                <w:highlight w:val="none"/>
                <w:lang w:val="en-US" w:eastAsia="zh-CN"/>
              </w:rPr>
              <w:t>吨</w:t>
            </w:r>
            <w:r>
              <w:rPr>
                <w:rFonts w:hint="eastAsia" w:cs="Times New Roman"/>
                <w:color w:val="auto"/>
                <w:sz w:val="24"/>
                <w:szCs w:val="24"/>
                <w:highlight w:val="none"/>
                <w:lang w:val="en-US" w:eastAsia="zh-CN"/>
              </w:rPr>
              <w:t>，洗料废水产生量为64125吨。洗料用水损耗率按90%计</w:t>
            </w:r>
            <w:r>
              <w:rPr>
                <w:rFonts w:hint="eastAsia"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则项目洗料总用水量为71250吨（包含循环水）。</w:t>
            </w:r>
          </w:p>
          <w:p w14:paraId="7450A4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480" w:firstLineChars="200"/>
              <w:jc w:val="left"/>
              <w:textAlignment w:val="auto"/>
              <w:rPr>
                <w:rFonts w:hint="eastAsia" w:ascii="Times New Roman" w:hAnsi="Times New Roman" w:eastAsia="宋体" w:cs="Times New Roman"/>
                <w:color w:val="auto"/>
                <w:highlight w:val="none"/>
                <w:lang w:val="en-US" w:eastAsia="zh-CN"/>
              </w:rPr>
            </w:pPr>
            <w:r>
              <w:rPr>
                <w:rFonts w:hint="eastAsia" w:cs="Times New Roman"/>
                <w:color w:val="auto"/>
                <w:sz w:val="24"/>
                <w:szCs w:val="24"/>
                <w:highlight w:val="none"/>
                <w:lang w:val="en-US" w:eastAsia="zh-CN"/>
              </w:rPr>
              <w:t>根据建设单位提供资料，</w:t>
            </w:r>
            <w:r>
              <w:rPr>
                <w:rFonts w:hint="eastAsia" w:cs="Times New Roman"/>
                <w:color w:val="auto"/>
                <w:highlight w:val="none"/>
                <w:lang w:eastAsia="zh-CN"/>
              </w:rPr>
              <w:t>洗料废水</w:t>
            </w:r>
            <w:r>
              <w:rPr>
                <w:rFonts w:hint="default" w:ascii="Times New Roman" w:hAnsi="Times New Roman" w:cs="Times New Roman"/>
                <w:color w:val="auto"/>
                <w:highlight w:val="none"/>
              </w:rPr>
              <w:t>经自建污水处理站处理</w:t>
            </w:r>
            <w:r>
              <w:rPr>
                <w:rFonts w:hint="eastAsia" w:cs="Times New Roman"/>
                <w:color w:val="auto"/>
                <w:highlight w:val="none"/>
                <w:lang w:val="en-US" w:eastAsia="zh-CN"/>
              </w:rPr>
              <w:t>达</w:t>
            </w:r>
            <w:r>
              <w:rPr>
                <w:rFonts w:hint="default" w:ascii="Times New Roman" w:hAnsi="Times New Roman" w:cs="Times New Roman"/>
                <w:color w:val="auto"/>
                <w:highlight w:val="none"/>
              </w:rPr>
              <w:t>《城市污水再生利用 工业用水水质》</w:t>
            </w:r>
            <w:r>
              <w:rPr>
                <w:rFonts w:hint="default" w:ascii="Times New Roman" w:hAnsi="Times New Roman" w:eastAsia="宋体" w:cs="Times New Roman"/>
                <w:i w:val="0"/>
                <w:iCs w:val="0"/>
                <w:color w:val="auto"/>
                <w:kern w:val="0"/>
                <w:sz w:val="24"/>
                <w:szCs w:val="24"/>
                <w:highlight w:val="none"/>
                <w:u w:val="none"/>
                <w:lang w:val="en-US" w:eastAsia="zh-CN"/>
              </w:rPr>
              <w:t>（GB/T 19923-2024）</w:t>
            </w:r>
            <w:r>
              <w:rPr>
                <w:rFonts w:hint="eastAsia" w:ascii="Times New Roman" w:hAnsi="Times New Roman" w:eastAsia="宋体" w:cs="Times New Roman"/>
                <w:i w:val="0"/>
                <w:iCs w:val="0"/>
                <w:color w:val="auto"/>
                <w:kern w:val="0"/>
                <w:sz w:val="24"/>
                <w:szCs w:val="24"/>
                <w:highlight w:val="none"/>
                <w:u w:val="none"/>
                <w:lang w:val="en-US" w:eastAsia="zh-CN"/>
              </w:rPr>
              <w:t>表1中洗涤用水标准限值要求</w:t>
            </w:r>
            <w:r>
              <w:rPr>
                <w:rFonts w:hint="eastAsia" w:cs="Times New Roman"/>
                <w:color w:val="auto"/>
                <w:highlight w:val="none"/>
                <w:lang w:val="en-US" w:eastAsia="zh-CN"/>
              </w:rPr>
              <w:t>后循环使用，定期排放</w:t>
            </w:r>
            <w:r>
              <w:rPr>
                <w:rFonts w:hint="eastAsia" w:cs="Times New Roman"/>
                <w:color w:val="auto"/>
                <w:highlight w:val="none"/>
                <w:vertAlign w:val="baseline"/>
                <w:lang w:val="en-US" w:eastAsia="zh-CN"/>
              </w:rPr>
              <w:t>。</w:t>
            </w:r>
            <w:r>
              <w:rPr>
                <w:rFonts w:hint="eastAsia" w:cs="Times New Roman"/>
                <w:color w:val="auto"/>
                <w:sz w:val="24"/>
                <w:szCs w:val="24"/>
                <w:highlight w:val="none"/>
                <w:lang w:val="en-US" w:eastAsia="zh-CN"/>
              </w:rPr>
              <w:t>污水处理站处理达标后绝大部分回用于清洗工序</w:t>
            </w:r>
            <w:r>
              <w:rPr>
                <w:rFonts w:hint="eastAsia" w:cs="Times New Roman"/>
                <w:color w:val="auto"/>
                <w:highlight w:val="none"/>
                <w:lang w:val="en-US" w:eastAsia="zh-CN"/>
              </w:rPr>
              <w:t>，仅少量外排，以防止污染物积累。</w:t>
            </w:r>
            <w:r>
              <w:rPr>
                <w:rFonts w:hint="eastAsia" w:ascii="Times New Roman" w:hAnsi="Times New Roman" w:eastAsia="宋体" w:cs="Times New Roman"/>
                <w:color w:val="auto"/>
                <w:highlight w:val="none"/>
                <w:lang w:val="en-US" w:eastAsia="zh-CN"/>
              </w:rPr>
              <w:t>本项目洗料工序采用连续化湿法清洗工艺，设计清洗能力</w:t>
            </w:r>
            <w:r>
              <w:rPr>
                <w:rFonts w:hint="eastAsia" w:cs="Times New Roman"/>
                <w:color w:val="auto"/>
                <w:highlight w:val="none"/>
                <w:lang w:val="en-US" w:eastAsia="zh-CN"/>
              </w:rPr>
              <w:t>约8</w:t>
            </w:r>
            <w:r>
              <w:rPr>
                <w:rFonts w:hint="eastAsia" w:ascii="Times New Roman" w:hAnsi="Times New Roman" w:eastAsia="宋体" w:cs="Times New Roman"/>
                <w:color w:val="auto"/>
                <w:highlight w:val="none"/>
                <w:lang w:val="en-US" w:eastAsia="zh-CN"/>
              </w:rPr>
              <w:t xml:space="preserve"> 吨废塑料/小时，24 小时连续运行，</w:t>
            </w:r>
            <w:r>
              <w:rPr>
                <w:rFonts w:hint="eastAsia" w:cs="Times New Roman"/>
                <w:color w:val="auto"/>
                <w:highlight w:val="none"/>
                <w:lang w:val="en-US" w:eastAsia="zh-CN"/>
              </w:rPr>
              <w:t>平均每天有194.06m</w:t>
            </w:r>
            <w:r>
              <w:rPr>
                <w:rFonts w:hint="eastAsia" w:cs="Times New Roman"/>
                <w:color w:val="auto"/>
                <w:highlight w:val="none"/>
                <w:vertAlign w:val="superscript"/>
                <w:lang w:val="en-US" w:eastAsia="zh-CN"/>
              </w:rPr>
              <w:t>3</w:t>
            </w:r>
            <w:r>
              <w:rPr>
                <w:rFonts w:hint="eastAsia" w:cs="Times New Roman"/>
                <w:color w:val="auto"/>
                <w:highlight w:val="none"/>
                <w:vertAlign w:val="baseline"/>
                <w:lang w:val="en-US" w:eastAsia="zh-CN"/>
              </w:rPr>
              <w:t>/d（约8t/h）回用于生产</w:t>
            </w:r>
            <w:r>
              <w:rPr>
                <w:rFonts w:hint="eastAsia" w:ascii="Times New Roman" w:hAnsi="Times New Roman" w:eastAsia="宋体" w:cs="Times New Roman"/>
                <w:color w:val="auto"/>
                <w:highlight w:val="none"/>
                <w:lang w:val="en-US" w:eastAsia="zh-CN"/>
              </w:rPr>
              <w:t>。</w:t>
            </w:r>
          </w:p>
          <w:p w14:paraId="1260E0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480" w:firstLineChars="200"/>
              <w:jc w:val="left"/>
              <w:textAlignment w:val="auto"/>
              <w:rPr>
                <w:rFonts w:hint="eastAsia"/>
                <w:color w:val="auto"/>
                <w:highlight w:val="none"/>
                <w:lang w:eastAsia="zh-CN"/>
              </w:rPr>
            </w:pPr>
            <w:r>
              <w:rPr>
                <w:rFonts w:hint="eastAsia" w:cs="Times New Roman"/>
                <w:color w:val="auto"/>
                <w:highlight w:val="none"/>
                <w:lang w:val="en-US" w:eastAsia="zh-CN"/>
              </w:rPr>
              <w:t>项目设1个循环水池有效容积为</w:t>
            </w:r>
            <w:r>
              <w:rPr>
                <w:rFonts w:hint="eastAsia" w:ascii="Times New Roman" w:hAnsi="Times New Roman" w:eastAsia="宋体" w:cs="Times New Roman"/>
                <w:color w:val="auto"/>
                <w:highlight w:val="none"/>
                <w:lang w:val="en-US" w:eastAsia="zh-CN"/>
              </w:rPr>
              <w:t>50 m³，总容积约60m</w:t>
            </w:r>
            <w:r>
              <w:rPr>
                <w:rFonts w:hint="eastAsia" w:ascii="Times New Roman" w:hAnsi="Times New Roman" w:eastAsia="宋体" w:cs="Times New Roman"/>
                <w:color w:val="auto"/>
                <w:highlight w:val="none"/>
                <w:vertAlign w:val="superscript"/>
                <w:lang w:val="en-US" w:eastAsia="zh-CN"/>
              </w:rPr>
              <w:t>3</w:t>
            </w:r>
            <w:r>
              <w:rPr>
                <w:rFonts w:hint="eastAsia" w:cs="Times New Roman"/>
                <w:color w:val="auto"/>
                <w:highlight w:val="none"/>
                <w:lang w:val="en-US" w:eastAsia="zh-CN"/>
              </w:rPr>
              <w:t>(</w:t>
            </w:r>
            <w:r>
              <w:rPr>
                <w:rFonts w:hint="eastAsia" w:ascii="Times New Roman" w:hAnsi="Times New Roman" w:eastAsia="宋体" w:cs="Times New Roman"/>
                <w:color w:val="auto"/>
                <w:highlight w:val="none"/>
                <w:lang w:val="en-US" w:eastAsia="zh-CN"/>
              </w:rPr>
              <w:t>5.0 m（长）× 4.0 m（宽）× 3.0 m（高） )，可储存约6 小时的回用水量。该水池用于暂存污水处理站出水，并稳定供应闷料、浮选及湿法破碎等工序回用需求。池内设液位自动控制系统，高液位时多余水量通过溢流管排入园区污水管网，根据项目运行经验，每天的外</w:t>
            </w:r>
            <w:r>
              <w:rPr>
                <w:rFonts w:hint="eastAsia" w:cs="Times New Roman"/>
                <w:color w:val="auto"/>
                <w:highlight w:val="none"/>
                <w:lang w:val="en-US" w:eastAsia="zh-CN"/>
              </w:rPr>
              <w:t>排废水量按设计清洗能力8.1t计即可满足生产要求，考虑生产的波动，全年外排废水按约为9m</w:t>
            </w:r>
            <w:r>
              <w:rPr>
                <w:rFonts w:hint="eastAsia" w:cs="Times New Roman"/>
                <w:color w:val="auto"/>
                <w:highlight w:val="none"/>
                <w:vertAlign w:val="superscript"/>
                <w:lang w:val="en-US" w:eastAsia="zh-CN"/>
              </w:rPr>
              <w:t>3</w:t>
            </w:r>
            <w:r>
              <w:rPr>
                <w:rFonts w:hint="eastAsia" w:cs="Times New Roman"/>
                <w:color w:val="auto"/>
                <w:highlight w:val="none"/>
                <w:vertAlign w:val="baseline"/>
                <w:lang w:val="en-US" w:eastAsia="zh-CN"/>
              </w:rPr>
              <w:t>/d</w:t>
            </w:r>
            <w:r>
              <w:rPr>
                <w:rFonts w:hint="eastAsia" w:cs="Times New Roman"/>
                <w:color w:val="auto"/>
                <w:highlight w:val="none"/>
                <w:lang w:val="en-US" w:eastAsia="zh-CN"/>
              </w:rPr>
              <w:t>（2970t/a）</w:t>
            </w:r>
            <w:r>
              <w:rPr>
                <w:rFonts w:hint="eastAsia"/>
                <w:color w:val="auto"/>
                <w:highlight w:val="none"/>
                <w:lang w:eastAsia="zh-CN"/>
              </w:rPr>
              <w:t>。</w:t>
            </w:r>
          </w:p>
          <w:p w14:paraId="44AA3A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480" w:firstLineChars="200"/>
              <w:jc w:val="left"/>
              <w:textAlignment w:val="auto"/>
              <w:rPr>
                <w:rFonts w:hint="eastAsia" w:eastAsia="宋体" w:cs="Times New Roman"/>
                <w:color w:val="auto"/>
                <w:highlight w:val="none"/>
                <w:vertAlign w:val="baseline"/>
                <w:lang w:val="en-US" w:eastAsia="zh-CN"/>
              </w:rPr>
            </w:pPr>
            <w:r>
              <w:rPr>
                <w:rFonts w:hint="eastAsia"/>
                <w:color w:val="auto"/>
                <w:highlight w:val="none"/>
                <w:lang w:val="en-US" w:eastAsia="zh-CN"/>
              </w:rPr>
              <w:t>综上，项目生产用水</w:t>
            </w:r>
            <w:r>
              <w:rPr>
                <w:rFonts w:hint="eastAsia" w:cs="Times New Roman"/>
                <w:color w:val="auto"/>
                <w:sz w:val="24"/>
                <w:szCs w:val="24"/>
                <w:highlight w:val="none"/>
                <w:lang w:val="en-US" w:eastAsia="zh-CN"/>
              </w:rPr>
              <w:t>洗料新鲜用水量为</w:t>
            </w:r>
            <w:r>
              <w:rPr>
                <w:rFonts w:hint="eastAsia" w:cs="Times New Roman"/>
                <w:color w:val="auto"/>
                <w:highlight w:val="none"/>
                <w:lang w:val="en-US" w:eastAsia="zh-CN"/>
              </w:rPr>
              <w:t>10180.5t/a（30.85m</w:t>
            </w:r>
            <w:r>
              <w:rPr>
                <w:rFonts w:hint="eastAsia" w:cs="Times New Roman"/>
                <w:color w:val="auto"/>
                <w:highlight w:val="none"/>
                <w:vertAlign w:val="superscript"/>
                <w:lang w:val="en-US" w:eastAsia="zh-CN"/>
              </w:rPr>
              <w:t>3</w:t>
            </w:r>
            <w:r>
              <w:rPr>
                <w:rFonts w:hint="eastAsia" w:cs="Times New Roman"/>
                <w:color w:val="auto"/>
                <w:highlight w:val="none"/>
                <w:vertAlign w:val="baseline"/>
                <w:lang w:val="en-US" w:eastAsia="zh-CN"/>
              </w:rPr>
              <w:t>/d</w:t>
            </w:r>
            <w:r>
              <w:rPr>
                <w:rFonts w:hint="eastAsia" w:cs="Times New Roman"/>
                <w:color w:val="auto"/>
                <w:highlight w:val="none"/>
                <w:lang w:val="en-US" w:eastAsia="zh-CN"/>
              </w:rPr>
              <w:t>），洗料用水总</w:t>
            </w:r>
            <w:r>
              <w:rPr>
                <w:rFonts w:hint="default" w:ascii="Times New Roman" w:hAnsi="Times New Roman" w:cs="Times New Roman"/>
                <w:color w:val="auto"/>
                <w:highlight w:val="none"/>
              </w:rPr>
              <w:t>量为</w:t>
            </w:r>
            <w:r>
              <w:rPr>
                <w:rFonts w:hint="eastAsia" w:cs="Times New Roman"/>
                <w:color w:val="auto"/>
                <w:highlight w:val="none"/>
                <w:lang w:val="en-US" w:eastAsia="zh-CN"/>
              </w:rPr>
              <w:t>74220</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rPr>
              <w:t>/a</w:t>
            </w:r>
            <w:r>
              <w:rPr>
                <w:rFonts w:hint="eastAsia"/>
                <w:color w:val="auto"/>
                <w:highlight w:val="none"/>
                <w:lang w:eastAsia="zh-CN"/>
              </w:rPr>
              <w:t>（</w:t>
            </w:r>
            <w:r>
              <w:rPr>
                <w:rFonts w:hint="eastAsia" w:cs="Times New Roman"/>
                <w:color w:val="auto"/>
                <w:highlight w:val="none"/>
                <w:lang w:val="en-US" w:eastAsia="zh-CN"/>
              </w:rPr>
              <w:t>224.9m</w:t>
            </w:r>
            <w:r>
              <w:rPr>
                <w:rFonts w:hint="eastAsia" w:cs="Times New Roman"/>
                <w:color w:val="auto"/>
                <w:highlight w:val="none"/>
                <w:vertAlign w:val="superscript"/>
                <w:lang w:val="en-US" w:eastAsia="zh-CN"/>
              </w:rPr>
              <w:t>3</w:t>
            </w:r>
            <w:r>
              <w:rPr>
                <w:rFonts w:hint="eastAsia" w:cs="Times New Roman"/>
                <w:color w:val="auto"/>
                <w:highlight w:val="none"/>
                <w:vertAlign w:val="baseline"/>
                <w:lang w:val="en-US" w:eastAsia="zh-CN"/>
              </w:rPr>
              <w:t>/d，</w:t>
            </w:r>
            <w:r>
              <w:rPr>
                <w:rFonts w:hint="eastAsia"/>
                <w:color w:val="auto"/>
                <w:highlight w:val="none"/>
                <w:lang w:val="en-US" w:eastAsia="zh-CN"/>
              </w:rPr>
              <w:t>包含循环水和新鲜水</w:t>
            </w:r>
            <w:r>
              <w:rPr>
                <w:rFonts w:hint="eastAsia"/>
                <w:color w:val="auto"/>
                <w:highlight w:val="none"/>
                <w:lang w:eastAsia="zh-CN"/>
              </w:rPr>
              <w:t>）</w:t>
            </w:r>
            <w:r>
              <w:rPr>
                <w:rFonts w:hint="eastAsia" w:cs="Times New Roman"/>
                <w:color w:val="auto"/>
                <w:highlight w:val="none"/>
                <w:lang w:eastAsia="zh-CN"/>
              </w:rPr>
              <w:t>。</w:t>
            </w:r>
          </w:p>
          <w:p w14:paraId="74B78188">
            <w:pPr>
              <w:pStyle w:val="107"/>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用水量一览表</w:t>
            </w:r>
          </w:p>
          <w:tbl>
            <w:tblPr>
              <w:tblStyle w:val="39"/>
              <w:tblW w:w="499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3089"/>
              <w:gridCol w:w="2165"/>
              <w:gridCol w:w="4020"/>
            </w:tblGrid>
            <w:tr w14:paraId="77048C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7" w:hRule="atLeast"/>
                <w:jc w:val="center"/>
              </w:trPr>
              <w:tc>
                <w:tcPr>
                  <w:tcW w:w="1665" w:type="pct"/>
                  <w:vAlign w:val="center"/>
                </w:tcPr>
                <w:p w14:paraId="7D970636">
                  <w:pPr>
                    <w:pStyle w:val="60"/>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用水情形</w:t>
                  </w:r>
                </w:p>
              </w:tc>
              <w:tc>
                <w:tcPr>
                  <w:tcW w:w="1167" w:type="pct"/>
                  <w:vAlign w:val="center"/>
                </w:tcPr>
                <w:p w14:paraId="333901D4">
                  <w:pPr>
                    <w:pStyle w:val="60"/>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用量m</w:t>
                  </w:r>
                  <w:r>
                    <w:rPr>
                      <w:rFonts w:hint="default" w:ascii="Times New Roman" w:hAnsi="Times New Roman" w:cs="Times New Roman"/>
                      <w:b/>
                      <w:bCs/>
                      <w:color w:val="auto"/>
                      <w:kern w:val="2"/>
                      <w:sz w:val="21"/>
                      <w:szCs w:val="21"/>
                      <w:highlight w:val="none"/>
                      <w:vertAlign w:val="superscript"/>
                    </w:rPr>
                    <w:t>3</w:t>
                  </w:r>
                  <w:r>
                    <w:rPr>
                      <w:rFonts w:hint="default" w:ascii="Times New Roman" w:hAnsi="Times New Roman" w:cs="Times New Roman"/>
                      <w:b/>
                      <w:bCs/>
                      <w:color w:val="auto"/>
                      <w:kern w:val="2"/>
                      <w:sz w:val="21"/>
                      <w:szCs w:val="21"/>
                      <w:highlight w:val="none"/>
                    </w:rPr>
                    <w:t>/a</w:t>
                  </w:r>
                </w:p>
              </w:tc>
              <w:tc>
                <w:tcPr>
                  <w:tcW w:w="2167" w:type="pct"/>
                  <w:vAlign w:val="center"/>
                </w:tcPr>
                <w:p w14:paraId="7A867DC8">
                  <w:pPr>
                    <w:pStyle w:val="60"/>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说明</w:t>
                  </w:r>
                </w:p>
              </w:tc>
            </w:tr>
            <w:tr w14:paraId="331A8E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7" w:hRule="atLeast"/>
                <w:jc w:val="center"/>
              </w:trPr>
              <w:tc>
                <w:tcPr>
                  <w:tcW w:w="1665" w:type="pct"/>
                  <w:shd w:val="clear" w:color="auto" w:fill="auto"/>
                  <w:vAlign w:val="center"/>
                </w:tcPr>
                <w:p w14:paraId="4BA60068">
                  <w:pPr>
                    <w:pStyle w:val="60"/>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rPr>
                    <w:t>生活用水</w:t>
                  </w:r>
                </w:p>
              </w:tc>
              <w:tc>
                <w:tcPr>
                  <w:tcW w:w="2159" w:type="dxa"/>
                  <w:shd w:val="clear" w:color="auto" w:fill="auto"/>
                  <w:vAlign w:val="center"/>
                </w:tcPr>
                <w:p w14:paraId="27F993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color w:val="auto"/>
                      <w:kern w:val="2"/>
                      <w:position w:val="-10"/>
                      <w:sz w:val="21"/>
                      <w:szCs w:val="21"/>
                      <w:highlight w:val="none"/>
                      <w:lang w:val="en-US" w:eastAsia="zh-CN" w:bidi="ar-SA"/>
                    </w:rPr>
                  </w:pPr>
                  <w:r>
                    <w:rPr>
                      <w:rFonts w:hint="eastAsia" w:cs="Times New Roman"/>
                      <w:i w:val="0"/>
                      <w:iCs w:val="0"/>
                      <w:color w:val="auto"/>
                      <w:kern w:val="0"/>
                      <w:sz w:val="21"/>
                      <w:szCs w:val="21"/>
                      <w:highlight w:val="none"/>
                      <w:u w:val="none"/>
                      <w:lang w:val="en-US" w:eastAsia="zh-CN"/>
                    </w:rPr>
                    <w:t>3800</w:t>
                  </w:r>
                </w:p>
              </w:tc>
              <w:tc>
                <w:tcPr>
                  <w:tcW w:w="2167" w:type="pct"/>
                  <w:shd w:val="clear" w:color="auto" w:fill="auto"/>
                  <w:vAlign w:val="center"/>
                </w:tcPr>
                <w:p w14:paraId="6ECC5E4E">
                  <w:pPr>
                    <w:keepNext w:val="0"/>
                    <w:keepLines w:val="0"/>
                    <w:pageBreakBefore w:val="0"/>
                    <w:suppressLineNumbers w:val="0"/>
                    <w:kinsoku/>
                    <w:overflowPunct/>
                    <w:topLinePunct w:val="0"/>
                    <w:bidi w:val="0"/>
                    <w:adjustRightInd/>
                    <w:snapToGrid/>
                    <w:spacing w:before="0" w:beforeAutospacing="0" w:after="0" w:afterAutospacing="0" w:line="276"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100</w:t>
                  </w:r>
                  <w:r>
                    <w:rPr>
                      <w:rFonts w:hint="default" w:ascii="Times New Roman" w:hAnsi="Times New Roman" w:cs="Times New Roman"/>
                      <w:color w:val="auto"/>
                      <w:sz w:val="21"/>
                      <w:szCs w:val="21"/>
                      <w:highlight w:val="none"/>
                    </w:rPr>
                    <w:t>人，</w:t>
                  </w:r>
                  <w:r>
                    <w:rPr>
                      <w:rFonts w:hint="default" w:ascii="Times New Roman" w:hAnsi="Times New Roman" w:cs="Times New Roman"/>
                      <w:color w:val="auto"/>
                      <w:sz w:val="21"/>
                      <w:szCs w:val="21"/>
                      <w:highlight w:val="none"/>
                      <w:lang w:eastAsia="zh-CN"/>
                    </w:rPr>
                    <w:t>提供</w:t>
                  </w:r>
                  <w:r>
                    <w:rPr>
                      <w:rFonts w:hint="eastAsia" w:cs="Times New Roman"/>
                      <w:color w:val="auto"/>
                      <w:sz w:val="21"/>
                      <w:szCs w:val="21"/>
                      <w:highlight w:val="none"/>
                      <w:lang w:eastAsia="zh-CN"/>
                    </w:rPr>
                    <w:t>食</w:t>
                  </w:r>
                  <w:r>
                    <w:rPr>
                      <w:rFonts w:hint="default" w:ascii="Times New Roman" w:hAnsi="Times New Roman" w:cs="Times New Roman"/>
                      <w:color w:val="auto"/>
                      <w:sz w:val="21"/>
                      <w:szCs w:val="21"/>
                      <w:highlight w:val="none"/>
                      <w:lang w:eastAsia="zh-CN"/>
                    </w:rPr>
                    <w:t>宿</w:t>
                  </w:r>
                </w:p>
              </w:tc>
            </w:tr>
            <w:tr w14:paraId="3B454E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59" w:hRule="atLeast"/>
                <w:jc w:val="center"/>
              </w:trPr>
              <w:tc>
                <w:tcPr>
                  <w:tcW w:w="1665" w:type="pct"/>
                  <w:shd w:val="clear" w:color="auto" w:fill="auto"/>
                  <w:vAlign w:val="center"/>
                </w:tcPr>
                <w:p w14:paraId="162FC42B">
                  <w:pPr>
                    <w:keepNext w:val="0"/>
                    <w:keepLines w:val="0"/>
                    <w:pageBreakBefore w:val="0"/>
                    <w:suppressLineNumbers w:val="0"/>
                    <w:kinsoku/>
                    <w:overflowPunct/>
                    <w:topLinePunct w:val="0"/>
                    <w:bidi w:val="0"/>
                    <w:adjustRightInd/>
                    <w:snapToGrid/>
                    <w:spacing w:before="0" w:beforeAutospacing="0" w:after="0" w:afterAutospacing="0" w:line="276"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生产用水</w:t>
                  </w:r>
                </w:p>
              </w:tc>
              <w:tc>
                <w:tcPr>
                  <w:tcW w:w="2159" w:type="dxa"/>
                  <w:shd w:val="clear" w:color="auto" w:fill="auto"/>
                  <w:vAlign w:val="center"/>
                </w:tcPr>
                <w:p w14:paraId="15578D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olor w:val="auto"/>
                      <w:highlight w:val="none"/>
                    </w:rPr>
                  </w:pPr>
                  <w:r>
                    <w:rPr>
                      <w:rFonts w:hint="eastAsia" w:cs="Times New Roman"/>
                      <w:color w:val="auto"/>
                      <w:kern w:val="2"/>
                      <w:position w:val="-10"/>
                      <w:sz w:val="21"/>
                      <w:szCs w:val="21"/>
                      <w:highlight w:val="none"/>
                      <w:lang w:val="en-US" w:eastAsia="zh-CN" w:bidi="ar-SA"/>
                    </w:rPr>
                    <w:t>10180.5</w:t>
                  </w:r>
                </w:p>
              </w:tc>
              <w:tc>
                <w:tcPr>
                  <w:tcW w:w="2167" w:type="pct"/>
                  <w:shd w:val="clear" w:color="auto" w:fill="auto"/>
                  <w:vAlign w:val="center"/>
                </w:tcPr>
                <w:p w14:paraId="31333533">
                  <w:pPr>
                    <w:keepNext w:val="0"/>
                    <w:keepLines w:val="0"/>
                    <w:pageBreakBefore w:val="0"/>
                    <w:suppressLineNumbers w:val="0"/>
                    <w:kinsoku/>
                    <w:overflowPunct/>
                    <w:topLinePunct w:val="0"/>
                    <w:bidi w:val="0"/>
                    <w:adjustRightInd/>
                    <w:snapToGrid/>
                    <w:spacing w:before="0" w:beforeAutospacing="0" w:after="0" w:afterAutospacing="0" w:line="276"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损耗量为7124.7t/a（包含产品带走量），排放量为2970t/a，污泥带走水量85.8t/a</w:t>
                  </w:r>
                </w:p>
              </w:tc>
            </w:tr>
            <w:tr w14:paraId="1663042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8" w:hRule="atLeast"/>
                <w:jc w:val="center"/>
              </w:trPr>
              <w:tc>
                <w:tcPr>
                  <w:tcW w:w="1665" w:type="pct"/>
                  <w:vAlign w:val="center"/>
                </w:tcPr>
                <w:p w14:paraId="2B2556E3">
                  <w:pPr>
                    <w:keepNext w:val="0"/>
                    <w:keepLines w:val="0"/>
                    <w:pageBreakBefore w:val="0"/>
                    <w:suppressLineNumbers w:val="0"/>
                    <w:kinsoku/>
                    <w:overflowPunct/>
                    <w:topLinePunct w:val="0"/>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总用水</w:t>
                  </w:r>
                </w:p>
              </w:tc>
              <w:tc>
                <w:tcPr>
                  <w:tcW w:w="2159" w:type="dxa"/>
                  <w:vAlign w:val="center"/>
                </w:tcPr>
                <w:p w14:paraId="2F5376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13980.5</w:t>
                  </w:r>
                </w:p>
              </w:tc>
              <w:tc>
                <w:tcPr>
                  <w:tcW w:w="2167" w:type="pct"/>
                  <w:vAlign w:val="center"/>
                </w:tcPr>
                <w:p w14:paraId="2CF910BD">
                  <w:pPr>
                    <w:keepNext w:val="0"/>
                    <w:keepLines w:val="0"/>
                    <w:pageBreakBefore w:val="0"/>
                    <w:suppressLineNumbers w:val="0"/>
                    <w:kinsoku/>
                    <w:overflowPunct/>
                    <w:topLinePunct w:val="0"/>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r>
          </w:tbl>
          <w:p w14:paraId="658140C6">
            <w:pPr>
              <w:pStyle w:val="6"/>
              <w:widowControl/>
              <w:numPr>
                <w:ilvl w:val="4"/>
                <w:numId w:val="0"/>
              </w:numPr>
              <w:suppressLineNumbers w:val="0"/>
              <w:spacing w:before="0" w:beforeAutospacing="0" w:after="0" w:afterAutospacing="0"/>
              <w:ind w:left="-960" w:right="0" w:firstLine="144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（3）排水</w:t>
            </w:r>
          </w:p>
          <w:p w14:paraId="5715C4EE">
            <w:pPr>
              <w:keepNext w:val="0"/>
              <w:keepLines w:val="0"/>
              <w:suppressLineNumbers w:val="0"/>
              <w:adjustRightInd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本项目实行雨污分流制的排水体制。</w:t>
            </w:r>
          </w:p>
          <w:p w14:paraId="6A846A4F">
            <w:pPr>
              <w:keepNext w:val="0"/>
              <w:keepLines w:val="0"/>
              <w:suppressLineNumbers w:val="0"/>
              <w:adjustRightInd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雨水：雨水经厂区雨水管网收集后，排入市政雨水管网；</w:t>
            </w:r>
          </w:p>
          <w:p w14:paraId="6CDA5617">
            <w:pPr>
              <w:keepNext w:val="0"/>
              <w:keepLines w:val="0"/>
              <w:suppressLineNumbers w:val="0"/>
              <w:adjustRightInd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生活污水：本项目生活污水排放量</w:t>
            </w:r>
            <w:r>
              <w:rPr>
                <w:rFonts w:hint="eastAsia" w:cs="Times New Roman"/>
                <w:color w:val="auto"/>
                <w:highlight w:val="none"/>
                <w:lang w:val="en-US" w:eastAsia="zh-CN"/>
              </w:rPr>
              <w:t>按用水量的90%计，</w:t>
            </w:r>
            <w:r>
              <w:rPr>
                <w:rFonts w:hint="default" w:ascii="Times New Roman" w:hAnsi="Times New Roman" w:cs="Times New Roman"/>
                <w:color w:val="auto"/>
                <w:highlight w:val="none"/>
              </w:rPr>
              <w:t>为</w:t>
            </w:r>
            <w:r>
              <w:rPr>
                <w:rFonts w:hint="eastAsia" w:cs="Times New Roman"/>
                <w:color w:val="auto"/>
                <w:highlight w:val="none"/>
                <w:lang w:val="en-US" w:eastAsia="zh-CN"/>
              </w:rPr>
              <w:t>3420</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/a，经三级化粪池</w:t>
            </w:r>
            <w:r>
              <w:rPr>
                <w:rFonts w:hint="eastAsia" w:cs="Times New Roman"/>
                <w:color w:val="auto"/>
                <w:highlight w:val="none"/>
                <w:lang w:eastAsia="zh-CN"/>
              </w:rPr>
              <w:t>、</w:t>
            </w:r>
            <w:r>
              <w:rPr>
                <w:rFonts w:hint="eastAsia" w:cs="Times New Roman"/>
                <w:color w:val="auto"/>
                <w:highlight w:val="none"/>
                <w:lang w:val="en-US" w:eastAsia="zh-CN"/>
              </w:rPr>
              <w:t>隔油隔渣池</w:t>
            </w:r>
            <w:r>
              <w:rPr>
                <w:rFonts w:hint="default" w:ascii="Times New Roman" w:hAnsi="Times New Roman" w:cs="Times New Roman"/>
                <w:color w:val="auto"/>
                <w:highlight w:val="none"/>
              </w:rPr>
              <w:t>预处理后，排入园区污水处理厂进一步处理，达标后排放至武江；</w:t>
            </w:r>
          </w:p>
          <w:p w14:paraId="6685FE1C">
            <w:pPr>
              <w:keepNext w:val="0"/>
              <w:keepLines w:val="0"/>
              <w:suppressLineNumbers w:val="0"/>
              <w:adjustRightInd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生产废水：生产</w:t>
            </w:r>
            <w:r>
              <w:rPr>
                <w:rFonts w:hint="eastAsia" w:cs="Times New Roman"/>
                <w:color w:val="auto"/>
                <w:highlight w:val="none"/>
                <w:lang w:val="en-US" w:eastAsia="zh-CN"/>
              </w:rPr>
              <w:t>废水产生</w:t>
            </w:r>
            <w:r>
              <w:rPr>
                <w:rFonts w:hint="default" w:ascii="Times New Roman" w:hAnsi="Times New Roman" w:cs="Times New Roman"/>
                <w:color w:val="auto"/>
                <w:highlight w:val="none"/>
              </w:rPr>
              <w:t>量为</w:t>
            </w:r>
            <w:r>
              <w:rPr>
                <w:rFonts w:hint="eastAsia" w:cs="Times New Roman"/>
                <w:color w:val="auto"/>
                <w:highlight w:val="none"/>
                <w:lang w:val="en-US" w:eastAsia="zh-CN"/>
              </w:rPr>
              <w:t>67095.6</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/a，折算为</w:t>
            </w:r>
            <w:r>
              <w:rPr>
                <w:rFonts w:hint="eastAsia" w:cs="Times New Roman"/>
                <w:color w:val="auto"/>
                <w:highlight w:val="none"/>
                <w:lang w:val="en-US" w:eastAsia="zh-CN"/>
              </w:rPr>
              <w:t>203.32</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/d。经自建污水处理站（工艺为“</w:t>
            </w:r>
            <w:r>
              <w:rPr>
                <w:rFonts w:hint="eastAsia" w:cs="Times New Roman"/>
                <w:color w:val="auto"/>
                <w:highlight w:val="none"/>
                <w:lang w:eastAsia="zh-CN"/>
              </w:rPr>
              <w:t>中和调节+絮凝沉淀+A/O+二沉池+消毒</w:t>
            </w:r>
            <w:r>
              <w:rPr>
                <w:rFonts w:hint="default" w:ascii="Times New Roman" w:hAnsi="Times New Roman" w:cs="Times New Roman"/>
                <w:color w:val="auto"/>
                <w:highlight w:val="none"/>
              </w:rPr>
              <w:t>”）处理</w:t>
            </w:r>
            <w:r>
              <w:rPr>
                <w:rFonts w:hint="eastAsia" w:cs="Times New Roman"/>
                <w:color w:val="auto"/>
                <w:highlight w:val="none"/>
                <w:lang w:val="en-US" w:eastAsia="zh-CN"/>
              </w:rPr>
              <w:t>后194.06</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/d</w:t>
            </w:r>
            <w:r>
              <w:rPr>
                <w:rFonts w:hint="eastAsia" w:cs="Times New Roman"/>
                <w:color w:val="auto"/>
                <w:highlight w:val="none"/>
                <w:lang w:val="en-US" w:eastAsia="zh-CN"/>
              </w:rPr>
              <w:t>回用，外排生产废水量为9m</w:t>
            </w:r>
            <w:r>
              <w:rPr>
                <w:rFonts w:hint="eastAsia" w:cs="Times New Roman"/>
                <w:color w:val="auto"/>
                <w:highlight w:val="none"/>
                <w:vertAlign w:val="superscript"/>
                <w:lang w:val="en-US" w:eastAsia="zh-CN"/>
              </w:rPr>
              <w:t>3</w:t>
            </w:r>
            <w:r>
              <w:rPr>
                <w:rFonts w:hint="eastAsia" w:cs="Times New Roman"/>
                <w:color w:val="auto"/>
                <w:highlight w:val="none"/>
                <w:vertAlign w:val="baseline"/>
                <w:lang w:val="en-US" w:eastAsia="zh-CN"/>
              </w:rPr>
              <w:t>/d</w:t>
            </w:r>
            <w:r>
              <w:rPr>
                <w:rFonts w:hint="eastAsia" w:cs="Times New Roman"/>
                <w:color w:val="auto"/>
                <w:highlight w:val="none"/>
                <w:lang w:val="en-US" w:eastAsia="zh-CN"/>
              </w:rPr>
              <w:t>（2970t/a）</w:t>
            </w:r>
            <w:r>
              <w:rPr>
                <w:rFonts w:hint="default" w:ascii="Times New Roman" w:hAnsi="Times New Roman" w:cs="Times New Roman"/>
                <w:color w:val="auto"/>
                <w:highlight w:val="none"/>
              </w:rPr>
              <w:t>。</w:t>
            </w:r>
          </w:p>
          <w:p w14:paraId="4F8ECF45">
            <w:pPr>
              <w:pStyle w:val="107"/>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排水量一览表</w:t>
            </w:r>
          </w:p>
          <w:tbl>
            <w:tblPr>
              <w:tblStyle w:val="39"/>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317"/>
              <w:gridCol w:w="3402"/>
              <w:gridCol w:w="1627"/>
              <w:gridCol w:w="2934"/>
            </w:tblGrid>
            <w:tr w14:paraId="093603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17" w:type="dxa"/>
                  <w:vAlign w:val="center"/>
                </w:tcPr>
                <w:p w14:paraId="699819DA">
                  <w:pPr>
                    <w:pStyle w:val="60"/>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排水情形</w:t>
                  </w:r>
                </w:p>
              </w:tc>
              <w:tc>
                <w:tcPr>
                  <w:tcW w:w="3403" w:type="dxa"/>
                  <w:vAlign w:val="center"/>
                </w:tcPr>
                <w:p w14:paraId="7051512C">
                  <w:pPr>
                    <w:pStyle w:val="60"/>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排水定额</w:t>
                  </w:r>
                </w:p>
              </w:tc>
              <w:tc>
                <w:tcPr>
                  <w:tcW w:w="1627" w:type="dxa"/>
                  <w:vAlign w:val="center"/>
                </w:tcPr>
                <w:p w14:paraId="7AF82DDF">
                  <w:pPr>
                    <w:pStyle w:val="60"/>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排水量t/a</w:t>
                  </w:r>
                </w:p>
              </w:tc>
              <w:tc>
                <w:tcPr>
                  <w:tcW w:w="2935" w:type="dxa"/>
                  <w:vAlign w:val="center"/>
                </w:tcPr>
                <w:p w14:paraId="7E443A97">
                  <w:pPr>
                    <w:pStyle w:val="60"/>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说明</w:t>
                  </w:r>
                </w:p>
              </w:tc>
            </w:tr>
            <w:tr w14:paraId="496CC0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17" w:type="dxa"/>
                  <w:vAlign w:val="center"/>
                </w:tcPr>
                <w:p w14:paraId="3EAD245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生活污水</w:t>
                  </w:r>
                </w:p>
              </w:tc>
              <w:tc>
                <w:tcPr>
                  <w:tcW w:w="3403" w:type="dxa"/>
                  <w:vAlign w:val="center"/>
                </w:tcPr>
                <w:p w14:paraId="12A5AA9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按生活用水量的90%</w:t>
                  </w:r>
                </w:p>
              </w:tc>
              <w:tc>
                <w:tcPr>
                  <w:tcW w:w="1627" w:type="dxa"/>
                  <w:vAlign w:val="center"/>
                </w:tcPr>
                <w:p w14:paraId="05F46E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3420</w:t>
                  </w:r>
                </w:p>
              </w:tc>
              <w:tc>
                <w:tcPr>
                  <w:tcW w:w="2935" w:type="dxa"/>
                  <w:vAlign w:val="center"/>
                </w:tcPr>
                <w:p w14:paraId="1060525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三级化粪池</w:t>
                  </w:r>
                  <w:r>
                    <w:rPr>
                      <w:rFonts w:hint="eastAsia" w:cs="Times New Roman"/>
                      <w:bCs/>
                      <w:color w:val="auto"/>
                      <w:sz w:val="21"/>
                      <w:szCs w:val="21"/>
                      <w:highlight w:val="none"/>
                      <w:lang w:eastAsia="zh-CN"/>
                    </w:rPr>
                    <w:t>、</w:t>
                  </w:r>
                  <w:r>
                    <w:rPr>
                      <w:rFonts w:hint="eastAsia" w:cs="Times New Roman"/>
                      <w:bCs/>
                      <w:color w:val="auto"/>
                      <w:sz w:val="21"/>
                      <w:szCs w:val="21"/>
                      <w:highlight w:val="none"/>
                      <w:lang w:val="en-US" w:eastAsia="zh-CN"/>
                    </w:rPr>
                    <w:t>隔油隔渣池</w:t>
                  </w:r>
                  <w:r>
                    <w:rPr>
                      <w:rFonts w:hint="default" w:ascii="Times New Roman" w:hAnsi="Times New Roman" w:cs="Times New Roman"/>
                      <w:bCs/>
                      <w:color w:val="auto"/>
                      <w:sz w:val="21"/>
                      <w:szCs w:val="21"/>
                      <w:highlight w:val="none"/>
                    </w:rPr>
                    <w:t>处理→园区污水处理厂→武江</w:t>
                  </w:r>
                </w:p>
              </w:tc>
            </w:tr>
            <w:tr w14:paraId="23A7FD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17" w:type="dxa"/>
                  <w:vAlign w:val="center"/>
                </w:tcPr>
                <w:p w14:paraId="35DCD18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生产废水</w:t>
                  </w:r>
                </w:p>
              </w:tc>
              <w:tc>
                <w:tcPr>
                  <w:tcW w:w="3403" w:type="dxa"/>
                  <w:vAlign w:val="center"/>
                </w:tcPr>
                <w:p w14:paraId="15D231F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循环使用，定期排放</w:t>
                  </w:r>
                </w:p>
              </w:tc>
              <w:tc>
                <w:tcPr>
                  <w:tcW w:w="1627" w:type="dxa"/>
                  <w:vAlign w:val="center"/>
                </w:tcPr>
                <w:p w14:paraId="6B9C32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2970</w:t>
                  </w:r>
                </w:p>
              </w:tc>
              <w:tc>
                <w:tcPr>
                  <w:tcW w:w="2935" w:type="dxa"/>
                  <w:vAlign w:val="center"/>
                </w:tcPr>
                <w:p w14:paraId="7108208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rPr>
                    <w:t>废水处理后回用；外排生产废水量2970t/a，由</w:t>
                  </w:r>
                  <w:r>
                    <w:rPr>
                      <w:rFonts w:hint="default" w:ascii="Times New Roman" w:hAnsi="Times New Roman" w:cs="Times New Roman"/>
                      <w:bCs/>
                      <w:color w:val="auto"/>
                      <w:sz w:val="21"/>
                      <w:szCs w:val="21"/>
                      <w:highlight w:val="none"/>
                    </w:rPr>
                    <w:t>自建污水处理站</w:t>
                  </w:r>
                  <w:r>
                    <w:rPr>
                      <w:rFonts w:hint="eastAsia" w:cs="Times New Roman"/>
                      <w:bCs/>
                      <w:color w:val="auto"/>
                      <w:sz w:val="21"/>
                      <w:szCs w:val="21"/>
                      <w:highlight w:val="none"/>
                      <w:lang w:val="en-US" w:eastAsia="zh-CN"/>
                    </w:rPr>
                    <w:t>达标</w:t>
                  </w:r>
                  <w:r>
                    <w:rPr>
                      <w:rFonts w:hint="default" w:ascii="Times New Roman" w:hAnsi="Times New Roman" w:cs="Times New Roman"/>
                      <w:bCs/>
                      <w:color w:val="auto"/>
                      <w:sz w:val="21"/>
                      <w:szCs w:val="21"/>
                      <w:highlight w:val="none"/>
                    </w:rPr>
                    <w:t>处理→</w:t>
                  </w:r>
                  <w:r>
                    <w:rPr>
                      <w:rFonts w:hint="eastAsia" w:cs="Times New Roman"/>
                      <w:bCs/>
                      <w:color w:val="auto"/>
                      <w:sz w:val="21"/>
                      <w:szCs w:val="21"/>
                      <w:highlight w:val="none"/>
                      <w:lang w:val="en-US" w:eastAsia="zh-CN"/>
                    </w:rPr>
                    <w:t>园区污水处理厂</w:t>
                  </w:r>
                  <w:r>
                    <w:rPr>
                      <w:rFonts w:hint="default" w:ascii="Times New Roman" w:hAnsi="Times New Roman" w:cs="Times New Roman"/>
                      <w:bCs/>
                      <w:color w:val="auto"/>
                      <w:sz w:val="21"/>
                      <w:szCs w:val="21"/>
                      <w:highlight w:val="none"/>
                    </w:rPr>
                    <w:t>→武江</w:t>
                  </w:r>
                  <w:r>
                    <w:rPr>
                      <w:rFonts w:hint="eastAsia" w:cs="Times New Roman"/>
                      <w:bCs/>
                      <w:color w:val="auto"/>
                      <w:sz w:val="21"/>
                      <w:szCs w:val="21"/>
                      <w:highlight w:val="none"/>
                      <w:lang w:eastAsia="zh-CN"/>
                    </w:rPr>
                    <w:t>。</w:t>
                  </w:r>
                </w:p>
              </w:tc>
            </w:tr>
            <w:tr w14:paraId="6F13D1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17" w:type="dxa"/>
                  <w:vAlign w:val="center"/>
                </w:tcPr>
                <w:p w14:paraId="62FA2489">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总排水</w:t>
                  </w:r>
                </w:p>
              </w:tc>
              <w:tc>
                <w:tcPr>
                  <w:tcW w:w="3403" w:type="dxa"/>
                  <w:vAlign w:val="center"/>
                </w:tcPr>
                <w:p w14:paraId="4FEE441B">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1627" w:type="dxa"/>
                  <w:shd w:val="clear" w:color="auto" w:fill="auto"/>
                  <w:vAlign w:val="center"/>
                </w:tcPr>
                <w:p w14:paraId="38E88C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6390</w:t>
                  </w:r>
                </w:p>
              </w:tc>
              <w:tc>
                <w:tcPr>
                  <w:tcW w:w="2935" w:type="dxa"/>
                  <w:vAlign w:val="center"/>
                </w:tcPr>
                <w:p w14:paraId="7A9C36B3">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w:t>
                  </w:r>
                </w:p>
              </w:tc>
            </w:tr>
          </w:tbl>
          <w:p w14:paraId="730FCEC4">
            <w:pPr>
              <w:pStyle w:val="6"/>
              <w:widowControl/>
              <w:numPr>
                <w:ilvl w:val="4"/>
                <w:numId w:val="0"/>
              </w:numPr>
              <w:suppressLineNumbers w:val="0"/>
              <w:spacing w:before="0" w:beforeAutospacing="0" w:after="0" w:afterAutospacing="0"/>
              <w:ind w:left="-960" w:right="0" w:firstLine="1440"/>
              <w:rPr>
                <w:rFonts w:hint="default" w:ascii="Times New Roman" w:hAnsi="Times New Roman" w:cs="Times New Roman"/>
                <w:color w:val="auto"/>
                <w:kern w:val="2"/>
                <w:highlight w:val="none"/>
                <w:lang w:val="en-US" w:eastAsia="zh-CN"/>
              </w:rPr>
            </w:pPr>
            <w:r>
              <w:rPr>
                <w:rFonts w:hint="default" w:ascii="Times New Roman" w:hAnsi="Times New Roman" w:cs="Times New Roman"/>
                <w:color w:val="auto"/>
                <w:kern w:val="2"/>
                <w:highlight w:val="none"/>
                <w:lang w:val="en-US" w:eastAsia="zh-CN"/>
              </w:rPr>
              <w:t>项目水平衡图如下</w:t>
            </w:r>
            <w:r>
              <w:rPr>
                <w:rFonts w:hint="eastAsia" w:cs="Times New Roman"/>
                <w:color w:val="auto"/>
                <w:kern w:val="2"/>
                <w:highlight w:val="none"/>
                <w:lang w:val="en-US" w:eastAsia="zh-CN"/>
              </w:rPr>
              <w:t>：</w:t>
            </w:r>
          </w:p>
          <w:p w14:paraId="38BD67AB">
            <w:pPr>
              <w:pStyle w:val="6"/>
              <w:widowControl/>
              <w:numPr>
                <w:ilvl w:val="4"/>
                <w:numId w:val="0"/>
              </w:numPr>
              <w:suppressLineNumbers w:val="0"/>
              <w:spacing w:before="0" w:beforeAutospacing="0" w:after="0" w:afterAutospacing="0"/>
              <w:ind w:left="0" w:right="0"/>
              <w:jc w:val="center"/>
              <w:rPr>
                <w:rFonts w:hint="default" w:ascii="Times New Roman" w:hAnsi="Times New Roman" w:cs="Times New Roman"/>
                <w:color w:val="auto"/>
                <w:kern w:val="2"/>
                <w:highlight w:val="none"/>
              </w:rPr>
            </w:pPr>
            <w:r>
              <w:rPr>
                <w:rFonts w:hint="default" w:ascii="Times New Roman" w:hAnsi="Times New Roman" w:eastAsia="宋体" w:cs="Times New Roman"/>
                <w:color w:val="auto"/>
                <w:kern w:val="2"/>
                <w:highlight w:val="none"/>
                <w:lang w:val="en-US" w:eastAsia="zh-CN"/>
              </w:rPr>
              <w:object>
                <v:shape id="_x0000_i1025" o:spt="75" type="#_x0000_t75" style="height:232.15pt;width:466.2pt;" o:ole="t" filled="f" o:preferrelative="t" stroked="f" coordsize="21600,21600">
                  <v:path/>
                  <v:fill on="f" focussize="0,0"/>
                  <v:stroke on="f"/>
                  <v:imagedata r:id="rId11" o:title=""/>
                  <o:lock v:ext="edit" aspectratio="t"/>
                  <w10:wrap type="none"/>
                  <w10:anchorlock/>
                </v:shape>
                <o:OLEObject Type="Embed" ProgID="Visio.Drawing.11" ShapeID="_x0000_i1025" DrawAspect="Content" ObjectID="_1468075725" r:id="rId10">
                  <o:LockedField>false</o:LockedField>
                </o:OLEObject>
              </w:object>
            </w:r>
            <w:r>
              <w:rPr>
                <w:rFonts w:hint="eastAsia" w:cs="Times New Roman"/>
                <w:color w:val="auto"/>
                <w:kern w:val="2"/>
                <w:highlight w:val="none"/>
                <w:lang w:val="en-US" w:eastAsia="zh-CN"/>
              </w:rPr>
              <w:t xml:space="preserve">图2-1  </w:t>
            </w:r>
            <w:r>
              <w:rPr>
                <w:rFonts w:hint="default" w:ascii="Times New Roman" w:hAnsi="Times New Roman" w:cs="Times New Roman"/>
                <w:color w:val="auto"/>
                <w:kern w:val="2"/>
                <w:highlight w:val="none"/>
                <w:lang w:val="en-US" w:eastAsia="zh-CN"/>
              </w:rPr>
              <w:t>本项目水平衡图（单位m</w:t>
            </w:r>
            <w:r>
              <w:rPr>
                <w:rFonts w:hint="default" w:ascii="Times New Roman" w:hAnsi="Times New Roman" w:cs="Times New Roman"/>
                <w:color w:val="auto"/>
                <w:kern w:val="2"/>
                <w:highlight w:val="none"/>
                <w:vertAlign w:val="superscript"/>
                <w:lang w:val="en-US" w:eastAsia="zh-CN"/>
              </w:rPr>
              <w:t>3</w:t>
            </w:r>
            <w:r>
              <w:rPr>
                <w:rFonts w:hint="default" w:ascii="Times New Roman" w:hAnsi="Times New Roman" w:cs="Times New Roman"/>
                <w:color w:val="auto"/>
                <w:kern w:val="2"/>
                <w:highlight w:val="none"/>
                <w:lang w:val="en-US" w:eastAsia="zh-CN"/>
              </w:rPr>
              <w:t>/</w:t>
            </w:r>
            <w:r>
              <w:rPr>
                <w:rFonts w:hint="eastAsia" w:cs="Times New Roman"/>
                <w:color w:val="auto"/>
                <w:kern w:val="2"/>
                <w:highlight w:val="none"/>
                <w:lang w:val="en-US" w:eastAsia="zh-CN"/>
              </w:rPr>
              <w:t>d</w:t>
            </w:r>
            <w:r>
              <w:rPr>
                <w:rFonts w:hint="default" w:ascii="Times New Roman" w:hAnsi="Times New Roman" w:cs="Times New Roman"/>
                <w:color w:val="auto"/>
                <w:kern w:val="2"/>
                <w:highlight w:val="none"/>
                <w:lang w:val="en-US" w:eastAsia="zh-CN"/>
              </w:rPr>
              <w:t>）</w:t>
            </w:r>
          </w:p>
          <w:p w14:paraId="7318E560">
            <w:pPr>
              <w:pStyle w:val="107"/>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b/>
                <w:bCs/>
                <w:color w:val="auto"/>
                <w:sz w:val="21"/>
                <w:szCs w:val="21"/>
                <w:highlight w:val="none"/>
              </w:rPr>
            </w:pPr>
            <w:r>
              <w:rPr>
                <w:rFonts w:hint="eastAsia" w:cs="Times New Roman"/>
                <w:b/>
                <w:bCs/>
                <w:color w:val="auto"/>
                <w:sz w:val="21"/>
                <w:szCs w:val="21"/>
                <w:highlight w:val="none"/>
                <w:lang w:val="en-US" w:eastAsia="zh-CN"/>
              </w:rPr>
              <w:t>物料平衡表</w:t>
            </w:r>
          </w:p>
          <w:tbl>
            <w:tblPr>
              <w:tblStyle w:val="39"/>
              <w:tblW w:w="9159" w:type="dxa"/>
              <w:tblInd w:w="-2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612"/>
              <w:gridCol w:w="1613"/>
              <w:gridCol w:w="848"/>
              <w:gridCol w:w="1687"/>
              <w:gridCol w:w="3399"/>
            </w:tblGrid>
            <w:tr w14:paraId="322F325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5" w:hRule="atLeast"/>
              </w:trPr>
              <w:tc>
                <w:tcPr>
                  <w:tcW w:w="322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0AAF19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bidi="ar"/>
                    </w:rPr>
                    <w:t>投料（</w:t>
                  </w:r>
                  <w:r>
                    <w:rPr>
                      <w:rFonts w:hint="default" w:ascii="Times New Roman" w:hAnsi="Times New Roman" w:eastAsia="宋体" w:cs="Times New Roman"/>
                      <w:b/>
                      <w:bCs/>
                      <w:i w:val="0"/>
                      <w:iCs w:val="0"/>
                      <w:color w:val="auto"/>
                      <w:kern w:val="0"/>
                      <w:sz w:val="20"/>
                      <w:szCs w:val="20"/>
                      <w:highlight w:val="none"/>
                      <w:u w:val="none"/>
                      <w:lang w:val="en-US" w:eastAsia="zh-CN" w:bidi="ar"/>
                    </w:rPr>
                    <w:t>t/a</w:t>
                  </w:r>
                  <w:r>
                    <w:rPr>
                      <w:rFonts w:hint="eastAsia" w:ascii="宋体" w:hAnsi="宋体" w:eastAsia="宋体" w:cs="宋体"/>
                      <w:b/>
                      <w:bCs/>
                      <w:i w:val="0"/>
                      <w:iCs w:val="0"/>
                      <w:color w:val="auto"/>
                      <w:kern w:val="0"/>
                      <w:sz w:val="20"/>
                      <w:szCs w:val="20"/>
                      <w:highlight w:val="none"/>
                      <w:u w:val="none"/>
                      <w:lang w:val="en-US" w:eastAsia="zh-CN" w:bidi="ar"/>
                    </w:rPr>
                    <w:t>）</w:t>
                  </w:r>
                </w:p>
              </w:tc>
              <w:tc>
                <w:tcPr>
                  <w:tcW w:w="5934"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3A8997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bidi="ar"/>
                    </w:rPr>
                    <w:t>产出（</w:t>
                  </w:r>
                  <w:r>
                    <w:rPr>
                      <w:rFonts w:hint="default" w:ascii="Times New Roman" w:hAnsi="Times New Roman" w:eastAsia="宋体" w:cs="Times New Roman"/>
                      <w:b/>
                      <w:bCs/>
                      <w:i w:val="0"/>
                      <w:iCs w:val="0"/>
                      <w:color w:val="auto"/>
                      <w:kern w:val="0"/>
                      <w:sz w:val="20"/>
                      <w:szCs w:val="20"/>
                      <w:highlight w:val="none"/>
                      <w:u w:val="none"/>
                      <w:lang w:val="en-US" w:eastAsia="zh-CN" w:bidi="ar"/>
                    </w:rPr>
                    <w:t>t/a</w:t>
                  </w:r>
                  <w:r>
                    <w:rPr>
                      <w:rFonts w:hint="eastAsia" w:ascii="宋体" w:hAnsi="宋体" w:eastAsia="宋体" w:cs="宋体"/>
                      <w:b/>
                      <w:bCs/>
                      <w:i w:val="0"/>
                      <w:iCs w:val="0"/>
                      <w:color w:val="auto"/>
                      <w:kern w:val="0"/>
                      <w:sz w:val="20"/>
                      <w:szCs w:val="20"/>
                      <w:highlight w:val="none"/>
                      <w:u w:val="none"/>
                      <w:lang w:val="en-US" w:eastAsia="zh-CN" w:bidi="ar"/>
                    </w:rPr>
                    <w:t>）</w:t>
                  </w:r>
                </w:p>
              </w:tc>
            </w:tr>
            <w:tr w14:paraId="3D93054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5" w:hRule="atLeast"/>
              </w:trPr>
              <w:tc>
                <w:tcPr>
                  <w:tcW w:w="161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A3BA6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bidi="ar"/>
                    </w:rPr>
                    <w:t>物料名称</w:t>
                  </w:r>
                </w:p>
              </w:tc>
              <w:tc>
                <w:tcPr>
                  <w:tcW w:w="16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17404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bidi="ar"/>
                    </w:rPr>
                    <w:t>数量</w:t>
                  </w:r>
                </w:p>
              </w:tc>
              <w:tc>
                <w:tcPr>
                  <w:tcW w:w="253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13DD5E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bidi="ar"/>
                    </w:rPr>
                    <w:t>物料名称</w:t>
                  </w:r>
                </w:p>
              </w:tc>
              <w:tc>
                <w:tcPr>
                  <w:tcW w:w="33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20582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bidi="ar"/>
                    </w:rPr>
                    <w:t>数量</w:t>
                  </w:r>
                </w:p>
              </w:tc>
            </w:tr>
            <w:tr w14:paraId="2839FD0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B6038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废塑料</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135E4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71250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A76C2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产品</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AA8ED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宋体" w:hAnsi="宋体" w:eastAsia="宋体" w:cs="宋体"/>
                      <w:i w:val="0"/>
                      <w:iCs w:val="0"/>
                      <w:color w:val="auto"/>
                      <w:kern w:val="0"/>
                      <w:sz w:val="21"/>
                      <w:szCs w:val="21"/>
                      <w:highlight w:val="none"/>
                      <w:u w:val="none"/>
                      <w:lang w:val="en-US" w:eastAsia="zh-CN" w:bidi="ar"/>
                    </w:rPr>
                    <w:t>破碎料产品</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25A25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71000</w:t>
                  </w:r>
                </w:p>
              </w:tc>
            </w:tr>
            <w:tr w14:paraId="00D34A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34225E">
                  <w:pPr>
                    <w:keepNext w:val="0"/>
                    <w:keepLines w:val="0"/>
                    <w:suppressLineNumbers w:val="0"/>
                    <w:spacing w:before="0" w:beforeAutospacing="0" w:after="0" w:afterAutospacing="0"/>
                    <w:ind w:left="0" w:right="0"/>
                    <w:jc w:val="center"/>
                    <w:rPr>
                      <w:rFonts w:hint="eastAsia"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sz w:val="21"/>
                      <w:szCs w:val="21"/>
                      <w:highlight w:val="none"/>
                      <w:u w:val="none"/>
                      <w:lang w:val="en-US" w:eastAsia="zh-CN"/>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A910F3">
                  <w:pPr>
                    <w:keepNext w:val="0"/>
                    <w:keepLines w:val="0"/>
                    <w:suppressLineNumbers w:val="0"/>
                    <w:spacing w:before="0" w:beforeAutospacing="0" w:after="0" w:afterAutospacing="0"/>
                    <w:ind w:left="0" w:right="0"/>
                    <w:jc w:val="center"/>
                    <w:rPr>
                      <w:rFonts w:hint="eastAsia"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sz w:val="21"/>
                      <w:szCs w:val="21"/>
                      <w:highlight w:val="none"/>
                      <w:u w:val="none"/>
                      <w:lang w:val="en-US" w:eastAsia="zh-CN"/>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2C5E1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废气</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BBC7C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颗粒物</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7F5A7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1.789</w:t>
                  </w:r>
                </w:p>
              </w:tc>
            </w:tr>
            <w:tr w14:paraId="4759D9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5FD43A">
                  <w:pPr>
                    <w:keepNext w:val="0"/>
                    <w:keepLines w:val="0"/>
                    <w:suppressLineNumbers w:val="0"/>
                    <w:spacing w:before="0" w:beforeAutospacing="0" w:after="0" w:afterAutospacing="0"/>
                    <w:ind w:left="0" w:right="0"/>
                    <w:jc w:val="center"/>
                    <w:rPr>
                      <w:rFonts w:hint="eastAsia"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sz w:val="21"/>
                      <w:szCs w:val="21"/>
                      <w:highlight w:val="none"/>
                      <w:u w:val="none"/>
                      <w:lang w:val="en-US" w:eastAsia="zh-CN"/>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DD17AF">
                  <w:pPr>
                    <w:keepNext w:val="0"/>
                    <w:keepLines w:val="0"/>
                    <w:suppressLineNumbers w:val="0"/>
                    <w:spacing w:before="0" w:beforeAutospacing="0" w:after="0" w:afterAutospacing="0"/>
                    <w:ind w:left="0" w:right="0"/>
                    <w:jc w:val="center"/>
                    <w:rPr>
                      <w:rFonts w:hint="eastAsia"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sz w:val="21"/>
                      <w:szCs w:val="21"/>
                      <w:highlight w:val="none"/>
                      <w:u w:val="none"/>
                      <w:lang w:val="en-US" w:eastAsia="zh-CN"/>
                    </w:rPr>
                    <w:t>/</w:t>
                  </w:r>
                </w:p>
              </w:tc>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E6D75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固废</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13D6E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废木屑杂物</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9CA93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0.71</w:t>
                  </w:r>
                </w:p>
              </w:tc>
            </w:tr>
            <w:tr w14:paraId="588798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D8FC3E">
                  <w:pPr>
                    <w:keepNext w:val="0"/>
                    <w:keepLines w:val="0"/>
                    <w:suppressLineNumbers w:val="0"/>
                    <w:spacing w:before="0" w:beforeAutospacing="0" w:after="0" w:afterAutospacing="0"/>
                    <w:ind w:left="0" w:right="0"/>
                    <w:jc w:val="center"/>
                    <w:rPr>
                      <w:rFonts w:hint="eastAsia"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sz w:val="21"/>
                      <w:szCs w:val="21"/>
                      <w:highlight w:val="none"/>
                      <w:u w:val="none"/>
                      <w:lang w:val="en-US" w:eastAsia="zh-CN"/>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6644CE">
                  <w:pPr>
                    <w:keepNext w:val="0"/>
                    <w:keepLines w:val="0"/>
                    <w:suppressLineNumbers w:val="0"/>
                    <w:spacing w:before="0" w:beforeAutospacing="0" w:after="0" w:afterAutospacing="0"/>
                    <w:ind w:left="0" w:right="0"/>
                    <w:jc w:val="center"/>
                    <w:rPr>
                      <w:rFonts w:hint="eastAsia"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sz w:val="21"/>
                      <w:szCs w:val="21"/>
                      <w:highlight w:val="none"/>
                      <w:u w:val="none"/>
                      <w:lang w:val="en-US" w:eastAsia="zh-CN"/>
                    </w:rPr>
                    <w:t>/</w:t>
                  </w: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CD4D3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A204B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废橡胶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E731E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249.38</w:t>
                  </w:r>
                </w:p>
              </w:tc>
            </w:tr>
            <w:tr w14:paraId="37DE8C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48C58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合计</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FCDBE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71250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54301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合计</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16950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6395D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71251.879 </w:t>
                  </w:r>
                </w:p>
              </w:tc>
            </w:tr>
            <w:tr w14:paraId="41F72D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5" w:hRule="atLeast"/>
              </w:trPr>
              <w:tc>
                <w:tcPr>
                  <w:tcW w:w="9159" w:type="dxa"/>
                  <w:gridSpan w:val="5"/>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6E0295">
                  <w:pPr>
                    <w:keepNext w:val="0"/>
                    <w:keepLines w:val="0"/>
                    <w:widowControl/>
                    <w:suppressLineNumbers w:val="0"/>
                    <w:spacing w:before="0" w:beforeAutospacing="0" w:after="0" w:afterAutospacing="0" w:line="240" w:lineRule="auto"/>
                    <w:ind w:left="0" w:right="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注：物料投入产出偏差率为-0.0026%，本项目物料平衡计算结果合理，投入产出偏差极小（&lt;0.01%），符合同类废塑料资源化利用项目的物料平衡规律。偏差来源主要为废木屑杂物、废橡胶的产生量估算误差。</w:t>
                  </w:r>
                </w:p>
              </w:tc>
            </w:tr>
          </w:tbl>
          <w:p w14:paraId="51489449">
            <w:pPr>
              <w:keepNext w:val="0"/>
              <w:keepLines w:val="0"/>
              <w:suppressLineNumbers w:val="0"/>
              <w:spacing w:before="0" w:beforeAutospacing="0" w:after="0" w:afterAutospacing="0"/>
              <w:ind w:left="0" w:right="0"/>
              <w:jc w:val="center"/>
              <w:rPr>
                <w:rFonts w:hint="default"/>
                <w:color w:val="auto"/>
                <w:highlight w:val="none"/>
              </w:rPr>
            </w:pPr>
            <w:r>
              <w:rPr>
                <w:rFonts w:hint="eastAsia"/>
                <w:color w:val="auto"/>
                <w:highlight w:val="none"/>
              </w:rPr>
              <w:drawing>
                <wp:inline distT="0" distB="0" distL="114300" distR="114300">
                  <wp:extent cx="4667250" cy="2867025"/>
                  <wp:effectExtent l="0" t="0" r="0" b="9525"/>
                  <wp:docPr id="3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6"/>
                          <pic:cNvPicPr>
                            <a:picLocks noChangeAspect="1"/>
                          </pic:cNvPicPr>
                        </pic:nvPicPr>
                        <pic:blipFill>
                          <a:blip r:embed="rId12">
                            <a:clrChange>
                              <a:clrFrom>
                                <a:srgbClr val="E0F7FA">
                                  <a:alpha val="100000"/>
                                </a:srgbClr>
                              </a:clrFrom>
                              <a:clrTo>
                                <a:srgbClr val="E0F7FA">
                                  <a:alpha val="100000"/>
                                  <a:alpha val="0"/>
                                </a:srgbClr>
                              </a:clrTo>
                            </a:clrChange>
                            <a:grayscl/>
                          </a:blip>
                          <a:stretch>
                            <a:fillRect/>
                          </a:stretch>
                        </pic:blipFill>
                        <pic:spPr>
                          <a:xfrm>
                            <a:off x="0" y="0"/>
                            <a:ext cx="4667250" cy="2867025"/>
                          </a:xfrm>
                          <a:prstGeom prst="rect">
                            <a:avLst/>
                          </a:prstGeom>
                          <a:noFill/>
                          <a:ln>
                            <a:noFill/>
                          </a:ln>
                        </pic:spPr>
                      </pic:pic>
                    </a:graphicData>
                  </a:graphic>
                </wp:inline>
              </w:drawing>
            </w:r>
          </w:p>
          <w:p w14:paraId="0C507A41">
            <w:pPr>
              <w:pStyle w:val="6"/>
              <w:widowControl/>
              <w:numPr>
                <w:ilvl w:val="4"/>
                <w:numId w:val="0"/>
              </w:numPr>
              <w:suppressLineNumbers w:val="0"/>
              <w:spacing w:before="0" w:beforeAutospacing="0" w:after="0" w:afterAutospacing="0"/>
              <w:ind w:left="0" w:right="0"/>
              <w:jc w:val="center"/>
              <w:rPr>
                <w:rFonts w:hint="default" w:ascii="Times New Roman" w:hAnsi="Times New Roman" w:cs="Times New Roman"/>
                <w:color w:val="auto"/>
                <w:kern w:val="2"/>
                <w:highlight w:val="none"/>
              </w:rPr>
            </w:pPr>
            <w:r>
              <w:rPr>
                <w:rFonts w:hint="eastAsia" w:cs="Times New Roman"/>
                <w:color w:val="auto"/>
                <w:kern w:val="2"/>
                <w:highlight w:val="none"/>
                <w:lang w:val="en-US" w:eastAsia="zh-CN"/>
              </w:rPr>
              <w:t xml:space="preserve">图2-2  </w:t>
            </w:r>
            <w:r>
              <w:rPr>
                <w:rFonts w:hint="default" w:ascii="Times New Roman" w:hAnsi="Times New Roman" w:cs="Times New Roman"/>
                <w:color w:val="auto"/>
                <w:kern w:val="2"/>
                <w:highlight w:val="none"/>
                <w:lang w:val="en-US" w:eastAsia="zh-CN"/>
              </w:rPr>
              <w:t>本项目</w:t>
            </w:r>
            <w:r>
              <w:rPr>
                <w:rFonts w:hint="eastAsia"/>
                <w:color w:val="auto"/>
                <w:kern w:val="2"/>
                <w:highlight w:val="none"/>
                <w:lang w:val="en-US" w:eastAsia="zh-CN"/>
              </w:rPr>
              <w:t>物料</w:t>
            </w:r>
            <w:r>
              <w:rPr>
                <w:rFonts w:hint="default" w:ascii="Times New Roman" w:hAnsi="Times New Roman" w:cs="Times New Roman"/>
                <w:color w:val="auto"/>
                <w:kern w:val="2"/>
                <w:highlight w:val="none"/>
                <w:lang w:val="en-US" w:eastAsia="zh-CN"/>
              </w:rPr>
              <w:t>衡图</w:t>
            </w:r>
          </w:p>
          <w:p w14:paraId="2CA7A5C1">
            <w:pPr>
              <w:pStyle w:val="6"/>
              <w:widowControl/>
              <w:numPr>
                <w:ilvl w:val="4"/>
                <w:numId w:val="0"/>
              </w:numPr>
              <w:suppressLineNumbers w:val="0"/>
              <w:spacing w:before="0" w:beforeAutospacing="0" w:after="0" w:afterAutospacing="0"/>
              <w:ind w:left="-960" w:right="0" w:firstLine="144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（4）通风系统</w:t>
            </w:r>
          </w:p>
          <w:p w14:paraId="625E5DCE">
            <w:pPr>
              <w:keepNext w:val="0"/>
              <w:keepLines w:val="0"/>
              <w:suppressLineNumbers w:val="0"/>
              <w:adjustRightInd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本项目主要采用自然通风或设置抽排风机进行通风，不设中央空调。</w:t>
            </w:r>
          </w:p>
          <w:p w14:paraId="035B8F79">
            <w:pPr>
              <w:pStyle w:val="4"/>
              <w:numPr>
                <w:ilvl w:val="2"/>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7、环保投资</w:t>
            </w:r>
          </w:p>
          <w:p w14:paraId="33A03C18">
            <w:pPr>
              <w:pStyle w:val="104"/>
              <w:keepNext w:val="0"/>
              <w:keepLines w:val="0"/>
              <w:numPr>
                <w:ilvl w:val="0"/>
                <w:numId w:val="0"/>
              </w:numPr>
              <w:suppressLineNumbers w:val="0"/>
              <w:bidi w:val="0"/>
              <w:spacing w:before="0" w:beforeAutospacing="0" w:after="0" w:afterAutospacing="0"/>
              <w:ind w:left="482" w:leftChars="0" w:right="0"/>
              <w:rPr>
                <w:rFonts w:hint="default" w:ascii="Times New Roman" w:hAnsi="Times New Roman" w:cs="Times New Roman"/>
                <w:b w:val="0"/>
                <w:bCs w:val="0"/>
                <w:color w:val="auto"/>
                <w:highlight w:val="none"/>
                <w:lang w:val="en-US" w:eastAsia="zh-CN"/>
              </w:rPr>
            </w:pPr>
            <w:r>
              <w:rPr>
                <w:rFonts w:hint="default" w:ascii="Times New Roman" w:hAnsi="Times New Roman" w:cs="Times New Roman"/>
                <w:b w:val="0"/>
                <w:bCs w:val="0"/>
                <w:color w:val="auto"/>
                <w:highlight w:val="none"/>
                <w:lang w:val="en-US" w:eastAsia="zh-CN"/>
              </w:rPr>
              <w:t>本项目所需落实的污染防治措施的投资估算如下表所示。</w:t>
            </w:r>
          </w:p>
          <w:p w14:paraId="422F9074">
            <w:pPr>
              <w:pStyle w:val="107"/>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b w:val="0"/>
                <w:bCs w:val="0"/>
                <w:color w:val="auto"/>
                <w:highlight w:val="none"/>
                <w:lang w:val="en-US" w:eastAsia="zh-CN"/>
              </w:rPr>
            </w:pPr>
            <w:r>
              <w:rPr>
                <w:rFonts w:hint="default" w:ascii="Times New Roman" w:hAnsi="Times New Roman" w:cs="Times New Roman"/>
                <w:b/>
                <w:bCs/>
                <w:color w:val="auto"/>
                <w:sz w:val="21"/>
                <w:szCs w:val="21"/>
                <w:highlight w:val="none"/>
                <w:lang w:val="en-US" w:eastAsia="zh-CN"/>
              </w:rPr>
              <w:t>环保投资估算一览表</w:t>
            </w:r>
          </w:p>
          <w:tbl>
            <w:tblPr>
              <w:tblStyle w:val="4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5"/>
              <w:gridCol w:w="1681"/>
              <w:gridCol w:w="4040"/>
              <w:gridCol w:w="2750"/>
            </w:tblGrid>
            <w:tr w14:paraId="1B1954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4" w:type="pct"/>
                  <w:vAlign w:val="center"/>
                </w:tcPr>
                <w:p w14:paraId="5CB3066A">
                  <w:pPr>
                    <w:pStyle w:val="65"/>
                    <w:keepNext w:val="0"/>
                    <w:keepLines w:val="0"/>
                    <w:suppressLineNumbers w:val="0"/>
                    <w:spacing w:before="0" w:beforeAutospacing="0" w:after="0" w:afterAutospacing="0"/>
                    <w:ind w:left="0" w:right="0"/>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序号</w:t>
                  </w:r>
                </w:p>
              </w:tc>
              <w:tc>
                <w:tcPr>
                  <w:tcW w:w="906" w:type="pct"/>
                  <w:vAlign w:val="center"/>
                </w:tcPr>
                <w:p w14:paraId="1976C851">
                  <w:pPr>
                    <w:pStyle w:val="65"/>
                    <w:keepNext w:val="0"/>
                    <w:keepLines w:val="0"/>
                    <w:suppressLineNumbers w:val="0"/>
                    <w:spacing w:before="0" w:beforeAutospacing="0" w:after="0" w:afterAutospacing="0"/>
                    <w:ind w:left="0" w:right="0"/>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环保项目</w:t>
                  </w:r>
                </w:p>
              </w:tc>
              <w:tc>
                <w:tcPr>
                  <w:tcW w:w="2177" w:type="pct"/>
                  <w:vAlign w:val="center"/>
                </w:tcPr>
                <w:p w14:paraId="14473F91">
                  <w:pPr>
                    <w:pStyle w:val="65"/>
                    <w:keepNext w:val="0"/>
                    <w:keepLines w:val="0"/>
                    <w:suppressLineNumbers w:val="0"/>
                    <w:spacing w:before="0" w:beforeAutospacing="0" w:after="0" w:afterAutospacing="0"/>
                    <w:ind w:left="0" w:right="0"/>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主要内容</w:t>
                  </w:r>
                </w:p>
              </w:tc>
              <w:tc>
                <w:tcPr>
                  <w:tcW w:w="1482" w:type="pct"/>
                  <w:vAlign w:val="center"/>
                </w:tcPr>
                <w:p w14:paraId="37FD357F">
                  <w:pPr>
                    <w:pStyle w:val="65"/>
                    <w:keepNext w:val="0"/>
                    <w:keepLines w:val="0"/>
                    <w:suppressLineNumbers w:val="0"/>
                    <w:spacing w:before="0" w:beforeAutospacing="0" w:after="0" w:afterAutospacing="0"/>
                    <w:ind w:left="0" w:right="0"/>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投资额（万元）</w:t>
                  </w:r>
                </w:p>
              </w:tc>
            </w:tr>
            <w:tr w14:paraId="7F65A4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4" w:type="pct"/>
                  <w:vAlign w:val="center"/>
                </w:tcPr>
                <w:p w14:paraId="468EA0DB">
                  <w:pPr>
                    <w:pStyle w:val="65"/>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1</w:t>
                  </w:r>
                </w:p>
              </w:tc>
              <w:tc>
                <w:tcPr>
                  <w:tcW w:w="906" w:type="pct"/>
                  <w:vAlign w:val="center"/>
                </w:tcPr>
                <w:p w14:paraId="1E058F67">
                  <w:pPr>
                    <w:pStyle w:val="65"/>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废气治理</w:t>
                  </w:r>
                </w:p>
              </w:tc>
              <w:tc>
                <w:tcPr>
                  <w:tcW w:w="2177" w:type="pct"/>
                  <w:vAlign w:val="center"/>
                </w:tcPr>
                <w:p w14:paraId="12A45BF6">
                  <w:pPr>
                    <w:pStyle w:val="65"/>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配套废气收集设施、</w:t>
                  </w:r>
                  <w:r>
                    <w:rPr>
                      <w:rFonts w:hint="eastAsia" w:ascii="Times New Roman" w:cs="Times New Roman"/>
                      <w:color w:val="auto"/>
                      <w:sz w:val="21"/>
                      <w:szCs w:val="21"/>
                      <w:highlight w:val="none"/>
                      <w:vertAlign w:val="baseline"/>
                      <w:lang w:val="en-US" w:eastAsia="zh-CN"/>
                    </w:rPr>
                    <w:t>布袋除尘器1套</w:t>
                  </w:r>
                  <w:r>
                    <w:rPr>
                      <w:rFonts w:hint="default" w:ascii="Times New Roman" w:hAnsi="Times New Roman" w:cs="Times New Roman"/>
                      <w:color w:val="auto"/>
                      <w:sz w:val="21"/>
                      <w:szCs w:val="21"/>
                      <w:highlight w:val="none"/>
                      <w:vertAlign w:val="baseline"/>
                      <w:lang w:val="en-US" w:eastAsia="zh-CN"/>
                    </w:rPr>
                    <w:t>。</w:t>
                  </w:r>
                </w:p>
              </w:tc>
              <w:tc>
                <w:tcPr>
                  <w:tcW w:w="1482" w:type="pct"/>
                  <w:vAlign w:val="center"/>
                </w:tcPr>
                <w:p w14:paraId="5D5CC0D3">
                  <w:pPr>
                    <w:pStyle w:val="65"/>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15</w:t>
                  </w:r>
                </w:p>
              </w:tc>
            </w:tr>
            <w:tr w14:paraId="7A7031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4" w:type="pct"/>
                  <w:vAlign w:val="center"/>
                </w:tcPr>
                <w:p w14:paraId="19038673">
                  <w:pPr>
                    <w:pStyle w:val="65"/>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2</w:t>
                  </w:r>
                </w:p>
              </w:tc>
              <w:tc>
                <w:tcPr>
                  <w:tcW w:w="906" w:type="pct"/>
                  <w:vAlign w:val="center"/>
                </w:tcPr>
                <w:p w14:paraId="6A7BC3A1">
                  <w:pPr>
                    <w:pStyle w:val="65"/>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废水治理</w:t>
                  </w:r>
                </w:p>
              </w:tc>
              <w:tc>
                <w:tcPr>
                  <w:tcW w:w="2177" w:type="pct"/>
                  <w:vAlign w:val="center"/>
                </w:tcPr>
                <w:p w14:paraId="2556A161">
                  <w:pPr>
                    <w:pStyle w:val="65"/>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铺设污水接驳管道</w:t>
                  </w:r>
                  <w:r>
                    <w:rPr>
                      <w:rFonts w:hint="eastAsia" w:ascii="Times New Roman" w:hAnsi="Times New Roman" w:cs="Times New Roman"/>
                      <w:color w:val="auto"/>
                      <w:sz w:val="21"/>
                      <w:szCs w:val="21"/>
                      <w:highlight w:val="none"/>
                      <w:vertAlign w:val="baseline"/>
                      <w:lang w:val="en-US" w:eastAsia="zh-CN"/>
                    </w:rPr>
                    <w:t>、废水处理设施</w:t>
                  </w:r>
                  <w:r>
                    <w:rPr>
                      <w:rFonts w:hint="default" w:ascii="Times New Roman" w:hAnsi="Times New Roman" w:cs="Times New Roman"/>
                      <w:color w:val="auto"/>
                      <w:sz w:val="21"/>
                      <w:szCs w:val="21"/>
                      <w:highlight w:val="none"/>
                      <w:vertAlign w:val="baseline"/>
                      <w:lang w:val="en-US" w:eastAsia="zh-CN"/>
                    </w:rPr>
                    <w:t>。</w:t>
                  </w:r>
                </w:p>
              </w:tc>
              <w:tc>
                <w:tcPr>
                  <w:tcW w:w="1482" w:type="pct"/>
                  <w:vAlign w:val="center"/>
                </w:tcPr>
                <w:p w14:paraId="2DCD38FF">
                  <w:pPr>
                    <w:pStyle w:val="65"/>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70</w:t>
                  </w:r>
                </w:p>
              </w:tc>
            </w:tr>
            <w:tr w14:paraId="2D5A2A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4" w:type="pct"/>
                  <w:vAlign w:val="center"/>
                </w:tcPr>
                <w:p w14:paraId="3BD7758E">
                  <w:pPr>
                    <w:pStyle w:val="65"/>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3</w:t>
                  </w:r>
                </w:p>
              </w:tc>
              <w:tc>
                <w:tcPr>
                  <w:tcW w:w="906" w:type="pct"/>
                  <w:vAlign w:val="center"/>
                </w:tcPr>
                <w:p w14:paraId="17AA53F9">
                  <w:pPr>
                    <w:pStyle w:val="65"/>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噪声治理</w:t>
                  </w:r>
                </w:p>
              </w:tc>
              <w:tc>
                <w:tcPr>
                  <w:tcW w:w="2177" w:type="pct"/>
                  <w:vAlign w:val="center"/>
                </w:tcPr>
                <w:p w14:paraId="57DD72A0">
                  <w:pPr>
                    <w:pStyle w:val="65"/>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高噪声设备配套减振、隔音、消声装置。</w:t>
                  </w:r>
                </w:p>
              </w:tc>
              <w:tc>
                <w:tcPr>
                  <w:tcW w:w="1482" w:type="pct"/>
                  <w:vAlign w:val="center"/>
                </w:tcPr>
                <w:p w14:paraId="22F90216">
                  <w:pPr>
                    <w:pStyle w:val="65"/>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5</w:t>
                  </w:r>
                </w:p>
              </w:tc>
            </w:tr>
            <w:tr w14:paraId="652F31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4" w:type="pct"/>
                  <w:vAlign w:val="center"/>
                </w:tcPr>
                <w:p w14:paraId="58F19FD1">
                  <w:pPr>
                    <w:pStyle w:val="65"/>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4</w:t>
                  </w:r>
                </w:p>
              </w:tc>
              <w:tc>
                <w:tcPr>
                  <w:tcW w:w="906" w:type="pct"/>
                  <w:vAlign w:val="center"/>
                </w:tcPr>
                <w:p w14:paraId="6573DC51">
                  <w:pPr>
                    <w:pStyle w:val="65"/>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固体废物处理</w:t>
                  </w:r>
                </w:p>
              </w:tc>
              <w:tc>
                <w:tcPr>
                  <w:tcW w:w="2177" w:type="pct"/>
                  <w:vAlign w:val="center"/>
                </w:tcPr>
                <w:p w14:paraId="67508724">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lang w:val="en-US" w:eastAsia="zh-CN"/>
                    </w:rPr>
                    <w:t>建设一般工业固体废物、危险废物贮存间。</w:t>
                  </w:r>
                </w:p>
              </w:tc>
              <w:tc>
                <w:tcPr>
                  <w:tcW w:w="1482" w:type="pct"/>
                  <w:vAlign w:val="center"/>
                </w:tcPr>
                <w:p w14:paraId="31D1E775">
                  <w:pPr>
                    <w:pStyle w:val="65"/>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10</w:t>
                  </w:r>
                </w:p>
              </w:tc>
            </w:tr>
            <w:tr w14:paraId="444ACF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517" w:type="pct"/>
                  <w:gridSpan w:val="3"/>
                  <w:vAlign w:val="center"/>
                </w:tcPr>
                <w:p w14:paraId="62E7A02F">
                  <w:pPr>
                    <w:pStyle w:val="65"/>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合计</w:t>
                  </w:r>
                </w:p>
              </w:tc>
              <w:tc>
                <w:tcPr>
                  <w:tcW w:w="1482" w:type="pct"/>
                  <w:vAlign w:val="center"/>
                </w:tcPr>
                <w:p w14:paraId="68CE9379">
                  <w:pPr>
                    <w:pStyle w:val="65"/>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100</w:t>
                  </w:r>
                </w:p>
              </w:tc>
            </w:tr>
          </w:tbl>
          <w:p w14:paraId="7A0E7A95">
            <w:pPr>
              <w:pStyle w:val="4"/>
              <w:numPr>
                <w:ilvl w:val="2"/>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三、总平面布局合理性分析</w:t>
            </w:r>
          </w:p>
          <w:p w14:paraId="20D2220E">
            <w:pPr>
              <w:pStyle w:val="5"/>
              <w:numPr>
                <w:ilvl w:val="3"/>
                <w:numId w:val="0"/>
              </w:numPr>
              <w:suppressLineNumbers w:val="0"/>
              <w:spacing w:before="0" w:beforeAutospacing="0" w:after="0" w:afterAutospacing="0"/>
              <w:ind w:left="480" w:leftChars="200" w:right="0"/>
              <w:rPr>
                <w:rFonts w:hint="default" w:ascii="Times New Roman" w:hAnsi="Times New Roman" w:cs="Times New Roman"/>
                <w:color w:val="auto"/>
                <w:highlight w:val="none"/>
              </w:rPr>
            </w:pPr>
            <w:r>
              <w:rPr>
                <w:rFonts w:hint="default" w:ascii="Times New Roman" w:hAnsi="Times New Roman" w:cs="Times New Roman"/>
                <w:color w:val="auto"/>
                <w:highlight w:val="none"/>
              </w:rPr>
              <w:t>1、用地合理、合法性分析</w:t>
            </w:r>
          </w:p>
          <w:p w14:paraId="4D031D54">
            <w:pPr>
              <w:pStyle w:val="5"/>
              <w:numPr>
                <w:ilvl w:val="3"/>
                <w:numId w:val="0"/>
              </w:numPr>
              <w:suppressLineNumbers w:val="0"/>
              <w:spacing w:before="0" w:beforeAutospacing="0" w:after="0" w:afterAutospacing="0"/>
              <w:ind w:right="0" w:firstLine="480" w:firstLineChars="200"/>
              <w:rPr>
                <w:rFonts w:hint="default" w:ascii="Times New Roman" w:hAnsi="Times New Roman" w:cs="Times New Roman"/>
                <w:b w:val="0"/>
                <w:color w:val="auto"/>
                <w:szCs w:val="24"/>
                <w:highlight w:val="none"/>
              </w:rPr>
            </w:pPr>
            <w:r>
              <w:rPr>
                <w:rFonts w:hint="eastAsia" w:ascii="Times New Roman" w:hAnsi="Times New Roman" w:cs="Times New Roman"/>
                <w:b w:val="0"/>
                <w:color w:val="auto"/>
                <w:szCs w:val="24"/>
                <w:highlight w:val="none"/>
                <w:lang w:val="en-US" w:eastAsia="zh-CN"/>
              </w:rPr>
              <w:t>根据</w:t>
            </w:r>
            <w:r>
              <w:rPr>
                <w:rFonts w:hint="eastAsia" w:cs="Times New Roman"/>
                <w:b w:val="0"/>
                <w:color w:val="auto"/>
                <w:szCs w:val="24"/>
                <w:highlight w:val="none"/>
                <w:lang w:val="en-US" w:eastAsia="zh-CN"/>
              </w:rPr>
              <w:t>企业投资项目</w:t>
            </w:r>
            <w:r>
              <w:rPr>
                <w:rFonts w:hint="eastAsia" w:ascii="Times New Roman" w:hAnsi="Times New Roman" w:cs="Times New Roman"/>
                <w:b w:val="0"/>
                <w:color w:val="auto"/>
                <w:szCs w:val="24"/>
                <w:highlight w:val="none"/>
                <w:lang w:val="en-US" w:eastAsia="zh-CN"/>
              </w:rPr>
              <w:t>备案证（见附件4）</w:t>
            </w:r>
            <w:r>
              <w:rPr>
                <w:rFonts w:hint="default" w:ascii="Times New Roman" w:hAnsi="Times New Roman" w:cs="Times New Roman"/>
                <w:b w:val="0"/>
                <w:color w:val="auto"/>
                <w:szCs w:val="24"/>
                <w:highlight w:val="none"/>
              </w:rPr>
              <w:t>建设单位拟于</w:t>
            </w:r>
            <w:r>
              <w:rPr>
                <w:rFonts w:hint="eastAsia" w:cs="Times New Roman"/>
                <w:b w:val="0"/>
                <w:color w:val="auto"/>
                <w:szCs w:val="24"/>
                <w:highlight w:val="none"/>
                <w:lang w:eastAsia="zh-CN"/>
              </w:rPr>
              <w:t>韶关市乐昌市乐昌产业转移工业园GL-02-04-02-03地块</w:t>
            </w:r>
            <w:r>
              <w:rPr>
                <w:rFonts w:hint="default" w:ascii="Times New Roman" w:hAnsi="Times New Roman" w:cs="Times New Roman"/>
                <w:b w:val="0"/>
                <w:color w:val="auto"/>
                <w:szCs w:val="24"/>
                <w:highlight w:val="none"/>
              </w:rPr>
              <w:t>进行生产，根据</w:t>
            </w:r>
            <w:r>
              <w:rPr>
                <w:rFonts w:hint="eastAsia" w:cs="Times New Roman"/>
                <w:b w:val="0"/>
                <w:color w:val="auto"/>
                <w:szCs w:val="24"/>
                <w:highlight w:val="none"/>
                <w:lang w:val="en-US" w:eastAsia="zh-CN"/>
              </w:rPr>
              <w:t>项目用地不动产权证</w:t>
            </w:r>
            <w:r>
              <w:rPr>
                <w:rFonts w:hint="default" w:ascii="Times New Roman" w:hAnsi="Times New Roman" w:cs="Times New Roman"/>
                <w:b w:val="0"/>
                <w:color w:val="auto"/>
                <w:szCs w:val="24"/>
                <w:highlight w:val="none"/>
              </w:rPr>
              <w:t>（详见附件3）可知，项目用地用途为工业用地。</w:t>
            </w:r>
          </w:p>
          <w:p w14:paraId="4AC6C11C">
            <w:pPr>
              <w:pStyle w:val="5"/>
              <w:numPr>
                <w:ilvl w:val="3"/>
                <w:numId w:val="0"/>
              </w:numPr>
              <w:suppressLineNumbers w:val="0"/>
              <w:spacing w:before="0" w:beforeAutospacing="0" w:after="0" w:afterAutospacing="0"/>
              <w:ind w:left="480" w:leftChars="200" w:right="0"/>
              <w:rPr>
                <w:rFonts w:hint="default" w:ascii="Times New Roman" w:hAnsi="Times New Roman" w:cs="Times New Roman"/>
                <w:color w:val="auto"/>
                <w:highlight w:val="none"/>
              </w:rPr>
            </w:pPr>
            <w:r>
              <w:rPr>
                <w:rFonts w:hint="default" w:ascii="Times New Roman" w:hAnsi="Times New Roman" w:cs="Times New Roman"/>
                <w:color w:val="auto"/>
                <w:highlight w:val="none"/>
              </w:rPr>
              <w:t>2、四至分析</w:t>
            </w:r>
          </w:p>
          <w:p w14:paraId="09BCDAB5">
            <w:pPr>
              <w:keepNext w:val="0"/>
              <w:keepLines w:val="0"/>
              <w:suppressLineNumbers w:val="0"/>
              <w:adjustRightInd w:val="0"/>
              <w:spacing w:before="0" w:beforeAutospacing="0" w:after="0" w:afterAutospacing="0"/>
              <w:ind w:left="0" w:right="0" w:firstLine="480" w:firstLineChars="200"/>
              <w:rPr>
                <w:rFonts w:hint="default" w:ascii="Times New Roman" w:hAnsi="Times New Roman" w:cs="Times New Roman"/>
                <w:color w:val="auto"/>
                <w:highlight w:val="none"/>
              </w:rPr>
            </w:pPr>
            <w:bookmarkStart w:id="19" w:name="_Toc21623"/>
            <w:bookmarkStart w:id="20" w:name="_Toc15878"/>
            <w:r>
              <w:rPr>
                <w:rFonts w:hint="default" w:ascii="Times New Roman" w:hAnsi="Times New Roman" w:cs="Times New Roman"/>
                <w:color w:val="auto"/>
                <w:highlight w:val="none"/>
              </w:rPr>
              <w:t>本项目位于</w:t>
            </w:r>
            <w:r>
              <w:rPr>
                <w:rFonts w:hint="eastAsia" w:cs="Times New Roman"/>
                <w:color w:val="auto"/>
                <w:highlight w:val="none"/>
                <w:lang w:eastAsia="zh-CN"/>
              </w:rPr>
              <w:t>韶关市乐昌市乐昌产业转移工业园GL-02-04-02-03地块</w:t>
            </w:r>
            <w:r>
              <w:rPr>
                <w:rFonts w:hint="default" w:ascii="Times New Roman" w:hAnsi="Times New Roman" w:cs="Times New Roman"/>
                <w:color w:val="auto"/>
                <w:highlight w:val="none"/>
              </w:rPr>
              <w:t>。</w:t>
            </w:r>
            <w:r>
              <w:rPr>
                <w:rFonts w:hint="default" w:ascii="Times New Roman" w:hAnsi="Times New Roman" w:cs="Times New Roman"/>
                <w:bCs/>
                <w:color w:val="auto"/>
                <w:highlight w:val="none"/>
              </w:rPr>
              <w:t>本项目东面</w:t>
            </w:r>
            <w:r>
              <w:rPr>
                <w:rFonts w:hint="eastAsia" w:cs="Times New Roman"/>
                <w:bCs/>
                <w:color w:val="auto"/>
                <w:highlight w:val="none"/>
                <w:lang w:eastAsia="zh-CN"/>
              </w:rPr>
              <w:t>隔道路</w:t>
            </w:r>
            <w:r>
              <w:rPr>
                <w:rFonts w:hint="default" w:ascii="Times New Roman" w:hAnsi="Times New Roman" w:cs="Times New Roman"/>
                <w:bCs/>
                <w:color w:val="auto"/>
                <w:highlight w:val="none"/>
              </w:rPr>
              <w:t>为</w:t>
            </w:r>
            <w:r>
              <w:rPr>
                <w:rFonts w:hint="eastAsia" w:cs="Times New Roman"/>
                <w:bCs/>
                <w:color w:val="auto"/>
                <w:highlight w:val="none"/>
                <w:lang w:val="en-US" w:eastAsia="zh-CN"/>
              </w:rPr>
              <w:t>空地及永久基本农田</w:t>
            </w:r>
            <w:r>
              <w:rPr>
                <w:rFonts w:hint="default" w:ascii="Times New Roman" w:hAnsi="Times New Roman" w:cs="Times New Roman"/>
                <w:bCs/>
                <w:color w:val="auto"/>
                <w:highlight w:val="none"/>
              </w:rPr>
              <w:t>、南面为</w:t>
            </w:r>
            <w:r>
              <w:rPr>
                <w:rFonts w:hint="eastAsia" w:cs="Times New Roman"/>
                <w:bCs/>
                <w:color w:val="auto"/>
                <w:highlight w:val="none"/>
                <w:lang w:val="en-US" w:eastAsia="zh-CN"/>
              </w:rPr>
              <w:t>闲置厂房</w:t>
            </w:r>
            <w:r>
              <w:rPr>
                <w:rFonts w:hint="default" w:ascii="Times New Roman" w:hAnsi="Times New Roman" w:cs="Times New Roman"/>
                <w:bCs/>
                <w:color w:val="auto"/>
                <w:highlight w:val="none"/>
              </w:rPr>
              <w:t>、西面</w:t>
            </w:r>
            <w:r>
              <w:rPr>
                <w:rFonts w:hint="eastAsia" w:cs="Times New Roman"/>
                <w:bCs/>
                <w:color w:val="auto"/>
                <w:highlight w:val="none"/>
                <w:lang w:val="en-US" w:eastAsia="zh-CN"/>
              </w:rPr>
              <w:t>和北面</w:t>
            </w:r>
            <w:r>
              <w:rPr>
                <w:rFonts w:hint="default" w:ascii="Times New Roman" w:hAnsi="Times New Roman" w:cs="Times New Roman"/>
                <w:bCs/>
                <w:color w:val="auto"/>
                <w:highlight w:val="none"/>
                <w:lang w:val="en-US" w:eastAsia="zh-CN"/>
              </w:rPr>
              <w:t>为</w:t>
            </w:r>
            <w:r>
              <w:rPr>
                <w:rFonts w:hint="eastAsia" w:cs="Times New Roman"/>
                <w:bCs/>
                <w:color w:val="auto"/>
                <w:highlight w:val="none"/>
                <w:lang w:val="en-US" w:eastAsia="zh-CN"/>
              </w:rPr>
              <w:t>在建厂房</w:t>
            </w:r>
            <w:r>
              <w:rPr>
                <w:rFonts w:hint="default" w:ascii="Times New Roman" w:hAnsi="Times New Roman" w:cs="Times New Roman"/>
                <w:bCs/>
                <w:color w:val="auto"/>
                <w:highlight w:val="none"/>
              </w:rPr>
              <w:t>，本项目最近的环境保护目标为厂界</w:t>
            </w:r>
            <w:r>
              <w:rPr>
                <w:rFonts w:hint="eastAsia" w:cs="Times New Roman"/>
                <w:bCs/>
                <w:color w:val="auto"/>
                <w:highlight w:val="none"/>
                <w:lang w:val="en-US" w:eastAsia="zh-CN"/>
              </w:rPr>
              <w:t>东</w:t>
            </w:r>
            <w:r>
              <w:rPr>
                <w:rFonts w:hint="default" w:ascii="Times New Roman" w:hAnsi="Times New Roman" w:cs="Times New Roman"/>
                <w:bCs/>
                <w:color w:val="auto"/>
                <w:highlight w:val="none"/>
              </w:rPr>
              <w:t>南侧</w:t>
            </w:r>
            <w:r>
              <w:rPr>
                <w:rFonts w:hint="eastAsia" w:cs="Times New Roman"/>
                <w:bCs/>
                <w:color w:val="auto"/>
                <w:highlight w:val="none"/>
                <w:lang w:val="en-US" w:eastAsia="zh-CN"/>
              </w:rPr>
              <w:t>385</w:t>
            </w:r>
            <w:r>
              <w:rPr>
                <w:rFonts w:hint="default" w:ascii="Times New Roman" w:hAnsi="Times New Roman" w:cs="Times New Roman"/>
                <w:bCs/>
                <w:color w:val="auto"/>
                <w:highlight w:val="none"/>
              </w:rPr>
              <w:t>m</w:t>
            </w:r>
            <w:r>
              <w:rPr>
                <w:rFonts w:hint="default" w:ascii="Times New Roman" w:hAnsi="Times New Roman" w:cs="Times New Roman"/>
                <w:bCs/>
                <w:color w:val="auto"/>
                <w:highlight w:val="none"/>
                <w:lang w:val="en-US" w:eastAsia="zh-CN"/>
              </w:rPr>
              <w:t>的</w:t>
            </w:r>
            <w:r>
              <w:rPr>
                <w:rFonts w:hint="eastAsia" w:cs="Times New Roman"/>
                <w:bCs/>
                <w:color w:val="auto"/>
                <w:highlight w:val="none"/>
                <w:lang w:val="en-US" w:eastAsia="zh-CN"/>
              </w:rPr>
              <w:t>高粱头村</w:t>
            </w:r>
            <w:r>
              <w:rPr>
                <w:rFonts w:hint="default" w:ascii="Times New Roman" w:hAnsi="Times New Roman" w:cs="Times New Roman"/>
                <w:color w:val="auto"/>
                <w:highlight w:val="none"/>
              </w:rPr>
              <w:t>。</w:t>
            </w:r>
            <w:bookmarkEnd w:id="19"/>
            <w:bookmarkEnd w:id="20"/>
          </w:p>
          <w:p w14:paraId="31F6E638">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ind w:left="0" w:right="0" w:firstLine="480" w:firstLineChars="200"/>
              <w:textAlignment w:val="auto"/>
              <w:outlineLvl w:val="9"/>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3、总平面布局</w:t>
            </w:r>
          </w:p>
          <w:p w14:paraId="55456C15">
            <w:pPr>
              <w:pStyle w:val="32"/>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right="0" w:firstLine="480"/>
              <w:textAlignment w:val="auto"/>
              <w:outlineLvl w:val="9"/>
              <w:rPr>
                <w:rFonts w:hint="default" w:ascii="Times New Roman" w:hAnsi="Times New Roman" w:cs="Times New Roman"/>
                <w:color w:val="auto"/>
                <w:highlight w:val="none"/>
              </w:rPr>
            </w:pPr>
            <w:bookmarkStart w:id="21" w:name="_Toc19690"/>
            <w:bookmarkStart w:id="22" w:name="_Toc4848"/>
            <w:bookmarkStart w:id="23" w:name="_Toc1050"/>
            <w:bookmarkStart w:id="24" w:name="_Toc24572"/>
            <w:bookmarkStart w:id="25" w:name="_Toc6378"/>
            <w:bookmarkStart w:id="26" w:name="_Toc4970"/>
            <w:bookmarkStart w:id="27" w:name="_Toc20310"/>
            <w:bookmarkStart w:id="28" w:name="_Toc5262"/>
            <w:bookmarkStart w:id="29" w:name="_Toc22320"/>
            <w:r>
              <w:rPr>
                <w:rFonts w:hint="default" w:ascii="Times New Roman" w:hAnsi="Times New Roman" w:cs="Times New Roman"/>
                <w:color w:val="auto"/>
                <w:szCs w:val="24"/>
                <w:highlight w:val="none"/>
              </w:rPr>
              <w:t>本项目由生产厂房（</w:t>
            </w:r>
            <w:r>
              <w:rPr>
                <w:rFonts w:hint="eastAsia" w:cs="Times New Roman"/>
                <w:color w:val="auto"/>
                <w:szCs w:val="24"/>
                <w:highlight w:val="none"/>
                <w:lang w:val="en-US" w:eastAsia="zh-CN"/>
              </w:rPr>
              <w:t>2</w:t>
            </w:r>
            <w:r>
              <w:rPr>
                <w:rFonts w:hint="default" w:ascii="Times New Roman" w:hAnsi="Times New Roman" w:cs="Times New Roman"/>
                <w:color w:val="auto"/>
                <w:szCs w:val="24"/>
                <w:highlight w:val="none"/>
              </w:rPr>
              <w:t>#~</w:t>
            </w:r>
            <w:r>
              <w:rPr>
                <w:rFonts w:hint="eastAsia" w:cs="Times New Roman"/>
                <w:color w:val="auto"/>
                <w:szCs w:val="24"/>
                <w:highlight w:val="none"/>
                <w:lang w:val="en-US" w:eastAsia="zh-CN"/>
              </w:rPr>
              <w:t>4</w:t>
            </w:r>
            <w:r>
              <w:rPr>
                <w:rFonts w:hint="default" w:ascii="Times New Roman" w:hAnsi="Times New Roman" w:cs="Times New Roman"/>
                <w:color w:val="auto"/>
                <w:szCs w:val="24"/>
                <w:highlight w:val="none"/>
              </w:rPr>
              <w:t>#厂房）、</w:t>
            </w:r>
            <w:r>
              <w:rPr>
                <w:rFonts w:hint="eastAsia" w:cs="Times New Roman"/>
                <w:color w:val="auto"/>
                <w:szCs w:val="24"/>
                <w:highlight w:val="none"/>
                <w:lang w:val="en-US" w:eastAsia="zh-CN"/>
              </w:rPr>
              <w:t>综合</w:t>
            </w:r>
            <w:r>
              <w:rPr>
                <w:rFonts w:hint="eastAsia" w:cs="Times New Roman"/>
                <w:color w:val="auto"/>
                <w:szCs w:val="24"/>
                <w:highlight w:val="none"/>
                <w:lang w:eastAsia="zh-CN"/>
              </w:rPr>
              <w:t>楼</w:t>
            </w:r>
            <w:r>
              <w:rPr>
                <w:rFonts w:hint="default" w:ascii="Times New Roman" w:hAnsi="Times New Roman" w:cs="Times New Roman"/>
                <w:color w:val="auto"/>
                <w:szCs w:val="24"/>
                <w:highlight w:val="none"/>
              </w:rPr>
              <w:t>等建筑物组成，各区用途分明，布局紧凑，原料统一存放，便于物料的管理和风险控制，该区域地面设置防渗层，防止泄漏时下渗，防止污染土壤和地下水；废气排气筒DA001设置在</w:t>
            </w:r>
            <w:r>
              <w:rPr>
                <w:rFonts w:hint="default" w:ascii="Times New Roman" w:hAnsi="Times New Roman" w:cs="Times New Roman"/>
                <w:color w:val="auto"/>
                <w:szCs w:val="24"/>
                <w:highlight w:val="none"/>
                <w:lang w:val="en-US" w:eastAsia="zh-CN"/>
              </w:rPr>
              <w:t>3</w:t>
            </w:r>
            <w:r>
              <w:rPr>
                <w:rFonts w:hint="default" w:ascii="Times New Roman" w:hAnsi="Times New Roman" w:cs="Times New Roman"/>
                <w:color w:val="auto"/>
                <w:szCs w:val="24"/>
                <w:highlight w:val="none"/>
              </w:rPr>
              <w:t>#厂房</w:t>
            </w:r>
            <w:r>
              <w:rPr>
                <w:rFonts w:hint="eastAsia" w:cs="Times New Roman"/>
                <w:color w:val="auto"/>
                <w:szCs w:val="24"/>
                <w:highlight w:val="none"/>
                <w:lang w:val="en-US" w:eastAsia="zh-CN"/>
              </w:rPr>
              <w:t>西南靠近破碎区一</w:t>
            </w:r>
            <w:r>
              <w:rPr>
                <w:rFonts w:hint="default" w:ascii="Times New Roman" w:hAnsi="Times New Roman" w:cs="Times New Roman"/>
                <w:color w:val="auto"/>
                <w:szCs w:val="24"/>
                <w:highlight w:val="none"/>
              </w:rPr>
              <w:t>侧，距离最近的环境保护目标</w:t>
            </w:r>
            <w:r>
              <w:rPr>
                <w:rFonts w:hint="eastAsia" w:cs="Times New Roman"/>
                <w:color w:val="auto"/>
                <w:szCs w:val="24"/>
                <w:highlight w:val="none"/>
                <w:lang w:val="en-US" w:eastAsia="zh-CN"/>
              </w:rPr>
              <w:t>高粱头村385</w:t>
            </w:r>
            <w:r>
              <w:rPr>
                <w:rFonts w:hint="default" w:ascii="Times New Roman" w:hAnsi="Times New Roman" w:cs="Times New Roman"/>
                <w:color w:val="auto"/>
                <w:szCs w:val="24"/>
                <w:highlight w:val="none"/>
              </w:rPr>
              <w:t>m。本项目四周以工业性质企业、建设用地为主，因此本项目建设能与周边环境协调一致，项目四至环境见附图2，周边环境现状实景见附图1</w:t>
            </w:r>
            <w:r>
              <w:rPr>
                <w:rFonts w:hint="default" w:ascii="Times New Roman" w:hAnsi="Times New Roman" w:cs="Times New Roman"/>
                <w:color w:val="auto"/>
                <w:szCs w:val="24"/>
                <w:highlight w:val="none"/>
                <w:lang w:val="en-US" w:eastAsia="zh-CN"/>
              </w:rPr>
              <w:t>2</w:t>
            </w:r>
            <w:r>
              <w:rPr>
                <w:rFonts w:hint="default" w:ascii="Times New Roman" w:hAnsi="Times New Roman" w:cs="Times New Roman"/>
                <w:color w:val="auto"/>
                <w:szCs w:val="24"/>
                <w:highlight w:val="none"/>
              </w:rPr>
              <w:t>。</w:t>
            </w:r>
            <w:bookmarkEnd w:id="21"/>
            <w:bookmarkEnd w:id="22"/>
            <w:bookmarkEnd w:id="23"/>
            <w:bookmarkEnd w:id="24"/>
            <w:bookmarkEnd w:id="25"/>
            <w:bookmarkEnd w:id="26"/>
            <w:bookmarkEnd w:id="27"/>
            <w:bookmarkEnd w:id="28"/>
            <w:bookmarkEnd w:id="29"/>
          </w:p>
        </w:tc>
      </w:tr>
      <w:tr w14:paraId="7FE880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5" w:hRule="atLeast"/>
        </w:trPr>
        <w:tc>
          <w:tcPr>
            <w:tcW w:w="241" w:type="pct"/>
            <w:vAlign w:val="center"/>
          </w:tcPr>
          <w:p w14:paraId="4F2365F7">
            <w:pPr>
              <w:keepNext w:val="0"/>
              <w:keepLines w:val="0"/>
              <w:pageBreakBefore w:val="0"/>
              <w:widowControl w:val="0"/>
              <w:numPr>
                <w:ilvl w:val="1"/>
                <w:numId w:val="0"/>
              </w:numPr>
              <w:suppressLineNumbers w:val="0"/>
              <w:tabs>
                <w:tab w:val="left" w:pos="420"/>
              </w:tabs>
              <w:kinsoku/>
              <w:wordWrap/>
              <w:overflowPunct/>
              <w:topLinePunct w:val="0"/>
              <w:autoSpaceDE/>
              <w:autoSpaceDN/>
              <w:bidi w:val="0"/>
              <w:adjustRightInd/>
              <w:snapToGrid w:val="0"/>
              <w:spacing w:before="0" w:beforeAutospacing="0" w:after="0" w:afterAutospacing="0" w:line="276" w:lineRule="auto"/>
              <w:ind w:left="0" w:right="0"/>
              <w:jc w:val="center"/>
              <w:textAlignment w:val="auto"/>
              <w:outlineLvl w:val="9"/>
              <w:rPr>
                <w:rFonts w:hint="default" w:ascii="Times New Roman" w:hAnsi="Times New Roman" w:cs="Times New Roman"/>
                <w:color w:val="auto"/>
                <w:highlight w:val="none"/>
              </w:rPr>
            </w:pPr>
            <w:bookmarkStart w:id="30" w:name="_Toc25729"/>
            <w:bookmarkStart w:id="31" w:name="_Toc7091"/>
            <w:bookmarkStart w:id="32" w:name="_Toc22477"/>
            <w:bookmarkStart w:id="33" w:name="_Toc29759"/>
            <w:bookmarkStart w:id="34" w:name="_Toc14179"/>
            <w:r>
              <w:rPr>
                <w:rFonts w:hint="default" w:ascii="Times New Roman" w:hAnsi="Times New Roman" w:cs="Times New Roman"/>
                <w:b/>
                <w:bCs/>
                <w:color w:val="auto"/>
                <w:highlight w:val="none"/>
              </w:rPr>
              <w:t>工艺流程和产排污环节</w:t>
            </w:r>
            <w:bookmarkEnd w:id="30"/>
            <w:bookmarkEnd w:id="31"/>
            <w:bookmarkEnd w:id="32"/>
            <w:bookmarkEnd w:id="33"/>
            <w:bookmarkEnd w:id="34"/>
          </w:p>
        </w:tc>
        <w:tc>
          <w:tcPr>
            <w:tcW w:w="4758" w:type="pct"/>
          </w:tcPr>
          <w:p w14:paraId="558360DE">
            <w:pPr>
              <w:keepNext w:val="0"/>
              <w:keepLines w:val="0"/>
              <w:pageBreakBefore w:val="0"/>
              <w:numPr>
                <w:ilvl w:val="0"/>
                <w:numId w:val="9"/>
              </w:numPr>
              <w:suppressLineNumbers w:val="0"/>
              <w:tabs>
                <w:tab w:val="left" w:pos="420"/>
              </w:tabs>
              <w:kinsoku/>
              <w:overflowPunct/>
              <w:topLinePunct w:val="0"/>
              <w:bidi w:val="0"/>
              <w:snapToGrid/>
              <w:spacing w:before="0" w:beforeAutospacing="0" w:after="0" w:afterAutospacing="0"/>
              <w:ind w:left="0" w:right="0" w:firstLine="480" w:firstLineChars="200"/>
              <w:outlineLvl w:val="9"/>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工艺流程</w:t>
            </w:r>
          </w:p>
          <w:p w14:paraId="094C4E76">
            <w:pPr>
              <w:keepNext w:val="0"/>
              <w:keepLines w:val="0"/>
              <w:pageBreakBefore w:val="0"/>
              <w:widowControl w:val="0"/>
              <w:numPr>
                <w:ilvl w:val="0"/>
                <w:numId w:val="0"/>
              </w:numPr>
              <w:suppressLineNumbers w:val="0"/>
              <w:tabs>
                <w:tab w:val="left" w:pos="420"/>
              </w:tabs>
              <w:kinsoku/>
              <w:overflowPunct/>
              <w:topLinePunct w:val="0"/>
              <w:bidi w:val="0"/>
              <w:snapToGrid/>
              <w:spacing w:before="0" w:beforeAutospacing="0" w:after="0" w:afterAutospacing="0" w:line="360" w:lineRule="auto"/>
              <w:ind w:left="0" w:right="0" w:rightChars="0"/>
              <w:jc w:val="both"/>
              <w:outlineLvl w:val="9"/>
              <w:rPr>
                <w:rFonts w:hint="default" w:ascii="Times New Roman" w:hAnsi="Times New Roman" w:cs="Times New Roman"/>
                <w:color w:val="auto"/>
                <w:highlight w:val="none"/>
              </w:rPr>
            </w:pPr>
          </w:p>
          <w:p w14:paraId="521FF47F">
            <w:pPr>
              <w:keepNext w:val="0"/>
              <w:keepLines w:val="0"/>
              <w:pageBreakBefore w:val="0"/>
              <w:widowControl w:val="0"/>
              <w:numPr>
                <w:ilvl w:val="0"/>
                <w:numId w:val="0"/>
              </w:numPr>
              <w:suppressLineNumbers w:val="0"/>
              <w:tabs>
                <w:tab w:val="left" w:pos="420"/>
              </w:tabs>
              <w:kinsoku/>
              <w:overflowPunct/>
              <w:topLinePunct w:val="0"/>
              <w:bidi w:val="0"/>
              <w:snapToGrid/>
              <w:spacing w:before="0" w:beforeAutospacing="0" w:after="0" w:afterAutospacing="0" w:line="360" w:lineRule="auto"/>
              <w:ind w:left="0" w:right="0" w:rightChars="0"/>
              <w:jc w:val="center"/>
              <w:outlineLvl w:val="9"/>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object>
                <v:shape id="_x0000_i1026" o:spt="75" type="#_x0000_t75" style="height:459.75pt;width:330pt;" o:ole="t" filled="f" o:preferrelative="t" stroked="f" coordsize="21600,21600">
                  <v:path/>
                  <v:fill on="f" focussize="0,0"/>
                  <v:stroke on="f"/>
                  <v:imagedata r:id="rId14" o:title=""/>
                  <o:lock v:ext="edit" aspectratio="t"/>
                  <w10:wrap type="none"/>
                  <w10:anchorlock/>
                </v:shape>
                <o:OLEObject Type="Embed" ProgID="Visio.Drawing.11" ShapeID="_x0000_i1026" DrawAspect="Content" ObjectID="_1468075726" r:id="rId13">
                  <o:LockedField>false</o:LockedField>
                </o:OLEObject>
              </w:object>
            </w:r>
          </w:p>
          <w:p w14:paraId="19CA753B">
            <w:pPr>
              <w:pStyle w:val="20"/>
              <w:keepNext w:val="0"/>
              <w:keepLines w:val="0"/>
              <w:pageBreakBefore w:val="0"/>
              <w:numPr>
                <w:ilvl w:val="0"/>
                <w:numId w:val="0"/>
              </w:numPr>
              <w:suppressLineNumbers w:val="0"/>
              <w:tabs>
                <w:tab w:val="left" w:pos="420"/>
              </w:tabs>
              <w:kinsoku/>
              <w:overflowPunct/>
              <w:topLinePunct w:val="0"/>
              <w:bidi w:val="0"/>
              <w:snapToGrid/>
              <w:spacing w:before="0" w:beforeAutospacing="0" w:after="0" w:afterAutospacing="0" w:line="240" w:lineRule="auto"/>
              <w:ind w:left="0" w:leftChars="0" w:right="0" w:rightChars="0" w:firstLine="0" w:firstLineChars="0"/>
              <w:outlineLvl w:val="9"/>
              <w:rPr>
                <w:rFonts w:hint="default" w:ascii="Times New Roman" w:hAnsi="Times New Roman" w:cs="Times New Roman"/>
                <w:color w:val="auto"/>
                <w:highlight w:val="none"/>
              </w:rPr>
            </w:pPr>
            <w:r>
              <w:rPr>
                <w:rFonts w:hint="default" w:ascii="Times New Roman" w:hAnsi="Times New Roman" w:eastAsia="宋体" w:cs="Times New Roman"/>
                <w:b/>
                <w:bCs/>
                <w:color w:val="auto"/>
                <w:kern w:val="2"/>
                <w:sz w:val="21"/>
                <w:szCs w:val="21"/>
                <w:highlight w:val="none"/>
                <w:lang w:val="en-US" w:eastAsia="zh-CN" w:bidi="ar-SA"/>
              </w:rPr>
              <w:t>图2-</w:t>
            </w:r>
            <w:r>
              <w:rPr>
                <w:rFonts w:hint="eastAsia" w:cs="Times New Roman"/>
                <w:b/>
                <w:bCs/>
                <w:color w:val="auto"/>
                <w:kern w:val="2"/>
                <w:sz w:val="21"/>
                <w:szCs w:val="21"/>
                <w:highlight w:val="none"/>
                <w:lang w:val="en-US" w:eastAsia="zh-CN" w:bidi="ar-SA"/>
              </w:rPr>
              <w:t xml:space="preserve">3 </w:t>
            </w:r>
            <w:r>
              <w:rPr>
                <w:rFonts w:hint="default" w:ascii="Times New Roman" w:hAnsi="Times New Roman" w:cs="Times New Roman"/>
                <w:color w:val="auto"/>
                <w:highlight w:val="none"/>
              </w:rPr>
              <w:t>生产工艺流程图</w:t>
            </w:r>
          </w:p>
          <w:p w14:paraId="61092C20">
            <w:pPr>
              <w:keepNext w:val="0"/>
              <w:keepLines w:val="0"/>
              <w:pageBreakBefore w:val="0"/>
              <w:numPr>
                <w:ilvl w:val="0"/>
                <w:numId w:val="0"/>
              </w:numPr>
              <w:suppressLineNumbers w:val="0"/>
              <w:tabs>
                <w:tab w:val="left" w:pos="420"/>
              </w:tabs>
              <w:kinsoku/>
              <w:overflowPunct/>
              <w:topLinePunct w:val="0"/>
              <w:bidi w:val="0"/>
              <w:snapToGrid/>
              <w:spacing w:before="0" w:beforeAutospacing="0" w:after="0" w:afterAutospacing="0"/>
              <w:ind w:left="480" w:leftChars="200" w:right="0"/>
              <w:outlineLvl w:val="9"/>
              <w:rPr>
                <w:rFonts w:hint="eastAsia"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rPr>
              <w:t>工艺流程说明：</w:t>
            </w:r>
          </w:p>
          <w:p w14:paraId="73D99607">
            <w:pPr>
              <w:pStyle w:val="19"/>
              <w:keepNext w:val="0"/>
              <w:keepLines w:val="0"/>
              <w:pageBreakBefore w:val="0"/>
              <w:suppressLineNumbers w:val="0"/>
              <w:kinsoku/>
              <w:wordWrap/>
              <w:overflowPunct/>
              <w:topLinePunct w:val="0"/>
              <w:autoSpaceDE/>
              <w:autoSpaceDN/>
              <w:bidi w:val="0"/>
              <w:spacing w:before="0" w:beforeAutospacing="0" w:after="0" w:afterAutospacing="0" w:line="360" w:lineRule="auto"/>
              <w:ind w:left="0" w:right="0" w:firstLine="472" w:firstLineChars="200"/>
              <w:textAlignment w:val="auto"/>
              <w:rPr>
                <w:rFonts w:hint="default" w:cs="Times New Roman"/>
                <w:color w:val="auto"/>
                <w:spacing w:val="-2"/>
                <w:sz w:val="24"/>
                <w:szCs w:val="24"/>
                <w:highlight w:val="none"/>
                <w:lang w:val="en-US" w:eastAsia="zh-CN"/>
              </w:rPr>
            </w:pPr>
            <w:r>
              <w:rPr>
                <w:rFonts w:hint="eastAsia" w:cs="Times New Roman"/>
                <w:color w:val="auto"/>
                <w:spacing w:val="-2"/>
                <w:sz w:val="24"/>
                <w:szCs w:val="24"/>
                <w:highlight w:val="none"/>
                <w:lang w:val="en-US" w:eastAsia="zh-CN"/>
              </w:rPr>
              <w:t>主要包括湿法和干法破碎线，</w:t>
            </w:r>
          </w:p>
          <w:p w14:paraId="53250457">
            <w:pPr>
              <w:pStyle w:val="19"/>
              <w:keepNext w:val="0"/>
              <w:keepLines w:val="0"/>
              <w:pageBreakBefore w:val="0"/>
              <w:suppressLineNumbers w:val="0"/>
              <w:kinsoku/>
              <w:wordWrap/>
              <w:overflowPunct/>
              <w:topLinePunct w:val="0"/>
              <w:autoSpaceDE/>
              <w:autoSpaceDN/>
              <w:bidi w:val="0"/>
              <w:spacing w:before="0" w:beforeAutospacing="0" w:after="0" w:afterAutospacing="0" w:line="360" w:lineRule="auto"/>
              <w:ind w:left="0" w:right="0" w:firstLine="472" w:firstLineChars="200"/>
              <w:textAlignment w:val="auto"/>
              <w:rPr>
                <w:rFonts w:hint="default" w:ascii="Times New Roman" w:hAnsi="Times New Roman" w:eastAsia="宋体" w:cs="Times New Roman"/>
                <w:b/>
                <w:bCs/>
                <w:color w:val="auto"/>
                <w:sz w:val="24"/>
                <w:szCs w:val="24"/>
                <w:highlight w:val="none"/>
                <w:lang w:val="en-US" w:eastAsia="zh-CN"/>
              </w:rPr>
            </w:pPr>
            <w:r>
              <w:rPr>
                <w:rFonts w:hint="eastAsia" w:cs="Times New Roman"/>
                <w:color w:val="auto"/>
                <w:spacing w:val="-2"/>
                <w:sz w:val="24"/>
                <w:szCs w:val="24"/>
                <w:highlight w:val="none"/>
                <w:lang w:val="en-US" w:eastAsia="zh-CN"/>
              </w:rPr>
              <w:t>湿法破碎线洗料：</w:t>
            </w:r>
            <w:r>
              <w:rPr>
                <w:rFonts w:hint="default" w:ascii="Times New Roman" w:hAnsi="Times New Roman" w:eastAsia="宋体" w:cs="Times New Roman"/>
                <w:color w:val="auto"/>
                <w:spacing w:val="-2"/>
                <w:sz w:val="24"/>
                <w:szCs w:val="24"/>
                <w:highlight w:val="none"/>
                <w:lang w:val="en-US" w:eastAsia="zh-CN"/>
              </w:rPr>
              <w:t>将废塑料于闷料仓浇水或用回用水进行闷料，闷料的目的主要是将废塑料中的木块增加湿重，使得木块的密度大于水的密度，因而在后续分选过程中，将木块沉入废水底部。然后将废塑料放</w:t>
            </w:r>
            <w:r>
              <w:rPr>
                <w:rFonts w:hint="default" w:ascii="Times New Roman" w:hAnsi="Times New Roman" w:eastAsia="宋体" w:cs="Times New Roman"/>
                <w:color w:val="auto"/>
                <w:sz w:val="24"/>
                <w:szCs w:val="24"/>
                <w:highlight w:val="none"/>
              </w:rPr>
              <w:t>入料斗，输送至浮船进行</w:t>
            </w:r>
            <w:r>
              <w:rPr>
                <w:rFonts w:hint="default" w:ascii="Times New Roman" w:hAnsi="Times New Roman" w:eastAsia="宋体" w:cs="Times New Roman"/>
                <w:color w:val="auto"/>
                <w:spacing w:val="-1"/>
                <w:sz w:val="24"/>
                <w:szCs w:val="24"/>
                <w:highlight w:val="none"/>
              </w:rPr>
              <w:t>第一道</w:t>
            </w:r>
            <w:r>
              <w:rPr>
                <w:rFonts w:hint="default" w:ascii="Times New Roman" w:hAnsi="Times New Roman" w:eastAsia="宋体" w:cs="Times New Roman"/>
                <w:color w:val="auto"/>
                <w:spacing w:val="-1"/>
                <w:sz w:val="24"/>
                <w:szCs w:val="24"/>
                <w:highlight w:val="none"/>
                <w:lang w:val="en-US" w:eastAsia="zh-CN"/>
              </w:rPr>
              <w:t>浮船清洗</w:t>
            </w:r>
            <w:r>
              <w:rPr>
                <w:rFonts w:hint="default" w:ascii="Times New Roman" w:hAnsi="Times New Roman" w:eastAsia="宋体" w:cs="Times New Roman"/>
                <w:color w:val="auto"/>
                <w:kern w:val="2"/>
                <w:sz w:val="24"/>
                <w:szCs w:val="24"/>
                <w:highlight w:val="none"/>
                <w:lang w:val="en-US" w:eastAsia="zh-CN" w:bidi="ar-SA"/>
              </w:rPr>
              <w:t>分选（</w:t>
            </w:r>
            <w:r>
              <w:rPr>
                <w:rFonts w:hint="default" w:ascii="Times New Roman" w:hAnsi="Times New Roman" w:eastAsia="宋体" w:cs="Times New Roman"/>
                <w:color w:val="auto"/>
                <w:sz w:val="24"/>
                <w:szCs w:val="24"/>
                <w:highlight w:val="none"/>
                <w:lang w:val="en-US" w:eastAsia="zh-CN"/>
              </w:rPr>
              <w:t>清洗时通过添加新鲜水和</w:t>
            </w:r>
            <w:r>
              <w:rPr>
                <w:rFonts w:hint="default" w:ascii="Times New Roman" w:hAnsi="Times New Roman" w:eastAsia="宋体" w:cs="Times New Roman"/>
                <w:color w:val="auto"/>
                <w:sz w:val="24"/>
                <w:szCs w:val="24"/>
                <w:highlight w:val="none"/>
              </w:rPr>
              <w:t>废水处理后</w:t>
            </w:r>
            <w:r>
              <w:rPr>
                <w:rFonts w:hint="default" w:ascii="Times New Roman" w:hAnsi="Times New Roman" w:eastAsia="宋体" w:cs="Times New Roman"/>
                <w:color w:val="auto"/>
                <w:sz w:val="24"/>
                <w:szCs w:val="24"/>
                <w:highlight w:val="none"/>
                <w:lang w:eastAsia="zh-CN"/>
              </w:rPr>
              <w:t>的</w:t>
            </w:r>
            <w:r>
              <w:rPr>
                <w:rFonts w:hint="default" w:ascii="Times New Roman" w:hAnsi="Times New Roman" w:eastAsia="宋体" w:cs="Times New Roman"/>
                <w:color w:val="auto"/>
                <w:sz w:val="24"/>
                <w:szCs w:val="24"/>
                <w:highlight w:val="none"/>
              </w:rPr>
              <w:t>循环</w:t>
            </w:r>
            <w:r>
              <w:rPr>
                <w:rFonts w:hint="default" w:ascii="Times New Roman" w:hAnsi="Times New Roman" w:eastAsia="宋体" w:cs="Times New Roman"/>
                <w:color w:val="auto"/>
                <w:sz w:val="24"/>
                <w:szCs w:val="24"/>
                <w:highlight w:val="none"/>
                <w:lang w:val="en-US" w:eastAsia="zh-CN"/>
              </w:rPr>
              <w:t>水直接清洗，</w:t>
            </w:r>
            <w:r>
              <w:rPr>
                <w:rFonts w:hint="eastAsia" w:cs="Times New Roman"/>
                <w:color w:val="auto"/>
                <w:sz w:val="24"/>
                <w:szCs w:val="24"/>
                <w:highlight w:val="none"/>
                <w:lang w:val="en-US" w:eastAsia="zh-CN"/>
              </w:rPr>
              <w:t>以烧碱为清洗剂，不添加其他类型的清洗剂</w:t>
            </w:r>
            <w:r>
              <w:rPr>
                <w:rFonts w:hint="default" w:ascii="Times New Roman" w:hAnsi="Times New Roman" w:eastAsia="宋体" w:cs="Times New Roman"/>
                <w:color w:val="auto"/>
                <w:kern w:val="2"/>
                <w:sz w:val="24"/>
                <w:szCs w:val="24"/>
                <w:highlight w:val="none"/>
                <w:lang w:val="en-US" w:eastAsia="zh-CN" w:bidi="ar-SA"/>
              </w:rPr>
              <w:t>），</w:t>
            </w:r>
            <w:r>
              <w:rPr>
                <w:rFonts w:hint="default" w:ascii="Times New Roman" w:hAnsi="Times New Roman" w:eastAsia="宋体" w:cs="Times New Roman"/>
                <w:color w:val="auto"/>
                <w:sz w:val="24"/>
                <w:szCs w:val="24"/>
                <w:highlight w:val="none"/>
              </w:rPr>
              <w:t>浮船分选过程中木块等杂质会沉入底部，塑料会漂浮在上方，漂浮在水面的物料由机械打捞出，进入破碎机中进行破碎，此时产生的碎屑（小粒径物料）进入到摇床进行震动，将细小物料进一步震碎。一道浮船分选破碎后的较大粒径的物料，继续进行</w:t>
            </w:r>
            <w:r>
              <w:rPr>
                <w:rFonts w:hint="default" w:ascii="Times New Roman" w:hAnsi="Times New Roman" w:eastAsia="宋体" w:cs="Times New Roman"/>
                <w:color w:val="auto"/>
                <w:spacing w:val="-1"/>
                <w:sz w:val="24"/>
                <w:szCs w:val="24"/>
                <w:highlight w:val="none"/>
              </w:rPr>
              <w:t>第</w:t>
            </w:r>
            <w:r>
              <w:rPr>
                <w:rFonts w:hint="default" w:ascii="Times New Roman" w:hAnsi="Times New Roman" w:eastAsia="宋体" w:cs="Times New Roman"/>
                <w:color w:val="auto"/>
                <w:spacing w:val="-2"/>
                <w:sz w:val="24"/>
                <w:szCs w:val="24"/>
                <w:highlight w:val="none"/>
              </w:rPr>
              <w:t>二道浮船分选，分选</w:t>
            </w:r>
            <w:r>
              <w:rPr>
                <w:rFonts w:hint="default" w:ascii="Times New Roman" w:hAnsi="Times New Roman" w:eastAsia="宋体" w:cs="Times New Roman"/>
                <w:color w:val="auto"/>
                <w:spacing w:val="-1"/>
                <w:sz w:val="24"/>
                <w:szCs w:val="24"/>
                <w:highlight w:val="none"/>
              </w:rPr>
              <w:t>出的上层物料再经二、三道浮船进行清洗后，与摇床</w:t>
            </w:r>
            <w:r>
              <w:rPr>
                <w:rFonts w:hint="eastAsia" w:cs="Times New Roman"/>
                <w:color w:val="auto"/>
                <w:spacing w:val="-1"/>
                <w:sz w:val="24"/>
                <w:szCs w:val="24"/>
                <w:highlight w:val="none"/>
                <w:lang w:eastAsia="zh-CN"/>
              </w:rPr>
              <w:t>振动</w:t>
            </w:r>
            <w:r>
              <w:rPr>
                <w:rFonts w:hint="default" w:ascii="Times New Roman" w:hAnsi="Times New Roman" w:eastAsia="宋体" w:cs="Times New Roman"/>
                <w:color w:val="auto"/>
                <w:spacing w:val="-1"/>
                <w:sz w:val="24"/>
                <w:szCs w:val="24"/>
                <w:highlight w:val="none"/>
              </w:rPr>
              <w:t>后的物料一并甩干表面水分</w:t>
            </w:r>
            <w:r>
              <w:rPr>
                <w:rFonts w:hint="default" w:ascii="Times New Roman" w:hAnsi="Times New Roman" w:eastAsia="宋体" w:cs="Times New Roman"/>
                <w:color w:val="auto"/>
                <w:spacing w:val="-2"/>
                <w:sz w:val="24"/>
                <w:szCs w:val="24"/>
                <w:highlight w:val="none"/>
              </w:rPr>
              <w:t>。</w:t>
            </w:r>
            <w:r>
              <w:rPr>
                <w:rFonts w:hint="default" w:ascii="Times New Roman" w:hAnsi="Times New Roman" w:eastAsia="宋体" w:cs="Times New Roman"/>
                <w:b w:val="0"/>
                <w:bCs w:val="0"/>
                <w:color w:val="auto"/>
                <w:sz w:val="24"/>
                <w:szCs w:val="24"/>
                <w:highlight w:val="none"/>
              </w:rPr>
              <w:t>经甩干脱水后甩掉水分并进一步细筛掉细小的杂质及细小塑料颗粒。</w:t>
            </w:r>
            <w:r>
              <w:rPr>
                <w:rFonts w:hint="eastAsia" w:cs="Times New Roman"/>
                <w:b w:val="0"/>
                <w:bCs w:val="0"/>
                <w:color w:val="auto"/>
                <w:sz w:val="24"/>
                <w:szCs w:val="24"/>
                <w:highlight w:val="none"/>
                <w:lang w:val="en-US" w:eastAsia="zh-CN"/>
              </w:rPr>
              <w:t>下一步送至湿法破碎工序。此过程主要产生废水、噪声、一般固体废物（废木屑杂物）等。</w:t>
            </w:r>
          </w:p>
          <w:p w14:paraId="5336322B">
            <w:pPr>
              <w:pStyle w:val="38"/>
              <w:keepNext w:val="0"/>
              <w:keepLines w:val="0"/>
              <w:pageBreakBefore w:val="0"/>
              <w:suppressLineNumbers w:val="0"/>
              <w:kinsoku/>
              <w:wordWrap/>
              <w:overflowPunct/>
              <w:topLinePunct w:val="0"/>
              <w:autoSpaceDE/>
              <w:autoSpaceDN/>
              <w:bidi w:val="0"/>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val="en-US" w:eastAsia="zh-CN"/>
              </w:rPr>
              <w:t>湿法</w:t>
            </w:r>
            <w:r>
              <w:rPr>
                <w:rFonts w:hint="default" w:ascii="Times New Roman" w:hAnsi="Times New Roman" w:eastAsia="宋体" w:cs="Times New Roman"/>
                <w:color w:val="auto"/>
                <w:sz w:val="24"/>
                <w:szCs w:val="24"/>
                <w:highlight w:val="none"/>
                <w:lang w:eastAsia="zh-CN"/>
              </w:rPr>
              <w:t>破碎：</w:t>
            </w:r>
            <w:r>
              <w:rPr>
                <w:rFonts w:hint="default" w:ascii="Times New Roman" w:hAnsi="Times New Roman" w:eastAsia="宋体" w:cs="Times New Roman"/>
                <w:color w:val="auto"/>
                <w:sz w:val="24"/>
                <w:szCs w:val="24"/>
                <w:highlight w:val="none"/>
              </w:rPr>
              <w:t>PP、PS、ABS</w:t>
            </w:r>
            <w:r>
              <w:rPr>
                <w:rFonts w:hint="default" w:ascii="Times New Roman" w:hAnsi="Times New Roman" w:eastAsia="宋体" w:cs="Times New Roman"/>
                <w:color w:val="auto"/>
                <w:sz w:val="24"/>
                <w:szCs w:val="24"/>
                <w:highlight w:val="none"/>
                <w:lang w:val="en-US" w:eastAsia="zh-CN"/>
              </w:rPr>
              <w:t>原料合计</w:t>
            </w:r>
            <w:r>
              <w:rPr>
                <w:rFonts w:hint="eastAsia" w:cs="Times New Roman"/>
                <w:color w:val="auto"/>
                <w:sz w:val="24"/>
                <w:szCs w:val="24"/>
                <w:highlight w:val="none"/>
                <w:lang w:val="en-US" w:eastAsia="zh-CN"/>
              </w:rPr>
              <w:t>7125</w:t>
            </w:r>
            <w:r>
              <w:rPr>
                <w:rFonts w:hint="default" w:ascii="Times New Roman" w:hAnsi="Times New Roman" w:eastAsia="宋体" w:cs="Times New Roman"/>
                <w:color w:val="auto"/>
                <w:sz w:val="24"/>
                <w:szCs w:val="24"/>
                <w:highlight w:val="none"/>
                <w:lang w:val="en-US" w:eastAsia="zh-CN"/>
              </w:rPr>
              <w:t>0t/a，</w:t>
            </w:r>
            <w:r>
              <w:rPr>
                <w:rFonts w:hint="eastAsia" w:cs="Times New Roman"/>
                <w:color w:val="auto"/>
                <w:sz w:val="24"/>
                <w:szCs w:val="24"/>
                <w:highlight w:val="none"/>
                <w:lang w:val="en-US" w:eastAsia="zh-CN"/>
              </w:rPr>
              <w:t>90</w:t>
            </w:r>
            <w:r>
              <w:rPr>
                <w:rFonts w:hint="default" w:ascii="Times New Roman" w:hAnsi="Times New Roman" w:eastAsia="宋体" w:cs="Times New Roman"/>
                <w:color w:val="auto"/>
                <w:sz w:val="24"/>
                <w:szCs w:val="24"/>
                <w:highlight w:val="none"/>
                <w:lang w:val="en-US" w:eastAsia="zh-CN"/>
              </w:rPr>
              <w:t>%需要湿法破碎</w:t>
            </w:r>
            <w:r>
              <w:rPr>
                <w:rFonts w:hint="eastAsia" w:ascii="Times New Roman" w:hAnsi="Times New Roman" w:eastAsia="宋体" w:cs="Times New Roman"/>
                <w:color w:val="auto"/>
                <w:sz w:val="24"/>
                <w:szCs w:val="24"/>
                <w:highlight w:val="none"/>
                <w:lang w:val="en-US" w:eastAsia="zh-CN"/>
              </w:rPr>
              <w:t>。此过程主要产生噪声、废水、恶臭和污泥。</w:t>
            </w:r>
            <w:r>
              <w:rPr>
                <w:rFonts w:hint="default" w:ascii="Times New Roman" w:hAnsi="Times New Roman" w:eastAsia="宋体" w:cs="Times New Roman"/>
                <w:color w:val="auto"/>
                <w:sz w:val="24"/>
                <w:szCs w:val="24"/>
                <w:highlight w:val="none"/>
                <w:lang w:val="en-US" w:eastAsia="zh-CN"/>
              </w:rPr>
              <w:t>湿法破碎产生的废水经污水处理设施处理后回用于破碎或浮船分选，</w:t>
            </w:r>
            <w:r>
              <w:rPr>
                <w:rFonts w:hint="eastAsia" w:cs="Times New Roman"/>
                <w:color w:val="auto"/>
                <w:sz w:val="24"/>
                <w:szCs w:val="24"/>
                <w:highlight w:val="none"/>
                <w:lang w:val="en-US" w:eastAsia="zh-CN"/>
              </w:rPr>
              <w:t>循环使用，定期外排</w:t>
            </w:r>
            <w:r>
              <w:rPr>
                <w:rFonts w:hint="default" w:ascii="Times New Roman" w:hAnsi="Times New Roman" w:eastAsia="宋体" w:cs="Times New Roman"/>
                <w:color w:val="auto"/>
                <w:sz w:val="24"/>
                <w:szCs w:val="24"/>
                <w:highlight w:val="none"/>
                <w:lang w:eastAsia="zh-CN"/>
              </w:rPr>
              <w:t>。</w:t>
            </w:r>
          </w:p>
          <w:p w14:paraId="0C9BCCC9">
            <w:pPr>
              <w:pStyle w:val="38"/>
              <w:keepNext w:val="0"/>
              <w:keepLines w:val="0"/>
              <w:pageBreakBefore w:val="0"/>
              <w:suppressLineNumbers w:val="0"/>
              <w:kinsoku/>
              <w:wordWrap/>
              <w:overflowPunct/>
              <w:topLinePunct w:val="0"/>
              <w:autoSpaceDE/>
              <w:autoSpaceDN/>
              <w:bidi w:val="0"/>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val="en-US" w:eastAsia="zh-CN"/>
              </w:rPr>
              <w:t>干法破碎：项目</w:t>
            </w:r>
            <w:r>
              <w:rPr>
                <w:rFonts w:hint="default" w:ascii="Times New Roman" w:hAnsi="Times New Roman" w:eastAsia="宋体" w:cs="Times New Roman"/>
                <w:color w:val="auto"/>
                <w:sz w:val="24"/>
                <w:szCs w:val="24"/>
                <w:highlight w:val="none"/>
                <w:lang w:val="en-US" w:eastAsia="zh-CN"/>
              </w:rPr>
              <w:t>其中</w:t>
            </w:r>
            <w:r>
              <w:rPr>
                <w:rFonts w:hint="eastAsia" w:cs="Times New Roman"/>
                <w:color w:val="auto"/>
                <w:sz w:val="24"/>
                <w:szCs w:val="24"/>
                <w:highlight w:val="none"/>
                <w:lang w:val="en-US" w:eastAsia="zh-CN"/>
              </w:rPr>
              <w:t>10</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原料</w:t>
            </w:r>
            <w:r>
              <w:rPr>
                <w:rFonts w:hint="default" w:ascii="Times New Roman" w:hAnsi="Times New Roman" w:eastAsia="宋体" w:cs="Times New Roman"/>
                <w:color w:val="auto"/>
                <w:sz w:val="24"/>
                <w:szCs w:val="24"/>
                <w:highlight w:val="none"/>
                <w:lang w:val="en-US" w:eastAsia="zh-CN"/>
              </w:rPr>
              <w:t>需要干法破碎，</w:t>
            </w:r>
            <w:r>
              <w:rPr>
                <w:rFonts w:hint="default" w:ascii="Times New Roman" w:hAnsi="Times New Roman" w:eastAsia="宋体" w:cs="Times New Roman"/>
                <w:color w:val="auto"/>
                <w:sz w:val="24"/>
                <w:szCs w:val="24"/>
                <w:highlight w:val="none"/>
                <w:lang w:eastAsia="zh-CN"/>
              </w:rPr>
              <w:t>干法破碎</w:t>
            </w:r>
            <w:r>
              <w:rPr>
                <w:rFonts w:hint="default" w:ascii="Times New Roman" w:hAnsi="Times New Roman" w:eastAsia="宋体" w:cs="Times New Roman"/>
                <w:color w:val="auto"/>
                <w:sz w:val="24"/>
                <w:szCs w:val="24"/>
                <w:highlight w:val="none"/>
                <w:lang w:val="en-US" w:eastAsia="zh-CN"/>
              </w:rPr>
              <w:t>过程中</w:t>
            </w:r>
            <w:r>
              <w:rPr>
                <w:rFonts w:hint="eastAsia" w:ascii="Times New Roman" w:hAnsi="Times New Roman" w:eastAsia="宋体" w:cs="Times New Roman"/>
                <w:color w:val="auto"/>
                <w:sz w:val="24"/>
                <w:szCs w:val="24"/>
                <w:highlight w:val="none"/>
                <w:lang w:val="en-US" w:eastAsia="zh-CN"/>
              </w:rPr>
              <w:t>主要产生粉尘和噪声。</w:t>
            </w:r>
            <w:r>
              <w:rPr>
                <w:rFonts w:hint="default" w:ascii="Times New Roman" w:hAnsi="Times New Roman" w:eastAsia="宋体" w:cs="Times New Roman"/>
                <w:color w:val="auto"/>
                <w:sz w:val="24"/>
                <w:szCs w:val="24"/>
                <w:highlight w:val="none"/>
                <w:lang w:eastAsia="zh-CN"/>
              </w:rPr>
              <w:t>产生的粉尘经集气罩收集后进入布袋除尘器处理达标后再排放</w:t>
            </w:r>
            <w:r>
              <w:rPr>
                <w:rFonts w:hint="eastAsia" w:ascii="Times New Roman" w:hAnsi="Times New Roman" w:eastAsia="宋体" w:cs="Times New Roman"/>
                <w:color w:val="auto"/>
                <w:sz w:val="24"/>
                <w:szCs w:val="24"/>
                <w:highlight w:val="none"/>
                <w:lang w:eastAsia="zh-CN"/>
              </w:rPr>
              <w:t>。</w:t>
            </w:r>
          </w:p>
          <w:p w14:paraId="2D93A835">
            <w:pPr>
              <w:pStyle w:val="38"/>
              <w:keepNext w:val="0"/>
              <w:keepLines w:val="0"/>
              <w:pageBreakBefore w:val="0"/>
              <w:suppressLineNumbers w:val="0"/>
              <w:kinsoku/>
              <w:wordWrap/>
              <w:overflowPunct/>
              <w:topLinePunct w:val="0"/>
              <w:autoSpaceDE/>
              <w:autoSpaceDN/>
              <w:bidi w:val="0"/>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eastAsia" w:cs="Times New Roman"/>
                <w:color w:val="auto"/>
                <w:sz w:val="24"/>
                <w:szCs w:val="24"/>
                <w:highlight w:val="none"/>
                <w:lang w:val="en-US" w:eastAsia="zh-CN"/>
              </w:rPr>
              <w:t>硅胶分离：废塑料经破碎后，</w:t>
            </w:r>
            <w:r>
              <w:rPr>
                <w:rFonts w:hint="default" w:ascii="Times New Roman" w:hAnsi="Times New Roman" w:eastAsia="宋体" w:cs="Times New Roman"/>
                <w:color w:val="auto"/>
                <w:sz w:val="24"/>
                <w:szCs w:val="24"/>
                <w:highlight w:val="none"/>
              </w:rPr>
              <w:t>进入硅胶分离机，</w:t>
            </w:r>
            <w:r>
              <w:rPr>
                <w:rFonts w:hint="default" w:ascii="Times New Roman" w:hAnsi="Times New Roman" w:eastAsia="宋体" w:cs="Times New Roman"/>
                <w:b w:val="0"/>
                <w:bCs w:val="0"/>
                <w:color w:val="auto"/>
                <w:sz w:val="24"/>
                <w:szCs w:val="24"/>
                <w:highlight w:val="none"/>
              </w:rPr>
              <w:t>利用物料之间弹性的不同将硅胶分选出</w:t>
            </w:r>
            <w:r>
              <w:rPr>
                <w:rFonts w:hint="eastAsia" w:cs="Times New Roman"/>
                <w:b w:val="0"/>
                <w:bCs w:val="0"/>
                <w:color w:val="auto"/>
                <w:sz w:val="24"/>
                <w:szCs w:val="24"/>
                <w:highlight w:val="none"/>
                <w:lang w:eastAsia="zh-CN"/>
              </w:rPr>
              <w:t>。</w:t>
            </w:r>
            <w:r>
              <w:rPr>
                <w:rFonts w:hint="eastAsia" w:cs="Times New Roman"/>
                <w:b w:val="0"/>
                <w:bCs w:val="0"/>
                <w:color w:val="auto"/>
                <w:sz w:val="24"/>
                <w:szCs w:val="24"/>
                <w:highlight w:val="none"/>
                <w:lang w:val="en-US" w:eastAsia="zh-CN"/>
              </w:rPr>
              <w:t>此过程主要产生噪声、一般工业固废（废</w:t>
            </w:r>
            <w:r>
              <w:rPr>
                <w:rFonts w:hint="default" w:ascii="Times New Roman" w:hAnsi="Times New Roman" w:eastAsia="宋体" w:cs="Times New Roman"/>
                <w:b w:val="0"/>
                <w:bCs w:val="0"/>
                <w:color w:val="auto"/>
                <w:sz w:val="24"/>
                <w:szCs w:val="24"/>
                <w:highlight w:val="none"/>
              </w:rPr>
              <w:t>橡胶</w:t>
            </w:r>
            <w:r>
              <w:rPr>
                <w:rFonts w:hint="eastAsia"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rPr>
              <w:t>。</w:t>
            </w:r>
          </w:p>
          <w:p w14:paraId="29FA87C6">
            <w:pPr>
              <w:pStyle w:val="38"/>
              <w:keepNext w:val="0"/>
              <w:keepLines w:val="0"/>
              <w:pageBreakBefore w:val="0"/>
              <w:suppressLineNumbers w:val="0"/>
              <w:kinsoku/>
              <w:wordWrap/>
              <w:overflowPunct/>
              <w:topLinePunct w:val="0"/>
              <w:autoSpaceDE/>
              <w:autoSpaceDN/>
              <w:bidi w:val="0"/>
              <w:spacing w:before="0" w:beforeAutospacing="0" w:after="0" w:afterAutospacing="0" w:line="360" w:lineRule="auto"/>
              <w:ind w:left="0" w:leftChars="0" w:right="0" w:firstLine="480" w:firstLineChars="200"/>
              <w:textAlignment w:val="auto"/>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静电</w:t>
            </w:r>
            <w:r>
              <w:rPr>
                <w:rFonts w:hint="default" w:ascii="Times New Roman" w:hAnsi="Times New Roman" w:eastAsia="宋体" w:cs="Times New Roman"/>
                <w:color w:val="auto"/>
                <w:sz w:val="24"/>
                <w:szCs w:val="24"/>
                <w:highlight w:val="none"/>
                <w:lang w:val="en-US" w:eastAsia="zh-CN"/>
              </w:rPr>
              <w:t>分离：根据需求，采用静电对PP、PS、ABS进行分选。</w:t>
            </w:r>
            <w:r>
              <w:rPr>
                <w:rFonts w:hint="eastAsia" w:cs="Times New Roman"/>
                <w:color w:val="auto"/>
                <w:sz w:val="24"/>
                <w:szCs w:val="24"/>
                <w:highlight w:val="none"/>
                <w:lang w:val="en-US" w:eastAsia="zh-CN"/>
              </w:rPr>
              <w:t>此过程主要产生噪声。</w:t>
            </w:r>
          </w:p>
          <w:p w14:paraId="35F05C11">
            <w:pPr>
              <w:keepNext w:val="0"/>
              <w:keepLines w:val="0"/>
              <w:pageBreakBefore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材质分色：对按照物料颜色进一步分离，</w:t>
            </w:r>
            <w:r>
              <w:rPr>
                <w:rFonts w:hint="default" w:ascii="Times New Roman" w:hAnsi="Times New Roman" w:eastAsia="宋体" w:cs="Times New Roman"/>
                <w:color w:val="auto"/>
                <w:sz w:val="24"/>
                <w:szCs w:val="24"/>
                <w:highlight w:val="none"/>
                <w:lang w:val="en-US" w:eastAsia="zh-CN"/>
              </w:rPr>
              <w:t>分色后按照不同的塑料碎片、不同颜色打包进入</w:t>
            </w:r>
            <w:r>
              <w:rPr>
                <w:rFonts w:hint="eastAsia" w:cs="Times New Roman"/>
                <w:color w:val="auto"/>
                <w:sz w:val="24"/>
                <w:szCs w:val="24"/>
                <w:highlight w:val="none"/>
                <w:lang w:val="en-US" w:eastAsia="zh-CN"/>
              </w:rPr>
              <w:t>仓库待售</w:t>
            </w:r>
            <w:r>
              <w:rPr>
                <w:rFonts w:hint="default"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此过程主要产生噪声和废包装袋。</w:t>
            </w:r>
          </w:p>
          <w:p w14:paraId="76C3416F">
            <w:pPr>
              <w:pStyle w:val="20"/>
              <w:keepNext w:val="0"/>
              <w:keepLines w:val="0"/>
              <w:pageBreakBefore w:val="0"/>
              <w:suppressLineNumbers w:val="0"/>
              <w:kinsoku/>
              <w:overflowPunct/>
              <w:topLinePunct w:val="0"/>
              <w:bidi w:val="0"/>
              <w:snapToGrid/>
              <w:spacing w:before="0" w:beforeAutospacing="0" w:after="0" w:afterAutospacing="0"/>
              <w:ind w:left="0" w:right="0" w:firstLine="480" w:firstLineChars="200"/>
              <w:jc w:val="both"/>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二、产污环节分析</w:t>
            </w:r>
          </w:p>
          <w:p w14:paraId="4E83C2FA">
            <w:pPr>
              <w:pStyle w:val="107"/>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lang w:val="zh-CN"/>
              </w:rPr>
              <w:t>主要污染节点分析一览表</w:t>
            </w:r>
          </w:p>
          <w:tbl>
            <w:tblPr>
              <w:tblStyle w:val="39"/>
              <w:tblW w:w="494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4"/>
              <w:gridCol w:w="2368"/>
              <w:gridCol w:w="2509"/>
              <w:gridCol w:w="3558"/>
            </w:tblGrid>
            <w:tr w14:paraId="0159E1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 w:hRule="atLeast"/>
              </w:trPr>
              <w:tc>
                <w:tcPr>
                  <w:tcW w:w="400" w:type="pct"/>
                  <w:vMerge w:val="restart"/>
                  <w:vAlign w:val="center"/>
                </w:tcPr>
                <w:p w14:paraId="7C319727">
                  <w:pPr>
                    <w:pStyle w:val="60"/>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污染类型</w:t>
                  </w:r>
                </w:p>
              </w:tc>
              <w:tc>
                <w:tcPr>
                  <w:tcW w:w="1291" w:type="pct"/>
                  <w:vMerge w:val="restart"/>
                  <w:vAlign w:val="center"/>
                </w:tcPr>
                <w:p w14:paraId="413E000E">
                  <w:pPr>
                    <w:pStyle w:val="60"/>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产生部位</w:t>
                  </w:r>
                </w:p>
              </w:tc>
              <w:tc>
                <w:tcPr>
                  <w:tcW w:w="3308" w:type="pct"/>
                  <w:gridSpan w:val="2"/>
                  <w:vAlign w:val="center"/>
                </w:tcPr>
                <w:p w14:paraId="7DA2E230">
                  <w:pPr>
                    <w:pStyle w:val="60"/>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污染物</w:t>
                  </w:r>
                </w:p>
              </w:tc>
            </w:tr>
            <w:tr w14:paraId="710252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trPr>
              <w:tc>
                <w:tcPr>
                  <w:tcW w:w="400" w:type="pct"/>
                  <w:vMerge w:val="continue"/>
                  <w:vAlign w:val="center"/>
                </w:tcPr>
                <w:p w14:paraId="76FC6793">
                  <w:pPr>
                    <w:pStyle w:val="60"/>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b/>
                      <w:bCs/>
                      <w:color w:val="auto"/>
                      <w:kern w:val="2"/>
                      <w:sz w:val="21"/>
                      <w:szCs w:val="21"/>
                      <w:highlight w:val="none"/>
                    </w:rPr>
                  </w:pPr>
                </w:p>
              </w:tc>
              <w:tc>
                <w:tcPr>
                  <w:tcW w:w="1291" w:type="pct"/>
                  <w:vMerge w:val="continue"/>
                  <w:vAlign w:val="center"/>
                </w:tcPr>
                <w:p w14:paraId="4C1F590B">
                  <w:pPr>
                    <w:pStyle w:val="60"/>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b/>
                      <w:bCs/>
                      <w:color w:val="auto"/>
                      <w:kern w:val="2"/>
                      <w:sz w:val="21"/>
                      <w:szCs w:val="21"/>
                      <w:highlight w:val="none"/>
                    </w:rPr>
                  </w:pPr>
                </w:p>
              </w:tc>
              <w:tc>
                <w:tcPr>
                  <w:tcW w:w="1368" w:type="pct"/>
                  <w:vAlign w:val="center"/>
                </w:tcPr>
                <w:p w14:paraId="51481B2A">
                  <w:pPr>
                    <w:pStyle w:val="60"/>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内容</w:t>
                  </w:r>
                </w:p>
              </w:tc>
              <w:tc>
                <w:tcPr>
                  <w:tcW w:w="1940" w:type="pct"/>
                  <w:vAlign w:val="center"/>
                </w:tcPr>
                <w:p w14:paraId="1CFBD4C6">
                  <w:pPr>
                    <w:pStyle w:val="60"/>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污染因子</w:t>
                  </w:r>
                </w:p>
              </w:tc>
            </w:tr>
            <w:tr w14:paraId="1C0824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 w:hRule="atLeast"/>
              </w:trPr>
              <w:tc>
                <w:tcPr>
                  <w:tcW w:w="400" w:type="pct"/>
                  <w:vMerge w:val="restart"/>
                  <w:vAlign w:val="center"/>
                </w:tcPr>
                <w:p w14:paraId="66104C6A">
                  <w:pPr>
                    <w:pStyle w:val="60"/>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废水</w:t>
                  </w:r>
                </w:p>
              </w:tc>
              <w:tc>
                <w:tcPr>
                  <w:tcW w:w="1291" w:type="pct"/>
                  <w:vAlign w:val="center"/>
                </w:tcPr>
                <w:p w14:paraId="6674C14C">
                  <w:pPr>
                    <w:pStyle w:val="60"/>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员工生活</w:t>
                  </w:r>
                </w:p>
              </w:tc>
              <w:tc>
                <w:tcPr>
                  <w:tcW w:w="1368" w:type="pct"/>
                  <w:vAlign w:val="center"/>
                </w:tcPr>
                <w:p w14:paraId="40B6CE9F">
                  <w:pPr>
                    <w:pStyle w:val="60"/>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生活污水</w:t>
                  </w:r>
                </w:p>
              </w:tc>
              <w:tc>
                <w:tcPr>
                  <w:tcW w:w="1940" w:type="pct"/>
                  <w:vAlign w:val="center"/>
                </w:tcPr>
                <w:p w14:paraId="08B80AD3">
                  <w:pPr>
                    <w:pStyle w:val="60"/>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rPr>
                    <w:t>pH、COD</w:t>
                  </w:r>
                  <w:r>
                    <w:rPr>
                      <w:rFonts w:hint="default" w:ascii="Times New Roman" w:hAnsi="Times New Roman" w:cs="Times New Roman"/>
                      <w:color w:val="auto"/>
                      <w:kern w:val="2"/>
                      <w:sz w:val="21"/>
                      <w:szCs w:val="21"/>
                      <w:highlight w:val="none"/>
                      <w:vertAlign w:val="subscript"/>
                    </w:rPr>
                    <w:t>Cr</w:t>
                  </w:r>
                  <w:r>
                    <w:rPr>
                      <w:rFonts w:hint="default" w:ascii="Times New Roman" w:hAnsi="Times New Roman" w:cs="Times New Roman"/>
                      <w:color w:val="auto"/>
                      <w:kern w:val="2"/>
                      <w:sz w:val="21"/>
                      <w:szCs w:val="21"/>
                      <w:highlight w:val="none"/>
                    </w:rPr>
                    <w:t>、BOD</w:t>
                  </w:r>
                  <w:r>
                    <w:rPr>
                      <w:rFonts w:hint="default" w:ascii="Times New Roman" w:hAnsi="Times New Roman" w:cs="Times New Roman"/>
                      <w:color w:val="auto"/>
                      <w:kern w:val="2"/>
                      <w:sz w:val="21"/>
                      <w:szCs w:val="21"/>
                      <w:highlight w:val="none"/>
                      <w:vertAlign w:val="subscript"/>
                    </w:rPr>
                    <w:t>5</w:t>
                  </w:r>
                  <w:r>
                    <w:rPr>
                      <w:rFonts w:hint="default" w:ascii="Times New Roman" w:hAnsi="Times New Roman" w:cs="Times New Roman"/>
                      <w:color w:val="auto"/>
                      <w:kern w:val="2"/>
                      <w:sz w:val="21"/>
                      <w:szCs w:val="21"/>
                      <w:highlight w:val="none"/>
                    </w:rPr>
                    <w:t>、氨氮、SS</w:t>
                  </w:r>
                  <w:r>
                    <w:rPr>
                      <w:rFonts w:hint="eastAsia" w:cs="Times New Roman"/>
                      <w:color w:val="auto"/>
                      <w:kern w:val="2"/>
                      <w:sz w:val="21"/>
                      <w:szCs w:val="21"/>
                      <w:highlight w:val="none"/>
                      <w:lang w:eastAsia="zh-CN"/>
                    </w:rPr>
                    <w:t>、</w:t>
                  </w:r>
                  <w:r>
                    <w:rPr>
                      <w:rFonts w:hint="eastAsia" w:cs="Times New Roman"/>
                      <w:color w:val="auto"/>
                      <w:kern w:val="2"/>
                      <w:sz w:val="21"/>
                      <w:szCs w:val="21"/>
                      <w:highlight w:val="none"/>
                      <w:lang w:val="en-US" w:eastAsia="zh-CN"/>
                    </w:rPr>
                    <w:t>动植物油、总磷</w:t>
                  </w:r>
                </w:p>
              </w:tc>
            </w:tr>
            <w:tr w14:paraId="7AAF0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trPr>
              <w:tc>
                <w:tcPr>
                  <w:tcW w:w="400" w:type="pct"/>
                  <w:vMerge w:val="continue"/>
                  <w:vAlign w:val="center"/>
                </w:tcPr>
                <w:p w14:paraId="0FFE848F">
                  <w:pPr>
                    <w:pStyle w:val="60"/>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p>
              </w:tc>
              <w:tc>
                <w:tcPr>
                  <w:tcW w:w="1291" w:type="pct"/>
                  <w:vAlign w:val="center"/>
                </w:tcPr>
                <w:p w14:paraId="7EEF0A43">
                  <w:pPr>
                    <w:pStyle w:val="60"/>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eastAsia" w:cs="Times New Roman"/>
                      <w:color w:val="auto"/>
                      <w:kern w:val="2"/>
                      <w:sz w:val="21"/>
                      <w:szCs w:val="21"/>
                      <w:highlight w:val="none"/>
                      <w:lang w:val="en-US" w:eastAsia="zh-CN"/>
                    </w:rPr>
                    <w:t>洗料</w:t>
                  </w:r>
                  <w:r>
                    <w:rPr>
                      <w:rFonts w:hint="default" w:ascii="Times New Roman" w:hAnsi="Times New Roman" w:cs="Times New Roman"/>
                      <w:color w:val="auto"/>
                      <w:kern w:val="2"/>
                      <w:sz w:val="21"/>
                      <w:szCs w:val="21"/>
                      <w:highlight w:val="none"/>
                    </w:rPr>
                    <w:t>工序</w:t>
                  </w:r>
                </w:p>
              </w:tc>
              <w:tc>
                <w:tcPr>
                  <w:tcW w:w="1368" w:type="pct"/>
                  <w:vAlign w:val="center"/>
                </w:tcPr>
                <w:p w14:paraId="5BBDB903">
                  <w:pPr>
                    <w:pStyle w:val="60"/>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eastAsia" w:cs="Times New Roman"/>
                      <w:color w:val="auto"/>
                      <w:kern w:val="2"/>
                      <w:sz w:val="21"/>
                      <w:szCs w:val="21"/>
                      <w:highlight w:val="none"/>
                      <w:lang w:val="en-US" w:eastAsia="zh-CN"/>
                    </w:rPr>
                    <w:t>洗料</w:t>
                  </w:r>
                  <w:r>
                    <w:rPr>
                      <w:rFonts w:hint="default" w:ascii="Times New Roman" w:hAnsi="Times New Roman" w:cs="Times New Roman"/>
                      <w:color w:val="auto"/>
                      <w:kern w:val="2"/>
                      <w:sz w:val="21"/>
                      <w:szCs w:val="21"/>
                      <w:highlight w:val="none"/>
                    </w:rPr>
                    <w:t>废水</w:t>
                  </w:r>
                </w:p>
              </w:tc>
              <w:tc>
                <w:tcPr>
                  <w:tcW w:w="1940" w:type="pct"/>
                  <w:vAlign w:val="center"/>
                </w:tcPr>
                <w:p w14:paraId="6542852C">
                  <w:pPr>
                    <w:pStyle w:val="60"/>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eastAsia="宋体" w:cs="Times New Roman"/>
                      <w:b/>
                      <w:bCs/>
                      <w:color w:val="auto"/>
                      <w:kern w:val="2"/>
                      <w:sz w:val="21"/>
                      <w:szCs w:val="21"/>
                      <w:highlight w:val="none"/>
                      <w:lang w:val="en-US" w:eastAsia="zh-CN"/>
                    </w:rPr>
                  </w:pPr>
                  <w:r>
                    <w:rPr>
                      <w:rFonts w:hint="default" w:ascii="Times New Roman" w:hAnsi="Times New Roman" w:cs="Times New Roman"/>
                      <w:color w:val="auto"/>
                      <w:kern w:val="2"/>
                      <w:sz w:val="21"/>
                      <w:szCs w:val="21"/>
                      <w:highlight w:val="none"/>
                    </w:rPr>
                    <w:t>pH、COD</w:t>
                  </w:r>
                  <w:r>
                    <w:rPr>
                      <w:rFonts w:hint="default" w:ascii="Times New Roman" w:hAnsi="Times New Roman" w:cs="Times New Roman"/>
                      <w:color w:val="auto"/>
                      <w:kern w:val="2"/>
                      <w:sz w:val="21"/>
                      <w:szCs w:val="21"/>
                      <w:highlight w:val="none"/>
                      <w:vertAlign w:val="subscript"/>
                    </w:rPr>
                    <w:t>Cr</w:t>
                  </w:r>
                  <w:r>
                    <w:rPr>
                      <w:rFonts w:hint="default" w:ascii="Times New Roman" w:hAnsi="Times New Roman" w:cs="Times New Roman"/>
                      <w:color w:val="auto"/>
                      <w:kern w:val="2"/>
                      <w:sz w:val="21"/>
                      <w:szCs w:val="21"/>
                      <w:highlight w:val="none"/>
                    </w:rPr>
                    <w:t>、BOD</w:t>
                  </w:r>
                  <w:r>
                    <w:rPr>
                      <w:rFonts w:hint="default" w:ascii="Times New Roman" w:hAnsi="Times New Roman" w:cs="Times New Roman"/>
                      <w:color w:val="auto"/>
                      <w:kern w:val="2"/>
                      <w:sz w:val="21"/>
                      <w:szCs w:val="21"/>
                      <w:highlight w:val="none"/>
                      <w:vertAlign w:val="subscript"/>
                    </w:rPr>
                    <w:t>5</w:t>
                  </w:r>
                  <w:r>
                    <w:rPr>
                      <w:rFonts w:hint="default" w:ascii="Times New Roman" w:hAnsi="Times New Roman" w:cs="Times New Roman"/>
                      <w:color w:val="auto"/>
                      <w:kern w:val="2"/>
                      <w:sz w:val="21"/>
                      <w:szCs w:val="21"/>
                      <w:highlight w:val="none"/>
                    </w:rPr>
                    <w:t>、氨氮、</w:t>
                  </w:r>
                  <w:r>
                    <w:rPr>
                      <w:rFonts w:hint="eastAsia" w:cs="Times New Roman"/>
                      <w:color w:val="auto"/>
                      <w:kern w:val="2"/>
                      <w:sz w:val="21"/>
                      <w:szCs w:val="21"/>
                      <w:highlight w:val="none"/>
                      <w:lang w:val="en-US" w:eastAsia="zh-CN"/>
                    </w:rPr>
                    <w:t>总氮、总磷、</w:t>
                  </w:r>
                  <w:r>
                    <w:rPr>
                      <w:rFonts w:hint="default" w:ascii="Times New Roman" w:hAnsi="Times New Roman" w:cs="Times New Roman"/>
                      <w:color w:val="auto"/>
                      <w:kern w:val="2"/>
                      <w:sz w:val="21"/>
                      <w:szCs w:val="21"/>
                      <w:highlight w:val="none"/>
                    </w:rPr>
                    <w:t>SS、石油类</w:t>
                  </w:r>
                  <w:r>
                    <w:rPr>
                      <w:rFonts w:hint="eastAsia" w:cs="Times New Roman"/>
                      <w:color w:val="auto"/>
                      <w:kern w:val="2"/>
                      <w:sz w:val="21"/>
                      <w:szCs w:val="21"/>
                      <w:highlight w:val="none"/>
                      <w:lang w:eastAsia="zh-CN"/>
                    </w:rPr>
                    <w:t>、</w:t>
                  </w:r>
                  <w:r>
                    <w:rPr>
                      <w:rFonts w:hint="eastAsia" w:cs="Times New Roman"/>
                      <w:color w:val="auto"/>
                      <w:kern w:val="2"/>
                      <w:sz w:val="21"/>
                      <w:szCs w:val="21"/>
                      <w:highlight w:val="none"/>
                      <w:lang w:val="en-US" w:eastAsia="zh-CN"/>
                    </w:rPr>
                    <w:t>LAS</w:t>
                  </w:r>
                </w:p>
              </w:tc>
            </w:tr>
            <w:tr w14:paraId="008EDA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400" w:type="pct"/>
                  <w:vMerge w:val="restart"/>
                  <w:vAlign w:val="center"/>
                </w:tcPr>
                <w:p w14:paraId="439D998D">
                  <w:pPr>
                    <w:pStyle w:val="60"/>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废气</w:t>
                  </w:r>
                </w:p>
              </w:tc>
              <w:tc>
                <w:tcPr>
                  <w:tcW w:w="1291" w:type="pct"/>
                  <w:vAlign w:val="center"/>
                </w:tcPr>
                <w:p w14:paraId="7D2B26AE">
                  <w:pPr>
                    <w:pStyle w:val="60"/>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eastAsia" w:cs="Times New Roman"/>
                      <w:color w:val="auto"/>
                      <w:kern w:val="2"/>
                      <w:sz w:val="21"/>
                      <w:szCs w:val="21"/>
                      <w:highlight w:val="none"/>
                      <w:lang w:val="en-US" w:eastAsia="zh-CN"/>
                    </w:rPr>
                    <w:t>破碎</w:t>
                  </w:r>
                </w:p>
              </w:tc>
              <w:tc>
                <w:tcPr>
                  <w:tcW w:w="1368" w:type="pct"/>
                  <w:vAlign w:val="center"/>
                </w:tcPr>
                <w:p w14:paraId="5B63044D">
                  <w:pPr>
                    <w:pStyle w:val="60"/>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破碎粉尘</w:t>
                  </w:r>
                </w:p>
              </w:tc>
              <w:tc>
                <w:tcPr>
                  <w:tcW w:w="1940" w:type="pct"/>
                  <w:vAlign w:val="center"/>
                </w:tcPr>
                <w:p w14:paraId="1FC0909F">
                  <w:pPr>
                    <w:pStyle w:val="60"/>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lang w:eastAsia="zh-CN"/>
                    </w:rPr>
                    <w:t>颗粒物</w:t>
                  </w:r>
                </w:p>
              </w:tc>
            </w:tr>
            <w:tr w14:paraId="34D7CE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 w:hRule="atLeast"/>
              </w:trPr>
              <w:tc>
                <w:tcPr>
                  <w:tcW w:w="400" w:type="pct"/>
                  <w:vMerge w:val="continue"/>
                  <w:vAlign w:val="center"/>
                </w:tcPr>
                <w:p w14:paraId="1E95B0E6">
                  <w:pPr>
                    <w:pStyle w:val="60"/>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p>
              </w:tc>
              <w:tc>
                <w:tcPr>
                  <w:tcW w:w="1291" w:type="pct"/>
                  <w:vAlign w:val="center"/>
                </w:tcPr>
                <w:p w14:paraId="2E6BCBCB">
                  <w:pPr>
                    <w:pStyle w:val="60"/>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jc w:val="center"/>
                    <w:textAlignment w:val="center"/>
                    <w:outlineLvl w:val="9"/>
                    <w:rPr>
                      <w:rFonts w:hint="default" w:ascii="Times New Roman" w:hAnsi="Times New Roman" w:cs="Times New Roman"/>
                      <w:color w:val="auto"/>
                      <w:kern w:val="2"/>
                      <w:sz w:val="21"/>
                      <w:szCs w:val="21"/>
                      <w:highlight w:val="none"/>
                      <w:lang w:eastAsia="zh-CN"/>
                    </w:rPr>
                  </w:pPr>
                  <w:r>
                    <w:rPr>
                      <w:rFonts w:hint="eastAsia" w:cs="Times New Roman"/>
                      <w:color w:val="auto"/>
                      <w:kern w:val="2"/>
                      <w:sz w:val="21"/>
                      <w:szCs w:val="21"/>
                      <w:highlight w:val="none"/>
                      <w:lang w:val="en-US" w:eastAsia="zh-CN"/>
                    </w:rPr>
                    <w:t>废水处理设施</w:t>
                  </w:r>
                </w:p>
              </w:tc>
              <w:tc>
                <w:tcPr>
                  <w:tcW w:w="1368" w:type="pct"/>
                  <w:vAlign w:val="center"/>
                </w:tcPr>
                <w:p w14:paraId="236D7F14">
                  <w:pPr>
                    <w:pStyle w:val="60"/>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jc w:val="center"/>
                    <w:textAlignment w:val="center"/>
                    <w:outlineLvl w:val="9"/>
                    <w:rPr>
                      <w:rFonts w:hint="default" w:ascii="Times New Roman" w:hAnsi="Times New Roman" w:cs="Times New Roman"/>
                      <w:color w:val="auto"/>
                      <w:kern w:val="2"/>
                      <w:highlight w:val="none"/>
                      <w:lang w:val="en-US" w:eastAsia="zh-CN"/>
                    </w:rPr>
                  </w:pPr>
                  <w:r>
                    <w:rPr>
                      <w:rFonts w:hint="eastAsia"/>
                      <w:color w:val="auto"/>
                      <w:kern w:val="2"/>
                      <w:highlight w:val="none"/>
                    </w:rPr>
                    <w:t>硫化氢、氨、臭气浓度</w:t>
                  </w:r>
                </w:p>
              </w:tc>
              <w:tc>
                <w:tcPr>
                  <w:tcW w:w="1940" w:type="pct"/>
                  <w:vAlign w:val="center"/>
                </w:tcPr>
                <w:p w14:paraId="1A3370A9">
                  <w:pPr>
                    <w:pStyle w:val="60"/>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jc w:val="center"/>
                    <w:textAlignment w:val="center"/>
                    <w:outlineLvl w:val="9"/>
                    <w:rPr>
                      <w:rFonts w:hint="default" w:ascii="Times New Roman" w:hAnsi="Times New Roman" w:cs="Times New Roman"/>
                      <w:color w:val="auto"/>
                      <w:kern w:val="2"/>
                      <w:sz w:val="21"/>
                      <w:szCs w:val="21"/>
                      <w:highlight w:val="none"/>
                      <w:lang w:eastAsia="zh-CN"/>
                    </w:rPr>
                  </w:pPr>
                  <w:r>
                    <w:rPr>
                      <w:rFonts w:hint="eastAsia"/>
                      <w:color w:val="auto"/>
                      <w:kern w:val="2"/>
                      <w:highlight w:val="none"/>
                    </w:rPr>
                    <w:t>硫化氢、氨、臭气浓度</w:t>
                  </w:r>
                </w:p>
              </w:tc>
            </w:tr>
            <w:tr w14:paraId="63C87C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 w:hRule="atLeast"/>
              </w:trPr>
              <w:tc>
                <w:tcPr>
                  <w:tcW w:w="400" w:type="pct"/>
                  <w:vAlign w:val="center"/>
                </w:tcPr>
                <w:p w14:paraId="7EE500A9">
                  <w:pPr>
                    <w:pStyle w:val="60"/>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噪声</w:t>
                  </w:r>
                </w:p>
              </w:tc>
              <w:tc>
                <w:tcPr>
                  <w:tcW w:w="1291" w:type="pct"/>
                  <w:vAlign w:val="center"/>
                </w:tcPr>
                <w:p w14:paraId="3953F105">
                  <w:pPr>
                    <w:pStyle w:val="60"/>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生产设备、辅助设备</w:t>
                  </w:r>
                </w:p>
              </w:tc>
              <w:tc>
                <w:tcPr>
                  <w:tcW w:w="1368" w:type="pct"/>
                  <w:vAlign w:val="center"/>
                </w:tcPr>
                <w:p w14:paraId="28DC2F18">
                  <w:pPr>
                    <w:pStyle w:val="60"/>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噪声</w:t>
                  </w:r>
                </w:p>
              </w:tc>
              <w:tc>
                <w:tcPr>
                  <w:tcW w:w="1940" w:type="pct"/>
                  <w:vAlign w:val="center"/>
                </w:tcPr>
                <w:p w14:paraId="039C2CAF">
                  <w:pPr>
                    <w:pStyle w:val="60"/>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设备噪声</w:t>
                  </w:r>
                </w:p>
              </w:tc>
            </w:tr>
            <w:tr w14:paraId="304119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6" w:hRule="atLeast"/>
              </w:trPr>
              <w:tc>
                <w:tcPr>
                  <w:tcW w:w="400" w:type="pct"/>
                  <w:vMerge w:val="restart"/>
                  <w:vAlign w:val="center"/>
                </w:tcPr>
                <w:p w14:paraId="0A5133C8">
                  <w:pPr>
                    <w:pStyle w:val="60"/>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固体废物</w:t>
                  </w:r>
                </w:p>
              </w:tc>
              <w:tc>
                <w:tcPr>
                  <w:tcW w:w="1291" w:type="pct"/>
                  <w:vAlign w:val="center"/>
                </w:tcPr>
                <w:p w14:paraId="63861FB9">
                  <w:pPr>
                    <w:pStyle w:val="60"/>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办公生活</w:t>
                  </w:r>
                </w:p>
              </w:tc>
              <w:tc>
                <w:tcPr>
                  <w:tcW w:w="1368" w:type="pct"/>
                  <w:vAlign w:val="center"/>
                </w:tcPr>
                <w:p w14:paraId="64AB00F2">
                  <w:pPr>
                    <w:pStyle w:val="60"/>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生活垃圾</w:t>
                  </w:r>
                </w:p>
              </w:tc>
              <w:tc>
                <w:tcPr>
                  <w:tcW w:w="1940" w:type="pct"/>
                  <w:vAlign w:val="center"/>
                </w:tcPr>
                <w:p w14:paraId="53CE5EFA">
                  <w:pPr>
                    <w:pStyle w:val="60"/>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废纸、果皮、塑料等</w:t>
                  </w:r>
                </w:p>
              </w:tc>
            </w:tr>
            <w:tr w14:paraId="42524B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trPr>
              <w:tc>
                <w:tcPr>
                  <w:tcW w:w="400" w:type="pct"/>
                  <w:vMerge w:val="continue"/>
                  <w:vAlign w:val="center"/>
                </w:tcPr>
                <w:p w14:paraId="600352B6">
                  <w:pPr>
                    <w:pStyle w:val="60"/>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p>
              </w:tc>
              <w:tc>
                <w:tcPr>
                  <w:tcW w:w="1291" w:type="pct"/>
                  <w:vAlign w:val="center"/>
                </w:tcPr>
                <w:p w14:paraId="5DD8AFCB">
                  <w:pPr>
                    <w:pStyle w:val="60"/>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污水处理设施</w:t>
                  </w:r>
                </w:p>
              </w:tc>
              <w:tc>
                <w:tcPr>
                  <w:tcW w:w="1368" w:type="pct"/>
                  <w:vAlign w:val="center"/>
                </w:tcPr>
                <w:p w14:paraId="6B35E214">
                  <w:pPr>
                    <w:pStyle w:val="60"/>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污水处理</w:t>
                  </w:r>
                </w:p>
              </w:tc>
              <w:tc>
                <w:tcPr>
                  <w:tcW w:w="1940" w:type="pct"/>
                  <w:vAlign w:val="center"/>
                </w:tcPr>
                <w:p w14:paraId="24C32182">
                  <w:pPr>
                    <w:pStyle w:val="60"/>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eastAsia" w:ascii="Times New Roman" w:hAnsi="Times New Roman" w:eastAsia="宋体" w:cs="Times New Roman"/>
                      <w:color w:val="auto"/>
                      <w:kern w:val="2"/>
                      <w:sz w:val="21"/>
                      <w:szCs w:val="21"/>
                      <w:highlight w:val="none"/>
                      <w:lang w:eastAsia="zh-CN"/>
                    </w:rPr>
                  </w:pPr>
                  <w:r>
                    <w:rPr>
                      <w:rFonts w:hint="default" w:ascii="Times New Roman" w:hAnsi="Times New Roman" w:cs="Times New Roman"/>
                      <w:color w:val="auto"/>
                      <w:kern w:val="2"/>
                      <w:sz w:val="21"/>
                      <w:szCs w:val="21"/>
                      <w:highlight w:val="none"/>
                    </w:rPr>
                    <w:t>废水处理站污泥</w:t>
                  </w:r>
                  <w:r>
                    <w:rPr>
                      <w:rFonts w:hint="eastAsia" w:cs="Times New Roman"/>
                      <w:color w:val="auto"/>
                      <w:kern w:val="2"/>
                      <w:sz w:val="21"/>
                      <w:szCs w:val="21"/>
                      <w:highlight w:val="none"/>
                      <w:lang w:eastAsia="zh-CN"/>
                    </w:rPr>
                    <w:t>、</w:t>
                  </w:r>
                  <w:r>
                    <w:rPr>
                      <w:rFonts w:hint="default" w:ascii="Times New Roman" w:hAnsi="Times New Roman" w:cs="Times New Roman"/>
                      <w:color w:val="auto"/>
                      <w:kern w:val="2"/>
                      <w:sz w:val="21"/>
                      <w:szCs w:val="21"/>
                      <w:highlight w:val="none"/>
                      <w:lang w:val="en-US" w:eastAsia="zh-CN"/>
                    </w:rPr>
                    <w:t>pH调整剂包装桶</w:t>
                  </w:r>
                </w:p>
              </w:tc>
            </w:tr>
            <w:tr w14:paraId="47AB07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8" w:hRule="atLeast"/>
              </w:trPr>
              <w:tc>
                <w:tcPr>
                  <w:tcW w:w="400" w:type="pct"/>
                  <w:vMerge w:val="continue"/>
                  <w:vAlign w:val="center"/>
                </w:tcPr>
                <w:p w14:paraId="5198C917">
                  <w:pPr>
                    <w:pStyle w:val="60"/>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p>
              </w:tc>
              <w:tc>
                <w:tcPr>
                  <w:tcW w:w="1291" w:type="pct"/>
                  <w:vAlign w:val="center"/>
                </w:tcPr>
                <w:p w14:paraId="6E4B6A41">
                  <w:pPr>
                    <w:pStyle w:val="60"/>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生产车间</w:t>
                  </w:r>
                </w:p>
              </w:tc>
              <w:tc>
                <w:tcPr>
                  <w:tcW w:w="1368" w:type="pct"/>
                  <w:vAlign w:val="center"/>
                </w:tcPr>
                <w:p w14:paraId="295109C7">
                  <w:pPr>
                    <w:pStyle w:val="60"/>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生产过程</w:t>
                  </w:r>
                </w:p>
              </w:tc>
              <w:tc>
                <w:tcPr>
                  <w:tcW w:w="1940" w:type="pct"/>
                  <w:vAlign w:val="center"/>
                </w:tcPr>
                <w:p w14:paraId="587257A8">
                  <w:pPr>
                    <w:pStyle w:val="60"/>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lang w:val="en-US"/>
                    </w:rPr>
                  </w:pPr>
                  <w:r>
                    <w:rPr>
                      <w:rFonts w:hint="eastAsia" w:cs="Times New Roman"/>
                      <w:color w:val="auto"/>
                      <w:kern w:val="2"/>
                      <w:sz w:val="21"/>
                      <w:szCs w:val="21"/>
                      <w:highlight w:val="none"/>
                      <w:lang w:val="en-US" w:eastAsia="zh-CN"/>
                    </w:rPr>
                    <w:t>废木屑杂物、废橡胶</w:t>
                  </w:r>
                  <w:r>
                    <w:rPr>
                      <w:rFonts w:hint="default" w:ascii="Times New Roman" w:hAnsi="Times New Roman" w:cs="Times New Roman"/>
                      <w:b w:val="0"/>
                      <w:bCs w:val="0"/>
                      <w:color w:val="auto"/>
                      <w:kern w:val="2"/>
                      <w:sz w:val="21"/>
                      <w:szCs w:val="21"/>
                      <w:highlight w:val="none"/>
                      <w:lang w:eastAsia="zh-CN"/>
                    </w:rPr>
                    <w:t>、</w:t>
                  </w:r>
                  <w:r>
                    <w:rPr>
                      <w:rFonts w:hint="default" w:ascii="Times New Roman" w:hAnsi="Times New Roman" w:cs="Times New Roman"/>
                      <w:color w:val="auto"/>
                      <w:kern w:val="2"/>
                      <w:sz w:val="21"/>
                      <w:szCs w:val="21"/>
                      <w:highlight w:val="none"/>
                    </w:rPr>
                    <w:t>包装废料、废</w:t>
                  </w:r>
                  <w:r>
                    <w:rPr>
                      <w:rFonts w:hint="eastAsia" w:cs="Times New Roman"/>
                      <w:color w:val="auto"/>
                      <w:kern w:val="2"/>
                      <w:sz w:val="21"/>
                      <w:szCs w:val="21"/>
                      <w:highlight w:val="none"/>
                      <w:lang w:val="en-US" w:eastAsia="zh-CN"/>
                    </w:rPr>
                    <w:t>机</w:t>
                  </w:r>
                  <w:r>
                    <w:rPr>
                      <w:rFonts w:hint="default" w:ascii="Times New Roman" w:hAnsi="Times New Roman" w:cs="Times New Roman"/>
                      <w:color w:val="auto"/>
                      <w:kern w:val="2"/>
                      <w:sz w:val="21"/>
                      <w:szCs w:val="21"/>
                      <w:highlight w:val="none"/>
                    </w:rPr>
                    <w:t>油桶、废机油、</w:t>
                  </w:r>
                  <w:r>
                    <w:rPr>
                      <w:rFonts w:hint="eastAsia" w:cs="Times New Roman"/>
                      <w:color w:val="auto"/>
                      <w:kern w:val="2"/>
                      <w:sz w:val="21"/>
                      <w:szCs w:val="21"/>
                      <w:highlight w:val="none"/>
                      <w:lang w:val="en-US" w:eastAsia="zh-CN"/>
                    </w:rPr>
                    <w:t>含油废抹布、废烧碱包装袋、废柴油桶</w:t>
                  </w:r>
                </w:p>
              </w:tc>
            </w:tr>
            <w:tr w14:paraId="62834B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rPr>
              <w:tc>
                <w:tcPr>
                  <w:tcW w:w="400" w:type="pct"/>
                  <w:vMerge w:val="continue"/>
                  <w:vAlign w:val="center"/>
                </w:tcPr>
                <w:p w14:paraId="4EF1AFD5">
                  <w:pPr>
                    <w:pStyle w:val="60"/>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p>
              </w:tc>
              <w:tc>
                <w:tcPr>
                  <w:tcW w:w="1291" w:type="pct"/>
                  <w:vAlign w:val="center"/>
                </w:tcPr>
                <w:p w14:paraId="2D05E04D">
                  <w:pPr>
                    <w:pStyle w:val="60"/>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废气处理设施</w:t>
                  </w:r>
                </w:p>
              </w:tc>
              <w:tc>
                <w:tcPr>
                  <w:tcW w:w="1368" w:type="pct"/>
                  <w:vAlign w:val="center"/>
                </w:tcPr>
                <w:p w14:paraId="30E04118">
                  <w:pPr>
                    <w:pStyle w:val="60"/>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废气处理</w:t>
                  </w:r>
                </w:p>
              </w:tc>
              <w:tc>
                <w:tcPr>
                  <w:tcW w:w="1940" w:type="pct"/>
                  <w:vAlign w:val="center"/>
                </w:tcPr>
                <w:p w14:paraId="2E91F902">
                  <w:pPr>
                    <w:pStyle w:val="60"/>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rPr>
                    <w:t>废</w:t>
                  </w:r>
                  <w:r>
                    <w:rPr>
                      <w:rFonts w:hint="eastAsia" w:cs="Times New Roman"/>
                      <w:color w:val="auto"/>
                      <w:kern w:val="2"/>
                      <w:sz w:val="21"/>
                      <w:szCs w:val="21"/>
                      <w:highlight w:val="none"/>
                      <w:lang w:val="en-US" w:eastAsia="zh-CN"/>
                    </w:rPr>
                    <w:t>布袋、布袋收集粉尘</w:t>
                  </w:r>
                </w:p>
              </w:tc>
            </w:tr>
          </w:tbl>
          <w:p w14:paraId="3F7B7E97">
            <w:pPr>
              <w:pStyle w:val="12"/>
              <w:keepNext w:val="0"/>
              <w:keepLines w:val="0"/>
              <w:pageBreakBefore w:val="0"/>
              <w:suppressLineNumbers w:val="0"/>
              <w:kinsoku/>
              <w:overflowPunct/>
              <w:topLinePunct w:val="0"/>
              <w:bidi w:val="0"/>
              <w:snapToGrid/>
              <w:spacing w:before="0" w:beforeAutospacing="0" w:after="0" w:afterAutospacing="0"/>
              <w:ind w:left="0" w:right="0" w:firstLine="0" w:firstLineChars="0"/>
              <w:outlineLvl w:val="9"/>
              <w:rPr>
                <w:rFonts w:hint="default" w:ascii="Times New Roman" w:hAnsi="Times New Roman" w:cs="Times New Roman"/>
                <w:b/>
                <w:bCs/>
                <w:color w:val="auto"/>
                <w:sz w:val="21"/>
                <w:szCs w:val="21"/>
                <w:highlight w:val="none"/>
                <w:lang w:eastAsia="zh-CN"/>
              </w:rPr>
            </w:pPr>
          </w:p>
          <w:p w14:paraId="00D5E2E6">
            <w:pPr>
              <w:pStyle w:val="12"/>
              <w:keepNext w:val="0"/>
              <w:keepLines w:val="0"/>
              <w:pageBreakBefore w:val="0"/>
              <w:suppressLineNumbers w:val="0"/>
              <w:kinsoku/>
              <w:overflowPunct/>
              <w:topLinePunct w:val="0"/>
              <w:bidi w:val="0"/>
              <w:snapToGrid/>
              <w:spacing w:before="0" w:beforeAutospacing="0" w:after="0" w:afterAutospacing="0"/>
              <w:ind w:left="0" w:right="0" w:firstLine="0" w:firstLineChars="0"/>
              <w:outlineLvl w:val="9"/>
              <w:rPr>
                <w:rFonts w:hint="default" w:ascii="Times New Roman" w:hAnsi="Times New Roman" w:eastAsia="宋体" w:cs="Times New Roman"/>
                <w:b/>
                <w:bCs/>
                <w:color w:val="auto"/>
                <w:sz w:val="21"/>
                <w:szCs w:val="21"/>
                <w:highlight w:val="none"/>
                <w:lang w:val="en-US" w:eastAsia="zh-CN"/>
              </w:rPr>
            </w:pPr>
          </w:p>
        </w:tc>
      </w:tr>
      <w:tr w14:paraId="75B4E6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27" w:hRule="atLeast"/>
        </w:trPr>
        <w:tc>
          <w:tcPr>
            <w:tcW w:w="241" w:type="pct"/>
            <w:vAlign w:val="center"/>
          </w:tcPr>
          <w:p w14:paraId="41AFCB0C">
            <w:pPr>
              <w:keepNext/>
              <w:keepLines w:val="0"/>
              <w:pageBreakBefore w:val="0"/>
              <w:widowControl/>
              <w:numPr>
                <w:ilvl w:val="1"/>
                <w:numId w:val="0"/>
              </w:numPr>
              <w:suppressLineNumbers w:val="0"/>
              <w:tabs>
                <w:tab w:val="left" w:pos="420"/>
              </w:tabs>
              <w:kinsoku/>
              <w:wordWrap/>
              <w:overflowPunct/>
              <w:topLinePunct w:val="0"/>
              <w:autoSpaceDE/>
              <w:autoSpaceDN/>
              <w:bidi w:val="0"/>
              <w:adjustRightInd w:val="0"/>
              <w:snapToGrid w:val="0"/>
              <w:spacing w:before="0" w:beforeAutospacing="0" w:after="0" w:afterAutospacing="0"/>
              <w:ind w:left="0" w:right="0"/>
              <w:textAlignment w:val="auto"/>
              <w:outlineLvl w:val="9"/>
              <w:rPr>
                <w:rFonts w:hint="default" w:ascii="Times New Roman" w:hAnsi="Times New Roman" w:cs="Times New Roman"/>
                <w:color w:val="auto"/>
                <w:kern w:val="2"/>
                <w:highlight w:val="none"/>
              </w:rPr>
            </w:pPr>
            <w:bookmarkStart w:id="35" w:name="_Toc25856"/>
            <w:bookmarkStart w:id="36" w:name="_Toc5833"/>
            <w:bookmarkStart w:id="37" w:name="_Toc7720"/>
            <w:bookmarkStart w:id="38" w:name="_Toc8130"/>
            <w:bookmarkStart w:id="39" w:name="_Toc17328"/>
            <w:bookmarkStart w:id="40" w:name="_Toc11592"/>
            <w:bookmarkStart w:id="41" w:name="_Toc24696"/>
            <w:bookmarkStart w:id="42" w:name="_Toc2438"/>
            <w:bookmarkStart w:id="43" w:name="_Toc28399"/>
            <w:bookmarkStart w:id="44" w:name="_Toc7967"/>
            <w:bookmarkStart w:id="45" w:name="_Toc631"/>
            <w:bookmarkStart w:id="46" w:name="_Toc13420"/>
            <w:bookmarkStart w:id="47" w:name="_Toc5613"/>
            <w:bookmarkStart w:id="48" w:name="_Toc14546"/>
            <w:r>
              <w:rPr>
                <w:rFonts w:hint="default" w:ascii="Times New Roman" w:hAnsi="Times New Roman" w:cs="Times New Roman"/>
                <w:b/>
                <w:bCs/>
                <w:color w:val="auto"/>
                <w:kern w:val="2"/>
                <w:highlight w:val="none"/>
              </w:rPr>
              <w:t>与项目有关的原有环境污染问题</w:t>
            </w:r>
            <w:bookmarkEnd w:id="35"/>
            <w:bookmarkEnd w:id="36"/>
            <w:bookmarkEnd w:id="37"/>
            <w:bookmarkEnd w:id="38"/>
            <w:bookmarkEnd w:id="39"/>
            <w:bookmarkEnd w:id="40"/>
            <w:bookmarkEnd w:id="41"/>
            <w:bookmarkEnd w:id="42"/>
            <w:bookmarkEnd w:id="43"/>
            <w:bookmarkEnd w:id="44"/>
            <w:bookmarkEnd w:id="45"/>
            <w:bookmarkEnd w:id="46"/>
            <w:bookmarkEnd w:id="47"/>
            <w:bookmarkEnd w:id="48"/>
          </w:p>
        </w:tc>
        <w:tc>
          <w:tcPr>
            <w:tcW w:w="4758" w:type="pct"/>
            <w:vAlign w:val="center"/>
          </w:tcPr>
          <w:p w14:paraId="5B7AF5A1">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ind w:left="0" w:right="0" w:firstLine="480" w:firstLineChars="200"/>
              <w:textAlignment w:val="auto"/>
              <w:rPr>
                <w:rFonts w:hint="default" w:ascii="Times New Roman" w:hAnsi="Times New Roman" w:cs="Times New Roman"/>
                <w:color w:val="auto"/>
                <w:szCs w:val="21"/>
                <w:highlight w:val="none"/>
              </w:rPr>
            </w:pPr>
            <w:r>
              <w:rPr>
                <w:rFonts w:hint="default" w:ascii="Times New Roman" w:hAnsi="Times New Roman" w:cs="Times New Roman"/>
                <w:b/>
                <w:color w:val="auto"/>
                <w:szCs w:val="21"/>
                <w:highlight w:val="none"/>
              </w:rPr>
              <w:t>1.</w:t>
            </w:r>
            <w:r>
              <w:rPr>
                <w:rFonts w:hint="default" w:ascii="Times New Roman" w:hAnsi="Times New Roman" w:cs="Times New Roman"/>
                <w:b/>
                <w:color w:val="auto"/>
                <w:highlight w:val="none"/>
              </w:rPr>
              <w:t>与本项目有关的原有污染情况</w:t>
            </w:r>
          </w:p>
          <w:p w14:paraId="6B53BC07">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ind w:left="0" w:right="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本项目属新建项目，无与本项目有关的原有污染情况。</w:t>
            </w:r>
          </w:p>
          <w:p w14:paraId="423888E6">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ind w:left="0" w:right="0" w:firstLine="480" w:firstLineChars="200"/>
              <w:textAlignment w:val="auto"/>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2.园区现状污染源情况</w:t>
            </w:r>
          </w:p>
          <w:p w14:paraId="37334716">
            <w:pPr>
              <w:pStyle w:val="26"/>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right="0"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截至202</w:t>
            </w:r>
            <w:r>
              <w:rPr>
                <w:rFonts w:hint="eastAsia" w:ascii="Times New Roman" w:hAnsi="Times New Roman" w:cs="Times New Roman"/>
                <w:color w:val="auto"/>
                <w:sz w:val="24"/>
                <w:szCs w:val="24"/>
                <w:highlight w:val="none"/>
                <w:lang w:val="en-US" w:eastAsia="zh-CN"/>
              </w:rPr>
              <w:t>5</w:t>
            </w:r>
            <w:r>
              <w:rPr>
                <w:rFonts w:hint="default" w:ascii="Times New Roman" w:hAnsi="Times New Roman" w:cs="Times New Roman"/>
                <w:color w:val="auto"/>
                <w:sz w:val="24"/>
                <w:szCs w:val="24"/>
                <w:highlight w:val="none"/>
              </w:rPr>
              <w:t>年</w:t>
            </w:r>
            <w:r>
              <w:rPr>
                <w:rFonts w:hint="default" w:ascii="Times New Roman" w:hAnsi="Times New Roman" w:cs="Times New Roman"/>
                <w:color w:val="auto"/>
                <w:sz w:val="24"/>
                <w:szCs w:val="24"/>
                <w:highlight w:val="none"/>
                <w:lang w:val="en-US" w:eastAsia="zh-CN"/>
              </w:rPr>
              <w:t>12</w:t>
            </w:r>
            <w:r>
              <w:rPr>
                <w:rFonts w:hint="default" w:ascii="Times New Roman" w:hAnsi="Times New Roman" w:cs="Times New Roman"/>
                <w:color w:val="auto"/>
                <w:sz w:val="24"/>
                <w:szCs w:val="24"/>
                <w:highlight w:val="none"/>
              </w:rPr>
              <w:t>月，乐昌产业转移工业园范围内产业现状基本以工业产业为主，共涉及</w:t>
            </w:r>
            <w:r>
              <w:rPr>
                <w:rFonts w:hint="eastAsia" w:ascii="Times New Roman" w:hAnsi="Times New Roman" w:cs="Times New Roman"/>
                <w:color w:val="auto"/>
                <w:sz w:val="24"/>
                <w:szCs w:val="24"/>
                <w:highlight w:val="none"/>
                <w:lang w:val="en-US" w:eastAsia="zh-CN"/>
              </w:rPr>
              <w:t>103</w:t>
            </w:r>
            <w:r>
              <w:rPr>
                <w:rFonts w:hint="default" w:ascii="Times New Roman" w:hAnsi="Times New Roman" w:cs="Times New Roman"/>
                <w:color w:val="auto"/>
                <w:sz w:val="24"/>
                <w:szCs w:val="24"/>
                <w:highlight w:val="none"/>
              </w:rPr>
              <w:t>家企业，其中1家（圣大木业）已经停产。本评价根据环评情况和建设生产情况，将企业分为已建、在建、停产三大类：已建企业为已经投产运行或正在试运行的企业；在建企业为已通过环评，正在建设的企业；停产企业为已经建成，但停产的企业。根据分类，已建企业</w:t>
            </w:r>
            <w:r>
              <w:rPr>
                <w:rFonts w:hint="default" w:ascii="Times New Roman" w:hAnsi="Times New Roman" w:cs="Times New Roman"/>
                <w:color w:val="auto"/>
                <w:sz w:val="24"/>
                <w:szCs w:val="24"/>
                <w:highlight w:val="none"/>
                <w:lang w:val="en-US" w:eastAsia="zh-CN"/>
              </w:rPr>
              <w:t>40</w:t>
            </w:r>
            <w:r>
              <w:rPr>
                <w:rFonts w:hint="default" w:ascii="Times New Roman" w:hAnsi="Times New Roman" w:cs="Times New Roman"/>
                <w:color w:val="auto"/>
                <w:sz w:val="24"/>
                <w:szCs w:val="24"/>
                <w:highlight w:val="none"/>
              </w:rPr>
              <w:t>家，在建企业5</w:t>
            </w:r>
            <w:r>
              <w:rPr>
                <w:rFonts w:hint="default" w:ascii="Times New Roman" w:hAnsi="Times New Roman" w:cs="Times New Roman"/>
                <w:color w:val="auto"/>
                <w:sz w:val="24"/>
                <w:szCs w:val="24"/>
                <w:highlight w:val="none"/>
                <w:lang w:val="en-US" w:eastAsia="zh-CN"/>
              </w:rPr>
              <w:t>7</w:t>
            </w:r>
            <w:r>
              <w:rPr>
                <w:rFonts w:hint="default" w:ascii="Times New Roman" w:hAnsi="Times New Roman" w:cs="Times New Roman"/>
                <w:color w:val="auto"/>
                <w:sz w:val="24"/>
                <w:szCs w:val="24"/>
                <w:highlight w:val="none"/>
              </w:rPr>
              <w:t>家，停产企业1家。产业园内企业情况详见</w:t>
            </w:r>
            <w:r>
              <w:rPr>
                <w:rFonts w:hint="default" w:ascii="Times New Roman" w:hAnsi="Times New Roman" w:cs="Times New Roman"/>
                <w:color w:val="auto"/>
                <w:sz w:val="24"/>
                <w:szCs w:val="24"/>
                <w:highlight w:val="none"/>
                <w:lang w:val="en-US" w:eastAsia="zh-CN"/>
              </w:rPr>
              <w:t>下</w:t>
            </w:r>
            <w:r>
              <w:rPr>
                <w:rFonts w:hint="default" w:ascii="Times New Roman" w:hAnsi="Times New Roman" w:cs="Times New Roman"/>
                <w:color w:val="auto"/>
                <w:sz w:val="24"/>
                <w:szCs w:val="24"/>
                <w:highlight w:val="none"/>
              </w:rPr>
              <w:t>表。</w:t>
            </w:r>
          </w:p>
          <w:p w14:paraId="637E03D6">
            <w:pPr>
              <w:pStyle w:val="107"/>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园区通过环评审批企业情况统计</w:t>
            </w:r>
          </w:p>
          <w:tbl>
            <w:tblPr>
              <w:tblStyle w:val="3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64"/>
              <w:gridCol w:w="669"/>
              <w:gridCol w:w="1611"/>
              <w:gridCol w:w="1626"/>
              <w:gridCol w:w="2066"/>
              <w:gridCol w:w="818"/>
              <w:gridCol w:w="2026"/>
            </w:tblGrid>
            <w:tr w14:paraId="17180F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76E8B834">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b/>
                      <w:bCs/>
                      <w:color w:val="auto"/>
                      <w:kern w:val="0"/>
                      <w:sz w:val="21"/>
                      <w:szCs w:val="21"/>
                      <w:highlight w:val="none"/>
                    </w:rPr>
                  </w:pPr>
                  <w:bookmarkStart w:id="49" w:name="_Ref11703236"/>
                  <w:r>
                    <w:rPr>
                      <w:rFonts w:hint="default" w:ascii="Times New Roman" w:hAnsi="Times New Roman" w:cs="Times New Roman"/>
                      <w:b/>
                      <w:bCs/>
                      <w:color w:val="auto"/>
                      <w:sz w:val="21"/>
                      <w:szCs w:val="21"/>
                      <w:highlight w:val="none"/>
                    </w:rPr>
                    <w:t>序号</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1F4C1828">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状态</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705144B">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行业类别</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5000C1E">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lang w:eastAsia="zh-CN"/>
                    </w:rPr>
                    <w:t>企业</w:t>
                  </w:r>
                  <w:r>
                    <w:rPr>
                      <w:rFonts w:hint="default" w:ascii="Times New Roman" w:hAnsi="Times New Roman" w:cs="Times New Roman"/>
                      <w:b/>
                      <w:bCs/>
                      <w:color w:val="auto"/>
                      <w:sz w:val="21"/>
                      <w:szCs w:val="21"/>
                      <w:highlight w:val="none"/>
                    </w:rPr>
                    <w:t>名称</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31678A6A">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主要产品及规模</w:t>
                  </w:r>
                </w:p>
              </w:tc>
              <w:tc>
                <w:tcPr>
                  <w:tcW w:w="818"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3F344020">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b/>
                      <w:bCs/>
                      <w:color w:val="auto"/>
                      <w:sz w:val="21"/>
                      <w:szCs w:val="21"/>
                      <w:highlight w:val="none"/>
                    </w:rPr>
                  </w:pPr>
                  <w:r>
                    <w:rPr>
                      <w:rStyle w:val="97"/>
                      <w:rFonts w:hint="default" w:ascii="Times New Roman" w:hAnsi="Times New Roman" w:cs="Times New Roman"/>
                      <w:b/>
                      <w:bCs/>
                      <w:color w:val="auto"/>
                      <w:highlight w:val="none"/>
                    </w:rPr>
                    <w:t>面积（m</w:t>
                  </w:r>
                  <w:r>
                    <w:rPr>
                      <w:rStyle w:val="98"/>
                      <w:rFonts w:hint="default" w:ascii="Times New Roman" w:hAnsi="Times New Roman" w:cs="Times New Roman"/>
                      <w:b/>
                      <w:bCs/>
                      <w:color w:val="auto"/>
                      <w:highlight w:val="none"/>
                    </w:rPr>
                    <w:t>2</w:t>
                  </w:r>
                  <w:r>
                    <w:rPr>
                      <w:rStyle w:val="97"/>
                      <w:rFonts w:hint="default" w:ascii="Times New Roman" w:hAnsi="Times New Roman" w:cs="Times New Roman"/>
                      <w:b/>
                      <w:bCs/>
                      <w:color w:val="auto"/>
                      <w:highlight w:val="none"/>
                    </w:rPr>
                    <w:t>）</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2A0D2D8">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环评审批文号</w:t>
                  </w:r>
                </w:p>
              </w:tc>
            </w:tr>
            <w:tr w14:paraId="6FBD9B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18A0C35F">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1</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EAA1B65">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0AE98DF">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钢铁铸件制造</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638543D">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乐昌市明俊铸造有限公司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3BFFF8EC">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年产3000吨机械铸件</w:t>
                  </w:r>
                </w:p>
              </w:tc>
              <w:tc>
                <w:tcPr>
                  <w:tcW w:w="818"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C795851">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26000</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E80F90D">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乐环函〔2008〕12号、乐环审</w:t>
                  </w:r>
                  <w:r>
                    <w:rPr>
                      <w:rFonts w:hint="default" w:ascii="Times New Roman" w:hAnsi="Times New Roman" w:cs="Times New Roman"/>
                      <w:color w:val="auto"/>
                      <w:sz w:val="21"/>
                      <w:szCs w:val="21"/>
                      <w:highlight w:val="none"/>
                      <w:lang w:eastAsia="zh-CN"/>
                    </w:rPr>
                    <w:t>〔2018〕38号</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〔2022〕14号</w:t>
                  </w:r>
                </w:p>
              </w:tc>
            </w:tr>
            <w:tr w14:paraId="6A109A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3C876AE7">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2</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7D66D0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83373F2">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齿轮、传动和驱动部件的制造</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172920E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广东省第二农机厂</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0AEFB253">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工程机械2500台、15万件齿轮配件</w:t>
                  </w:r>
                </w:p>
              </w:tc>
              <w:tc>
                <w:tcPr>
                  <w:tcW w:w="818"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F001C5A">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35070</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32AEDEC9">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乐环函〔2011〕8号</w:t>
                  </w:r>
                </w:p>
              </w:tc>
            </w:tr>
            <w:tr w14:paraId="62FD82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6DEFB414">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3</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E5E2296">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9FC084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钢铁铸件制造</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FA45D11">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乐昌市金信工业有限公司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95B8C30">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年产5000件阀门</w:t>
                  </w:r>
                </w:p>
              </w:tc>
              <w:tc>
                <w:tcPr>
                  <w:tcW w:w="818"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55CB408">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33335</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01AC0082">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乐环函〔2009〕94号</w:t>
                  </w:r>
                </w:p>
              </w:tc>
            </w:tr>
            <w:tr w14:paraId="3784EB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0272E38C">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4</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744D118">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9D5DFA1">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机械制造</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32DCDD5">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乐昌市泰邦重型机械制造有限公司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0B2D44D5">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年产6000吨铸件</w:t>
                  </w:r>
                </w:p>
              </w:tc>
              <w:tc>
                <w:tcPr>
                  <w:tcW w:w="818"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3EAB507">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35335</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2744C5C">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乐环函〔2011〕25号、乐环审</w:t>
                  </w:r>
                  <w:r>
                    <w:rPr>
                      <w:rFonts w:hint="default" w:ascii="Times New Roman" w:hAnsi="Times New Roman" w:cs="Times New Roman"/>
                      <w:color w:val="auto"/>
                      <w:sz w:val="21"/>
                      <w:szCs w:val="21"/>
                      <w:highlight w:val="none"/>
                      <w:lang w:eastAsia="zh-CN"/>
                    </w:rPr>
                    <w:t>〔2018〕17号</w:t>
                  </w:r>
                </w:p>
              </w:tc>
            </w:tr>
            <w:tr w14:paraId="65FCEE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69C56341">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5</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38AB08F">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9311F13">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其他电子设备制造</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11B39DDC">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乐昌市中嘉电子科技有限公司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697C093">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年产9亿只铝电解电容器</w:t>
                  </w:r>
                </w:p>
              </w:tc>
              <w:tc>
                <w:tcPr>
                  <w:tcW w:w="818"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341D795">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20500</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0B3DE8CC">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乐环函〔2011〕98号</w:t>
                  </w:r>
                </w:p>
              </w:tc>
            </w:tr>
            <w:tr w14:paraId="05F9AF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287F2023">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6</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9FF516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4E203C0">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其他电子设备制造</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E6E3014">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韶关欧亚特电子制品有限公司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3D4C628">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年加工3500万支热熔胶枪、1000万根插头线</w:t>
                  </w:r>
                </w:p>
              </w:tc>
              <w:tc>
                <w:tcPr>
                  <w:tcW w:w="818"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18D4D5D6">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18664</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3D5F65E0">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乐环函〔2011〕79号、乐环审</w:t>
                  </w:r>
                  <w:r>
                    <w:rPr>
                      <w:rFonts w:hint="default" w:ascii="Times New Roman" w:hAnsi="Times New Roman" w:cs="Times New Roman"/>
                      <w:color w:val="auto"/>
                      <w:sz w:val="21"/>
                      <w:szCs w:val="21"/>
                      <w:highlight w:val="none"/>
                      <w:lang w:eastAsia="zh-CN"/>
                    </w:rPr>
                    <w:t>〔2018〕52号</w:t>
                  </w:r>
                  <w:r>
                    <w:rPr>
                      <w:rFonts w:hint="default" w:ascii="Times New Roman" w:hAnsi="Times New Roman" w:cs="Times New Roman"/>
                      <w:color w:val="auto"/>
                      <w:sz w:val="21"/>
                      <w:szCs w:val="21"/>
                      <w:highlight w:val="none"/>
                    </w:rPr>
                    <w:t>、乐环审</w:t>
                  </w:r>
                  <w:r>
                    <w:rPr>
                      <w:rFonts w:hint="default" w:ascii="Times New Roman" w:hAnsi="Times New Roman" w:cs="Times New Roman"/>
                      <w:color w:val="auto"/>
                      <w:sz w:val="21"/>
                      <w:szCs w:val="21"/>
                      <w:highlight w:val="none"/>
                      <w:lang w:eastAsia="zh-CN"/>
                    </w:rPr>
                    <w:t>〔2020〕5号</w:t>
                  </w:r>
                </w:p>
              </w:tc>
            </w:tr>
            <w:tr w14:paraId="6B235E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0E5F35C3">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7</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A0ED487">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1E330C36">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粮食及饲料加工</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0B40DEA4">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广东利生源生物饲料有限公司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DF97100">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年产10800吨优能乳、3000吨利生宝（加钙生物质饲料）</w:t>
                  </w:r>
                </w:p>
              </w:tc>
              <w:tc>
                <w:tcPr>
                  <w:tcW w:w="818"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703FDEC">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10700</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EE2FFA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乐环函〔2011〕103号</w:t>
                  </w:r>
                </w:p>
              </w:tc>
            </w:tr>
            <w:tr w14:paraId="670BD9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39103C1F">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8</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1AFDE7C">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43D60A0">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其他金属加工机械制造</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83DDFBA">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乐昌市缔恒科技有限公司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CF36AD6">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年产50万片金刚石复合片</w:t>
                  </w:r>
                </w:p>
              </w:tc>
              <w:tc>
                <w:tcPr>
                  <w:tcW w:w="818"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1168771">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5000</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1BC59F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乐环函〔2009〕16号</w:t>
                  </w:r>
                </w:p>
              </w:tc>
            </w:tr>
            <w:tr w14:paraId="58F269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772C51BA">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9</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164946CC">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F551E69">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水泥制品制造</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12F57FD4">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乐昌市建强混凝土有限公司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020C59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年产60万m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商品混凝土建设项目、年扩建30万m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商品混凝土</w:t>
                  </w:r>
                </w:p>
              </w:tc>
              <w:tc>
                <w:tcPr>
                  <w:tcW w:w="818"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52AB312">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2000</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8883362">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乐环函〔2012〕104号、乐环函〔2013〕94号</w:t>
                  </w:r>
                </w:p>
              </w:tc>
            </w:tr>
            <w:tr w14:paraId="42D841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330A26D4">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10</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F516960">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0127F6B6">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其他环境治理</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FD9B59C">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东莞东坑（乐昌）产业转移园污水处理厂</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7A9F9A0">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处理水量10000m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/d</w:t>
                  </w:r>
                </w:p>
              </w:tc>
              <w:tc>
                <w:tcPr>
                  <w:tcW w:w="818"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598016F">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15400</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094AFCA8">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乐环函〔2010〕107号</w:t>
                  </w:r>
                </w:p>
              </w:tc>
            </w:tr>
            <w:tr w14:paraId="05A5FA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1FD06578">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11</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52DB0A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11FAB59">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自来水的生产和供应</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501F9F8">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乐昌市自来水有限公司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A97BCFD">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加压泵站建设，供应水量5000m</w:t>
                  </w:r>
                  <w:r>
                    <w:rPr>
                      <w:rFonts w:hint="default" w:ascii="Times New Roman" w:hAnsi="Times New Roman" w:cs="Times New Roman"/>
                      <w:color w:val="auto"/>
                      <w:sz w:val="21"/>
                      <w:szCs w:val="21"/>
                      <w:highlight w:val="none"/>
                      <w:vertAlign w:val="superscript"/>
                    </w:rPr>
                    <w:t>3</w:t>
                  </w:r>
                </w:p>
              </w:tc>
              <w:tc>
                <w:tcPr>
                  <w:tcW w:w="818"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1581DF9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9303.8</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2650801">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乐环函〔2012〕103号</w:t>
                  </w:r>
                </w:p>
              </w:tc>
            </w:tr>
            <w:tr w14:paraId="717B88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043AA387">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12</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84BBBAF">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3A54283">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钢铁铸件制造</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007FB88">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韶关邵瑞铸钢有限公司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1FF94C23">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年产1万吨铸钢件、1000吨铸铁件</w:t>
                  </w:r>
                </w:p>
              </w:tc>
              <w:tc>
                <w:tcPr>
                  <w:tcW w:w="818"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08BD05B6">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75085</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CF1C5D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乐环函〔2011〕163号、乐环审</w:t>
                  </w:r>
                  <w:r>
                    <w:rPr>
                      <w:rFonts w:hint="default" w:ascii="Times New Roman" w:hAnsi="Times New Roman" w:cs="Times New Roman"/>
                      <w:color w:val="auto"/>
                      <w:sz w:val="21"/>
                      <w:szCs w:val="21"/>
                      <w:highlight w:val="none"/>
                      <w:lang w:eastAsia="zh-CN"/>
                    </w:rPr>
                    <w:t>〔2018〕19号</w:t>
                  </w:r>
                </w:p>
              </w:tc>
            </w:tr>
            <w:tr w14:paraId="28FCE4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5FEC2453">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13</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BDD7A06">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550D46D">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纺织专用设备制造</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408B8B2">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韶关安拓机械实业有限公司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B79305F">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年产240台椭圆型印花机</w:t>
                  </w:r>
                </w:p>
              </w:tc>
              <w:tc>
                <w:tcPr>
                  <w:tcW w:w="818"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192DDF0F">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37456</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4432EA6">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乐环函〔2012〕4号</w:t>
                  </w:r>
                </w:p>
              </w:tc>
            </w:tr>
            <w:tr w14:paraId="4F0CB8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5C1D3414">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14</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3226F1F">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1ABCDBAF">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金属结构制造</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FF49D06">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乐昌市盛昌钢结构有限公司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3F0E034">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年加工500吨钢结构</w:t>
                  </w:r>
                </w:p>
              </w:tc>
              <w:tc>
                <w:tcPr>
                  <w:tcW w:w="818"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F9E47F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9000</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133CB82F">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乐环函〔2011〕80号</w:t>
                  </w:r>
                </w:p>
              </w:tc>
            </w:tr>
            <w:tr w14:paraId="20AF21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2265786E">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15</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FDDA188">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0153EFF2">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钢铁铸件制造</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12841179">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乐昌市昌兴机械制造有限公司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CC3289F">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年生产铸铁金属件18000吨</w:t>
                  </w:r>
                </w:p>
              </w:tc>
              <w:tc>
                <w:tcPr>
                  <w:tcW w:w="818"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0FA65327">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27000</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D73F84F">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乐环函〔2009〕36号</w:t>
                  </w:r>
                </w:p>
              </w:tc>
            </w:tr>
            <w:tr w14:paraId="4F9F72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50C55C41">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16</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47ED8F9">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B7F84F5">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棉、化纤纺织加工</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EFE008A">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乐昌市利生纺织公司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8B42FC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年产高档精馏棉纱41800吨、高档气流纺棉纱6000吨</w:t>
                  </w:r>
                </w:p>
              </w:tc>
              <w:tc>
                <w:tcPr>
                  <w:tcW w:w="818"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660F6F8">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266400</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0E5F0D07">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乐环函〔2011〕135号</w:t>
                  </w:r>
                </w:p>
              </w:tc>
            </w:tr>
            <w:tr w14:paraId="1C06DE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08D01173">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17</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22B09B4">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87AC29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隔热和隔音材料制造</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0FD808E5">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乐昌市昌龙塑料制造有限公司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59FC0F3">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年产7万立方米挤塑式聚苯乙烯泡沫板</w:t>
                  </w:r>
                </w:p>
              </w:tc>
              <w:tc>
                <w:tcPr>
                  <w:tcW w:w="818"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37BFCD9">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23571</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1990B361">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乐环函〔2013〕143号</w:t>
                  </w:r>
                </w:p>
              </w:tc>
            </w:tr>
            <w:tr w14:paraId="3819EF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5BB6D091">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18</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8AD4DC7">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16F5B329">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燃气生产和供应业</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3DDC30A">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乐昌市安顺达管道天然气有限公司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400D798">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加气站设计规模为15000万m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/a</w:t>
                  </w:r>
                </w:p>
              </w:tc>
              <w:tc>
                <w:tcPr>
                  <w:tcW w:w="818"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3985A6DC">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20080</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05D3AA7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乐环函〔2012〕53号</w:t>
                  </w:r>
                </w:p>
              </w:tc>
            </w:tr>
            <w:tr w14:paraId="2C947C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1154E957">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19</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16D9F17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停产</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BB58F1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木制品制造</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75DB2B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乐昌市圣大木业有限公司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4699795">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年产5万m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中密度纤维板</w:t>
                  </w:r>
                </w:p>
              </w:tc>
              <w:tc>
                <w:tcPr>
                  <w:tcW w:w="818"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EF2444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62000</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5F844B0">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韶环审</w:t>
                  </w:r>
                  <w:r>
                    <w:rPr>
                      <w:rFonts w:hint="default" w:ascii="Times New Roman" w:hAnsi="Times New Roman" w:cs="Times New Roman"/>
                      <w:color w:val="auto"/>
                      <w:sz w:val="21"/>
                      <w:szCs w:val="21"/>
                      <w:highlight w:val="none"/>
                      <w:lang w:eastAsia="zh-CN"/>
                    </w:rPr>
                    <w:t>〔2008〕130号</w:t>
                  </w:r>
                </w:p>
              </w:tc>
            </w:tr>
            <w:tr w14:paraId="7E5DFE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6C412E83">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20</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C42272F">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C9B4073">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其他通用设备制造业</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0F773CE1">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广东科优精密机械制造有限公司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3591ACC7">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年产5000t/a电磁阀用汇流板</w:t>
                  </w:r>
                </w:p>
              </w:tc>
              <w:tc>
                <w:tcPr>
                  <w:tcW w:w="818"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B3F3D1A">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31EE474">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乐环审</w:t>
                  </w:r>
                  <w:r>
                    <w:rPr>
                      <w:rFonts w:hint="default" w:ascii="Times New Roman" w:hAnsi="Times New Roman" w:cs="Times New Roman"/>
                      <w:color w:val="auto"/>
                      <w:sz w:val="21"/>
                      <w:szCs w:val="21"/>
                      <w:highlight w:val="none"/>
                      <w:lang w:eastAsia="zh-CN"/>
                    </w:rPr>
                    <w:t>〔2017〕</w:t>
                  </w:r>
                  <w:r>
                    <w:rPr>
                      <w:rFonts w:hint="default" w:ascii="Times New Roman" w:hAnsi="Times New Roman" w:cs="Times New Roman"/>
                      <w:color w:val="auto"/>
                      <w:sz w:val="21"/>
                      <w:szCs w:val="21"/>
                      <w:highlight w:val="none"/>
                      <w:lang w:val="en-US" w:eastAsia="zh-CN"/>
                    </w:rPr>
                    <w:t>0</w:t>
                  </w:r>
                  <w:r>
                    <w:rPr>
                      <w:rFonts w:hint="default" w:ascii="Times New Roman" w:hAnsi="Times New Roman" w:cs="Times New Roman"/>
                      <w:color w:val="auto"/>
                      <w:sz w:val="21"/>
                      <w:szCs w:val="21"/>
                      <w:highlight w:val="none"/>
                      <w:lang w:eastAsia="zh-CN"/>
                    </w:rPr>
                    <w:t>3号</w:t>
                  </w:r>
                  <w:r>
                    <w:rPr>
                      <w:rFonts w:hint="default" w:ascii="Times New Roman" w:hAnsi="Times New Roman" w:cs="Times New Roman"/>
                      <w:color w:val="auto"/>
                      <w:sz w:val="21"/>
                      <w:szCs w:val="21"/>
                      <w:highlight w:val="none"/>
                    </w:rPr>
                    <w:t>、乐环审</w:t>
                  </w:r>
                  <w:r>
                    <w:rPr>
                      <w:rFonts w:hint="default" w:ascii="Times New Roman" w:hAnsi="Times New Roman" w:cs="Times New Roman"/>
                      <w:color w:val="auto"/>
                      <w:sz w:val="21"/>
                      <w:szCs w:val="21"/>
                      <w:highlight w:val="none"/>
                      <w:lang w:eastAsia="zh-CN"/>
                    </w:rPr>
                    <w:t>〔2018〕24号</w:t>
                  </w:r>
                </w:p>
              </w:tc>
            </w:tr>
            <w:tr w14:paraId="0835C5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41B14D04">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21</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A73FBC0">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13BE4B95">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新型艺术装饰品</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59248D5">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欧昊科技（韶关）有限公司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3D919977">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1500t/aPU装饰线条和250t/a聚氨酯装饰制品</w:t>
                  </w:r>
                </w:p>
              </w:tc>
              <w:tc>
                <w:tcPr>
                  <w:tcW w:w="818"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7062A10">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24875.4</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0312BB03">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乐环审</w:t>
                  </w:r>
                  <w:r>
                    <w:rPr>
                      <w:rFonts w:hint="default" w:ascii="Times New Roman" w:hAnsi="Times New Roman" w:cs="Times New Roman"/>
                      <w:color w:val="auto"/>
                      <w:sz w:val="21"/>
                      <w:szCs w:val="21"/>
                      <w:highlight w:val="none"/>
                      <w:lang w:eastAsia="zh-CN"/>
                    </w:rPr>
                    <w:t>〔2017〕34号</w:t>
                  </w:r>
                </w:p>
              </w:tc>
            </w:tr>
            <w:tr w14:paraId="19A7AE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70EAB407">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22</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8C09092">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961CC23">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新型艺术装饰品</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836EA53">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乐昌市华国艺术装饰建材有限公司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D2A93CA">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1500t/aPU装饰线条和250t/a聚氨酯装饰制品</w:t>
                  </w:r>
                </w:p>
              </w:tc>
              <w:tc>
                <w:tcPr>
                  <w:tcW w:w="818"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BD4CC18">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27375.05</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7976AA6">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乐环审</w:t>
                  </w:r>
                  <w:r>
                    <w:rPr>
                      <w:rFonts w:hint="default" w:ascii="Times New Roman" w:hAnsi="Times New Roman" w:cs="Times New Roman"/>
                      <w:color w:val="auto"/>
                      <w:sz w:val="21"/>
                      <w:szCs w:val="21"/>
                      <w:highlight w:val="none"/>
                      <w:lang w:eastAsia="zh-CN"/>
                    </w:rPr>
                    <w:t>〔2017〕35号</w:t>
                  </w:r>
                </w:p>
              </w:tc>
            </w:tr>
            <w:tr w14:paraId="6B774E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vMerge w:val="restart"/>
                  <w:tcBorders>
                    <w:top w:val="single" w:color="auto" w:sz="4" w:space="0"/>
                    <w:left w:val="single" w:color="auto" w:sz="4" w:space="0"/>
                    <w:right w:val="single" w:color="auto" w:sz="4" w:space="0"/>
                  </w:tcBorders>
                  <w:tcMar>
                    <w:top w:w="15" w:type="dxa"/>
                    <w:left w:w="15" w:type="dxa"/>
                    <w:bottom w:w="0" w:type="dxa"/>
                    <w:right w:w="15" w:type="dxa"/>
                  </w:tcMar>
                  <w:vAlign w:val="center"/>
                </w:tcPr>
                <w:p w14:paraId="7929BAC6">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23</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15FDEC5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2653DF4">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再生资源</w:t>
                  </w:r>
                </w:p>
              </w:tc>
              <w:tc>
                <w:tcPr>
                  <w:tcW w:w="1626" w:type="dxa"/>
                  <w:vMerge w:val="restart"/>
                  <w:tcBorders>
                    <w:top w:val="single" w:color="auto" w:sz="4" w:space="0"/>
                    <w:left w:val="nil"/>
                    <w:right w:val="single" w:color="auto" w:sz="4" w:space="0"/>
                  </w:tcBorders>
                  <w:tcMar>
                    <w:top w:w="15" w:type="dxa"/>
                    <w:left w:w="15" w:type="dxa"/>
                    <w:bottom w:w="0" w:type="dxa"/>
                    <w:right w:w="15" w:type="dxa"/>
                  </w:tcMar>
                  <w:vAlign w:val="center"/>
                </w:tcPr>
                <w:p w14:paraId="03035114">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韶关豪立再生资源利用有限公司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275A1BA">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豪立再生资源新材</w:t>
                  </w:r>
                  <w:r>
                    <w:rPr>
                      <w:rFonts w:hint="eastAsia" w:cs="Times New Roman"/>
                      <w:color w:val="auto"/>
                      <w:sz w:val="21"/>
                      <w:szCs w:val="21"/>
                      <w:highlight w:val="none"/>
                      <w:lang w:val="en-US" w:eastAsia="zh-CN"/>
                    </w:rPr>
                    <w:t xml:space="preserve"> </w:t>
                  </w:r>
                  <w:r>
                    <w:rPr>
                      <w:rFonts w:hint="default" w:ascii="Times New Roman" w:hAnsi="Times New Roman" w:cs="Times New Roman"/>
                      <w:color w:val="auto"/>
                      <w:sz w:val="21"/>
                      <w:szCs w:val="21"/>
                      <w:highlight w:val="none"/>
                    </w:rPr>
                    <w:t>料项目</w:t>
                  </w:r>
                </w:p>
              </w:tc>
              <w:tc>
                <w:tcPr>
                  <w:tcW w:w="818"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1B0480A2">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17646</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C1B7105">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乐环审</w:t>
                  </w:r>
                  <w:r>
                    <w:rPr>
                      <w:rFonts w:hint="default" w:ascii="Times New Roman" w:hAnsi="Times New Roman" w:cs="Times New Roman"/>
                      <w:color w:val="auto"/>
                      <w:sz w:val="21"/>
                      <w:szCs w:val="21"/>
                      <w:highlight w:val="none"/>
                      <w:lang w:eastAsia="zh-CN"/>
                    </w:rPr>
                    <w:t>〔2017〕69号</w:t>
                  </w:r>
                </w:p>
              </w:tc>
            </w:tr>
            <w:tr w14:paraId="256639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vMerge w:val="continue"/>
                  <w:tcBorders>
                    <w:left w:val="single" w:color="auto" w:sz="4" w:space="0"/>
                    <w:bottom w:val="single" w:color="auto" w:sz="4" w:space="0"/>
                    <w:right w:val="single" w:color="auto" w:sz="4" w:space="0"/>
                  </w:tcBorders>
                  <w:tcMar>
                    <w:top w:w="15" w:type="dxa"/>
                    <w:left w:w="15" w:type="dxa"/>
                    <w:bottom w:w="0" w:type="dxa"/>
                    <w:right w:w="15" w:type="dxa"/>
                  </w:tcMar>
                  <w:vAlign w:val="center"/>
                </w:tcPr>
                <w:p w14:paraId="1CECBB3B">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CDCD5D2">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在建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176BFD0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玻璃纤维纱</w:t>
                  </w:r>
                </w:p>
              </w:tc>
              <w:tc>
                <w:tcPr>
                  <w:tcW w:w="1626" w:type="dxa"/>
                  <w:vMerge w:val="continue"/>
                  <w:tcBorders>
                    <w:left w:val="nil"/>
                    <w:bottom w:val="single" w:color="auto" w:sz="4" w:space="0"/>
                    <w:right w:val="single" w:color="auto" w:sz="4" w:space="0"/>
                  </w:tcBorders>
                  <w:tcMar>
                    <w:top w:w="15" w:type="dxa"/>
                    <w:left w:w="15" w:type="dxa"/>
                    <w:bottom w:w="0" w:type="dxa"/>
                    <w:right w:w="15" w:type="dxa"/>
                  </w:tcMar>
                  <w:vAlign w:val="center"/>
                </w:tcPr>
                <w:p w14:paraId="1580CC9F">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8861091">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玻璃纤维生产线扩建项目</w:t>
                  </w:r>
                </w:p>
              </w:tc>
              <w:tc>
                <w:tcPr>
                  <w:tcW w:w="818"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3A9188B3">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3100</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A92E39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韶环乐审</w:t>
                  </w:r>
                  <w:r>
                    <w:rPr>
                      <w:rFonts w:hint="default" w:ascii="Times New Roman" w:hAnsi="Times New Roman" w:cs="Times New Roman"/>
                      <w:color w:val="auto"/>
                      <w:sz w:val="21"/>
                      <w:szCs w:val="21"/>
                      <w:highlight w:val="none"/>
                      <w:lang w:eastAsia="zh-CN"/>
                    </w:rPr>
                    <w:t>〔2021〕</w:t>
                  </w:r>
                  <w:r>
                    <w:rPr>
                      <w:rFonts w:hint="default" w:ascii="Times New Roman" w:hAnsi="Times New Roman" w:cs="Times New Roman"/>
                      <w:color w:val="auto"/>
                      <w:sz w:val="21"/>
                      <w:szCs w:val="21"/>
                      <w:highlight w:val="none"/>
                      <w:lang w:val="en-US" w:eastAsia="zh-CN"/>
                    </w:rPr>
                    <w:t>0</w:t>
                  </w:r>
                  <w:r>
                    <w:rPr>
                      <w:rFonts w:hint="default" w:ascii="Times New Roman" w:hAnsi="Times New Roman" w:cs="Times New Roman"/>
                      <w:color w:val="auto"/>
                      <w:sz w:val="21"/>
                      <w:szCs w:val="21"/>
                      <w:highlight w:val="none"/>
                      <w:lang w:eastAsia="zh-CN"/>
                    </w:rPr>
                    <w:t>6号</w:t>
                  </w:r>
                </w:p>
              </w:tc>
            </w:tr>
            <w:tr w14:paraId="6CCA8E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2F05899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24</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E74EB4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1848B5A5">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改性塑料</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C9F3377">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乐昌市沃府新材料有限公司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6089D8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改性塑料10万吨</w:t>
                  </w:r>
                </w:p>
              </w:tc>
              <w:tc>
                <w:tcPr>
                  <w:tcW w:w="818"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08858FF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73337</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3239AD64">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乐环审</w:t>
                  </w:r>
                  <w:r>
                    <w:rPr>
                      <w:rFonts w:hint="default" w:ascii="Times New Roman" w:hAnsi="Times New Roman" w:cs="Times New Roman"/>
                      <w:color w:val="auto"/>
                      <w:sz w:val="21"/>
                      <w:szCs w:val="21"/>
                      <w:highlight w:val="none"/>
                      <w:lang w:eastAsia="zh-CN"/>
                    </w:rPr>
                    <w:t>〔2017〕177号</w:t>
                  </w:r>
                </w:p>
              </w:tc>
            </w:tr>
            <w:tr w14:paraId="2D29E0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596C22B5">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25</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CF8BA98">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6074A71">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消防器材</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444183D">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乐昌市特安消防器材有限公司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C41C2F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应急装备及配套600吨/年霍加垃特剂生产项目</w:t>
                  </w:r>
                </w:p>
              </w:tc>
              <w:tc>
                <w:tcPr>
                  <w:tcW w:w="818"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CA62A81">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1283.1</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38BA8E03">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乐环审</w:t>
                  </w:r>
                  <w:r>
                    <w:rPr>
                      <w:rFonts w:hint="default" w:ascii="Times New Roman" w:hAnsi="Times New Roman" w:cs="Times New Roman"/>
                      <w:color w:val="auto"/>
                      <w:sz w:val="21"/>
                      <w:szCs w:val="21"/>
                      <w:highlight w:val="none"/>
                      <w:lang w:eastAsia="zh-CN"/>
                    </w:rPr>
                    <w:t>〔2017〕79号</w:t>
                  </w:r>
                </w:p>
              </w:tc>
            </w:tr>
            <w:tr w14:paraId="311550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7AEBE643">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26</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3F439FE9">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27EFBB1">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塑料制品</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9A4A8EC">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韶关乐淇包装材料有限公司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C5CDAD4">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年产7220吨塑料新</w:t>
                  </w:r>
                </w:p>
                <w:p w14:paraId="67BE5B8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材料项目</w:t>
                  </w:r>
                </w:p>
              </w:tc>
              <w:tc>
                <w:tcPr>
                  <w:tcW w:w="818"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AAC9E1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50991.9</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B3885E4">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乐环审</w:t>
                  </w:r>
                  <w:r>
                    <w:rPr>
                      <w:rFonts w:hint="default" w:ascii="Times New Roman" w:hAnsi="Times New Roman" w:cs="Times New Roman"/>
                      <w:color w:val="auto"/>
                      <w:sz w:val="21"/>
                      <w:szCs w:val="21"/>
                      <w:highlight w:val="none"/>
                      <w:lang w:eastAsia="zh-CN"/>
                    </w:rPr>
                    <w:t>〔2018〕</w:t>
                  </w:r>
                  <w:r>
                    <w:rPr>
                      <w:rFonts w:hint="default" w:ascii="Times New Roman" w:hAnsi="Times New Roman" w:cs="Times New Roman"/>
                      <w:color w:val="auto"/>
                      <w:sz w:val="21"/>
                      <w:szCs w:val="21"/>
                      <w:highlight w:val="none"/>
                      <w:lang w:val="en-US" w:eastAsia="zh-CN"/>
                    </w:rPr>
                    <w:t>0</w:t>
                  </w:r>
                  <w:r>
                    <w:rPr>
                      <w:rFonts w:hint="default" w:ascii="Times New Roman" w:hAnsi="Times New Roman" w:cs="Times New Roman"/>
                      <w:color w:val="auto"/>
                      <w:sz w:val="21"/>
                      <w:szCs w:val="21"/>
                      <w:highlight w:val="none"/>
                      <w:lang w:eastAsia="zh-CN"/>
                    </w:rPr>
                    <w:t>4号</w:t>
                  </w:r>
                </w:p>
              </w:tc>
            </w:tr>
            <w:tr w14:paraId="0D54CE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44829858">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27</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0018001B">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ADDEC2A">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皮具加工</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08CECC56">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乐昌市大澎皮具有限公司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0AB69360">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皮具加工项目</w:t>
                  </w:r>
                </w:p>
              </w:tc>
              <w:tc>
                <w:tcPr>
                  <w:tcW w:w="818"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1B24C62">
                  <w:pPr>
                    <w:keepNext w:val="0"/>
                    <w:keepLines w:val="0"/>
                    <w:widowControl/>
                    <w:suppressLineNumbers w:val="0"/>
                    <w:autoSpaceDE w:val="0"/>
                    <w:spacing w:before="0" w:beforeAutospacing="0" w:after="0" w:afterAutospacing="0" w:line="240" w:lineRule="auto"/>
                    <w:ind w:left="0" w:right="0"/>
                    <w:jc w:val="center"/>
                    <w:textAlignment w:val="center"/>
                    <w:rPr>
                      <w:rStyle w:val="97"/>
                      <w:rFonts w:hint="default" w:ascii="Times New Roman" w:hAnsi="Times New Roman" w:cs="Times New Roman"/>
                      <w:color w:val="auto"/>
                      <w:highlight w:val="none"/>
                    </w:rPr>
                  </w:pPr>
                  <w:r>
                    <w:rPr>
                      <w:rStyle w:val="97"/>
                      <w:rFonts w:hint="default" w:ascii="Times New Roman" w:hAnsi="Times New Roman" w:cs="Times New Roman"/>
                      <w:color w:val="auto"/>
                      <w:highlight w:val="none"/>
                    </w:rPr>
                    <w:t>3548</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EF3967E">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乐环审</w:t>
                  </w:r>
                  <w:r>
                    <w:rPr>
                      <w:rFonts w:hint="default" w:ascii="Times New Roman" w:hAnsi="Times New Roman" w:cs="Times New Roman"/>
                      <w:color w:val="auto"/>
                      <w:sz w:val="21"/>
                      <w:szCs w:val="21"/>
                      <w:highlight w:val="none"/>
                      <w:lang w:eastAsia="zh-CN"/>
                    </w:rPr>
                    <w:t>〔2018〕10号</w:t>
                  </w:r>
                </w:p>
              </w:tc>
            </w:tr>
            <w:tr w14:paraId="566E80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0A1FFD34">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28</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353BD78">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7721D85">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泡沫塑料制造</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692A942">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汇隽新材料科技（乐昌）有限公司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226EAA1">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年产750tPU装饰线条和250t聚氨酯装饰制品</w:t>
                  </w:r>
                </w:p>
              </w:tc>
              <w:tc>
                <w:tcPr>
                  <w:tcW w:w="818"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A21E624">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7349.3</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326261F3">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乐环审</w:t>
                  </w:r>
                  <w:r>
                    <w:rPr>
                      <w:rFonts w:hint="default" w:ascii="Times New Roman" w:hAnsi="Times New Roman" w:cs="Times New Roman"/>
                      <w:color w:val="auto"/>
                      <w:sz w:val="21"/>
                      <w:szCs w:val="21"/>
                      <w:highlight w:val="none"/>
                      <w:lang w:eastAsia="zh-CN"/>
                    </w:rPr>
                    <w:t>〔2018〕13号</w:t>
                  </w:r>
                </w:p>
              </w:tc>
            </w:tr>
            <w:tr w14:paraId="7F50F8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6921A8D8">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29</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AF1E17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99F7AA3">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新型艺术装饰品</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8B1EEEA">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乐昌市吉焱实业有限公司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7A004DF">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装饰材料项目</w:t>
                  </w:r>
                </w:p>
              </w:tc>
              <w:tc>
                <w:tcPr>
                  <w:tcW w:w="818"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552BAB3">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24875.4</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FC9E8B0">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乐环审</w:t>
                  </w:r>
                  <w:r>
                    <w:rPr>
                      <w:rFonts w:hint="default" w:ascii="Times New Roman" w:hAnsi="Times New Roman" w:cs="Times New Roman"/>
                      <w:color w:val="auto"/>
                      <w:sz w:val="21"/>
                      <w:szCs w:val="21"/>
                      <w:highlight w:val="none"/>
                      <w:lang w:eastAsia="zh-CN"/>
                    </w:rPr>
                    <w:t>〔2018〕14号</w:t>
                  </w:r>
                </w:p>
              </w:tc>
            </w:tr>
            <w:tr w14:paraId="04FA24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7398A469">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30</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7CCD453">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在建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14BA069">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塑胶制品制造</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1653658">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乐昌市众诚塑胶制品有限公司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32531CB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众诚塑胶制品项目</w:t>
                  </w:r>
                </w:p>
              </w:tc>
              <w:tc>
                <w:tcPr>
                  <w:tcW w:w="818"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8BCB443">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12419.5</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ACC0A51">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乐环审</w:t>
                  </w:r>
                  <w:r>
                    <w:rPr>
                      <w:rFonts w:hint="default" w:ascii="Times New Roman" w:hAnsi="Times New Roman" w:cs="Times New Roman"/>
                      <w:color w:val="auto"/>
                      <w:sz w:val="21"/>
                      <w:szCs w:val="21"/>
                      <w:highlight w:val="none"/>
                      <w:lang w:eastAsia="zh-CN"/>
                    </w:rPr>
                    <w:t>〔2018〕15号</w:t>
                  </w:r>
                </w:p>
              </w:tc>
            </w:tr>
            <w:tr w14:paraId="4B3711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424A8540">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31</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37AE4F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CE851AD">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其他通用零部件制造</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99F618A">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乐昌市铭源金属制品有限公司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E98BB3B">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年加工1500吨机械配件、物流配件</w:t>
                  </w:r>
                </w:p>
              </w:tc>
              <w:tc>
                <w:tcPr>
                  <w:tcW w:w="818"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C2AE5EB">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3000</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5043338">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乐环审</w:t>
                  </w:r>
                  <w:r>
                    <w:rPr>
                      <w:rFonts w:hint="default" w:ascii="Times New Roman" w:hAnsi="Times New Roman" w:cs="Times New Roman"/>
                      <w:color w:val="auto"/>
                      <w:sz w:val="21"/>
                      <w:szCs w:val="21"/>
                      <w:highlight w:val="none"/>
                      <w:lang w:eastAsia="zh-CN"/>
                    </w:rPr>
                    <w:t>〔2018〕18号</w:t>
                  </w:r>
                </w:p>
              </w:tc>
            </w:tr>
            <w:tr w14:paraId="75B2A5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3E5B584B">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32</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1F82CFC">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8350A3D">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新型艺术装饰品</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06A07F52">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汇隽新材料科技（乐昌）有限公司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28D507C">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鼎盛美建材新材料项目</w:t>
                  </w:r>
                </w:p>
              </w:tc>
              <w:tc>
                <w:tcPr>
                  <w:tcW w:w="818"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3A9996D">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7349.3</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3D7D3797">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乐环审</w:t>
                  </w:r>
                  <w:r>
                    <w:rPr>
                      <w:rFonts w:hint="default" w:ascii="Times New Roman" w:hAnsi="Times New Roman" w:cs="Times New Roman"/>
                      <w:color w:val="auto"/>
                      <w:sz w:val="21"/>
                      <w:szCs w:val="21"/>
                      <w:highlight w:val="none"/>
                      <w:lang w:eastAsia="zh-CN"/>
                    </w:rPr>
                    <w:t>〔2018〕31号</w:t>
                  </w:r>
                </w:p>
              </w:tc>
            </w:tr>
            <w:tr w14:paraId="2709D8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1146A2E6">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33</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12F960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在建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15377CFA">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黑色金属铸造</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C944F09">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乐昌市金丰机械有限公司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2C5F34A">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年产铸铁件</w:t>
                  </w:r>
                  <w:r>
                    <w:rPr>
                      <w:rFonts w:hint="eastAsia" w:cs="Times New Roman"/>
                      <w:color w:val="auto"/>
                      <w:sz w:val="21"/>
                      <w:szCs w:val="21"/>
                      <w:highlight w:val="none"/>
                      <w:lang w:eastAsia="zh-CN"/>
                    </w:rPr>
                    <w:t>15000</w:t>
                  </w:r>
                  <w:r>
                    <w:rPr>
                      <w:rFonts w:hint="default" w:ascii="Times New Roman" w:hAnsi="Times New Roman" w:cs="Times New Roman"/>
                      <w:color w:val="auto"/>
                      <w:sz w:val="21"/>
                      <w:szCs w:val="21"/>
                      <w:highlight w:val="none"/>
                    </w:rPr>
                    <w:t>吨</w:t>
                  </w:r>
                </w:p>
              </w:tc>
              <w:tc>
                <w:tcPr>
                  <w:tcW w:w="818"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3A90B0DD">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33333.3</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1086F3F7">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乐环审</w:t>
                  </w:r>
                  <w:r>
                    <w:rPr>
                      <w:rFonts w:hint="default" w:ascii="Times New Roman" w:hAnsi="Times New Roman" w:cs="Times New Roman"/>
                      <w:color w:val="auto"/>
                      <w:sz w:val="21"/>
                      <w:szCs w:val="21"/>
                      <w:highlight w:val="none"/>
                      <w:lang w:eastAsia="zh-CN"/>
                    </w:rPr>
                    <w:t>〔2018〕33号</w:t>
                  </w:r>
                  <w:r>
                    <w:rPr>
                      <w:rFonts w:hint="default" w:ascii="Times New Roman" w:hAnsi="Times New Roman" w:cs="Times New Roman"/>
                      <w:color w:val="auto"/>
                      <w:sz w:val="21"/>
                      <w:szCs w:val="21"/>
                      <w:highlight w:val="none"/>
                    </w:rPr>
                    <w:t>、韶环乐审</w:t>
                  </w:r>
                  <w:r>
                    <w:rPr>
                      <w:rFonts w:hint="default" w:ascii="Times New Roman" w:hAnsi="Times New Roman" w:cs="Times New Roman"/>
                      <w:color w:val="auto"/>
                      <w:sz w:val="21"/>
                      <w:szCs w:val="21"/>
                      <w:highlight w:val="none"/>
                      <w:lang w:eastAsia="zh-CN"/>
                    </w:rPr>
                    <w:t>〔2022〕</w:t>
                  </w:r>
                  <w:r>
                    <w:rPr>
                      <w:rFonts w:hint="default" w:ascii="Times New Roman" w:hAnsi="Times New Roman" w:cs="Times New Roman"/>
                      <w:color w:val="auto"/>
                      <w:sz w:val="21"/>
                      <w:szCs w:val="21"/>
                      <w:highlight w:val="none"/>
                      <w:lang w:val="en-US" w:eastAsia="zh-CN"/>
                    </w:rPr>
                    <w:t>0</w:t>
                  </w:r>
                  <w:r>
                    <w:rPr>
                      <w:rFonts w:hint="default" w:ascii="Times New Roman" w:hAnsi="Times New Roman" w:cs="Times New Roman"/>
                      <w:color w:val="auto"/>
                      <w:sz w:val="21"/>
                      <w:szCs w:val="21"/>
                      <w:highlight w:val="none"/>
                      <w:lang w:eastAsia="zh-CN"/>
                    </w:rPr>
                    <w:t>1号</w:t>
                  </w:r>
                </w:p>
              </w:tc>
            </w:tr>
            <w:tr w14:paraId="578960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45C037BF">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34</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33CC5A7C">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在建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239707A">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装饰背景墙</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9CF0324">
                  <w:pPr>
                    <w:keepNext w:val="0"/>
                    <w:keepLines w:val="0"/>
                    <w:widowControl/>
                    <w:suppressLineNumbers w:val="0"/>
                    <w:autoSpaceDE w:val="0"/>
                    <w:spacing w:before="0" w:beforeAutospacing="0" w:after="0" w:afterAutospacing="0" w:line="240" w:lineRule="auto"/>
                    <w:ind w:left="0" w:right="0"/>
                    <w:jc w:val="center"/>
                    <w:textAlignment w:val="bottom"/>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乐昌市艺峰装饰材料有限公司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13137CF9">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年产1000套装饰背景墙</w:t>
                  </w:r>
                </w:p>
              </w:tc>
              <w:tc>
                <w:tcPr>
                  <w:tcW w:w="818"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6ECD717">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16BC97C">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乐环审</w:t>
                  </w:r>
                  <w:r>
                    <w:rPr>
                      <w:rFonts w:hint="default" w:ascii="Times New Roman" w:hAnsi="Times New Roman" w:cs="Times New Roman"/>
                      <w:color w:val="auto"/>
                      <w:sz w:val="21"/>
                      <w:szCs w:val="21"/>
                      <w:highlight w:val="none"/>
                      <w:lang w:eastAsia="zh-CN"/>
                    </w:rPr>
                    <w:t>〔2018〕45号</w:t>
                  </w:r>
                </w:p>
              </w:tc>
            </w:tr>
            <w:tr w14:paraId="0705F5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38853485">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35</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0DFB8A8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C5FDE8F">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金属表面处理及热处理加工</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CBA4D6B">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韶关龙督装饰材料有限公司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FCFBA08">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彩涂铝卷 400 万 m</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rPr>
                    <w:t>/a，铝幕墙板、铝天花板100 万 m</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rPr>
                    <w:t>/a</w:t>
                  </w:r>
                </w:p>
              </w:tc>
              <w:tc>
                <w:tcPr>
                  <w:tcW w:w="818"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36CD931A">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33812.1</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862B1B7">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乐环审</w:t>
                  </w:r>
                  <w:r>
                    <w:rPr>
                      <w:rFonts w:hint="default" w:ascii="Times New Roman" w:hAnsi="Times New Roman" w:cs="Times New Roman"/>
                      <w:color w:val="auto"/>
                      <w:sz w:val="21"/>
                      <w:szCs w:val="21"/>
                      <w:highlight w:val="none"/>
                      <w:lang w:eastAsia="zh-CN"/>
                    </w:rPr>
                    <w:t>〔2018〕50号</w:t>
                  </w:r>
                </w:p>
              </w:tc>
            </w:tr>
            <w:tr w14:paraId="4B6E0F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18ED9310">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36</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B845DC7">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在建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747F15C">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汽车零部件及配件制造</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EE4DB2E">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乐昌市鑫东穗汽车用品有限公司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1775E1DB">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年产10万套汽车配件</w:t>
                  </w:r>
                </w:p>
              </w:tc>
              <w:tc>
                <w:tcPr>
                  <w:tcW w:w="818"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16234BA">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3060</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018902A">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乐环审</w:t>
                  </w:r>
                  <w:r>
                    <w:rPr>
                      <w:rFonts w:hint="default" w:ascii="Times New Roman" w:hAnsi="Times New Roman" w:cs="Times New Roman"/>
                      <w:color w:val="auto"/>
                      <w:sz w:val="21"/>
                      <w:szCs w:val="21"/>
                      <w:highlight w:val="none"/>
                      <w:lang w:eastAsia="zh-CN"/>
                    </w:rPr>
                    <w:t>〔2021〕</w:t>
                  </w:r>
                  <w:r>
                    <w:rPr>
                      <w:rFonts w:hint="default" w:ascii="Times New Roman" w:hAnsi="Times New Roman" w:cs="Times New Roman"/>
                      <w:color w:val="auto"/>
                      <w:sz w:val="21"/>
                      <w:szCs w:val="21"/>
                      <w:highlight w:val="none"/>
                      <w:lang w:val="en-US" w:eastAsia="zh-CN"/>
                    </w:rPr>
                    <w:t>0</w:t>
                  </w:r>
                  <w:r>
                    <w:rPr>
                      <w:rFonts w:hint="default" w:ascii="Times New Roman" w:hAnsi="Times New Roman" w:cs="Times New Roman"/>
                      <w:color w:val="auto"/>
                      <w:sz w:val="21"/>
                      <w:szCs w:val="21"/>
                      <w:highlight w:val="none"/>
                      <w:lang w:eastAsia="zh-CN"/>
                    </w:rPr>
                    <w:t>2号</w:t>
                  </w:r>
                </w:p>
              </w:tc>
            </w:tr>
            <w:tr w14:paraId="79F45B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15B76AE4">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37</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30BC5096">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F0CF789">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皮箱、包</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袋</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制造</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0A46F730">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乐昌市盈鑫皮具有限公司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FE57C04">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年产18万件办公和皮具产品</w:t>
                  </w:r>
                </w:p>
              </w:tc>
              <w:tc>
                <w:tcPr>
                  <w:tcW w:w="818"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01E171E1">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1183</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6A5313E">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乐环审〔2019〕23号</w:t>
                  </w:r>
                </w:p>
              </w:tc>
            </w:tr>
            <w:tr w14:paraId="0481D1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1535A837">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38</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6509AE4">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128078E5">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其他通用设备制造</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DD15995">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乐昌市华盛机械塑料制品厂</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3FEA9D09">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年生产50台细砂回收机</w:t>
                  </w:r>
                </w:p>
              </w:tc>
              <w:tc>
                <w:tcPr>
                  <w:tcW w:w="818"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9C08CDF">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1050</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149CF0E0">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乐环审〔2019〕26号</w:t>
                  </w:r>
                </w:p>
              </w:tc>
            </w:tr>
            <w:tr w14:paraId="51B0D7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155A4C5C">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39</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3A9E39C">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在建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12B4E1D">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金属加工机械制造</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3820FCE">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广东力禾机械有限公司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F2699FF">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年产精密龙门数控加工中心200台，精密龙门磨床100台，精密卧式数控镗床50台，普通机械设备、智能设备150台</w:t>
                  </w:r>
                </w:p>
              </w:tc>
              <w:tc>
                <w:tcPr>
                  <w:tcW w:w="818"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9B56860">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86667</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4E4FC06">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乐环审〔2019〕34号</w:t>
                  </w:r>
                </w:p>
              </w:tc>
            </w:tr>
            <w:tr w14:paraId="128B2C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11DCFF38">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40</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00D3B204">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3677F81">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非金属矿物制造</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1473DCA">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乐昌市惠丰石英科技有限公司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3ECA6798">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年产6000吨石英砂和600吨石英粉</w:t>
                  </w:r>
                </w:p>
              </w:tc>
              <w:tc>
                <w:tcPr>
                  <w:tcW w:w="818"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4C01CE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35A6F09">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乐环审〔2019〕37号</w:t>
                  </w:r>
                </w:p>
              </w:tc>
            </w:tr>
            <w:tr w14:paraId="24521D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389213DB">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41</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B153428">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326F9C4C">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黑色金属铸造</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CBCDDB5">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乐昌市宏泰机械制造有限公司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613C197">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年产20000吨机械设备零部件</w:t>
                  </w:r>
                </w:p>
              </w:tc>
              <w:tc>
                <w:tcPr>
                  <w:tcW w:w="818"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40B1DE8">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17320</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BD4FCA1">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乐环审</w:t>
                  </w:r>
                  <w:r>
                    <w:rPr>
                      <w:rFonts w:hint="default" w:ascii="Times New Roman" w:hAnsi="Times New Roman" w:cs="Times New Roman"/>
                      <w:color w:val="auto"/>
                      <w:sz w:val="21"/>
                      <w:szCs w:val="21"/>
                      <w:highlight w:val="none"/>
                      <w:lang w:eastAsia="zh-CN"/>
                    </w:rPr>
                    <w:t>〔2019〕43号</w:t>
                  </w:r>
                </w:p>
              </w:tc>
            </w:tr>
            <w:tr w14:paraId="1EBB4C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542AC00A">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rPr>
                    <w:t>42</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E94B832">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02E2424">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其他电子元件制造、通信系统设备制造</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74A48E9">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韶关高尔德防雷科技有限公司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A25DD8B">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年产3万台移动通信基站电源、480万AH铁锂电池扩建</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A39ED7A">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15561.5</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77F97A8">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乐环审〔2020〕12号</w:t>
                  </w:r>
                </w:p>
              </w:tc>
            </w:tr>
            <w:tr w14:paraId="7FFDA8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25B108BE">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rPr>
                    <w:t>43</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73BBA59">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5D44722">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电子器件制造</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ECE5C7B">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深圳艾尔康电子元器件有限公司乐昌分公司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B8D5CED">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99122万件/年电子元器件、50套模具和50台自动化装备</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865DA3D">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20006.9</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C123F61">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乐环审</w:t>
                  </w:r>
                  <w:r>
                    <w:rPr>
                      <w:rFonts w:hint="default" w:ascii="Times New Roman" w:hAnsi="Times New Roman" w:cs="Times New Roman"/>
                      <w:color w:val="auto"/>
                      <w:spacing w:val="-2"/>
                      <w:kern w:val="0"/>
                      <w:sz w:val="21"/>
                      <w:szCs w:val="21"/>
                      <w:highlight w:val="none"/>
                      <w:lang w:eastAsia="zh-CN"/>
                    </w:rPr>
                    <w:t>〔2018〕32号</w:t>
                  </w:r>
                </w:p>
              </w:tc>
            </w:tr>
            <w:tr w14:paraId="498AB7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2C520D50">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rPr>
                    <w:t>44</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DB48928">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89E65EA">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紧固件制造</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082535F">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乐昌市永成智能厨房设备制造有限公司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E6A7F0F">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锅炉具类、蒸炉具类、工作台类等厨房设备</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72D9F23">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33333.33</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65E7474">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Style w:val="99"/>
                      <w:rFonts w:hint="default" w:ascii="Times New Roman" w:hAnsi="Times New Roman" w:cs="Times New Roman"/>
                      <w:color w:val="auto"/>
                      <w:highlight w:val="none"/>
                    </w:rPr>
                    <w:t>乐环审</w:t>
                  </w:r>
                  <w:r>
                    <w:rPr>
                      <w:rStyle w:val="99"/>
                      <w:rFonts w:hint="default" w:ascii="Times New Roman" w:hAnsi="Times New Roman" w:cs="Times New Roman"/>
                      <w:color w:val="auto"/>
                      <w:highlight w:val="none"/>
                      <w:lang w:eastAsia="zh-CN"/>
                    </w:rPr>
                    <w:t>〔2018〕41号</w:t>
                  </w:r>
                </w:p>
              </w:tc>
            </w:tr>
            <w:tr w14:paraId="088613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07341263">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rPr>
                    <w:t>45</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C42C9C0">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669B506">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黑色金属铸造</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1282C39">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精信（乐昌）机械有限公司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DDC331E">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 xml:space="preserve">年产人防门配件 </w:t>
                  </w:r>
                  <w:r>
                    <w:rPr>
                      <w:rFonts w:hint="default" w:ascii="Times New Roman" w:hAnsi="Times New Roman" w:eastAsia="仿宋_GB2312" w:cs="Times New Roman"/>
                      <w:color w:val="auto"/>
                      <w:spacing w:val="-2"/>
                      <w:kern w:val="0"/>
                      <w:sz w:val="21"/>
                      <w:szCs w:val="21"/>
                      <w:highlight w:val="none"/>
                    </w:rPr>
                    <w:t xml:space="preserve">11250 </w:t>
                  </w:r>
                  <w:r>
                    <w:rPr>
                      <w:rFonts w:hint="default" w:ascii="Times New Roman" w:hAnsi="Times New Roman" w:cs="Times New Roman"/>
                      <w:color w:val="auto"/>
                      <w:spacing w:val="-2"/>
                      <w:kern w:val="0"/>
                      <w:sz w:val="21"/>
                      <w:szCs w:val="21"/>
                      <w:highlight w:val="none"/>
                    </w:rPr>
                    <w:t>台（套）</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80A58A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2213</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CF94A81">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乐环审</w:t>
                  </w:r>
                  <w:r>
                    <w:rPr>
                      <w:rFonts w:hint="default" w:ascii="Times New Roman" w:hAnsi="Times New Roman" w:cs="Times New Roman"/>
                      <w:color w:val="auto"/>
                      <w:spacing w:val="-2"/>
                      <w:kern w:val="0"/>
                      <w:sz w:val="21"/>
                      <w:szCs w:val="21"/>
                      <w:highlight w:val="none"/>
                      <w:lang w:eastAsia="zh-CN"/>
                    </w:rPr>
                    <w:t>〔2018〕53号</w:t>
                  </w:r>
                </w:p>
              </w:tc>
            </w:tr>
            <w:tr w14:paraId="08114F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383F1AE4">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rPr>
                    <w:t>46</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B862CF4">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501345A">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紧固件制造</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7B05E0B">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乐昌市玉煌科技有限公司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E7805D2">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年产2000吨螺丝</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CDAAB7F">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15291.1</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D1E38DC">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乐环审</w:t>
                  </w:r>
                  <w:r>
                    <w:rPr>
                      <w:rFonts w:hint="default" w:ascii="Times New Roman" w:hAnsi="Times New Roman" w:cs="Times New Roman"/>
                      <w:color w:val="auto"/>
                      <w:spacing w:val="-2"/>
                      <w:kern w:val="0"/>
                      <w:sz w:val="21"/>
                      <w:szCs w:val="21"/>
                      <w:highlight w:val="none"/>
                      <w:lang w:eastAsia="zh-CN"/>
                    </w:rPr>
                    <w:t>〔2018〕54号</w:t>
                  </w:r>
                </w:p>
              </w:tc>
            </w:tr>
            <w:tr w14:paraId="15300F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63A69C5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47</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D5D235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E78D950">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棉纺纱加工</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152C3B3">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乐昌市华顺纺织有限公司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8FF0B38">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年产</w:t>
                  </w:r>
                  <w:r>
                    <w:rPr>
                      <w:rFonts w:hint="eastAsia" w:cs="Times New Roman"/>
                      <w:color w:val="auto"/>
                      <w:spacing w:val="-2"/>
                      <w:kern w:val="0"/>
                      <w:sz w:val="21"/>
                      <w:szCs w:val="21"/>
                      <w:highlight w:val="none"/>
                      <w:lang w:eastAsia="zh-CN"/>
                    </w:rPr>
                    <w:t>15000</w:t>
                  </w:r>
                  <w:r>
                    <w:rPr>
                      <w:rFonts w:hint="default" w:ascii="Times New Roman" w:hAnsi="Times New Roman" w:cs="Times New Roman"/>
                      <w:color w:val="auto"/>
                      <w:spacing w:val="-2"/>
                      <w:kern w:val="0"/>
                      <w:sz w:val="21"/>
                      <w:szCs w:val="21"/>
                      <w:highlight w:val="none"/>
                    </w:rPr>
                    <w:t>吨纺纱制品</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B788B51">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63114</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13E72C0">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乐环审</w:t>
                  </w:r>
                  <w:r>
                    <w:rPr>
                      <w:rFonts w:hint="default" w:ascii="Times New Roman" w:hAnsi="Times New Roman" w:cs="Times New Roman"/>
                      <w:color w:val="auto"/>
                      <w:spacing w:val="-2"/>
                      <w:kern w:val="0"/>
                      <w:sz w:val="21"/>
                      <w:szCs w:val="21"/>
                      <w:highlight w:val="none"/>
                      <w:lang w:eastAsia="zh-CN"/>
                    </w:rPr>
                    <w:t>〔2018〕55号</w:t>
                  </w:r>
                </w:p>
              </w:tc>
            </w:tr>
            <w:tr w14:paraId="3B20B5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49919402">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48</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593A613">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6EB5FC2">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塑料零件及其他塑料制品制造</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D127153">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广东立恒新材料科技有限公司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FFE1F64">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年产8000吨改性塑料</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9714A86">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9333</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336B263">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乐环审</w:t>
                  </w:r>
                  <w:r>
                    <w:rPr>
                      <w:rFonts w:hint="default" w:ascii="Times New Roman" w:hAnsi="Times New Roman" w:cs="Times New Roman"/>
                      <w:color w:val="auto"/>
                      <w:spacing w:val="-2"/>
                      <w:kern w:val="0"/>
                      <w:sz w:val="21"/>
                      <w:szCs w:val="21"/>
                      <w:highlight w:val="none"/>
                      <w:lang w:eastAsia="zh-CN"/>
                    </w:rPr>
                    <w:t>〔2018〕60号</w:t>
                  </w:r>
                </w:p>
              </w:tc>
            </w:tr>
            <w:tr w14:paraId="4FD366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2F96F69B">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49</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70EFE18">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7296586">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棉印染精加工</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E09262A">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乐昌市赫尔龙体育用品有限公司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F67676F">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年产运动服等运动产品约100万件/年</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4E98653">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14604.85</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6E1668A">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w:t>
                  </w:r>
                </w:p>
              </w:tc>
            </w:tr>
            <w:tr w14:paraId="3BA1F3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1505ADC8">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50</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FFF5E98">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728BEE5">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矿山机械制造</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57B7584">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韶关鑫瑞智能装备有限公司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16784B3">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年产803台破碎、筛分单机设备，移动式破碎筛分装备和模块化装备</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C6D058C">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17693</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3367E7B">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乐环审</w:t>
                  </w:r>
                  <w:r>
                    <w:rPr>
                      <w:rFonts w:hint="default" w:ascii="Times New Roman" w:hAnsi="Times New Roman" w:cs="Times New Roman"/>
                      <w:color w:val="auto"/>
                      <w:spacing w:val="-2"/>
                      <w:kern w:val="0"/>
                      <w:sz w:val="21"/>
                      <w:szCs w:val="21"/>
                      <w:highlight w:val="none"/>
                      <w:lang w:eastAsia="zh-CN"/>
                    </w:rPr>
                    <w:t>〔2019〕25号</w:t>
                  </w:r>
                </w:p>
              </w:tc>
            </w:tr>
            <w:tr w14:paraId="02AFDB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0168F79D">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51</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5D9D09A">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D3AD00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家用美容、保健、护理电器具制造</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F85C411">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乐昌市优泰德电器有限公司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97FB181">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年产250万台家用护理小电器</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3453F8D">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15173</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75EBD1D">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乐环审</w:t>
                  </w:r>
                  <w:r>
                    <w:rPr>
                      <w:rFonts w:hint="default" w:ascii="Times New Roman" w:hAnsi="Times New Roman" w:cs="Times New Roman"/>
                      <w:color w:val="auto"/>
                      <w:spacing w:val="-2"/>
                      <w:kern w:val="0"/>
                      <w:sz w:val="21"/>
                      <w:szCs w:val="21"/>
                      <w:highlight w:val="none"/>
                      <w:lang w:eastAsia="zh-CN"/>
                    </w:rPr>
                    <w:t>〔2019〕38号</w:t>
                  </w:r>
                </w:p>
              </w:tc>
            </w:tr>
            <w:tr w14:paraId="1BE555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7A0FEE41">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52</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F40EA9F">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7125D88">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其他家用电力器具制造</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6F60AAF">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广东启健净水设备有限公司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AC50C8E">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年产120万台净水设备</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66EAD91">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9598</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CD50B39">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w:t>
                  </w:r>
                </w:p>
              </w:tc>
            </w:tr>
            <w:tr w14:paraId="60CC16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73D5DABD">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53</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41DCB8D">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1CD3606">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其他电子元件制造</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4FBEF25">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乐昌市润韬电子科技有限公司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3ECA1A1">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年产4亿电子连接器</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4A38286">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300</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EE59C05">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w:t>
                  </w:r>
                </w:p>
              </w:tc>
            </w:tr>
            <w:tr w14:paraId="0114AF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323D4F7E">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54</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B2B1A76">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7C7D5BD">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新型艺术装饰品</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E16FD8A">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乐昌欧典高分子装饰材料有限公司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C3521C3">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欧典装饰新材料项目</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04701A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8699.97</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856E815">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乐环审</w:t>
                  </w:r>
                  <w:r>
                    <w:rPr>
                      <w:rFonts w:hint="default" w:ascii="Times New Roman" w:hAnsi="Times New Roman" w:cs="Times New Roman"/>
                      <w:color w:val="auto"/>
                      <w:spacing w:val="-2"/>
                      <w:kern w:val="0"/>
                      <w:sz w:val="21"/>
                      <w:szCs w:val="21"/>
                      <w:highlight w:val="none"/>
                      <w:lang w:eastAsia="zh-CN"/>
                    </w:rPr>
                    <w:t>〔2018〕12号</w:t>
                  </w:r>
                  <w:r>
                    <w:rPr>
                      <w:rFonts w:hint="default" w:ascii="Times New Roman" w:hAnsi="Times New Roman" w:cs="Times New Roman"/>
                      <w:color w:val="auto"/>
                      <w:spacing w:val="-2"/>
                      <w:kern w:val="0"/>
                      <w:sz w:val="21"/>
                      <w:szCs w:val="21"/>
                      <w:highlight w:val="none"/>
                    </w:rPr>
                    <w:t>、乐环审</w:t>
                  </w:r>
                  <w:r>
                    <w:rPr>
                      <w:rFonts w:hint="default" w:ascii="Times New Roman" w:hAnsi="Times New Roman" w:cs="Times New Roman"/>
                      <w:color w:val="auto"/>
                      <w:spacing w:val="-2"/>
                      <w:kern w:val="0"/>
                      <w:sz w:val="21"/>
                      <w:szCs w:val="21"/>
                      <w:highlight w:val="none"/>
                      <w:lang w:eastAsia="zh-CN"/>
                    </w:rPr>
                    <w:t>〔2019〕68号</w:t>
                  </w:r>
                </w:p>
              </w:tc>
            </w:tr>
            <w:tr w14:paraId="1D0238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10523047">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55</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823EED7">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7FC3519">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其他未列明通用设备制造业</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172A76D">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乐昌市鼎德机械设备制造有限公司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823037E">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4条整机产品生产线和2800件零件产品</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6ABA36A">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10680.5</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E6CABC7">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乐环审</w:t>
                  </w:r>
                  <w:r>
                    <w:rPr>
                      <w:rFonts w:hint="default" w:ascii="Times New Roman" w:hAnsi="Times New Roman" w:cs="Times New Roman"/>
                      <w:color w:val="auto"/>
                      <w:spacing w:val="-2"/>
                      <w:kern w:val="0"/>
                      <w:sz w:val="21"/>
                      <w:szCs w:val="21"/>
                      <w:highlight w:val="none"/>
                      <w:lang w:eastAsia="zh-CN"/>
                    </w:rPr>
                    <w:t>〔2019〕74号</w:t>
                  </w:r>
                </w:p>
              </w:tc>
            </w:tr>
            <w:tr w14:paraId="2CE624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7A879C9D">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56</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D9507CD">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1EB05EA">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塑料板、管、型材制造</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19B945D">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材通（乐昌）管业科技有限公司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67FEAD6">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年产16820吨PVC管材</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8B6C22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47574.68</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95569FD">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乐环审</w:t>
                  </w:r>
                  <w:r>
                    <w:rPr>
                      <w:rFonts w:hint="default" w:ascii="Times New Roman" w:hAnsi="Times New Roman" w:cs="Times New Roman"/>
                      <w:color w:val="auto"/>
                      <w:spacing w:val="-2"/>
                      <w:kern w:val="0"/>
                      <w:sz w:val="21"/>
                      <w:szCs w:val="21"/>
                      <w:highlight w:val="none"/>
                      <w:lang w:eastAsia="zh-CN"/>
                    </w:rPr>
                    <w:t>〔2020〕</w:t>
                  </w:r>
                  <w:r>
                    <w:rPr>
                      <w:rFonts w:hint="default" w:ascii="Times New Roman" w:hAnsi="Times New Roman" w:cs="Times New Roman"/>
                      <w:color w:val="auto"/>
                      <w:spacing w:val="-2"/>
                      <w:kern w:val="0"/>
                      <w:sz w:val="21"/>
                      <w:szCs w:val="21"/>
                      <w:highlight w:val="none"/>
                      <w:lang w:val="en-US" w:eastAsia="zh-CN"/>
                    </w:rPr>
                    <w:t>0</w:t>
                  </w:r>
                  <w:r>
                    <w:rPr>
                      <w:rFonts w:hint="default" w:ascii="Times New Roman" w:hAnsi="Times New Roman" w:cs="Times New Roman"/>
                      <w:color w:val="auto"/>
                      <w:spacing w:val="-2"/>
                      <w:kern w:val="0"/>
                      <w:sz w:val="21"/>
                      <w:szCs w:val="21"/>
                      <w:highlight w:val="none"/>
                      <w:lang w:eastAsia="zh-CN"/>
                    </w:rPr>
                    <w:t>8号</w:t>
                  </w:r>
                </w:p>
              </w:tc>
            </w:tr>
            <w:tr w14:paraId="54B42D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1D3E8959">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57</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381887D">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CAF4E02">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皮箱、包（袋）制造</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C64A0AC">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宇创箱包制品（韶关市乐昌）有限公司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456DF82">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年产钱包30万个，手袋50万个</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86EAAFC">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1200</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5787A41">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乐环审</w:t>
                  </w:r>
                  <w:r>
                    <w:rPr>
                      <w:rFonts w:hint="default" w:ascii="Times New Roman" w:hAnsi="Times New Roman" w:cs="Times New Roman"/>
                      <w:color w:val="auto"/>
                      <w:spacing w:val="-2"/>
                      <w:kern w:val="0"/>
                      <w:sz w:val="21"/>
                      <w:szCs w:val="21"/>
                      <w:highlight w:val="none"/>
                      <w:lang w:eastAsia="zh-CN"/>
                    </w:rPr>
                    <w:t>〔2020〕</w:t>
                  </w:r>
                  <w:r>
                    <w:rPr>
                      <w:rFonts w:hint="default" w:ascii="Times New Roman" w:hAnsi="Times New Roman" w:cs="Times New Roman"/>
                      <w:color w:val="auto"/>
                      <w:spacing w:val="-2"/>
                      <w:kern w:val="0"/>
                      <w:sz w:val="21"/>
                      <w:szCs w:val="21"/>
                      <w:highlight w:val="none"/>
                      <w:lang w:val="en-US" w:eastAsia="zh-CN"/>
                    </w:rPr>
                    <w:t>0</w:t>
                  </w:r>
                  <w:r>
                    <w:rPr>
                      <w:rFonts w:hint="default" w:ascii="Times New Roman" w:hAnsi="Times New Roman" w:cs="Times New Roman"/>
                      <w:color w:val="auto"/>
                      <w:spacing w:val="-2"/>
                      <w:kern w:val="0"/>
                      <w:sz w:val="21"/>
                      <w:szCs w:val="21"/>
                      <w:highlight w:val="none"/>
                      <w:lang w:eastAsia="zh-CN"/>
                    </w:rPr>
                    <w:t>9号</w:t>
                  </w:r>
                </w:p>
              </w:tc>
            </w:tr>
            <w:tr w14:paraId="00C406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32910C97">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58</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473DB92">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165F1AD">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建筑工程用机械制造、金属制品、包装容器</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76DF18B">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广东博昇昌智能制造有限公司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E45D25E">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年产600栋附着式升降脚手架和1000000米住宅栏杆</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866558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49075.31</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8F2C489">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乐环审</w:t>
                  </w:r>
                  <w:r>
                    <w:rPr>
                      <w:rFonts w:hint="default" w:ascii="Times New Roman" w:hAnsi="Times New Roman" w:cs="Times New Roman"/>
                      <w:color w:val="auto"/>
                      <w:spacing w:val="-2"/>
                      <w:kern w:val="0"/>
                      <w:sz w:val="21"/>
                      <w:szCs w:val="21"/>
                      <w:highlight w:val="none"/>
                      <w:lang w:eastAsia="zh-CN"/>
                    </w:rPr>
                    <w:t>〔2020〕11号</w:t>
                  </w: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〔2022〕</w:t>
                  </w:r>
                  <w:r>
                    <w:rPr>
                      <w:rFonts w:hint="default" w:ascii="Times New Roman" w:hAnsi="Times New Roman" w:cs="Times New Roman"/>
                      <w:color w:val="auto"/>
                      <w:spacing w:val="-2"/>
                      <w:kern w:val="0"/>
                      <w:sz w:val="21"/>
                      <w:szCs w:val="21"/>
                      <w:highlight w:val="none"/>
                      <w:lang w:val="en-US" w:eastAsia="zh-CN"/>
                    </w:rPr>
                    <w:t>0</w:t>
                  </w:r>
                  <w:r>
                    <w:rPr>
                      <w:rFonts w:hint="default" w:ascii="Times New Roman" w:hAnsi="Times New Roman" w:cs="Times New Roman"/>
                      <w:color w:val="auto"/>
                      <w:spacing w:val="-2"/>
                      <w:kern w:val="0"/>
                      <w:sz w:val="21"/>
                      <w:szCs w:val="21"/>
                      <w:highlight w:val="none"/>
                      <w:lang w:eastAsia="zh-CN"/>
                    </w:rPr>
                    <w:t>7号</w:t>
                  </w:r>
                </w:p>
              </w:tc>
            </w:tr>
            <w:tr w14:paraId="494B38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22D9A533">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59</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A70CAC8">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9CF6D4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塑料制品业</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85344FB">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乐昌市金来得实业有限公司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5C68FFC">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年产4.8万立方米聚乙烯高分子材料</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A14B03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23018.4</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FB946C6">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乐环审</w:t>
                  </w:r>
                  <w:r>
                    <w:rPr>
                      <w:rFonts w:hint="default" w:ascii="Times New Roman" w:hAnsi="Times New Roman" w:cs="Times New Roman"/>
                      <w:color w:val="auto"/>
                      <w:spacing w:val="-2"/>
                      <w:kern w:val="0"/>
                      <w:sz w:val="21"/>
                      <w:szCs w:val="21"/>
                      <w:highlight w:val="none"/>
                      <w:lang w:eastAsia="zh-CN"/>
                    </w:rPr>
                    <w:t>〔2020〕14号</w:t>
                  </w:r>
                </w:p>
              </w:tc>
            </w:tr>
            <w:tr w14:paraId="657D9B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2E375828">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60</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87C0640">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4F8E62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金属成形机床制造</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4B68002">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广东欧匹特智能装备有限公司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1F08C1E">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年产350台数控机床</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32C7677">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26032</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EF7E71A">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乐环审</w:t>
                  </w:r>
                  <w:r>
                    <w:rPr>
                      <w:rFonts w:hint="default" w:ascii="Times New Roman" w:hAnsi="Times New Roman" w:cs="Times New Roman"/>
                      <w:color w:val="auto"/>
                      <w:spacing w:val="-2"/>
                      <w:kern w:val="0"/>
                      <w:sz w:val="21"/>
                      <w:szCs w:val="21"/>
                      <w:highlight w:val="none"/>
                      <w:lang w:eastAsia="zh-CN"/>
                    </w:rPr>
                    <w:t>〔2020〕16号</w:t>
                  </w:r>
                </w:p>
              </w:tc>
            </w:tr>
            <w:tr w14:paraId="21D7CB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30C83AA0">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61</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09CCD1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3197812">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助剂制造</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54DBEA4">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广东金康新材料有限公司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6D8414B">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生产3600t/aPVC稳定剂和2400t/a助剂</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809F9AC">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11260.7</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D821BF0">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乐环审</w:t>
                  </w:r>
                  <w:r>
                    <w:rPr>
                      <w:rFonts w:hint="default" w:ascii="Times New Roman" w:hAnsi="Times New Roman" w:cs="Times New Roman"/>
                      <w:color w:val="auto"/>
                      <w:spacing w:val="-2"/>
                      <w:kern w:val="0"/>
                      <w:sz w:val="21"/>
                      <w:szCs w:val="21"/>
                      <w:highlight w:val="none"/>
                      <w:lang w:eastAsia="zh-CN"/>
                    </w:rPr>
                    <w:t>〔2020〕10号</w:t>
                  </w:r>
                </w:p>
              </w:tc>
            </w:tr>
            <w:tr w14:paraId="2DD49C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42EA2E7C">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62</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10B2B6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6BAC2F5">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非织造布制造</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96224F6">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乐昌市宝创环保新材料制品有限公司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775CA69">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生产热轧无纺布2800t/a，口罩30000万片/a，湿巾360万包/a，熔喷无纺布1500 t/a</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E98E30C">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26671.2</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86439D5">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乐环审</w:t>
                  </w:r>
                  <w:r>
                    <w:rPr>
                      <w:rFonts w:hint="default" w:ascii="Times New Roman" w:hAnsi="Times New Roman" w:cs="Times New Roman"/>
                      <w:color w:val="auto"/>
                      <w:spacing w:val="-2"/>
                      <w:kern w:val="0"/>
                      <w:sz w:val="21"/>
                      <w:szCs w:val="21"/>
                      <w:highlight w:val="none"/>
                      <w:lang w:eastAsia="zh-CN"/>
                    </w:rPr>
                    <w:t>〔2017〕50号</w:t>
                  </w:r>
                  <w:r>
                    <w:rPr>
                      <w:rFonts w:hint="default" w:ascii="Times New Roman" w:hAnsi="Times New Roman" w:cs="Times New Roman"/>
                      <w:color w:val="auto"/>
                      <w:spacing w:val="-2"/>
                      <w:kern w:val="0"/>
                      <w:sz w:val="21"/>
                      <w:szCs w:val="21"/>
                      <w:highlight w:val="none"/>
                    </w:rPr>
                    <w:t>、乐环审</w:t>
                  </w:r>
                  <w:r>
                    <w:rPr>
                      <w:rFonts w:hint="default" w:ascii="Times New Roman" w:hAnsi="Times New Roman" w:cs="Times New Roman"/>
                      <w:color w:val="auto"/>
                      <w:spacing w:val="-2"/>
                      <w:kern w:val="0"/>
                      <w:sz w:val="21"/>
                      <w:szCs w:val="21"/>
                      <w:highlight w:val="none"/>
                      <w:lang w:eastAsia="zh-CN"/>
                    </w:rPr>
                    <w:t>〔2020〕23号</w:t>
                  </w:r>
                </w:p>
              </w:tc>
            </w:tr>
            <w:tr w14:paraId="34DDDF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4F910A68">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63</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548328A">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D81E0AF">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通讯设备零配件</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ECC53C1">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广东东田实业有限公司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DFE67B1">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年产5万套移动通信基站电源钣金件项目</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2B329DF">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1557.48</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5938B94">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乐环审</w:t>
                  </w:r>
                  <w:r>
                    <w:rPr>
                      <w:rFonts w:hint="default" w:ascii="Times New Roman" w:hAnsi="Times New Roman" w:cs="Times New Roman"/>
                      <w:color w:val="auto"/>
                      <w:spacing w:val="-2"/>
                      <w:kern w:val="0"/>
                      <w:sz w:val="21"/>
                      <w:szCs w:val="21"/>
                      <w:highlight w:val="none"/>
                      <w:lang w:eastAsia="zh-CN"/>
                    </w:rPr>
                    <w:t>〔2020〕27号</w:t>
                  </w:r>
                </w:p>
              </w:tc>
            </w:tr>
            <w:tr w14:paraId="2E1569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14C0562F">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64</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01F2475">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ABBB4D8">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塑料制品</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9FD803E">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韶关骏东新型包装材料有限公司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703568F">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年产500万个吸塑包装盒建设项目</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3719E1C">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1000</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546A78D">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乐环审</w:t>
                  </w:r>
                  <w:r>
                    <w:rPr>
                      <w:rFonts w:hint="default" w:ascii="Times New Roman" w:hAnsi="Times New Roman" w:cs="Times New Roman"/>
                      <w:color w:val="auto"/>
                      <w:spacing w:val="-2"/>
                      <w:kern w:val="0"/>
                      <w:sz w:val="21"/>
                      <w:szCs w:val="21"/>
                      <w:highlight w:val="none"/>
                      <w:lang w:eastAsia="zh-CN"/>
                    </w:rPr>
                    <w:t>〔2020〕30号</w:t>
                  </w:r>
                </w:p>
              </w:tc>
            </w:tr>
            <w:tr w14:paraId="3B8BBA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6DF64BEC">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65</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6CD7E55">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4F8FAA0">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铝合金制品</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4188BA0">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广东力齐铝模科技有限公司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306B4AD">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年产铝合金模板12万平方米项目</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BC3B1FD">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12419.5</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2B69215">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乐环审</w:t>
                  </w:r>
                  <w:r>
                    <w:rPr>
                      <w:rFonts w:hint="default" w:ascii="Times New Roman" w:hAnsi="Times New Roman" w:cs="Times New Roman"/>
                      <w:color w:val="auto"/>
                      <w:spacing w:val="-2"/>
                      <w:kern w:val="0"/>
                      <w:sz w:val="21"/>
                      <w:szCs w:val="21"/>
                      <w:highlight w:val="none"/>
                      <w:lang w:eastAsia="zh-CN"/>
                    </w:rPr>
                    <w:t>〔2020〕31号</w:t>
                  </w: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〔2022〕</w:t>
                  </w:r>
                  <w:r>
                    <w:rPr>
                      <w:rFonts w:hint="default" w:ascii="Times New Roman" w:hAnsi="Times New Roman" w:cs="Times New Roman"/>
                      <w:color w:val="auto"/>
                      <w:spacing w:val="-2"/>
                      <w:kern w:val="0"/>
                      <w:sz w:val="21"/>
                      <w:szCs w:val="21"/>
                      <w:highlight w:val="none"/>
                      <w:lang w:val="en-US" w:eastAsia="zh-CN"/>
                    </w:rPr>
                    <w:t>0</w:t>
                  </w:r>
                  <w:r>
                    <w:rPr>
                      <w:rFonts w:hint="default" w:ascii="Times New Roman" w:hAnsi="Times New Roman" w:cs="Times New Roman"/>
                      <w:color w:val="auto"/>
                      <w:spacing w:val="-2"/>
                      <w:kern w:val="0"/>
                      <w:sz w:val="21"/>
                      <w:szCs w:val="21"/>
                      <w:highlight w:val="none"/>
                      <w:lang w:eastAsia="zh-CN"/>
                    </w:rPr>
                    <w:t>8号</w:t>
                  </w:r>
                </w:p>
              </w:tc>
            </w:tr>
            <w:tr w14:paraId="127D6D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78833A53">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66</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C16F9ED">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109B97A">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电子配件</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99C16DB">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乐昌市柏群电子科技有限公司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BEE0E0C">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年产健身器材调速马达60万个、电子仪表40万个、机台配套线材3000万套、COB板50万套、胶壳300万件</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1945B6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1486.76</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4E626F3">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〔2021〕</w:t>
                  </w:r>
                  <w:r>
                    <w:rPr>
                      <w:rFonts w:hint="default" w:ascii="Times New Roman" w:hAnsi="Times New Roman" w:cs="Times New Roman"/>
                      <w:color w:val="auto"/>
                      <w:spacing w:val="-2"/>
                      <w:kern w:val="0"/>
                      <w:sz w:val="21"/>
                      <w:szCs w:val="21"/>
                      <w:highlight w:val="none"/>
                      <w:lang w:val="en-US" w:eastAsia="zh-CN"/>
                    </w:rPr>
                    <w:t>0</w:t>
                  </w:r>
                  <w:r>
                    <w:rPr>
                      <w:rFonts w:hint="default" w:ascii="Times New Roman" w:hAnsi="Times New Roman" w:cs="Times New Roman"/>
                      <w:color w:val="auto"/>
                      <w:spacing w:val="-2"/>
                      <w:kern w:val="0"/>
                      <w:sz w:val="21"/>
                      <w:szCs w:val="21"/>
                      <w:highlight w:val="none"/>
                      <w:lang w:eastAsia="zh-CN"/>
                    </w:rPr>
                    <w:t>8号</w:t>
                  </w:r>
                </w:p>
              </w:tc>
            </w:tr>
            <w:tr w14:paraId="6C0AAF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6F138B81">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67</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3C86499">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1D8C2E0">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玻璃纤维</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D6665AD">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三创复合材料（乐昌）有限公司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ACFC8AD">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年产6365吨玻璃纤维和碳素纤维复合材料制品</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AA44830">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25577.13</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9DDED59">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〔2021〕</w:t>
                  </w:r>
                  <w:r>
                    <w:rPr>
                      <w:rFonts w:hint="default" w:ascii="Times New Roman" w:hAnsi="Times New Roman" w:cs="Times New Roman"/>
                      <w:color w:val="auto"/>
                      <w:spacing w:val="-2"/>
                      <w:kern w:val="0"/>
                      <w:sz w:val="21"/>
                      <w:szCs w:val="21"/>
                      <w:highlight w:val="none"/>
                      <w:lang w:val="en-US" w:eastAsia="zh-CN"/>
                    </w:rPr>
                    <w:t>0</w:t>
                  </w:r>
                  <w:r>
                    <w:rPr>
                      <w:rFonts w:hint="default" w:ascii="Times New Roman" w:hAnsi="Times New Roman" w:cs="Times New Roman"/>
                      <w:color w:val="auto"/>
                      <w:spacing w:val="-2"/>
                      <w:kern w:val="0"/>
                      <w:sz w:val="21"/>
                      <w:szCs w:val="21"/>
                      <w:highlight w:val="none"/>
                      <w:lang w:eastAsia="zh-CN"/>
                    </w:rPr>
                    <w:t>9号</w:t>
                  </w:r>
                </w:p>
              </w:tc>
            </w:tr>
            <w:tr w14:paraId="345A0A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1E6825DB">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68</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C278810">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D5CDE41">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复合新材料</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B9311A4">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中环（广东）生物科技有限公司乐昌分公司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2280E0F">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年产购物袋专用树脂3500t、垃圾袋专用树脂1000t、包装片材专用树脂500t</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F701540">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1338.66</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604D5A8">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〔2021〕12号</w:t>
                  </w:r>
                </w:p>
              </w:tc>
            </w:tr>
            <w:tr w14:paraId="575350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4F0EE9E6">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69</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FC72C75">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64269E8">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电子元件</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24099B8">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广东科拓电子元件有限公司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2F84B5C">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年产电容、电阻器8亿只</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B8FA1E4">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1720.83</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E2A90E6">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〔2021〕13号</w:t>
                  </w:r>
                </w:p>
              </w:tc>
            </w:tr>
            <w:tr w14:paraId="68061F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5430E415">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70</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1DC8CEC">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4EBD4B3">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废气处理设备</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6DF1733">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广东熙诚环保科技有限公司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7514EA0">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年产PP喷淋塔500台，PP活性炭吸附箱500台</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1E665B2">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13335</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9C3D1F9">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乐环审</w:t>
                  </w:r>
                  <w:r>
                    <w:rPr>
                      <w:rFonts w:hint="default" w:ascii="Times New Roman" w:hAnsi="Times New Roman" w:cs="Times New Roman"/>
                      <w:color w:val="auto"/>
                      <w:spacing w:val="-2"/>
                      <w:kern w:val="0"/>
                      <w:sz w:val="21"/>
                      <w:szCs w:val="21"/>
                      <w:highlight w:val="none"/>
                      <w:lang w:eastAsia="zh-CN"/>
                    </w:rPr>
                    <w:t>〔2021〕</w:t>
                  </w:r>
                  <w:r>
                    <w:rPr>
                      <w:rFonts w:hint="default" w:ascii="Times New Roman" w:hAnsi="Times New Roman" w:cs="Times New Roman"/>
                      <w:color w:val="auto"/>
                      <w:spacing w:val="-2"/>
                      <w:kern w:val="0"/>
                      <w:sz w:val="21"/>
                      <w:szCs w:val="21"/>
                      <w:highlight w:val="none"/>
                      <w:lang w:val="en-US" w:eastAsia="zh-CN"/>
                    </w:rPr>
                    <w:t>0</w:t>
                  </w:r>
                  <w:r>
                    <w:rPr>
                      <w:rFonts w:hint="default" w:ascii="Times New Roman" w:hAnsi="Times New Roman" w:cs="Times New Roman"/>
                      <w:color w:val="auto"/>
                      <w:spacing w:val="-2"/>
                      <w:kern w:val="0"/>
                      <w:sz w:val="21"/>
                      <w:szCs w:val="21"/>
                      <w:highlight w:val="none"/>
                      <w:lang w:eastAsia="zh-CN"/>
                    </w:rPr>
                    <w:t>9号</w:t>
                  </w:r>
                </w:p>
              </w:tc>
            </w:tr>
            <w:tr w14:paraId="1D77F5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4D3A5D29">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71</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E71293C">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2154F64">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塑料制品、橡胶制品</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C0B2CE6">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韶关优博婴童智能科技有限公司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18E4AAA">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年产硅胶件（奶嘴）10000万件、吹瓶件（奶瓶）2000万个、注塑件（餐具）20000万件</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B6CC5C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57970.43</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79F3859">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乐环审</w:t>
                  </w:r>
                  <w:r>
                    <w:rPr>
                      <w:rFonts w:hint="default" w:ascii="Times New Roman" w:hAnsi="Times New Roman" w:cs="Times New Roman"/>
                      <w:color w:val="auto"/>
                      <w:spacing w:val="-2"/>
                      <w:kern w:val="0"/>
                      <w:sz w:val="21"/>
                      <w:szCs w:val="21"/>
                      <w:highlight w:val="none"/>
                      <w:lang w:eastAsia="zh-CN"/>
                    </w:rPr>
                    <w:t>〔2021〕12号</w:t>
                  </w:r>
                </w:p>
              </w:tc>
            </w:tr>
            <w:tr w14:paraId="69C6F5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38EF8FCE">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72</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5527780">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5BDB85F">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塑料制品</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F689699">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乐昌市共盈新材料科技有限公司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4312F6B">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年产塑料瓦25000吨、ASA塑料膜3000吨</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9FAB146">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30662</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D052E9A">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乐环审</w:t>
                  </w:r>
                  <w:r>
                    <w:rPr>
                      <w:rFonts w:hint="default" w:ascii="Times New Roman" w:hAnsi="Times New Roman" w:cs="Times New Roman"/>
                      <w:color w:val="auto"/>
                      <w:spacing w:val="-2"/>
                      <w:kern w:val="0"/>
                      <w:sz w:val="21"/>
                      <w:szCs w:val="21"/>
                      <w:highlight w:val="none"/>
                      <w:lang w:eastAsia="zh-CN"/>
                    </w:rPr>
                    <w:t>〔2021〕10号</w:t>
                  </w:r>
                </w:p>
              </w:tc>
            </w:tr>
            <w:tr w14:paraId="266115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68BE1DBD">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73</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4954272">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6110D59">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橡胶制品</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3F4D10A">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悦然（韶关）科技有限公司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5D7989A">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年产830万件橡胶制品项目</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01AB627">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3500</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1F886CB">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〔2021〕</w:t>
                  </w:r>
                  <w:r>
                    <w:rPr>
                      <w:rFonts w:hint="default" w:ascii="Times New Roman" w:hAnsi="Times New Roman" w:cs="Times New Roman"/>
                      <w:color w:val="auto"/>
                      <w:spacing w:val="-2"/>
                      <w:kern w:val="0"/>
                      <w:sz w:val="21"/>
                      <w:szCs w:val="21"/>
                      <w:highlight w:val="none"/>
                      <w:lang w:val="en-US" w:eastAsia="zh-CN"/>
                    </w:rPr>
                    <w:t>0</w:t>
                  </w:r>
                  <w:r>
                    <w:rPr>
                      <w:rFonts w:hint="default" w:ascii="Times New Roman" w:hAnsi="Times New Roman" w:cs="Times New Roman"/>
                      <w:color w:val="auto"/>
                      <w:spacing w:val="-2"/>
                      <w:kern w:val="0"/>
                      <w:sz w:val="21"/>
                      <w:szCs w:val="21"/>
                      <w:highlight w:val="none"/>
                      <w:lang w:eastAsia="zh-CN"/>
                    </w:rPr>
                    <w:t>4号</w:t>
                  </w:r>
                </w:p>
              </w:tc>
            </w:tr>
            <w:tr w14:paraId="70E9E2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249A7110">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74</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DC42342">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A501233">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塑料玩具</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C2E5A3A">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广东金途信息技术有限公司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7AC2CE2">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年产10000件塑胶玩具项目</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05CB441">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3500</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D3694DE">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〔2021〕</w:t>
                  </w:r>
                  <w:r>
                    <w:rPr>
                      <w:rFonts w:hint="default" w:ascii="Times New Roman" w:hAnsi="Times New Roman" w:cs="Times New Roman"/>
                      <w:color w:val="auto"/>
                      <w:spacing w:val="-2"/>
                      <w:kern w:val="0"/>
                      <w:sz w:val="21"/>
                      <w:szCs w:val="21"/>
                      <w:highlight w:val="none"/>
                      <w:lang w:val="en-US" w:eastAsia="zh-CN"/>
                    </w:rPr>
                    <w:t>0</w:t>
                  </w:r>
                  <w:r>
                    <w:rPr>
                      <w:rFonts w:hint="default" w:ascii="Times New Roman" w:hAnsi="Times New Roman" w:cs="Times New Roman"/>
                      <w:color w:val="auto"/>
                      <w:spacing w:val="-2"/>
                      <w:kern w:val="0"/>
                      <w:sz w:val="21"/>
                      <w:szCs w:val="21"/>
                      <w:highlight w:val="none"/>
                      <w:lang w:eastAsia="zh-CN"/>
                    </w:rPr>
                    <w:t>5号</w:t>
                  </w:r>
                </w:p>
              </w:tc>
            </w:tr>
            <w:tr w14:paraId="4FF9DA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4788CCAD">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75</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CE66AC2">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7A838AD">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汽车配件</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ACDB52A">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韶关市万博汽车配件有限公司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8D6E254">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年产500万支雨刷和1900万个主架</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3D420B1">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1139</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591BD32">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〔2021〕15号</w:t>
                  </w:r>
                </w:p>
              </w:tc>
            </w:tr>
            <w:tr w14:paraId="774B54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2BE0E485">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76</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6DD09A0">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4B72097">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机械制造</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225B604">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同向（乐昌）精密机械有限公司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C579665">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年产登机桥、压力机械等设备3350套（台）</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EA9146A">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52810.91</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6EF36A6">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〔2021〕16号</w:t>
                  </w:r>
                </w:p>
              </w:tc>
            </w:tr>
            <w:tr w14:paraId="4E9C85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515AE5F6">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77</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CBCF1BD">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274B1D3">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设备制造</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DD1493B">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广东顺驰智能制造有限公司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9F7D771">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年产施工升降机1800台</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B4AEB5D">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51544.6</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8A270F5">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〔2021〕17号</w:t>
                  </w:r>
                </w:p>
              </w:tc>
            </w:tr>
            <w:tr w14:paraId="7E2221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76B08F68">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78</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E44519F">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703ED44">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玻璃纤维</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1EB3257">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广东省合高复合材料有限公司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5903522">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年产玻璃纤维及增塑产品24200吨</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57F8F71">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27017.8</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409BC4D">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〔2021〕20号</w:t>
                  </w:r>
                </w:p>
              </w:tc>
            </w:tr>
            <w:tr w14:paraId="664C7B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4788995F">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79</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374014F">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5A69BC2">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铜材</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48E2FE9">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韶关南源铜材有限公司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A443063">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年产含铅黄铜棒18000吨、无铅黄铜棒</w:t>
                  </w:r>
                  <w:r>
                    <w:rPr>
                      <w:rFonts w:hint="eastAsia" w:cs="Times New Roman"/>
                      <w:color w:val="auto"/>
                      <w:spacing w:val="-2"/>
                      <w:kern w:val="0"/>
                      <w:sz w:val="21"/>
                      <w:szCs w:val="21"/>
                      <w:highlight w:val="none"/>
                      <w:lang w:eastAsia="zh-CN"/>
                    </w:rPr>
                    <w:t>15000</w:t>
                  </w:r>
                  <w:r>
                    <w:rPr>
                      <w:rFonts w:hint="default" w:ascii="Times New Roman" w:hAnsi="Times New Roman" w:cs="Times New Roman"/>
                      <w:color w:val="auto"/>
                      <w:spacing w:val="-2"/>
                      <w:kern w:val="0"/>
                      <w:sz w:val="21"/>
                      <w:szCs w:val="21"/>
                      <w:highlight w:val="none"/>
                    </w:rPr>
                    <w:t>吨</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208A239">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44981.3</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5BED95B">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〔2021〕21号</w:t>
                  </w:r>
                </w:p>
              </w:tc>
            </w:tr>
            <w:tr w14:paraId="35F148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7166B8D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80</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F2DCFFF">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4C28671">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金属制品</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6357DDC">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广东启轮金属制品有限公司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F1821B0">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年产脚轮100万个</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23D2677">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5BCBA0C">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〔2021〕22号</w:t>
                  </w:r>
                </w:p>
              </w:tc>
            </w:tr>
            <w:tr w14:paraId="082021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54203B20">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81</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CDA810C">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92ADB72">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应急装备</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4DC32FD">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德尔安科技（广东）有限公司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4B66C94">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年产500万具应急装备及配套原材料</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4A3C74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27672.2</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D64418E">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〔2021〕23号</w:t>
                  </w:r>
                </w:p>
              </w:tc>
            </w:tr>
            <w:tr w14:paraId="5E1069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0133DED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82</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127EF9F">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7AD9D4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彩盒包装</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B7B53D1">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添亿包装（广东）有限公司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B4D1BAC">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年产彩盒10亿套</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DE7D618">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16564.72</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9016861">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〔2021〕24号</w:t>
                  </w:r>
                </w:p>
              </w:tc>
            </w:tr>
            <w:tr w14:paraId="4C6E19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584C2CE6">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83</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061AFA5">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51C73B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人防门配件</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FB13FA0">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精信（乐昌）机械有限公司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C5789F3">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年产人防门配件11250套</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568F102">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16950.3</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CD55D57">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〔2021〕25号</w:t>
                  </w:r>
                </w:p>
              </w:tc>
            </w:tr>
            <w:tr w14:paraId="4ED1DC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3CD54F83">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84</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A020FBA">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FB45A43">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人防门配件</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44D70F6">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广东精准人防设备有限公司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3874B49">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年产人防门配件10000t，年产锡铋件60t</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0129CC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67BF5AA">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〔2021〕29号</w:t>
                  </w:r>
                </w:p>
              </w:tc>
            </w:tr>
            <w:tr w14:paraId="012BA8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41063309">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85</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4238747">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3807490">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污水处理设备</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8429012">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合续环境科技（乐昌）有限公司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4CED16B">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年产中国罐卧罐1000套、贝斯500套</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EC83409">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6480</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D512AB2">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〔2021〕28号</w:t>
                  </w:r>
                </w:p>
              </w:tc>
            </w:tr>
            <w:tr w14:paraId="0DA3C9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44F6EF46">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86</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8C94D52">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4DB39E7">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搪瓷制品、通用零部件</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5F39176">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乐昌市钜宝科技制造有限公司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89A847E">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年产搪瓷铸铁件1000t，年喷粉1000t，年加工铸铁件6000t</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3EE4067">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10200</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67EFB99">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〔2021〕30号</w:t>
                  </w:r>
                </w:p>
              </w:tc>
            </w:tr>
            <w:tr w14:paraId="6E6B2B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625A30DB">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87</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AE5A8B0">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0AE1726">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矿山机械配件</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0C0EE29">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乐昌市保利发矿山机械配件有限公司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D2FD700">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年产破碎机边板3000t、锤头2000t和配件5000t</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572F0B9">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C451AC5">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〔2022〕16号</w:t>
                  </w:r>
                </w:p>
              </w:tc>
            </w:tr>
            <w:tr w14:paraId="0270F3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5D3A2953">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88</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940D988">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2A7B3CC">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通信设备</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7597EC7">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广东中衡能源设备有限公司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9EDEFAF">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年产移动通信基站设备3万套、机柜2万套</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0A5E1D4">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13940.57</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DEC1B9A">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〔2022〕12号</w:t>
                  </w:r>
                </w:p>
              </w:tc>
            </w:tr>
            <w:tr w14:paraId="4FBBB1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2BEC10C3">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89</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14249B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08B7A34">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开关电源</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132F83B">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广东先领电源有限公司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231FBD2">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年产600万只开关电源</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361F7EF">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2686</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6F16574">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〔2022〕15号</w:t>
                  </w:r>
                </w:p>
              </w:tc>
            </w:tr>
            <w:tr w14:paraId="28B8C3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2D31A5C3">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90</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BBE7D1A">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BB3B7FD">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精工制造</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B990D43">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乐昌市宏信精工制造有限公司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B75BD0C">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年产4000t球墨铸铁和6000t灰口铸铁</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D390659">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C8F65B4">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〔2022〕23号</w:t>
                  </w:r>
                </w:p>
              </w:tc>
            </w:tr>
            <w:tr w14:paraId="5A7784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4F9EEA91">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91</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81A82AA">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A8FA5C6">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厨具</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93B3E40">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广东弘德宝厨具有限公司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F3A8BD8">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年产铸铁厨房用具25000吨</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13B0398">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26640</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46AC0DB">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〔2022〕18号</w:t>
                  </w:r>
                </w:p>
              </w:tc>
            </w:tr>
            <w:tr w14:paraId="22163A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01B96AD5">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92</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7032A78">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7E72673">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塑料桶制造</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ADCAB3D">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广东嘉上实业有限公司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5697F0E">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年产500万个塑料桶</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F9232F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12926.42</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9EAB2C7">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〔2022〕21号</w:t>
                  </w:r>
                </w:p>
              </w:tc>
            </w:tr>
            <w:tr w14:paraId="1F5C6C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62FFA528">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93</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0EA88E9">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79A61C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汽车配件</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154D633">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广东奕宸汽车科技有限公司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3F38251">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年产汽车散热器50万件</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2FE89E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33915.52</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E8F55E7">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〔2022〕28号</w:t>
                  </w:r>
                </w:p>
              </w:tc>
            </w:tr>
            <w:tr w14:paraId="685C13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6B5F2ED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94</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BE3404C">
                  <w:pPr>
                    <w:keepNext w:val="0"/>
                    <w:keepLines w:val="0"/>
                    <w:suppressLineNumbers w:val="0"/>
                    <w:autoSpaceDE w:val="0"/>
                    <w:spacing w:before="0" w:beforeAutospacing="0" w:after="0" w:afterAutospacing="0" w:line="240" w:lineRule="auto"/>
                    <w:ind w:left="0" w:right="0"/>
                    <w:jc w:val="center"/>
                    <w:rPr>
                      <w:rFonts w:hint="default" w:ascii="Times New Roman" w:hAnsi="Times New Roman" w:eastAsia="宋体" w:cs="Times New Roman"/>
                      <w:color w:val="auto"/>
                      <w:spacing w:val="-2"/>
                      <w:kern w:val="0"/>
                      <w:sz w:val="21"/>
                      <w:szCs w:val="21"/>
                      <w:highlight w:val="none"/>
                      <w:lang w:val="en-US" w:eastAsia="zh-CN"/>
                    </w:rPr>
                  </w:pPr>
                  <w:r>
                    <w:rPr>
                      <w:rFonts w:hint="default" w:ascii="Times New Roman" w:hAnsi="Times New Roman" w:cs="Times New Roman"/>
                      <w:color w:val="auto"/>
                      <w:spacing w:val="-2"/>
                      <w:kern w:val="0"/>
                      <w:sz w:val="21"/>
                      <w:szCs w:val="21"/>
                      <w:highlight w:val="none"/>
                      <w:lang w:val="en-US" w:eastAsia="zh-CN"/>
                    </w:rPr>
                    <w:t>已建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7B07206">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塑料制品</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E4377E7">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广东邦嘉硅胶科技有限公司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78F59D5">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固体硅胶300吨/年注塑件300万件/年硅胶件</w:t>
                  </w:r>
                  <w:r>
                    <w:rPr>
                      <w:rFonts w:hint="default" w:ascii="Times New Roman" w:hAnsi="Times New Roman" w:cs="Times New Roman"/>
                      <w:color w:val="auto"/>
                      <w:spacing w:val="-2"/>
                      <w:kern w:val="0"/>
                      <w:sz w:val="21"/>
                      <w:szCs w:val="21"/>
                      <w:highlight w:val="none"/>
                      <w:lang w:eastAsia="zh-CN"/>
                    </w:rPr>
                    <w:t>（</w:t>
                  </w:r>
                  <w:r>
                    <w:rPr>
                      <w:rFonts w:hint="default" w:ascii="Times New Roman" w:hAnsi="Times New Roman" w:cs="Times New Roman"/>
                      <w:color w:val="auto"/>
                      <w:spacing w:val="-2"/>
                      <w:kern w:val="0"/>
                      <w:sz w:val="21"/>
                      <w:szCs w:val="21"/>
                      <w:highlight w:val="none"/>
                    </w:rPr>
                    <w:t>奶嘴</w:t>
                  </w:r>
                  <w:r>
                    <w:rPr>
                      <w:rFonts w:hint="default" w:ascii="Times New Roman" w:hAnsi="Times New Roman" w:cs="Times New Roman"/>
                      <w:color w:val="auto"/>
                      <w:spacing w:val="-2"/>
                      <w:kern w:val="0"/>
                      <w:sz w:val="21"/>
                      <w:szCs w:val="21"/>
                      <w:highlight w:val="none"/>
                      <w:lang w:eastAsia="zh-CN"/>
                    </w:rPr>
                    <w:t>）</w:t>
                  </w:r>
                  <w:r>
                    <w:rPr>
                      <w:rFonts w:hint="default" w:ascii="Times New Roman" w:hAnsi="Times New Roman" w:cs="Times New Roman"/>
                      <w:color w:val="auto"/>
                      <w:spacing w:val="-2"/>
                      <w:kern w:val="0"/>
                      <w:sz w:val="21"/>
                      <w:szCs w:val="21"/>
                      <w:highlight w:val="none"/>
                    </w:rPr>
                    <w:t>100万个/年、玻璃奶瓶100万个年、硅胶护层产品100万件年</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B035A6A">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36000</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0B7681C">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〔2023〕</w:t>
                  </w:r>
                  <w:r>
                    <w:rPr>
                      <w:rFonts w:hint="default" w:ascii="Times New Roman" w:hAnsi="Times New Roman" w:cs="Times New Roman"/>
                      <w:color w:val="auto"/>
                      <w:spacing w:val="-2"/>
                      <w:kern w:val="0"/>
                      <w:sz w:val="21"/>
                      <w:szCs w:val="21"/>
                      <w:highlight w:val="none"/>
                      <w:lang w:val="en-US" w:eastAsia="zh-CN"/>
                    </w:rPr>
                    <w:t>0</w:t>
                  </w:r>
                  <w:r>
                    <w:rPr>
                      <w:rFonts w:hint="default" w:ascii="Times New Roman" w:hAnsi="Times New Roman" w:cs="Times New Roman"/>
                      <w:color w:val="auto"/>
                      <w:spacing w:val="-2"/>
                      <w:kern w:val="0"/>
                      <w:sz w:val="21"/>
                      <w:szCs w:val="21"/>
                      <w:highlight w:val="none"/>
                      <w:lang w:eastAsia="zh-CN"/>
                    </w:rPr>
                    <w:t>3号</w:t>
                  </w:r>
                </w:p>
              </w:tc>
            </w:tr>
            <w:tr w14:paraId="02AA30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7BA8963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95</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41B510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eastAsia="宋体" w:cs="Times New Roman"/>
                      <w:color w:val="auto"/>
                      <w:spacing w:val="-2"/>
                      <w:kern w:val="0"/>
                      <w:sz w:val="21"/>
                      <w:szCs w:val="21"/>
                      <w:highlight w:val="none"/>
                      <w:lang w:val="en-US" w:eastAsia="zh-CN"/>
                    </w:rPr>
                  </w:pPr>
                  <w:r>
                    <w:rPr>
                      <w:rFonts w:hint="default" w:ascii="Times New Roman" w:hAnsi="Times New Roman" w:cs="Times New Roman"/>
                      <w:color w:val="auto"/>
                      <w:spacing w:val="-2"/>
                      <w:kern w:val="0"/>
                      <w:sz w:val="21"/>
                      <w:szCs w:val="21"/>
                      <w:highlight w:val="none"/>
                      <w:lang w:val="en-US" w:eastAsia="zh-CN"/>
                    </w:rPr>
                    <w:t>已建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B7CF357">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金属切割及焊接设备制造、纺织专用设备制造</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46297EB">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碧宏自动化</w:t>
                  </w:r>
                  <w:r>
                    <w:rPr>
                      <w:rFonts w:hint="default" w:ascii="Times New Roman" w:hAnsi="Times New Roman" w:cs="Times New Roman"/>
                      <w:color w:val="auto"/>
                      <w:spacing w:val="-2"/>
                      <w:kern w:val="0"/>
                      <w:sz w:val="21"/>
                      <w:szCs w:val="21"/>
                      <w:highlight w:val="none"/>
                      <w:lang w:eastAsia="zh-CN"/>
                    </w:rPr>
                    <w:t>（</w:t>
                  </w:r>
                  <w:r>
                    <w:rPr>
                      <w:rFonts w:hint="default" w:ascii="Times New Roman" w:hAnsi="Times New Roman" w:cs="Times New Roman"/>
                      <w:color w:val="auto"/>
                      <w:spacing w:val="-2"/>
                      <w:kern w:val="0"/>
                      <w:sz w:val="21"/>
                      <w:szCs w:val="21"/>
                      <w:highlight w:val="none"/>
                      <w:lang w:val="en-US" w:eastAsia="zh-CN"/>
                    </w:rPr>
                    <w:t>广东</w:t>
                  </w:r>
                  <w:r>
                    <w:rPr>
                      <w:rFonts w:hint="default" w:ascii="Times New Roman" w:hAnsi="Times New Roman" w:cs="Times New Roman"/>
                      <w:color w:val="auto"/>
                      <w:spacing w:val="-2"/>
                      <w:kern w:val="0"/>
                      <w:sz w:val="21"/>
                      <w:szCs w:val="21"/>
                      <w:highlight w:val="none"/>
                      <w:lang w:eastAsia="zh-CN"/>
                    </w:rPr>
                    <w:t>）</w:t>
                  </w:r>
                  <w:r>
                    <w:rPr>
                      <w:rFonts w:hint="default" w:ascii="Times New Roman" w:hAnsi="Times New Roman" w:cs="Times New Roman"/>
                      <w:color w:val="auto"/>
                      <w:spacing w:val="-2"/>
                      <w:kern w:val="0"/>
                      <w:sz w:val="21"/>
                      <w:szCs w:val="21"/>
                      <w:highlight w:val="none"/>
                    </w:rPr>
                    <w:t>有限责任公司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84A40DE">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椭圆印花机500件数码印花机100件、拉网机100件、激光</w:t>
                  </w:r>
                </w:p>
                <w:p w14:paraId="707BE770">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机300件</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2F78CC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31172</w:t>
                  </w:r>
                  <w:r>
                    <w:rPr>
                      <w:rFonts w:hint="default" w:ascii="Times New Roman" w:hAnsi="Times New Roman" w:cs="Times New Roman"/>
                      <w:color w:val="auto"/>
                      <w:spacing w:val="-2"/>
                      <w:kern w:val="0"/>
                      <w:sz w:val="21"/>
                      <w:szCs w:val="21"/>
                      <w:highlight w:val="none"/>
                      <w:lang w:val="en-US" w:eastAsia="zh-CN"/>
                    </w:rPr>
                    <w:t>.</w:t>
                  </w:r>
                  <w:r>
                    <w:rPr>
                      <w:rFonts w:hint="default" w:ascii="Times New Roman" w:hAnsi="Times New Roman" w:cs="Times New Roman"/>
                      <w:color w:val="auto"/>
                      <w:spacing w:val="-2"/>
                      <w:kern w:val="0"/>
                      <w:sz w:val="21"/>
                      <w:szCs w:val="21"/>
                      <w:highlight w:val="none"/>
                    </w:rPr>
                    <w:t>2</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071705C">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〔2023〕10号</w:t>
                  </w:r>
                </w:p>
              </w:tc>
            </w:tr>
            <w:tr w14:paraId="4B72D8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3A3B724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96</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299F4E9">
                  <w:pPr>
                    <w:keepNext w:val="0"/>
                    <w:keepLines w:val="0"/>
                    <w:suppressLineNumbers w:val="0"/>
                    <w:autoSpaceDE w:val="0"/>
                    <w:spacing w:before="0" w:beforeAutospacing="0" w:after="0" w:afterAutospacing="0" w:line="240" w:lineRule="auto"/>
                    <w:ind w:left="0" w:right="0"/>
                    <w:jc w:val="center"/>
                    <w:rPr>
                      <w:rFonts w:hint="default" w:ascii="Times New Roman" w:hAnsi="Times New Roman" w:eastAsia="宋体" w:cs="Times New Roman"/>
                      <w:color w:val="auto"/>
                      <w:spacing w:val="-2"/>
                      <w:kern w:val="0"/>
                      <w:sz w:val="21"/>
                      <w:szCs w:val="21"/>
                      <w:highlight w:val="none"/>
                      <w:lang w:val="en-US" w:eastAsia="zh-CN"/>
                    </w:rPr>
                  </w:pPr>
                  <w:r>
                    <w:rPr>
                      <w:rFonts w:hint="default" w:ascii="Times New Roman" w:hAnsi="Times New Roman" w:cs="Times New Roman"/>
                      <w:color w:val="auto"/>
                      <w:spacing w:val="-2"/>
                      <w:kern w:val="0"/>
                      <w:sz w:val="21"/>
                      <w:szCs w:val="21"/>
                      <w:highlight w:val="none"/>
                      <w:lang w:val="en-US" w:eastAsia="zh-CN"/>
                    </w:rPr>
                    <w:t>已建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C90B314">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光伏设备及元器件制造</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EC1B4AD">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广东柏创智能装备有限公司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34B4A16">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eastAsia="宋体" w:cs="Times New Roman"/>
                      <w:color w:val="auto"/>
                      <w:spacing w:val="-2"/>
                      <w:kern w:val="0"/>
                      <w:sz w:val="21"/>
                      <w:szCs w:val="21"/>
                      <w:highlight w:val="none"/>
                      <w:lang w:val="en-US" w:eastAsia="zh-CN"/>
                    </w:rPr>
                  </w:pPr>
                  <w:r>
                    <w:rPr>
                      <w:rFonts w:hint="default" w:ascii="Times New Roman" w:hAnsi="Times New Roman" w:cs="Times New Roman"/>
                      <w:color w:val="auto"/>
                      <w:spacing w:val="-2"/>
                      <w:kern w:val="0"/>
                      <w:sz w:val="21"/>
                      <w:szCs w:val="21"/>
                      <w:highlight w:val="none"/>
                    </w:rPr>
                    <w:t>单晶炉热交换器</w:t>
                  </w:r>
                  <w:r>
                    <w:rPr>
                      <w:rFonts w:hint="eastAsia" w:cs="Times New Roman"/>
                      <w:color w:val="auto"/>
                      <w:spacing w:val="-2"/>
                      <w:kern w:val="0"/>
                      <w:sz w:val="21"/>
                      <w:szCs w:val="21"/>
                      <w:highlight w:val="none"/>
                      <w:lang w:eastAsia="zh-CN"/>
                    </w:rPr>
                    <w:t>15000</w:t>
                  </w:r>
                  <w:r>
                    <w:rPr>
                      <w:rFonts w:hint="default" w:ascii="Times New Roman" w:hAnsi="Times New Roman" w:cs="Times New Roman"/>
                      <w:color w:val="auto"/>
                      <w:spacing w:val="-2"/>
                      <w:kern w:val="0"/>
                      <w:sz w:val="21"/>
                      <w:szCs w:val="21"/>
                      <w:highlight w:val="none"/>
                    </w:rPr>
                    <w:t>套年、腔体部件200套/年、晶棒相关自动化设备200套</w:t>
                  </w:r>
                  <w:r>
                    <w:rPr>
                      <w:rFonts w:hint="default" w:ascii="Times New Roman" w:hAnsi="Times New Roman" w:cs="Times New Roman"/>
                      <w:color w:val="auto"/>
                      <w:spacing w:val="-2"/>
                      <w:kern w:val="0"/>
                      <w:sz w:val="21"/>
                      <w:szCs w:val="21"/>
                      <w:highlight w:val="none"/>
                      <w:lang w:val="en-US" w:eastAsia="zh-CN"/>
                    </w:rPr>
                    <w:t>/年</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E9F137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23334</w:t>
                  </w:r>
                  <w:r>
                    <w:rPr>
                      <w:rFonts w:hint="default" w:ascii="Times New Roman" w:hAnsi="Times New Roman" w:cs="Times New Roman"/>
                      <w:color w:val="auto"/>
                      <w:spacing w:val="-2"/>
                      <w:kern w:val="0"/>
                      <w:sz w:val="21"/>
                      <w:szCs w:val="21"/>
                      <w:highlight w:val="none"/>
                      <w:lang w:val="en-US" w:eastAsia="zh-CN"/>
                    </w:rPr>
                    <w:t>.</w:t>
                  </w:r>
                  <w:r>
                    <w:rPr>
                      <w:rFonts w:hint="default" w:ascii="Times New Roman" w:hAnsi="Times New Roman" w:cs="Times New Roman"/>
                      <w:color w:val="auto"/>
                      <w:spacing w:val="-2"/>
                      <w:kern w:val="0"/>
                      <w:sz w:val="21"/>
                      <w:szCs w:val="21"/>
                      <w:highlight w:val="none"/>
                    </w:rPr>
                    <w:t>5</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466FAC9">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〔2023〕33号</w:t>
                  </w:r>
                </w:p>
              </w:tc>
            </w:tr>
            <w:tr w14:paraId="231A43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6DCB259A">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97</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5C1129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lang w:val="en-US" w:eastAsia="zh-CN"/>
                    </w:rPr>
                  </w:pPr>
                  <w:r>
                    <w:rPr>
                      <w:rFonts w:hint="default" w:ascii="Times New Roman" w:hAnsi="Times New Roman" w:cs="Times New Roman"/>
                      <w:color w:val="auto"/>
                      <w:spacing w:val="-2"/>
                      <w:kern w:val="0"/>
                      <w:sz w:val="21"/>
                      <w:szCs w:val="21"/>
                      <w:highlight w:val="none"/>
                      <w:lang w:val="en-US" w:eastAsia="zh-CN"/>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0C009C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乐昌市昌雄新材料项目</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AF39917">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乐昌市昌雄实业投资开发有限公司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D4A66EA">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年加工能力为2100吨铝卷原料（折算为50万平方米）</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4FDE8FA">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52761.8</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CC37973">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〔2024〕</w:t>
                  </w:r>
                  <w:r>
                    <w:rPr>
                      <w:rFonts w:hint="default" w:ascii="Times New Roman" w:hAnsi="Times New Roman" w:cs="Times New Roman"/>
                      <w:color w:val="auto"/>
                      <w:spacing w:val="-2"/>
                      <w:kern w:val="0"/>
                      <w:sz w:val="21"/>
                      <w:szCs w:val="21"/>
                      <w:highlight w:val="none"/>
                      <w:lang w:val="en-US" w:eastAsia="zh-CN"/>
                    </w:rPr>
                    <w:t>0</w:t>
                  </w:r>
                  <w:r>
                    <w:rPr>
                      <w:rFonts w:hint="default" w:ascii="Times New Roman" w:hAnsi="Times New Roman" w:cs="Times New Roman"/>
                      <w:color w:val="auto"/>
                      <w:spacing w:val="-2"/>
                      <w:kern w:val="0"/>
                      <w:sz w:val="21"/>
                      <w:szCs w:val="21"/>
                      <w:highlight w:val="none"/>
                      <w:lang w:eastAsia="zh-CN"/>
                    </w:rPr>
                    <w:t>5号</w:t>
                  </w:r>
                </w:p>
              </w:tc>
            </w:tr>
            <w:tr w14:paraId="17C3DE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01365EB0">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98</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486104E">
                  <w:pPr>
                    <w:keepNext w:val="0"/>
                    <w:keepLines w:val="0"/>
                    <w:suppressLineNumbers w:val="0"/>
                    <w:autoSpaceDE w:val="0"/>
                    <w:spacing w:before="0" w:beforeAutospacing="0" w:after="0" w:afterAutospacing="0" w:line="240" w:lineRule="auto"/>
                    <w:ind w:left="0" w:right="0"/>
                    <w:jc w:val="center"/>
                    <w:rPr>
                      <w:rFonts w:hint="eastAsia" w:cs="Times New Roman"/>
                      <w:color w:val="auto"/>
                      <w:spacing w:val="-2"/>
                      <w:kern w:val="0"/>
                      <w:sz w:val="21"/>
                      <w:szCs w:val="21"/>
                      <w:highlight w:val="none"/>
                      <w:lang w:val="en-US" w:eastAsia="zh-CN"/>
                    </w:rPr>
                  </w:pPr>
                  <w:r>
                    <w:rPr>
                      <w:rFonts w:hint="default" w:ascii="Times New Roman" w:hAnsi="Times New Roman" w:cs="Times New Roman"/>
                      <w:color w:val="auto"/>
                      <w:spacing w:val="-2"/>
                      <w:kern w:val="0"/>
                      <w:sz w:val="21"/>
                      <w:szCs w:val="21"/>
                      <w:highlight w:val="none"/>
                      <w:lang w:val="en-US" w:eastAsia="zh-CN"/>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1062E07">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金利达新材料项目</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0668C6D">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韶关金利达塑料制品有限公司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DDD5E51">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年产再生塑胶颗粒3000吨</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59225E6">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18748.8</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209110F">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韶环乐审〔2025〕13号</w:t>
                  </w:r>
                </w:p>
              </w:tc>
            </w:tr>
            <w:tr w14:paraId="6D5264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4AE9330C">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99</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5956727">
                  <w:pPr>
                    <w:keepNext w:val="0"/>
                    <w:keepLines w:val="0"/>
                    <w:suppressLineNumbers w:val="0"/>
                    <w:autoSpaceDE w:val="0"/>
                    <w:spacing w:before="0" w:beforeAutospacing="0" w:after="0" w:afterAutospacing="0" w:line="240" w:lineRule="auto"/>
                    <w:ind w:left="0" w:right="0"/>
                    <w:jc w:val="center"/>
                    <w:rPr>
                      <w:rFonts w:hint="eastAsia" w:cs="Times New Roman"/>
                      <w:color w:val="auto"/>
                      <w:spacing w:val="-2"/>
                      <w:kern w:val="0"/>
                      <w:sz w:val="21"/>
                      <w:szCs w:val="21"/>
                      <w:highlight w:val="none"/>
                      <w:lang w:val="en-US" w:eastAsia="zh-CN"/>
                    </w:rPr>
                  </w:pPr>
                  <w:r>
                    <w:rPr>
                      <w:rFonts w:hint="default" w:ascii="Times New Roman" w:hAnsi="Times New Roman" w:cs="Times New Roman"/>
                      <w:color w:val="auto"/>
                      <w:spacing w:val="-2"/>
                      <w:kern w:val="0"/>
                      <w:sz w:val="21"/>
                      <w:szCs w:val="21"/>
                      <w:highlight w:val="none"/>
                      <w:lang w:val="en-US" w:eastAsia="zh-CN"/>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E5C9EF0">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乐昌市建兴萤石精粉加工项目</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C59A304">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韶关市建兴新材料科技有限公司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4D1A6E4">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年产萤石精矿5万吨</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4AAB02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33562.6</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935E49E">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韶环乐审〔2025〕14号</w:t>
                  </w:r>
                </w:p>
              </w:tc>
            </w:tr>
            <w:tr w14:paraId="1334B9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049CF21A">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100</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90409B3">
                  <w:pPr>
                    <w:keepNext w:val="0"/>
                    <w:keepLines w:val="0"/>
                    <w:suppressLineNumbers w:val="0"/>
                    <w:autoSpaceDE w:val="0"/>
                    <w:spacing w:before="0" w:beforeAutospacing="0" w:after="0" w:afterAutospacing="0" w:line="240" w:lineRule="auto"/>
                    <w:ind w:left="0" w:right="0"/>
                    <w:jc w:val="center"/>
                    <w:rPr>
                      <w:rFonts w:hint="eastAsia" w:cs="Times New Roman"/>
                      <w:color w:val="auto"/>
                      <w:spacing w:val="-2"/>
                      <w:kern w:val="0"/>
                      <w:sz w:val="21"/>
                      <w:szCs w:val="21"/>
                      <w:highlight w:val="none"/>
                      <w:lang w:val="en-US" w:eastAsia="zh-CN"/>
                    </w:rPr>
                  </w:pPr>
                  <w:r>
                    <w:rPr>
                      <w:rFonts w:hint="eastAsia" w:cs="Times New Roman"/>
                      <w:color w:val="auto"/>
                      <w:spacing w:val="-2"/>
                      <w:kern w:val="0"/>
                      <w:sz w:val="21"/>
                      <w:szCs w:val="21"/>
                      <w:highlight w:val="none"/>
                      <w:lang w:val="en-US" w:eastAsia="zh-CN"/>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125A4A6">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乐昌市高端光显触摸屏建设项目</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3352E48">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广东维创兴电子科技有限公司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DDAEA1A">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年产触摸屏100万片</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7BD7948">
                  <w:pPr>
                    <w:keepNext w:val="0"/>
                    <w:keepLines w:val="0"/>
                    <w:suppressLineNumbers w:val="0"/>
                    <w:autoSpaceDE w:val="0"/>
                    <w:spacing w:before="0" w:beforeAutospacing="0" w:after="0" w:afterAutospacing="0" w:line="240" w:lineRule="auto"/>
                    <w:ind w:left="0" w:right="0"/>
                    <w:jc w:val="center"/>
                    <w:rPr>
                      <w:rFonts w:hint="default" w:ascii="Times New Roman" w:hAnsi="Times New Roman" w:eastAsia="宋体" w:cs="Times New Roman"/>
                      <w:color w:val="auto"/>
                      <w:spacing w:val="-2"/>
                      <w:kern w:val="0"/>
                      <w:sz w:val="21"/>
                      <w:szCs w:val="21"/>
                      <w:highlight w:val="none"/>
                      <w:lang w:val="en-US" w:eastAsia="zh-CN"/>
                    </w:rPr>
                  </w:pPr>
                  <w:r>
                    <w:rPr>
                      <w:rFonts w:hint="eastAsia" w:cs="Times New Roman"/>
                      <w:color w:val="auto"/>
                      <w:spacing w:val="-2"/>
                      <w:kern w:val="0"/>
                      <w:sz w:val="21"/>
                      <w:szCs w:val="21"/>
                      <w:highlight w:val="none"/>
                      <w:lang w:val="en-US" w:eastAsia="zh-CN"/>
                    </w:rPr>
                    <w:t>3925.74</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37EF939">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韶环乐审〔2025〕20号</w:t>
                  </w:r>
                </w:p>
              </w:tc>
            </w:tr>
            <w:tr w14:paraId="688B40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08E4D054">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101</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D57FB1E">
                  <w:pPr>
                    <w:keepNext w:val="0"/>
                    <w:keepLines w:val="0"/>
                    <w:suppressLineNumbers w:val="0"/>
                    <w:autoSpaceDE w:val="0"/>
                    <w:spacing w:before="0" w:beforeAutospacing="0" w:after="0" w:afterAutospacing="0" w:line="240" w:lineRule="auto"/>
                    <w:ind w:left="0" w:right="0"/>
                    <w:jc w:val="center"/>
                    <w:rPr>
                      <w:rFonts w:hint="eastAsia" w:cs="Times New Roman"/>
                      <w:color w:val="auto"/>
                      <w:spacing w:val="-2"/>
                      <w:kern w:val="0"/>
                      <w:sz w:val="21"/>
                      <w:szCs w:val="21"/>
                      <w:highlight w:val="none"/>
                      <w:lang w:val="en-US" w:eastAsia="zh-CN"/>
                    </w:rPr>
                  </w:pPr>
                  <w:r>
                    <w:rPr>
                      <w:rFonts w:hint="eastAsia" w:cs="Times New Roman"/>
                      <w:color w:val="auto"/>
                      <w:spacing w:val="-2"/>
                      <w:kern w:val="0"/>
                      <w:sz w:val="21"/>
                      <w:szCs w:val="21"/>
                      <w:highlight w:val="none"/>
                      <w:lang w:val="en-US" w:eastAsia="zh-CN"/>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544DD69">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乐昌致远新材料项目</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44C8052">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广东润昕新材料有限公司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772D31D">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设计年加工铝卷原料100万平方米（折算重量为4050吨/年）</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187B360">
                  <w:pPr>
                    <w:keepNext w:val="0"/>
                    <w:keepLines w:val="0"/>
                    <w:suppressLineNumbers w:val="0"/>
                    <w:autoSpaceDE w:val="0"/>
                    <w:spacing w:before="0" w:beforeAutospacing="0" w:after="0" w:afterAutospacing="0" w:line="240" w:lineRule="auto"/>
                    <w:ind w:left="0" w:right="0"/>
                    <w:jc w:val="center"/>
                    <w:rPr>
                      <w:rFonts w:hint="default" w:ascii="Times New Roman" w:hAnsi="Times New Roman" w:eastAsia="宋体" w:cs="Times New Roman"/>
                      <w:color w:val="auto"/>
                      <w:spacing w:val="-2"/>
                      <w:kern w:val="0"/>
                      <w:sz w:val="21"/>
                      <w:szCs w:val="21"/>
                      <w:highlight w:val="none"/>
                      <w:lang w:val="en-US" w:eastAsia="zh-CN"/>
                    </w:rPr>
                  </w:pPr>
                  <w:r>
                    <w:rPr>
                      <w:rFonts w:hint="eastAsia" w:cs="Times New Roman"/>
                      <w:color w:val="auto"/>
                      <w:spacing w:val="-2"/>
                      <w:kern w:val="0"/>
                      <w:sz w:val="21"/>
                      <w:szCs w:val="21"/>
                      <w:highlight w:val="none"/>
                      <w:lang w:val="en-US" w:eastAsia="zh-CN"/>
                    </w:rPr>
                    <w:t>34905.44</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3853EA3">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韶环乐审〔2025〕21号</w:t>
                  </w:r>
                </w:p>
              </w:tc>
            </w:tr>
            <w:tr w14:paraId="798A66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4131F3CF">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102</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A5903F9">
                  <w:pPr>
                    <w:keepNext w:val="0"/>
                    <w:keepLines w:val="0"/>
                    <w:suppressLineNumbers w:val="0"/>
                    <w:autoSpaceDE w:val="0"/>
                    <w:spacing w:before="0" w:beforeAutospacing="0" w:after="0" w:afterAutospacing="0" w:line="240" w:lineRule="auto"/>
                    <w:ind w:left="0" w:right="0"/>
                    <w:jc w:val="center"/>
                    <w:rPr>
                      <w:rFonts w:hint="eastAsia" w:cs="Times New Roman"/>
                      <w:color w:val="auto"/>
                      <w:spacing w:val="-2"/>
                      <w:kern w:val="0"/>
                      <w:sz w:val="21"/>
                      <w:szCs w:val="21"/>
                      <w:highlight w:val="none"/>
                      <w:lang w:val="en-US" w:eastAsia="zh-CN"/>
                    </w:rPr>
                  </w:pPr>
                  <w:r>
                    <w:rPr>
                      <w:rFonts w:hint="eastAsia" w:cs="Times New Roman"/>
                      <w:color w:val="auto"/>
                      <w:spacing w:val="-2"/>
                      <w:kern w:val="0"/>
                      <w:sz w:val="21"/>
                      <w:szCs w:val="21"/>
                      <w:highlight w:val="none"/>
                      <w:lang w:val="en-US" w:eastAsia="zh-CN"/>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056A827">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乐昌市廓鑫新材料项目</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6916432">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廓鑫建材（韶关）有限公司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3AC92B0">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年生产各类板及其他铝制品100万平方米</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FF82DBD">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33373.03</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008985B">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韶环乐审〔2025〕25号</w:t>
                  </w:r>
                </w:p>
              </w:tc>
            </w:tr>
            <w:tr w14:paraId="75B179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49"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0E2CB42F">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103</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D65993B">
                  <w:pPr>
                    <w:keepNext w:val="0"/>
                    <w:keepLines w:val="0"/>
                    <w:suppressLineNumbers w:val="0"/>
                    <w:autoSpaceDE w:val="0"/>
                    <w:spacing w:before="0" w:beforeAutospacing="0" w:after="0" w:afterAutospacing="0" w:line="240" w:lineRule="auto"/>
                    <w:ind w:left="0" w:right="0"/>
                    <w:jc w:val="center"/>
                    <w:rPr>
                      <w:rFonts w:hint="eastAsia" w:cs="Times New Roman"/>
                      <w:color w:val="auto"/>
                      <w:spacing w:val="-2"/>
                      <w:kern w:val="0"/>
                      <w:sz w:val="21"/>
                      <w:szCs w:val="21"/>
                      <w:highlight w:val="none"/>
                      <w:lang w:val="en-US" w:eastAsia="zh-CN"/>
                    </w:rPr>
                  </w:pPr>
                  <w:r>
                    <w:rPr>
                      <w:rFonts w:hint="eastAsia" w:cs="Times New Roman"/>
                      <w:color w:val="auto"/>
                      <w:spacing w:val="-2"/>
                      <w:kern w:val="0"/>
                      <w:sz w:val="21"/>
                      <w:szCs w:val="21"/>
                      <w:highlight w:val="none"/>
                      <w:lang w:val="en-US" w:eastAsia="zh-CN"/>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15A3EA1">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铝模板生产线建设项目</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051DABA">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韶关九为新材料有限公司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88BDA01">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年产铝模板50万平方米</w:t>
                  </w:r>
                </w:p>
              </w:tc>
              <w:tc>
                <w:tcPr>
                  <w:tcW w:w="818"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CDB8A54">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52810.91</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1DB6FF5">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韶环乐审〔2025〕2</w:t>
                  </w:r>
                  <w:r>
                    <w:rPr>
                      <w:rFonts w:hint="eastAsia" w:ascii="Times New Roman" w:hAnsi="Times New Roman" w:cs="Times New Roman"/>
                      <w:color w:val="auto"/>
                      <w:spacing w:val="-2"/>
                      <w:kern w:val="0"/>
                      <w:sz w:val="21"/>
                      <w:szCs w:val="21"/>
                      <w:highlight w:val="none"/>
                      <w:lang w:val="en-US" w:eastAsia="zh-CN"/>
                    </w:rPr>
                    <w:t>6</w:t>
                  </w:r>
                  <w:r>
                    <w:rPr>
                      <w:rFonts w:hint="default" w:ascii="Times New Roman" w:hAnsi="Times New Roman" w:cs="Times New Roman"/>
                      <w:color w:val="auto"/>
                      <w:spacing w:val="-2"/>
                      <w:kern w:val="0"/>
                      <w:sz w:val="21"/>
                      <w:szCs w:val="21"/>
                      <w:highlight w:val="none"/>
                    </w:rPr>
                    <w:t>号</w:t>
                  </w:r>
                </w:p>
              </w:tc>
            </w:tr>
            <w:bookmarkEnd w:id="49"/>
          </w:tbl>
          <w:p w14:paraId="09B65AEA">
            <w:pPr>
              <w:pStyle w:val="107"/>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园区已通过审批企业三废排放情况汇总表</w:t>
            </w:r>
          </w:p>
          <w:tbl>
            <w:tblPr>
              <w:tblStyle w:val="3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62"/>
              <w:gridCol w:w="1704"/>
              <w:gridCol w:w="2948"/>
              <w:gridCol w:w="3566"/>
            </w:tblGrid>
            <w:tr w14:paraId="73357F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078" w:type="pct"/>
                  <w:gridSpan w:val="3"/>
                  <w:vAlign w:val="center"/>
                </w:tcPr>
                <w:p w14:paraId="5677366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环境影响因素</w:t>
                  </w:r>
                </w:p>
              </w:tc>
              <w:tc>
                <w:tcPr>
                  <w:tcW w:w="1921" w:type="pct"/>
                  <w:vAlign w:val="center"/>
                </w:tcPr>
                <w:p w14:paraId="65F6C8D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排放量</w:t>
                  </w:r>
                </w:p>
              </w:tc>
            </w:tr>
            <w:tr w14:paraId="1C1FD7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72" w:type="pct"/>
                  <w:vMerge w:val="restart"/>
                  <w:vAlign w:val="center"/>
                </w:tcPr>
                <w:p w14:paraId="4D2490E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废水</w:t>
                  </w:r>
                </w:p>
              </w:tc>
              <w:tc>
                <w:tcPr>
                  <w:tcW w:w="918" w:type="pct"/>
                  <w:vMerge w:val="restart"/>
                  <w:vAlign w:val="center"/>
                </w:tcPr>
                <w:p w14:paraId="4DD6E7E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废水</w:t>
                  </w:r>
                </w:p>
              </w:tc>
              <w:tc>
                <w:tcPr>
                  <w:tcW w:w="1587" w:type="pct"/>
                  <w:vAlign w:val="center"/>
                </w:tcPr>
                <w:p w14:paraId="740078B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废水量（m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/d）</w:t>
                  </w:r>
                </w:p>
              </w:tc>
              <w:tc>
                <w:tcPr>
                  <w:tcW w:w="3583" w:type="dxa"/>
                  <w:vAlign w:val="center"/>
                </w:tcPr>
                <w:p w14:paraId="5022FF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3478.94</w:t>
                  </w:r>
                </w:p>
              </w:tc>
            </w:tr>
            <w:tr w14:paraId="237CCD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72" w:type="pct"/>
                  <w:vMerge w:val="continue"/>
                  <w:vAlign w:val="center"/>
                </w:tcPr>
                <w:p w14:paraId="5A8AD2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left"/>
                    <w:rPr>
                      <w:rFonts w:hint="default" w:ascii="Times New Roman" w:hAnsi="Times New Roman" w:cs="Times New Roman"/>
                      <w:color w:val="auto"/>
                      <w:sz w:val="21"/>
                      <w:szCs w:val="21"/>
                      <w:highlight w:val="none"/>
                    </w:rPr>
                  </w:pPr>
                </w:p>
              </w:tc>
              <w:tc>
                <w:tcPr>
                  <w:tcW w:w="918" w:type="pct"/>
                  <w:vMerge w:val="continue"/>
                  <w:vAlign w:val="center"/>
                </w:tcPr>
                <w:p w14:paraId="24238C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left"/>
                    <w:rPr>
                      <w:rFonts w:hint="default" w:ascii="Times New Roman" w:hAnsi="Times New Roman" w:cs="Times New Roman"/>
                      <w:color w:val="auto"/>
                      <w:sz w:val="21"/>
                      <w:szCs w:val="21"/>
                      <w:highlight w:val="none"/>
                    </w:rPr>
                  </w:pPr>
                </w:p>
              </w:tc>
              <w:tc>
                <w:tcPr>
                  <w:tcW w:w="1587" w:type="pct"/>
                  <w:vAlign w:val="center"/>
                </w:tcPr>
                <w:p w14:paraId="40D97B1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COD（t/a）</w:t>
                  </w:r>
                </w:p>
              </w:tc>
              <w:tc>
                <w:tcPr>
                  <w:tcW w:w="3583" w:type="dxa"/>
                  <w:vAlign w:val="center"/>
                </w:tcPr>
                <w:p w14:paraId="0E85B4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29.8480</w:t>
                  </w:r>
                </w:p>
              </w:tc>
            </w:tr>
            <w:tr w14:paraId="142E32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72" w:type="pct"/>
                  <w:vMerge w:val="continue"/>
                  <w:vAlign w:val="center"/>
                </w:tcPr>
                <w:p w14:paraId="21F7CF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left"/>
                    <w:rPr>
                      <w:rFonts w:hint="default" w:ascii="Times New Roman" w:hAnsi="Times New Roman" w:cs="Times New Roman"/>
                      <w:color w:val="auto"/>
                      <w:sz w:val="21"/>
                      <w:szCs w:val="21"/>
                      <w:highlight w:val="none"/>
                    </w:rPr>
                  </w:pPr>
                </w:p>
              </w:tc>
              <w:tc>
                <w:tcPr>
                  <w:tcW w:w="918" w:type="pct"/>
                  <w:vMerge w:val="continue"/>
                  <w:vAlign w:val="center"/>
                </w:tcPr>
                <w:p w14:paraId="19E3CD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left"/>
                    <w:rPr>
                      <w:rFonts w:hint="default" w:ascii="Times New Roman" w:hAnsi="Times New Roman" w:cs="Times New Roman"/>
                      <w:color w:val="auto"/>
                      <w:sz w:val="21"/>
                      <w:szCs w:val="21"/>
                      <w:highlight w:val="none"/>
                    </w:rPr>
                  </w:pPr>
                </w:p>
              </w:tc>
              <w:tc>
                <w:tcPr>
                  <w:tcW w:w="1587" w:type="pct"/>
                  <w:vAlign w:val="center"/>
                </w:tcPr>
                <w:p w14:paraId="08D5D52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氨氮（t/a）</w:t>
                  </w:r>
                </w:p>
              </w:tc>
              <w:tc>
                <w:tcPr>
                  <w:tcW w:w="3583" w:type="dxa"/>
                  <w:vAlign w:val="center"/>
                </w:tcPr>
                <w:p w14:paraId="0E92CF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4.8383</w:t>
                  </w:r>
                </w:p>
              </w:tc>
            </w:tr>
            <w:tr w14:paraId="5E4097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72" w:type="pct"/>
                  <w:vMerge w:val="restart"/>
                  <w:vAlign w:val="center"/>
                </w:tcPr>
                <w:p w14:paraId="512C52E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废气</w:t>
                  </w:r>
                </w:p>
              </w:tc>
              <w:tc>
                <w:tcPr>
                  <w:tcW w:w="918" w:type="pct"/>
                  <w:vMerge w:val="restart"/>
                  <w:vAlign w:val="center"/>
                </w:tcPr>
                <w:p w14:paraId="21EAFA7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有组织排放</w:t>
                  </w:r>
                </w:p>
              </w:tc>
              <w:tc>
                <w:tcPr>
                  <w:tcW w:w="1587" w:type="pct"/>
                  <w:vAlign w:val="center"/>
                </w:tcPr>
                <w:p w14:paraId="01128E9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SO</w:t>
                  </w:r>
                  <w:r>
                    <w:rPr>
                      <w:rFonts w:hint="default" w:ascii="Times New Roman" w:hAnsi="Times New Roman" w:cs="Times New Roman"/>
                      <w:color w:val="auto"/>
                      <w:sz w:val="21"/>
                      <w:szCs w:val="21"/>
                      <w:highlight w:val="none"/>
                      <w:vertAlign w:val="subscript"/>
                    </w:rPr>
                    <w:t>2</w:t>
                  </w:r>
                  <w:r>
                    <w:rPr>
                      <w:rFonts w:hint="default" w:ascii="Times New Roman" w:hAnsi="Times New Roman" w:cs="Times New Roman"/>
                      <w:color w:val="auto"/>
                      <w:sz w:val="21"/>
                      <w:szCs w:val="21"/>
                      <w:highlight w:val="none"/>
                    </w:rPr>
                    <w:t>（t/a）</w:t>
                  </w:r>
                </w:p>
              </w:tc>
              <w:tc>
                <w:tcPr>
                  <w:tcW w:w="3583" w:type="dxa"/>
                  <w:vAlign w:val="center"/>
                </w:tcPr>
                <w:p w14:paraId="33EDA7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rPr>
                    <w:t>3.1878</w:t>
                  </w:r>
                </w:p>
              </w:tc>
            </w:tr>
            <w:tr w14:paraId="6A6A1A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72" w:type="pct"/>
                  <w:vMerge w:val="continue"/>
                  <w:vAlign w:val="center"/>
                </w:tcPr>
                <w:p w14:paraId="51269D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left"/>
                    <w:rPr>
                      <w:rFonts w:hint="default" w:ascii="Times New Roman" w:hAnsi="Times New Roman" w:cs="Times New Roman"/>
                      <w:color w:val="auto"/>
                      <w:sz w:val="21"/>
                      <w:szCs w:val="21"/>
                      <w:highlight w:val="none"/>
                    </w:rPr>
                  </w:pPr>
                </w:p>
              </w:tc>
              <w:tc>
                <w:tcPr>
                  <w:tcW w:w="918" w:type="pct"/>
                  <w:vMerge w:val="continue"/>
                  <w:vAlign w:val="center"/>
                </w:tcPr>
                <w:p w14:paraId="628B93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left"/>
                    <w:rPr>
                      <w:rFonts w:hint="default" w:ascii="Times New Roman" w:hAnsi="Times New Roman" w:cs="Times New Roman"/>
                      <w:color w:val="auto"/>
                      <w:sz w:val="21"/>
                      <w:szCs w:val="21"/>
                      <w:highlight w:val="none"/>
                    </w:rPr>
                  </w:pPr>
                </w:p>
              </w:tc>
              <w:tc>
                <w:tcPr>
                  <w:tcW w:w="1587" w:type="pct"/>
                  <w:vAlign w:val="center"/>
                </w:tcPr>
                <w:p w14:paraId="5391A48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氮氧化物（t/a）</w:t>
                  </w:r>
                </w:p>
              </w:tc>
              <w:tc>
                <w:tcPr>
                  <w:tcW w:w="3583" w:type="dxa"/>
                  <w:vAlign w:val="center"/>
                </w:tcPr>
                <w:p w14:paraId="785126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19.0178</w:t>
                  </w:r>
                </w:p>
              </w:tc>
            </w:tr>
            <w:tr w14:paraId="6FDD51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72" w:type="pct"/>
                  <w:vMerge w:val="continue"/>
                  <w:vAlign w:val="center"/>
                </w:tcPr>
                <w:p w14:paraId="7668B1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left"/>
                    <w:rPr>
                      <w:rFonts w:hint="default" w:ascii="Times New Roman" w:hAnsi="Times New Roman" w:cs="Times New Roman"/>
                      <w:color w:val="auto"/>
                      <w:sz w:val="21"/>
                      <w:szCs w:val="21"/>
                      <w:highlight w:val="none"/>
                    </w:rPr>
                  </w:pPr>
                </w:p>
              </w:tc>
              <w:tc>
                <w:tcPr>
                  <w:tcW w:w="918" w:type="pct"/>
                  <w:vMerge w:val="continue"/>
                  <w:vAlign w:val="center"/>
                </w:tcPr>
                <w:p w14:paraId="5CDE2F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left"/>
                    <w:rPr>
                      <w:rFonts w:hint="default" w:ascii="Times New Roman" w:hAnsi="Times New Roman" w:cs="Times New Roman"/>
                      <w:color w:val="auto"/>
                      <w:sz w:val="21"/>
                      <w:szCs w:val="21"/>
                      <w:highlight w:val="none"/>
                    </w:rPr>
                  </w:pPr>
                </w:p>
              </w:tc>
              <w:tc>
                <w:tcPr>
                  <w:tcW w:w="1587" w:type="pct"/>
                  <w:vAlign w:val="center"/>
                </w:tcPr>
                <w:p w14:paraId="5EF418B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烟（粉）尘（t/a）</w:t>
                  </w:r>
                </w:p>
              </w:tc>
              <w:tc>
                <w:tcPr>
                  <w:tcW w:w="3583" w:type="dxa"/>
                  <w:vAlign w:val="center"/>
                </w:tcPr>
                <w:p w14:paraId="7411AD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190.9653</w:t>
                  </w:r>
                </w:p>
              </w:tc>
            </w:tr>
            <w:tr w14:paraId="06F677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72" w:type="pct"/>
                  <w:vMerge w:val="continue"/>
                  <w:vAlign w:val="center"/>
                </w:tcPr>
                <w:p w14:paraId="77667A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left"/>
                    <w:rPr>
                      <w:rFonts w:hint="default" w:ascii="Times New Roman" w:hAnsi="Times New Roman" w:cs="Times New Roman"/>
                      <w:color w:val="auto"/>
                      <w:sz w:val="21"/>
                      <w:szCs w:val="21"/>
                      <w:highlight w:val="none"/>
                    </w:rPr>
                  </w:pPr>
                </w:p>
              </w:tc>
              <w:tc>
                <w:tcPr>
                  <w:tcW w:w="918" w:type="pct"/>
                  <w:vMerge w:val="continue"/>
                  <w:vAlign w:val="center"/>
                </w:tcPr>
                <w:p w14:paraId="1CBC3E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left"/>
                    <w:rPr>
                      <w:rFonts w:hint="default" w:ascii="Times New Roman" w:hAnsi="Times New Roman" w:cs="Times New Roman"/>
                      <w:color w:val="auto"/>
                      <w:sz w:val="21"/>
                      <w:szCs w:val="21"/>
                      <w:highlight w:val="none"/>
                    </w:rPr>
                  </w:pPr>
                </w:p>
              </w:tc>
              <w:tc>
                <w:tcPr>
                  <w:tcW w:w="1587" w:type="pct"/>
                  <w:vAlign w:val="center"/>
                </w:tcPr>
                <w:p w14:paraId="6C36805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非甲烷总烃（t/a）</w:t>
                  </w:r>
                </w:p>
              </w:tc>
              <w:tc>
                <w:tcPr>
                  <w:tcW w:w="3583" w:type="dxa"/>
                  <w:vAlign w:val="center"/>
                </w:tcPr>
                <w:p w14:paraId="60D9CC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100.1275</w:t>
                  </w:r>
                </w:p>
              </w:tc>
            </w:tr>
            <w:tr w14:paraId="0C50D0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72" w:type="pct"/>
                  <w:vMerge w:val="restart"/>
                  <w:vAlign w:val="center"/>
                </w:tcPr>
                <w:p w14:paraId="5DB8552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固体</w:t>
                  </w:r>
                </w:p>
                <w:p w14:paraId="3C10EF0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废物</w:t>
                  </w:r>
                </w:p>
              </w:tc>
              <w:tc>
                <w:tcPr>
                  <w:tcW w:w="2506" w:type="pct"/>
                  <w:gridSpan w:val="2"/>
                  <w:vAlign w:val="center"/>
                </w:tcPr>
                <w:p w14:paraId="221661E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危险废物（t/a）</w:t>
                  </w:r>
                </w:p>
              </w:tc>
              <w:tc>
                <w:tcPr>
                  <w:tcW w:w="3583" w:type="dxa"/>
                  <w:vAlign w:val="center"/>
                </w:tcPr>
                <w:p w14:paraId="5221C6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3432.22（委外处置）</w:t>
                  </w:r>
                </w:p>
              </w:tc>
            </w:tr>
            <w:tr w14:paraId="5D1F2F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72" w:type="pct"/>
                  <w:vMerge w:val="continue"/>
                  <w:vAlign w:val="center"/>
                </w:tcPr>
                <w:p w14:paraId="2F5182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left"/>
                    <w:rPr>
                      <w:rFonts w:hint="default" w:ascii="Times New Roman" w:hAnsi="Times New Roman" w:cs="Times New Roman"/>
                      <w:color w:val="auto"/>
                      <w:sz w:val="21"/>
                      <w:szCs w:val="21"/>
                      <w:highlight w:val="none"/>
                    </w:rPr>
                  </w:pPr>
                </w:p>
              </w:tc>
              <w:tc>
                <w:tcPr>
                  <w:tcW w:w="2506" w:type="pct"/>
                  <w:gridSpan w:val="2"/>
                  <w:vAlign w:val="center"/>
                </w:tcPr>
                <w:p w14:paraId="4C8FF85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一般固废（t/a）</w:t>
                  </w:r>
                </w:p>
              </w:tc>
              <w:tc>
                <w:tcPr>
                  <w:tcW w:w="3583" w:type="dxa"/>
                  <w:vAlign w:val="center"/>
                </w:tcPr>
                <w:p w14:paraId="016695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37678.61（综合利用，环卫清运）</w:t>
                  </w:r>
                </w:p>
              </w:tc>
            </w:tr>
            <w:tr w14:paraId="2261EB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72" w:type="pct"/>
                  <w:vMerge w:val="continue"/>
                  <w:vAlign w:val="center"/>
                </w:tcPr>
                <w:p w14:paraId="2E775E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left"/>
                    <w:rPr>
                      <w:rFonts w:hint="default" w:ascii="Times New Roman" w:hAnsi="Times New Roman" w:cs="Times New Roman"/>
                      <w:color w:val="auto"/>
                      <w:sz w:val="21"/>
                      <w:szCs w:val="21"/>
                      <w:highlight w:val="none"/>
                    </w:rPr>
                  </w:pPr>
                </w:p>
              </w:tc>
              <w:tc>
                <w:tcPr>
                  <w:tcW w:w="2506" w:type="pct"/>
                  <w:gridSpan w:val="2"/>
                  <w:vAlign w:val="center"/>
                </w:tcPr>
                <w:p w14:paraId="326D54E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生活垃圾（t/a）</w:t>
                  </w:r>
                </w:p>
              </w:tc>
              <w:tc>
                <w:tcPr>
                  <w:tcW w:w="3583" w:type="dxa"/>
                  <w:vAlign w:val="center"/>
                </w:tcPr>
                <w:p w14:paraId="65DDCB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2965.08（环卫清运）</w:t>
                  </w:r>
                </w:p>
              </w:tc>
            </w:tr>
          </w:tbl>
          <w:p w14:paraId="686C4452">
            <w:pPr>
              <w:keepNext w:val="0"/>
              <w:keepLines w:val="0"/>
              <w:suppressLineNumbers w:val="0"/>
              <w:spacing w:before="0" w:beforeAutospacing="0" w:after="0" w:afterAutospacing="0"/>
              <w:ind w:left="0" w:right="0" w:firstLine="480" w:firstLineChars="20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3、主要环境问题</w:t>
            </w:r>
          </w:p>
          <w:p w14:paraId="70C5EFB0">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环境质量现状监测数据表明，项目所在区域各类环境要素均能达到相应的环境规划要求，无突出环境问题。</w:t>
            </w:r>
          </w:p>
          <w:p w14:paraId="30EFB440">
            <w:pPr>
              <w:pStyle w:val="46"/>
              <w:keepNext w:val="0"/>
              <w:keepLines w:val="0"/>
              <w:suppressLineNumbers w:val="0"/>
              <w:spacing w:before="0" w:beforeAutospacing="0" w:after="0" w:afterAutospacing="0"/>
              <w:ind w:left="0" w:right="0"/>
              <w:rPr>
                <w:rFonts w:hint="default" w:ascii="Times New Roman" w:hAnsi="Times New Roman" w:cs="Times New Roman"/>
                <w:color w:val="auto"/>
                <w:highlight w:val="none"/>
              </w:rPr>
            </w:pPr>
          </w:p>
        </w:tc>
      </w:tr>
    </w:tbl>
    <w:p w14:paraId="0937E63E">
      <w:pPr>
        <w:rPr>
          <w:rFonts w:ascii="黑体" w:hAnsi="黑体" w:cs="黑体"/>
          <w:color w:val="auto"/>
          <w:kern w:val="44"/>
          <w:sz w:val="30"/>
          <w:szCs w:val="30"/>
          <w:highlight w:val="none"/>
        </w:rPr>
      </w:pPr>
      <w:bookmarkStart w:id="50" w:name="_Toc29511"/>
      <w:r>
        <w:rPr>
          <w:rFonts w:hint="eastAsia" w:ascii="黑体" w:hAnsi="黑体" w:cs="黑体"/>
          <w:color w:val="auto"/>
          <w:kern w:val="44"/>
          <w:sz w:val="30"/>
          <w:szCs w:val="30"/>
          <w:highlight w:val="none"/>
        </w:rPr>
        <w:br w:type="page"/>
      </w:r>
    </w:p>
    <w:p w14:paraId="1D0E178D">
      <w:pPr>
        <w:pStyle w:val="2"/>
        <w:numPr>
          <w:ilvl w:val="0"/>
          <w:numId w:val="0"/>
        </w:numPr>
        <w:rPr>
          <w:rFonts w:cs="Times New Roman"/>
          <w:b/>
          <w:bCs/>
          <w:color w:val="auto"/>
          <w:highlight w:val="none"/>
        </w:rPr>
      </w:pPr>
      <w:bookmarkStart w:id="51" w:name="_Toc27825"/>
      <w:bookmarkStart w:id="52" w:name="_Toc6041"/>
      <w:r>
        <w:rPr>
          <w:rFonts w:hint="eastAsia" w:ascii="黑体" w:hAnsi="黑体" w:cs="黑体"/>
          <w:b/>
          <w:bCs/>
          <w:color w:val="auto"/>
          <w:highlight w:val="none"/>
        </w:rPr>
        <w:t>三、</w:t>
      </w:r>
      <w:r>
        <w:rPr>
          <w:rFonts w:cs="Times New Roman"/>
          <w:b/>
          <w:bCs/>
          <w:color w:val="auto"/>
          <w:highlight w:val="none"/>
        </w:rPr>
        <w:t>区域环境质量现状、环境保护目标及评价标准</w:t>
      </w:r>
      <w:bookmarkEnd w:id="50"/>
      <w:bookmarkEnd w:id="51"/>
      <w:bookmarkEnd w:id="52"/>
    </w:p>
    <w:tbl>
      <w:tblPr>
        <w:tblStyle w:val="4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0"/>
        <w:gridCol w:w="9522"/>
      </w:tblGrid>
      <w:tr w14:paraId="4DB032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9" w:hRule="atLeast"/>
        </w:trPr>
        <w:tc>
          <w:tcPr>
            <w:tcW w:w="262" w:type="pct"/>
            <w:vAlign w:val="center"/>
          </w:tcPr>
          <w:p w14:paraId="1D076157">
            <w:pPr>
              <w:keepNext/>
              <w:keepLines w:val="0"/>
              <w:pageBreakBefore w:val="0"/>
              <w:widowControl/>
              <w:numPr>
                <w:ilvl w:val="1"/>
                <w:numId w:val="0"/>
              </w:numPr>
              <w:suppressLineNumbers w:val="0"/>
              <w:tabs>
                <w:tab w:val="left" w:pos="420"/>
              </w:tabs>
              <w:kinsoku/>
              <w:wordWrap/>
              <w:overflowPunct/>
              <w:topLinePunct w:val="0"/>
              <w:autoSpaceDE/>
              <w:autoSpaceDN/>
              <w:bidi w:val="0"/>
              <w:adjustRightInd/>
              <w:snapToGrid w:val="0"/>
              <w:spacing w:before="0" w:beforeAutospacing="0" w:after="0" w:afterAutospacing="0"/>
              <w:ind w:left="0" w:right="0"/>
              <w:textAlignment w:val="auto"/>
              <w:outlineLvl w:val="9"/>
              <w:rPr>
                <w:rFonts w:hint="default" w:ascii="Times New Roman" w:hAnsi="Times New Roman" w:cs="Times New Roman"/>
                <w:color w:val="auto"/>
                <w:highlight w:val="none"/>
              </w:rPr>
            </w:pPr>
            <w:bookmarkStart w:id="53" w:name="_Toc21642"/>
            <w:bookmarkStart w:id="54" w:name="_Toc14318"/>
            <w:bookmarkStart w:id="55" w:name="_Toc11366"/>
            <w:bookmarkStart w:id="56" w:name="_Toc24283"/>
            <w:bookmarkStart w:id="57" w:name="_Toc21960"/>
            <w:r>
              <w:rPr>
                <w:rFonts w:hint="default" w:ascii="Times New Roman" w:hAnsi="Times New Roman" w:cs="Times New Roman"/>
                <w:b/>
                <w:bCs/>
                <w:color w:val="auto"/>
                <w:highlight w:val="none"/>
              </w:rPr>
              <w:t>区域环境质量现状</w:t>
            </w:r>
            <w:bookmarkEnd w:id="53"/>
            <w:bookmarkEnd w:id="54"/>
            <w:bookmarkEnd w:id="55"/>
            <w:bookmarkEnd w:id="56"/>
            <w:bookmarkEnd w:id="57"/>
          </w:p>
        </w:tc>
        <w:tc>
          <w:tcPr>
            <w:tcW w:w="4737" w:type="pct"/>
          </w:tcPr>
          <w:p w14:paraId="5CBFCCE7">
            <w:pPr>
              <w:pStyle w:val="4"/>
              <w:numPr>
                <w:ilvl w:val="2"/>
                <w:numId w:val="0"/>
              </w:numPr>
              <w:suppressLineNumbers w:val="0"/>
              <w:spacing w:before="0" w:beforeAutospacing="0" w:after="0" w:afterAutospacing="0"/>
              <w:ind w:left="-2" w:right="0" w:firstLine="482"/>
              <w:rPr>
                <w:rFonts w:hint="default" w:ascii="Times New Roman" w:hAnsi="Times New Roman" w:cs="Times New Roman"/>
                <w:color w:val="auto"/>
                <w:highlight w:val="none"/>
              </w:rPr>
            </w:pPr>
            <w:r>
              <w:rPr>
                <w:rFonts w:hint="default" w:ascii="Times New Roman" w:hAnsi="Times New Roman" w:cs="Times New Roman"/>
                <w:color w:val="auto"/>
                <w:highlight w:val="none"/>
              </w:rPr>
              <w:t>一、环境空气质量现状</w:t>
            </w:r>
          </w:p>
          <w:p w14:paraId="0C65D0D0">
            <w:pPr>
              <w:pStyle w:val="46"/>
              <w:keepNext w:val="0"/>
              <w:keepLines w:val="0"/>
              <w:suppressLineNumbers w:val="0"/>
              <w:spacing w:before="0" w:beforeAutospacing="0" w:after="0" w:afterAutospacing="0"/>
              <w:ind w:left="0" w:right="0" w:firstLine="480" w:firstLineChars="20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（1）项目所在区域达标判定</w:t>
            </w:r>
          </w:p>
          <w:p w14:paraId="09D694E3">
            <w:pPr>
              <w:pStyle w:val="46"/>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根据《韶关市生态环境保护战略规划（2020-2035）》，本项目选址周围空气环境质量功能区划为二类功能区，因此项目所在区域环境空气质量执行国家《环境空气质量标准》（GB3095-2012）（2018修改单）中的二级标准。</w:t>
            </w:r>
          </w:p>
          <w:p w14:paraId="02B651B8">
            <w:pPr>
              <w:pStyle w:val="46"/>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根据《韶关市生态环境状况公报》（202</w:t>
            </w:r>
            <w:r>
              <w:rPr>
                <w:rFonts w:hint="eastAsia" w:ascii="Times New Roman" w:cs="Times New Roman"/>
                <w:color w:val="auto"/>
                <w:highlight w:val="none"/>
                <w:lang w:val="en-US" w:eastAsia="zh-CN"/>
              </w:rPr>
              <w:t>4</w:t>
            </w:r>
            <w:r>
              <w:rPr>
                <w:rFonts w:hint="default" w:ascii="Times New Roman" w:hAnsi="Times New Roman" w:cs="Times New Roman"/>
                <w:color w:val="auto"/>
                <w:highlight w:val="none"/>
              </w:rPr>
              <w:t>年），</w:t>
            </w:r>
            <w:r>
              <w:rPr>
                <w:rFonts w:hint="eastAsia"/>
                <w:color w:val="auto"/>
                <w:highlight w:val="none"/>
                <w:lang w:val="en-US" w:eastAsia="zh-CN"/>
              </w:rPr>
              <w:t>乐昌市</w:t>
            </w:r>
            <w:r>
              <w:rPr>
                <w:rFonts w:hint="default" w:ascii="Times New Roman" w:hAnsi="Times New Roman" w:cs="Times New Roman"/>
                <w:color w:val="auto"/>
                <w:highlight w:val="none"/>
              </w:rPr>
              <w:t>各常规监测因子均可满足国家《环境空气质量标准》（GB3095-2012）（2018修改单）中的二级标准要求，本项目所在区域属于达标区，详见下表。</w:t>
            </w:r>
          </w:p>
          <w:p w14:paraId="751F4742">
            <w:pPr>
              <w:keepNext w:val="0"/>
              <w:keepLines w:val="0"/>
              <w:numPr>
                <w:ilvl w:val="0"/>
                <w:numId w:val="0"/>
              </w:numPr>
              <w:suppressLineNumbers w:val="0"/>
              <w:tabs>
                <w:tab w:val="left" w:pos="0"/>
              </w:tabs>
              <w:spacing w:before="0" w:beforeAutospacing="0" w:after="0" w:afterAutospacing="0"/>
              <w:ind w:left="0" w:leftChars="0" w:right="0" w:rightChars="0" w:firstLine="40" w:firstLineChars="0"/>
              <w:jc w:val="center"/>
              <w:rPr>
                <w:rFonts w:hint="default" w:ascii="Times New Roman" w:hAnsi="Times New Roman" w:cs="Times New Roman"/>
                <w:b/>
                <w:bCs/>
                <w:color w:val="auto"/>
                <w:sz w:val="21"/>
                <w:szCs w:val="21"/>
                <w:highlight w:val="none"/>
              </w:rPr>
            </w:pPr>
            <w:bookmarkStart w:id="58" w:name="_Toc19677"/>
            <w:bookmarkStart w:id="59" w:name="_Toc944"/>
            <w:bookmarkStart w:id="60" w:name="_Toc26003"/>
            <w:r>
              <w:rPr>
                <w:rFonts w:hint="default" w:ascii="Times New Roman" w:hAnsi="Times New Roman" w:eastAsia="宋体" w:cs="Times New Roman"/>
                <w:b/>
                <w:bCs/>
                <w:color w:val="auto"/>
                <w:kern w:val="2"/>
                <w:sz w:val="21"/>
                <w:szCs w:val="21"/>
                <w:highlight w:val="none"/>
                <w:lang w:val="en-US" w:eastAsia="zh-CN" w:bidi="ar-SA"/>
              </w:rPr>
              <w:t>表3-1</w:t>
            </w:r>
            <w:r>
              <w:rPr>
                <w:rFonts w:hint="eastAsia"/>
                <w:b/>
                <w:bCs/>
                <w:color w:val="auto"/>
                <w:sz w:val="21"/>
                <w:szCs w:val="21"/>
                <w:highlight w:val="none"/>
                <w:lang w:val="en-US" w:eastAsia="zh-CN"/>
              </w:rPr>
              <w:t>乐昌市</w:t>
            </w:r>
            <w:r>
              <w:rPr>
                <w:rFonts w:hint="default" w:ascii="Times New Roman" w:hAnsi="Times New Roman" w:cs="Times New Roman"/>
                <w:b/>
                <w:bCs/>
                <w:color w:val="auto"/>
                <w:sz w:val="21"/>
                <w:szCs w:val="21"/>
                <w:highlight w:val="none"/>
              </w:rPr>
              <w:t>区域空气质量现状评价表</w:t>
            </w:r>
          </w:p>
          <w:bookmarkEnd w:id="58"/>
          <w:bookmarkEnd w:id="59"/>
          <w:bookmarkEnd w:id="60"/>
          <w:tbl>
            <w:tblPr>
              <w:tblStyle w:val="39"/>
              <w:tblW w:w="9256"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048"/>
              <w:gridCol w:w="2797"/>
              <w:gridCol w:w="1360"/>
              <w:gridCol w:w="1199"/>
              <w:gridCol w:w="1426"/>
              <w:gridCol w:w="1426"/>
            </w:tblGrid>
            <w:tr w14:paraId="70562E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63" w:hRule="atLeast"/>
                <w:jc w:val="center"/>
              </w:trPr>
              <w:tc>
                <w:tcPr>
                  <w:tcW w:w="5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0256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污染物</w:t>
                  </w:r>
                </w:p>
              </w:tc>
              <w:tc>
                <w:tcPr>
                  <w:tcW w:w="15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4D33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年评价指标</w:t>
                  </w:r>
                </w:p>
              </w:tc>
              <w:tc>
                <w:tcPr>
                  <w:tcW w:w="7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0580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现状浓度</w:t>
                  </w:r>
                  <w:r>
                    <w:rPr>
                      <w:rFonts w:hint="default" w:ascii="Times New Roman" w:hAnsi="Times New Roman" w:eastAsia="宋体" w:cs="Times New Roman"/>
                      <w:b/>
                      <w:bCs/>
                      <w:i w:val="0"/>
                      <w:iCs w:val="0"/>
                      <w:color w:val="auto"/>
                      <w:kern w:val="0"/>
                      <w:sz w:val="21"/>
                      <w:szCs w:val="21"/>
                      <w:highlight w:val="none"/>
                      <w:u w:val="none"/>
                      <w:lang w:val="en-US" w:eastAsia="zh-CN"/>
                    </w:rPr>
                    <w:br w:type="textWrapping"/>
                  </w:r>
                  <w:r>
                    <w:rPr>
                      <w:rFonts w:hint="default" w:ascii="Times New Roman" w:hAnsi="Times New Roman" w:eastAsia="宋体" w:cs="Times New Roman"/>
                      <w:b/>
                      <w:bCs/>
                      <w:i w:val="0"/>
                      <w:iCs w:val="0"/>
                      <w:color w:val="auto"/>
                      <w:kern w:val="0"/>
                      <w:sz w:val="21"/>
                      <w:szCs w:val="21"/>
                      <w:highlight w:val="none"/>
                      <w:u w:val="none"/>
                      <w:lang w:val="en-US" w:eastAsia="zh-CN"/>
                    </w:rPr>
                    <w:t>（μg/m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rPr>
                    <w:t>3</w:t>
                  </w:r>
                  <w:r>
                    <w:rPr>
                      <w:rFonts w:hint="default" w:ascii="Times New Roman" w:hAnsi="Times New Roman" w:eastAsia="宋体" w:cs="Times New Roman"/>
                      <w:b/>
                      <w:bCs/>
                      <w:i w:val="0"/>
                      <w:iCs w:val="0"/>
                      <w:color w:val="auto"/>
                      <w:kern w:val="0"/>
                      <w:sz w:val="21"/>
                      <w:szCs w:val="21"/>
                      <w:highlight w:val="none"/>
                      <w:u w:val="none"/>
                      <w:lang w:val="en-US" w:eastAsia="zh-CN"/>
                    </w:rPr>
                    <w:t>）</w:t>
                  </w:r>
                </w:p>
              </w:tc>
              <w:tc>
                <w:tcPr>
                  <w:tcW w:w="6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C371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标准值</w:t>
                  </w:r>
                  <w:r>
                    <w:rPr>
                      <w:rFonts w:hint="default" w:ascii="Times New Roman" w:hAnsi="Times New Roman" w:eastAsia="宋体" w:cs="Times New Roman"/>
                      <w:b/>
                      <w:bCs/>
                      <w:i w:val="0"/>
                      <w:iCs w:val="0"/>
                      <w:color w:val="auto"/>
                      <w:kern w:val="0"/>
                      <w:sz w:val="21"/>
                      <w:szCs w:val="21"/>
                      <w:highlight w:val="none"/>
                      <w:u w:val="none"/>
                      <w:lang w:val="en-US" w:eastAsia="zh-CN"/>
                    </w:rPr>
                    <w:br w:type="textWrapping"/>
                  </w:r>
                  <w:r>
                    <w:rPr>
                      <w:rFonts w:hint="default" w:ascii="Times New Roman" w:hAnsi="Times New Roman" w:eastAsia="宋体" w:cs="Times New Roman"/>
                      <w:b/>
                      <w:bCs/>
                      <w:i w:val="0"/>
                      <w:iCs w:val="0"/>
                      <w:color w:val="auto"/>
                      <w:kern w:val="0"/>
                      <w:sz w:val="21"/>
                      <w:szCs w:val="21"/>
                      <w:highlight w:val="none"/>
                      <w:u w:val="none"/>
                      <w:lang w:val="en-US" w:eastAsia="zh-CN"/>
                    </w:rPr>
                    <w:t>（μg/m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rPr>
                    <w:t>3</w:t>
                  </w:r>
                  <w:r>
                    <w:rPr>
                      <w:rFonts w:hint="default" w:ascii="Times New Roman" w:hAnsi="Times New Roman" w:eastAsia="宋体" w:cs="Times New Roman"/>
                      <w:b/>
                      <w:bCs/>
                      <w:i w:val="0"/>
                      <w:iCs w:val="0"/>
                      <w:color w:val="auto"/>
                      <w:kern w:val="0"/>
                      <w:sz w:val="21"/>
                      <w:szCs w:val="21"/>
                      <w:highlight w:val="none"/>
                      <w:u w:val="none"/>
                      <w:lang w:val="en-US" w:eastAsia="zh-CN"/>
                    </w:rPr>
                    <w:t>）</w:t>
                  </w: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1F96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占标率%</w:t>
                  </w: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204E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达标情况</w:t>
                  </w:r>
                </w:p>
              </w:tc>
            </w:tr>
            <w:tr w14:paraId="529F727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6" w:hRule="atLeast"/>
                <w:jc w:val="center"/>
              </w:trPr>
              <w:tc>
                <w:tcPr>
                  <w:tcW w:w="5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F395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SO</w:t>
                  </w:r>
                  <w:r>
                    <w:rPr>
                      <w:rFonts w:hint="default" w:ascii="Times New Roman" w:hAnsi="Times New Roman" w:eastAsia="宋体" w:cs="Times New Roman"/>
                      <w:i w:val="0"/>
                      <w:iCs w:val="0"/>
                      <w:color w:val="auto"/>
                      <w:kern w:val="0"/>
                      <w:sz w:val="21"/>
                      <w:szCs w:val="21"/>
                      <w:highlight w:val="none"/>
                      <w:u w:val="none"/>
                      <w:vertAlign w:val="subscript"/>
                      <w:lang w:val="en-US" w:eastAsia="zh-CN"/>
                    </w:rPr>
                    <w:t>2</w:t>
                  </w:r>
                </w:p>
              </w:tc>
              <w:tc>
                <w:tcPr>
                  <w:tcW w:w="15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6955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年平均质量浓度</w:t>
                  </w:r>
                </w:p>
              </w:tc>
              <w:tc>
                <w:tcPr>
                  <w:tcW w:w="13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98E59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11</w:t>
                  </w:r>
                </w:p>
              </w:tc>
              <w:tc>
                <w:tcPr>
                  <w:tcW w:w="11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843E8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60</w:t>
                  </w:r>
                </w:p>
              </w:tc>
              <w:tc>
                <w:tcPr>
                  <w:tcW w:w="14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280C1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18.3</w:t>
                  </w: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3ED9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达标</w:t>
                  </w:r>
                </w:p>
              </w:tc>
            </w:tr>
            <w:tr w14:paraId="2BAA8C1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6" w:hRule="atLeast"/>
                <w:jc w:val="center"/>
              </w:trPr>
              <w:tc>
                <w:tcPr>
                  <w:tcW w:w="5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F9DA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NO</w:t>
                  </w:r>
                  <w:r>
                    <w:rPr>
                      <w:rFonts w:hint="default" w:ascii="Times New Roman" w:hAnsi="Times New Roman" w:eastAsia="宋体" w:cs="Times New Roman"/>
                      <w:i w:val="0"/>
                      <w:iCs w:val="0"/>
                      <w:color w:val="auto"/>
                      <w:kern w:val="0"/>
                      <w:sz w:val="21"/>
                      <w:szCs w:val="21"/>
                      <w:highlight w:val="none"/>
                      <w:u w:val="none"/>
                      <w:vertAlign w:val="subscript"/>
                      <w:lang w:val="en-US" w:eastAsia="zh-CN"/>
                    </w:rPr>
                    <w:t>2</w:t>
                  </w:r>
                </w:p>
              </w:tc>
              <w:tc>
                <w:tcPr>
                  <w:tcW w:w="15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3E31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年平均质量浓度</w:t>
                  </w:r>
                </w:p>
              </w:tc>
              <w:tc>
                <w:tcPr>
                  <w:tcW w:w="13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28168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1</w:t>
                  </w:r>
                  <w:r>
                    <w:rPr>
                      <w:rFonts w:hint="eastAsia" w:cs="Times New Roman"/>
                      <w:i w:val="0"/>
                      <w:iCs w:val="0"/>
                      <w:color w:val="auto"/>
                      <w:kern w:val="0"/>
                      <w:sz w:val="21"/>
                      <w:szCs w:val="21"/>
                      <w:highlight w:val="none"/>
                      <w:u w:val="none"/>
                      <w:lang w:val="en-US" w:eastAsia="zh-CN"/>
                    </w:rPr>
                    <w:t>2</w:t>
                  </w:r>
                </w:p>
              </w:tc>
              <w:tc>
                <w:tcPr>
                  <w:tcW w:w="11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B2644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40</w:t>
                  </w:r>
                </w:p>
              </w:tc>
              <w:tc>
                <w:tcPr>
                  <w:tcW w:w="14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F72F4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30.0</w:t>
                  </w: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8DC1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达标</w:t>
                  </w:r>
                </w:p>
              </w:tc>
            </w:tr>
            <w:tr w14:paraId="43FC7D9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6" w:hRule="atLeast"/>
                <w:jc w:val="center"/>
              </w:trPr>
              <w:tc>
                <w:tcPr>
                  <w:tcW w:w="5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C98D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PM</w:t>
                  </w:r>
                  <w:r>
                    <w:rPr>
                      <w:rFonts w:hint="default" w:ascii="Times New Roman" w:hAnsi="Times New Roman" w:eastAsia="宋体" w:cs="Times New Roman"/>
                      <w:i w:val="0"/>
                      <w:iCs w:val="0"/>
                      <w:color w:val="auto"/>
                      <w:kern w:val="0"/>
                      <w:sz w:val="21"/>
                      <w:szCs w:val="21"/>
                      <w:highlight w:val="none"/>
                      <w:u w:val="none"/>
                      <w:vertAlign w:val="subscript"/>
                      <w:lang w:val="en-US" w:eastAsia="zh-CN"/>
                    </w:rPr>
                    <w:t>10</w:t>
                  </w:r>
                </w:p>
              </w:tc>
              <w:tc>
                <w:tcPr>
                  <w:tcW w:w="15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EEC5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年平均质量浓度</w:t>
                  </w:r>
                </w:p>
              </w:tc>
              <w:tc>
                <w:tcPr>
                  <w:tcW w:w="13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2F2C9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3</w:t>
                  </w:r>
                  <w:r>
                    <w:rPr>
                      <w:rFonts w:hint="eastAsia" w:cs="Times New Roman"/>
                      <w:i w:val="0"/>
                      <w:iCs w:val="0"/>
                      <w:color w:val="auto"/>
                      <w:kern w:val="0"/>
                      <w:sz w:val="21"/>
                      <w:szCs w:val="21"/>
                      <w:highlight w:val="none"/>
                      <w:u w:val="none"/>
                      <w:lang w:val="en-US" w:eastAsia="zh-CN"/>
                    </w:rPr>
                    <w:t>5</w:t>
                  </w:r>
                </w:p>
              </w:tc>
              <w:tc>
                <w:tcPr>
                  <w:tcW w:w="11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2433E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70</w:t>
                  </w:r>
                </w:p>
              </w:tc>
              <w:tc>
                <w:tcPr>
                  <w:tcW w:w="14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AB98C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50.0</w:t>
                  </w: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114C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达标</w:t>
                  </w:r>
                </w:p>
              </w:tc>
            </w:tr>
            <w:tr w14:paraId="39E5A53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6" w:hRule="atLeast"/>
                <w:jc w:val="center"/>
              </w:trPr>
              <w:tc>
                <w:tcPr>
                  <w:tcW w:w="5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0A24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PM</w:t>
                  </w:r>
                  <w:r>
                    <w:rPr>
                      <w:rFonts w:hint="default" w:ascii="Times New Roman" w:hAnsi="Times New Roman" w:eastAsia="宋体" w:cs="Times New Roman"/>
                      <w:i w:val="0"/>
                      <w:iCs w:val="0"/>
                      <w:color w:val="auto"/>
                      <w:kern w:val="0"/>
                      <w:sz w:val="21"/>
                      <w:szCs w:val="21"/>
                      <w:highlight w:val="none"/>
                      <w:u w:val="none"/>
                      <w:vertAlign w:val="subscript"/>
                      <w:lang w:val="en-US" w:eastAsia="zh-CN"/>
                    </w:rPr>
                    <w:t>2.5</w:t>
                  </w:r>
                </w:p>
              </w:tc>
              <w:tc>
                <w:tcPr>
                  <w:tcW w:w="15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BBC1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年平均质量浓度</w:t>
                  </w:r>
                </w:p>
              </w:tc>
              <w:tc>
                <w:tcPr>
                  <w:tcW w:w="13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8582B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23</w:t>
                  </w:r>
                </w:p>
              </w:tc>
              <w:tc>
                <w:tcPr>
                  <w:tcW w:w="11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7F0B0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35</w:t>
                  </w:r>
                </w:p>
              </w:tc>
              <w:tc>
                <w:tcPr>
                  <w:tcW w:w="14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66EC9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65.7</w:t>
                  </w: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4668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达标</w:t>
                  </w:r>
                </w:p>
              </w:tc>
            </w:tr>
            <w:tr w14:paraId="01582FC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6" w:hRule="atLeast"/>
                <w:jc w:val="center"/>
              </w:trPr>
              <w:tc>
                <w:tcPr>
                  <w:tcW w:w="5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DFF2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CO</w:t>
                  </w:r>
                </w:p>
              </w:tc>
              <w:tc>
                <w:tcPr>
                  <w:tcW w:w="15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6E3E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24小时均值第95百分位数</w:t>
                  </w:r>
                </w:p>
              </w:tc>
              <w:tc>
                <w:tcPr>
                  <w:tcW w:w="13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4A5E6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800</w:t>
                  </w:r>
                </w:p>
              </w:tc>
              <w:tc>
                <w:tcPr>
                  <w:tcW w:w="11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7E74F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4000</w:t>
                  </w:r>
                </w:p>
              </w:tc>
              <w:tc>
                <w:tcPr>
                  <w:tcW w:w="14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DED9E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20.0</w:t>
                  </w: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8337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达标</w:t>
                  </w:r>
                </w:p>
              </w:tc>
            </w:tr>
            <w:tr w14:paraId="43DCBA9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5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1FC5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O</w:t>
                  </w:r>
                  <w:r>
                    <w:rPr>
                      <w:rFonts w:hint="default" w:ascii="Times New Roman" w:hAnsi="Times New Roman" w:eastAsia="宋体" w:cs="Times New Roman"/>
                      <w:i w:val="0"/>
                      <w:iCs w:val="0"/>
                      <w:color w:val="auto"/>
                      <w:kern w:val="0"/>
                      <w:sz w:val="21"/>
                      <w:szCs w:val="21"/>
                      <w:highlight w:val="none"/>
                      <w:u w:val="none"/>
                      <w:vertAlign w:val="subscript"/>
                      <w:lang w:val="en-US" w:eastAsia="zh-CN"/>
                    </w:rPr>
                    <w:t>3</w:t>
                  </w:r>
                </w:p>
              </w:tc>
              <w:tc>
                <w:tcPr>
                  <w:tcW w:w="15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E77C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最大8小时值第90百分位数</w:t>
                  </w:r>
                </w:p>
              </w:tc>
              <w:tc>
                <w:tcPr>
                  <w:tcW w:w="13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9D073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rPr>
                    <w:t>119</w:t>
                  </w:r>
                </w:p>
              </w:tc>
              <w:tc>
                <w:tcPr>
                  <w:tcW w:w="11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F695D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160</w:t>
                  </w:r>
                </w:p>
              </w:tc>
              <w:tc>
                <w:tcPr>
                  <w:tcW w:w="14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18B33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74.4</w:t>
                  </w: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17B8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达标</w:t>
                  </w:r>
                </w:p>
              </w:tc>
            </w:tr>
          </w:tbl>
          <w:p w14:paraId="4ED84D4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firstLineChars="200"/>
              <w:jc w:val="left"/>
              <w:textAlignment w:val="auto"/>
              <w:rPr>
                <w:rFonts w:hint="default" w:ascii="Times New Roman" w:hAnsi="Times New Roman" w:cs="Times New Roman"/>
                <w:color w:val="auto"/>
                <w:highlight w:val="none"/>
              </w:rPr>
            </w:pPr>
            <w:r>
              <w:rPr>
                <w:rFonts w:hint="default" w:ascii="Times New Roman" w:hAnsi="Times New Roman" w:cs="Times New Roman"/>
                <w:b/>
                <w:bCs/>
                <w:color w:val="auto"/>
                <w:highlight w:val="none"/>
              </w:rPr>
              <w:t>（2）特征因子补充监测</w:t>
            </w:r>
          </w:p>
          <w:p w14:paraId="40A0BBD6">
            <w:pPr>
              <w:keepNext w:val="0"/>
              <w:keepLines w:val="0"/>
              <w:pageBreakBefore w:val="0"/>
              <w:widowControl w:val="0"/>
              <w:suppressLineNumbers w:val="0"/>
              <w:kinsoku/>
              <w:overflowPunct/>
              <w:topLinePunct w:val="0"/>
              <w:bidi w:val="0"/>
              <w:spacing w:before="0" w:beforeAutospacing="0" w:after="0" w:afterAutospacing="0"/>
              <w:ind w:left="0" w:right="0" w:firstLine="480" w:firstLineChars="200"/>
              <w:jc w:val="both"/>
              <w:textAlignment w:val="auto"/>
              <w:outlineLvl w:val="9"/>
              <w:rPr>
                <w:rFonts w:hint="default" w:ascii="Times New Roman" w:hAnsi="Times New Roman" w:cs="Times New Roman"/>
                <w:bCs/>
                <w:color w:val="auto"/>
                <w:szCs w:val="22"/>
                <w:highlight w:val="none"/>
              </w:rPr>
            </w:pPr>
            <w:r>
              <w:rPr>
                <w:rFonts w:hint="default" w:ascii="Times New Roman" w:hAnsi="Times New Roman" w:cs="Times New Roman"/>
                <w:bCs/>
                <w:color w:val="auto"/>
                <w:szCs w:val="22"/>
                <w:highlight w:val="none"/>
              </w:rPr>
              <w:t>根据《建设项目环境影响报告表编制技术指南（污染影响类）》（试行）：排放国家、地方环境空气质量标准中有标准限值要求的特征污染物时，引用建设项目周边5千米范围内近3年的现有监测数据。本项目需补充监测的特征污染因子为TSP。</w:t>
            </w:r>
          </w:p>
          <w:p w14:paraId="2D238CC4">
            <w:pPr>
              <w:keepNext w:val="0"/>
              <w:keepLines w:val="0"/>
              <w:pageBreakBefore w:val="0"/>
              <w:widowControl w:val="0"/>
              <w:suppressLineNumbers w:val="0"/>
              <w:kinsoku/>
              <w:overflowPunct/>
              <w:topLinePunct w:val="0"/>
              <w:bidi w:val="0"/>
              <w:spacing w:before="0" w:beforeAutospacing="0" w:after="0" w:afterAutospacing="0"/>
              <w:ind w:left="0" w:right="0" w:firstLine="480" w:firstLineChars="200"/>
              <w:jc w:val="both"/>
              <w:textAlignment w:val="auto"/>
              <w:outlineLvl w:val="9"/>
              <w:rPr>
                <w:rFonts w:hint="default" w:ascii="Times New Roman" w:hAnsi="Times New Roman" w:cs="Times New Roman"/>
                <w:bCs/>
                <w:color w:val="auto"/>
                <w:szCs w:val="22"/>
                <w:highlight w:val="none"/>
              </w:rPr>
            </w:pPr>
            <w:r>
              <w:rPr>
                <w:rFonts w:hint="default" w:ascii="Times New Roman" w:hAnsi="Times New Roman" w:cs="Times New Roman"/>
                <w:bCs/>
                <w:color w:val="auto"/>
                <w:szCs w:val="22"/>
                <w:highlight w:val="none"/>
              </w:rPr>
              <w:t>本项目引用《乐昌产业转移工业园202</w:t>
            </w:r>
            <w:r>
              <w:rPr>
                <w:rFonts w:hint="default" w:ascii="Times New Roman" w:hAnsi="Times New Roman" w:cs="Times New Roman"/>
                <w:bCs/>
                <w:color w:val="auto"/>
                <w:szCs w:val="22"/>
                <w:highlight w:val="none"/>
                <w:lang w:val="en-US" w:eastAsia="zh-CN"/>
              </w:rPr>
              <w:t>3</w:t>
            </w:r>
            <w:r>
              <w:rPr>
                <w:rFonts w:hint="default" w:ascii="Times New Roman" w:hAnsi="Times New Roman" w:cs="Times New Roman"/>
                <w:bCs/>
                <w:color w:val="auto"/>
                <w:szCs w:val="22"/>
                <w:highlight w:val="none"/>
              </w:rPr>
              <w:t>年度环境管理状况评估监测》（报告编号</w:t>
            </w:r>
            <w:r>
              <w:rPr>
                <w:rFonts w:hint="default" w:ascii="Times New Roman" w:hAnsi="Times New Roman" w:cs="Times New Roman"/>
                <w:bCs/>
                <w:color w:val="auto"/>
                <w:szCs w:val="22"/>
                <w:highlight w:val="none"/>
                <w:lang w:eastAsia="zh-CN"/>
              </w:rPr>
              <w:t>：</w:t>
            </w:r>
            <w:r>
              <w:rPr>
                <w:rFonts w:hint="default" w:ascii="Times New Roman" w:hAnsi="Times New Roman" w:cs="Times New Roman"/>
                <w:bCs/>
                <w:color w:val="auto"/>
                <w:szCs w:val="22"/>
                <w:highlight w:val="none"/>
                <w:lang w:val="en-US" w:eastAsia="zh-CN"/>
              </w:rPr>
              <w:t>QHT-202312271026</w:t>
            </w:r>
            <w:r>
              <w:rPr>
                <w:rFonts w:hint="default" w:ascii="Times New Roman" w:hAnsi="Times New Roman" w:cs="Times New Roman"/>
                <w:bCs/>
                <w:color w:val="auto"/>
                <w:szCs w:val="22"/>
                <w:highlight w:val="none"/>
              </w:rPr>
              <w:t>）用于评价TSP现状。</w:t>
            </w:r>
            <w:r>
              <w:rPr>
                <w:rFonts w:hint="default" w:ascii="Times New Roman" w:hAnsi="Times New Roman" w:eastAsia="宋体" w:cs="Times New Roman"/>
                <w:color w:val="auto"/>
                <w:kern w:val="0"/>
                <w:sz w:val="24"/>
                <w:szCs w:val="24"/>
                <w:highlight w:val="none"/>
                <w:lang w:val="en-US" w:eastAsia="zh-CN"/>
              </w:rPr>
              <w:t>深圳市清华环科检测技术有限公司</w:t>
            </w:r>
            <w:r>
              <w:rPr>
                <w:rFonts w:hint="default" w:ascii="Times New Roman" w:hAnsi="Times New Roman" w:cs="Times New Roman"/>
                <w:bCs/>
                <w:color w:val="auto"/>
                <w:szCs w:val="22"/>
                <w:highlight w:val="none"/>
                <w:lang w:eastAsia="zh-CN"/>
              </w:rPr>
              <w:t>于</w:t>
            </w:r>
            <w:r>
              <w:rPr>
                <w:rFonts w:hint="default" w:ascii="Times New Roman" w:hAnsi="Times New Roman" w:cs="Times New Roman"/>
                <w:color w:val="auto"/>
                <w:highlight w:val="none"/>
              </w:rPr>
              <w:t>202</w:t>
            </w:r>
            <w:r>
              <w:rPr>
                <w:rFonts w:hint="eastAsia" w:cs="Times New Roman"/>
                <w:color w:val="auto"/>
                <w:highlight w:val="none"/>
                <w:lang w:val="en-US" w:eastAsia="zh-CN"/>
              </w:rPr>
              <w:t>3</w:t>
            </w:r>
            <w:r>
              <w:rPr>
                <w:rFonts w:hint="default" w:ascii="Times New Roman" w:hAnsi="Times New Roman" w:cs="Times New Roman"/>
                <w:color w:val="auto"/>
                <w:highlight w:val="none"/>
              </w:rPr>
              <w:t>年12月</w:t>
            </w:r>
            <w:r>
              <w:rPr>
                <w:rFonts w:hint="eastAsia" w:cs="Times New Roman"/>
                <w:color w:val="auto"/>
                <w:highlight w:val="none"/>
                <w:lang w:val="en-US" w:eastAsia="zh-CN"/>
              </w:rPr>
              <w:t>19</w:t>
            </w:r>
            <w:r>
              <w:rPr>
                <w:rFonts w:hint="default" w:ascii="Times New Roman" w:hAnsi="Times New Roman" w:cs="Times New Roman"/>
                <w:color w:val="auto"/>
                <w:highlight w:val="none"/>
              </w:rPr>
              <w:t>日-20</w:t>
            </w:r>
            <w:r>
              <w:rPr>
                <w:rFonts w:hint="eastAsia" w:cs="Times New Roman"/>
                <w:color w:val="auto"/>
                <w:highlight w:val="none"/>
                <w:lang w:val="en-US" w:eastAsia="zh-CN"/>
              </w:rPr>
              <w:t>23</w:t>
            </w:r>
            <w:r>
              <w:rPr>
                <w:rFonts w:hint="default" w:ascii="Times New Roman" w:hAnsi="Times New Roman" w:cs="Times New Roman"/>
                <w:color w:val="auto"/>
                <w:highlight w:val="none"/>
              </w:rPr>
              <w:t>年12月2</w:t>
            </w:r>
            <w:r>
              <w:rPr>
                <w:rFonts w:hint="eastAsia" w:cs="Times New Roman"/>
                <w:color w:val="auto"/>
                <w:highlight w:val="none"/>
                <w:lang w:val="en-US" w:eastAsia="zh-CN"/>
              </w:rPr>
              <w:t>5</w:t>
            </w:r>
            <w:r>
              <w:rPr>
                <w:rFonts w:hint="default" w:ascii="Times New Roman" w:hAnsi="Times New Roman" w:cs="Times New Roman"/>
                <w:color w:val="auto"/>
                <w:highlight w:val="none"/>
                <w:lang w:val="en-US" w:eastAsia="zh-CN"/>
              </w:rPr>
              <w:t>日，</w:t>
            </w:r>
            <w:r>
              <w:rPr>
                <w:rFonts w:hint="default" w:ascii="Times New Roman" w:hAnsi="Times New Roman" w:cs="Times New Roman"/>
                <w:color w:val="auto"/>
                <w:highlight w:val="none"/>
              </w:rPr>
              <w:t>在本项目</w:t>
            </w:r>
            <w:r>
              <w:rPr>
                <w:rFonts w:hint="default" w:ascii="Times New Roman" w:hAnsi="Times New Roman" w:cs="Times New Roman"/>
                <w:color w:val="auto"/>
                <w:highlight w:val="none"/>
                <w:lang w:val="en-US" w:eastAsia="zh-CN"/>
              </w:rPr>
              <w:t>东南</w:t>
            </w:r>
            <w:r>
              <w:rPr>
                <w:rFonts w:hint="default" w:ascii="Times New Roman" w:hAnsi="Times New Roman" w:cs="Times New Roman"/>
                <w:color w:val="auto"/>
                <w:highlight w:val="none"/>
              </w:rPr>
              <w:t>侧</w:t>
            </w:r>
            <w:r>
              <w:rPr>
                <w:rFonts w:hint="eastAsia" w:cs="Times New Roman"/>
                <w:color w:val="auto"/>
                <w:highlight w:val="none"/>
                <w:lang w:val="en-US" w:eastAsia="zh-CN"/>
              </w:rPr>
              <w:t>4700</w:t>
            </w:r>
            <w:r>
              <w:rPr>
                <w:rFonts w:hint="default" w:ascii="Times New Roman" w:hAnsi="Times New Roman" w:cs="Times New Roman"/>
                <w:color w:val="auto"/>
                <w:highlight w:val="none"/>
              </w:rPr>
              <w:t>m处G1</w:t>
            </w:r>
            <w:r>
              <w:rPr>
                <w:rFonts w:hint="eastAsia" w:cs="Times New Roman"/>
                <w:color w:val="auto"/>
                <w:highlight w:val="none"/>
                <w:lang w:val="en-US" w:eastAsia="zh-CN"/>
              </w:rPr>
              <w:t>和</w:t>
            </w:r>
            <w:r>
              <w:rPr>
                <w:rFonts w:hint="default" w:ascii="Times New Roman" w:hAnsi="Times New Roman" w:cs="Times New Roman"/>
                <w:color w:val="auto"/>
                <w:highlight w:val="none"/>
              </w:rPr>
              <w:t>村进行采样监测</w:t>
            </w:r>
            <w:r>
              <w:rPr>
                <w:rFonts w:hint="eastAsia" w:cs="Times New Roman"/>
                <w:color w:val="auto"/>
                <w:highlight w:val="none"/>
                <w:lang w:eastAsia="zh-CN"/>
              </w:rPr>
              <w:t>（</w:t>
            </w:r>
            <w:r>
              <w:rPr>
                <w:rFonts w:hint="eastAsia" w:cs="Times New Roman"/>
                <w:color w:val="auto"/>
                <w:highlight w:val="none"/>
                <w:lang w:val="en-US" w:eastAsia="zh-CN"/>
              </w:rPr>
              <w:t>引用点位位置图见附图14</w:t>
            </w:r>
            <w:r>
              <w:rPr>
                <w:rFonts w:hint="eastAsia" w:cs="Times New Roman"/>
                <w:color w:val="auto"/>
                <w:highlight w:val="none"/>
                <w:lang w:eastAsia="zh-CN"/>
              </w:rPr>
              <w:t>）</w:t>
            </w:r>
            <w:r>
              <w:rPr>
                <w:rFonts w:hint="default" w:ascii="Times New Roman" w:hAnsi="Times New Roman" w:cs="Times New Roman"/>
                <w:color w:val="auto"/>
                <w:highlight w:val="none"/>
              </w:rPr>
              <w:t>，连续监测7</w:t>
            </w:r>
            <w:r>
              <w:rPr>
                <w:rFonts w:hint="default" w:ascii="Times New Roman" w:hAnsi="Times New Roman" w:cs="Times New Roman"/>
                <w:color w:val="auto"/>
                <w:highlight w:val="none"/>
                <w:lang w:val="en-US" w:eastAsia="zh-CN"/>
              </w:rPr>
              <w:t>天</w:t>
            </w:r>
            <w:r>
              <w:rPr>
                <w:rFonts w:hint="default" w:ascii="Times New Roman" w:hAnsi="Times New Roman" w:cs="Times New Roman"/>
                <w:bCs/>
                <w:color w:val="auto"/>
                <w:szCs w:val="22"/>
                <w:highlight w:val="none"/>
              </w:rPr>
              <w:t>。本项目其他污染物补充监测点位基本信息见表3-2，其他污染物环境质量现状监测结果</w:t>
            </w:r>
            <w:r>
              <w:rPr>
                <w:rFonts w:hint="eastAsia" w:cs="Times New Roman"/>
                <w:bCs/>
                <w:color w:val="auto"/>
                <w:szCs w:val="22"/>
                <w:highlight w:val="none"/>
                <w:lang w:val="en-US" w:eastAsia="zh-CN"/>
              </w:rPr>
              <w:t>见</w:t>
            </w:r>
            <w:r>
              <w:rPr>
                <w:rFonts w:hint="default" w:ascii="Times New Roman" w:hAnsi="Times New Roman" w:cs="Times New Roman"/>
                <w:bCs/>
                <w:color w:val="auto"/>
                <w:szCs w:val="22"/>
                <w:highlight w:val="none"/>
              </w:rPr>
              <w:t>表3-3。</w:t>
            </w:r>
          </w:p>
          <w:p w14:paraId="5F67AF35">
            <w:pPr>
              <w:pStyle w:val="46"/>
              <w:keepNext w:val="0"/>
              <w:keepLines w:val="0"/>
              <w:suppressLineNumbers w:val="0"/>
              <w:spacing w:before="0" w:beforeAutospacing="0" w:after="0" w:afterAutospacing="0"/>
              <w:ind w:left="0" w:right="0"/>
              <w:rPr>
                <w:rFonts w:hint="default" w:ascii="Times New Roman" w:hAnsi="Times New Roman" w:cs="Times New Roman"/>
                <w:bCs/>
                <w:color w:val="auto"/>
                <w:szCs w:val="22"/>
                <w:highlight w:val="none"/>
              </w:rPr>
            </w:pPr>
          </w:p>
          <w:p w14:paraId="333C784B">
            <w:pPr>
              <w:pStyle w:val="14"/>
              <w:keepNext w:val="0"/>
              <w:keepLines w:val="0"/>
              <w:suppressLineNumbers w:val="0"/>
              <w:spacing w:before="0" w:beforeAutospacing="0" w:after="0" w:afterAutospacing="0"/>
              <w:ind w:right="0"/>
              <w:rPr>
                <w:rFonts w:hint="default" w:ascii="Times New Roman" w:hAnsi="Times New Roman" w:cs="Times New Roman"/>
                <w:bCs/>
                <w:color w:val="auto"/>
                <w:szCs w:val="22"/>
                <w:highlight w:val="none"/>
              </w:rPr>
            </w:pPr>
          </w:p>
          <w:p w14:paraId="7EF6B764">
            <w:pPr>
              <w:keepNext w:val="0"/>
              <w:keepLines w:val="0"/>
              <w:pageBreakBefore w:val="0"/>
              <w:widowControl w:val="0"/>
              <w:numPr>
                <w:ilvl w:val="0"/>
                <w:numId w:val="0"/>
              </w:numPr>
              <w:suppressLineNumbers w:val="0"/>
              <w:tabs>
                <w:tab w:val="left" w:pos="0"/>
              </w:tabs>
              <w:kinsoku/>
              <w:overflowPunct/>
              <w:topLinePunct w:val="0"/>
              <w:bidi w:val="0"/>
              <w:spacing w:before="0" w:beforeAutospacing="0" w:after="0" w:afterAutospacing="0"/>
              <w:ind w:left="0" w:leftChars="0" w:right="0" w:rightChars="0" w:firstLine="40" w:firstLineChars="0"/>
              <w:jc w:val="center"/>
              <w:textAlignment w:val="auto"/>
              <w:outlineLvl w:val="9"/>
              <w:rPr>
                <w:rFonts w:hint="default" w:ascii="Times New Roman" w:hAnsi="Times New Roman" w:cs="Times New Roman"/>
                <w:b/>
                <w:bCs/>
                <w:color w:val="auto"/>
                <w:sz w:val="21"/>
                <w:szCs w:val="21"/>
                <w:highlight w:val="none"/>
              </w:rPr>
            </w:pPr>
            <w:bookmarkStart w:id="61" w:name="_Toc17582"/>
            <w:bookmarkStart w:id="62" w:name="_Toc8230"/>
            <w:bookmarkStart w:id="63" w:name="_Toc20439"/>
            <w:bookmarkStart w:id="64" w:name="_Toc8763"/>
            <w:bookmarkStart w:id="65" w:name="_Toc6616"/>
            <w:r>
              <w:rPr>
                <w:rFonts w:hint="default" w:ascii="Times New Roman" w:hAnsi="Times New Roman" w:eastAsia="宋体" w:cs="Times New Roman"/>
                <w:b/>
                <w:bCs/>
                <w:color w:val="auto"/>
                <w:kern w:val="2"/>
                <w:sz w:val="21"/>
                <w:szCs w:val="21"/>
                <w:highlight w:val="none"/>
                <w:lang w:val="en-US" w:eastAsia="zh-CN" w:bidi="ar-SA"/>
              </w:rPr>
              <w:t>表3-2</w:t>
            </w:r>
            <w:r>
              <w:rPr>
                <w:rFonts w:hint="default" w:ascii="Times New Roman" w:hAnsi="Times New Roman" w:cs="Times New Roman"/>
                <w:b/>
                <w:bCs/>
                <w:color w:val="auto"/>
                <w:sz w:val="21"/>
                <w:szCs w:val="21"/>
                <w:highlight w:val="none"/>
              </w:rPr>
              <w:t>其他污染物补充监测点位基本信息</w:t>
            </w:r>
            <w:bookmarkEnd w:id="61"/>
            <w:bookmarkEnd w:id="62"/>
            <w:bookmarkEnd w:id="63"/>
            <w:bookmarkEnd w:id="64"/>
            <w:bookmarkEnd w:id="65"/>
          </w:p>
          <w:tbl>
            <w:tblPr>
              <w:tblStyle w:val="40"/>
              <w:tblW w:w="4991"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1"/>
              <w:gridCol w:w="1468"/>
              <w:gridCol w:w="1128"/>
              <w:gridCol w:w="742"/>
              <w:gridCol w:w="2570"/>
              <w:gridCol w:w="976"/>
              <w:gridCol w:w="1244"/>
            </w:tblGrid>
            <w:tr w14:paraId="6CC12B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 w:hRule="atLeast"/>
              </w:trPr>
              <w:tc>
                <w:tcPr>
                  <w:tcW w:w="1151" w:type="dxa"/>
                  <w:vMerge w:val="restart"/>
                  <w:shd w:val="clear" w:color="auto" w:fill="auto"/>
                  <w:vAlign w:val="center"/>
                </w:tcPr>
                <w:p w14:paraId="26C7C2AF">
                  <w:pPr>
                    <w:pStyle w:val="46"/>
                    <w:keepNext w:val="0"/>
                    <w:keepLines w:val="0"/>
                    <w:pageBreakBefore w:val="0"/>
                    <w:widowControl w:val="0"/>
                    <w:suppressLineNumbers w:val="0"/>
                    <w:kinsoku/>
                    <w:overflowPunct/>
                    <w:topLinePunct w:val="0"/>
                    <w:bidi w:val="0"/>
                    <w:snapToGrid w:val="0"/>
                    <w:spacing w:before="0" w:beforeAutospacing="0" w:after="0" w:afterAutospacing="0" w:line="240" w:lineRule="auto"/>
                    <w:ind w:left="0" w:right="0"/>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监测点名称</w:t>
                  </w:r>
                </w:p>
              </w:tc>
              <w:tc>
                <w:tcPr>
                  <w:tcW w:w="2596" w:type="dxa"/>
                  <w:gridSpan w:val="2"/>
                  <w:shd w:val="clear" w:color="auto" w:fill="auto"/>
                  <w:vAlign w:val="center"/>
                </w:tcPr>
                <w:p w14:paraId="6801432E">
                  <w:pPr>
                    <w:pStyle w:val="46"/>
                    <w:keepNext w:val="0"/>
                    <w:keepLines w:val="0"/>
                    <w:pageBreakBefore w:val="0"/>
                    <w:widowControl w:val="0"/>
                    <w:suppressLineNumbers w:val="0"/>
                    <w:kinsoku/>
                    <w:overflowPunct/>
                    <w:topLinePunct w:val="0"/>
                    <w:bidi w:val="0"/>
                    <w:snapToGrid w:val="0"/>
                    <w:spacing w:before="0" w:beforeAutospacing="0" w:after="0" w:afterAutospacing="0" w:line="240" w:lineRule="auto"/>
                    <w:ind w:left="0" w:right="0"/>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监测点坐标/m</w:t>
                  </w:r>
                </w:p>
              </w:tc>
              <w:tc>
                <w:tcPr>
                  <w:tcW w:w="742" w:type="dxa"/>
                  <w:vMerge w:val="restart"/>
                  <w:shd w:val="clear" w:color="auto" w:fill="auto"/>
                  <w:vAlign w:val="center"/>
                </w:tcPr>
                <w:p w14:paraId="263059BE">
                  <w:pPr>
                    <w:pStyle w:val="46"/>
                    <w:keepNext w:val="0"/>
                    <w:keepLines w:val="0"/>
                    <w:pageBreakBefore w:val="0"/>
                    <w:widowControl w:val="0"/>
                    <w:suppressLineNumbers w:val="0"/>
                    <w:kinsoku/>
                    <w:overflowPunct/>
                    <w:topLinePunct w:val="0"/>
                    <w:bidi w:val="0"/>
                    <w:snapToGrid w:val="0"/>
                    <w:spacing w:before="0" w:beforeAutospacing="0" w:after="0" w:afterAutospacing="0" w:line="240" w:lineRule="auto"/>
                    <w:ind w:left="0" w:right="0"/>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监测因子</w:t>
                  </w:r>
                </w:p>
              </w:tc>
              <w:tc>
                <w:tcPr>
                  <w:tcW w:w="2570" w:type="dxa"/>
                  <w:vMerge w:val="restart"/>
                  <w:shd w:val="clear" w:color="auto" w:fill="auto"/>
                  <w:vAlign w:val="center"/>
                </w:tcPr>
                <w:p w14:paraId="2166CF04">
                  <w:pPr>
                    <w:pStyle w:val="46"/>
                    <w:keepNext w:val="0"/>
                    <w:keepLines w:val="0"/>
                    <w:pageBreakBefore w:val="0"/>
                    <w:widowControl w:val="0"/>
                    <w:suppressLineNumbers w:val="0"/>
                    <w:kinsoku/>
                    <w:overflowPunct/>
                    <w:topLinePunct w:val="0"/>
                    <w:bidi w:val="0"/>
                    <w:snapToGrid w:val="0"/>
                    <w:spacing w:before="0" w:beforeAutospacing="0" w:after="0" w:afterAutospacing="0" w:line="240" w:lineRule="auto"/>
                    <w:ind w:left="0" w:right="0"/>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监测时段</w:t>
                  </w:r>
                </w:p>
              </w:tc>
              <w:tc>
                <w:tcPr>
                  <w:tcW w:w="976" w:type="dxa"/>
                  <w:vMerge w:val="restart"/>
                  <w:shd w:val="clear" w:color="auto" w:fill="auto"/>
                  <w:vAlign w:val="center"/>
                </w:tcPr>
                <w:p w14:paraId="5F0E9275">
                  <w:pPr>
                    <w:pStyle w:val="46"/>
                    <w:keepNext w:val="0"/>
                    <w:keepLines w:val="0"/>
                    <w:pageBreakBefore w:val="0"/>
                    <w:widowControl w:val="0"/>
                    <w:suppressLineNumbers w:val="0"/>
                    <w:kinsoku/>
                    <w:overflowPunct/>
                    <w:topLinePunct w:val="0"/>
                    <w:bidi w:val="0"/>
                    <w:snapToGrid w:val="0"/>
                    <w:spacing w:before="0" w:beforeAutospacing="0" w:after="0" w:afterAutospacing="0" w:line="240" w:lineRule="auto"/>
                    <w:ind w:left="0" w:right="0"/>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相对厂址方位</w:t>
                  </w:r>
                </w:p>
              </w:tc>
              <w:tc>
                <w:tcPr>
                  <w:tcW w:w="1244" w:type="dxa"/>
                  <w:vMerge w:val="restart"/>
                  <w:shd w:val="clear" w:color="auto" w:fill="auto"/>
                  <w:vAlign w:val="center"/>
                </w:tcPr>
                <w:p w14:paraId="3252055B">
                  <w:pPr>
                    <w:pStyle w:val="46"/>
                    <w:keepNext w:val="0"/>
                    <w:keepLines w:val="0"/>
                    <w:pageBreakBefore w:val="0"/>
                    <w:widowControl w:val="0"/>
                    <w:suppressLineNumbers w:val="0"/>
                    <w:kinsoku/>
                    <w:overflowPunct/>
                    <w:topLinePunct w:val="0"/>
                    <w:bidi w:val="0"/>
                    <w:snapToGrid w:val="0"/>
                    <w:spacing w:before="0" w:beforeAutospacing="0" w:after="0" w:afterAutospacing="0" w:line="240" w:lineRule="auto"/>
                    <w:ind w:left="0" w:right="0"/>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相对厂界距离/m</w:t>
                  </w:r>
                </w:p>
              </w:tc>
            </w:tr>
            <w:tr w14:paraId="4AB714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 w:hRule="atLeast"/>
              </w:trPr>
              <w:tc>
                <w:tcPr>
                  <w:tcW w:w="1151" w:type="dxa"/>
                  <w:vMerge w:val="continue"/>
                  <w:shd w:val="clear" w:color="auto" w:fill="auto"/>
                  <w:vAlign w:val="center"/>
                </w:tcPr>
                <w:p w14:paraId="4E9FAC5B">
                  <w:pPr>
                    <w:pStyle w:val="46"/>
                    <w:keepNext w:val="0"/>
                    <w:keepLines w:val="0"/>
                    <w:pageBreakBefore w:val="0"/>
                    <w:widowControl w:val="0"/>
                    <w:suppressLineNumbers w:val="0"/>
                    <w:kinsoku/>
                    <w:overflowPunct/>
                    <w:topLinePunct w:val="0"/>
                    <w:bidi w:val="0"/>
                    <w:snapToGrid w:val="0"/>
                    <w:spacing w:before="0" w:beforeAutospacing="0" w:after="0" w:afterAutospacing="0" w:line="240" w:lineRule="auto"/>
                    <w:ind w:left="0" w:right="0"/>
                    <w:jc w:val="center"/>
                    <w:textAlignment w:val="auto"/>
                    <w:outlineLvl w:val="9"/>
                    <w:rPr>
                      <w:rFonts w:hint="default" w:ascii="Times New Roman" w:hAnsi="Times New Roman" w:cs="Times New Roman"/>
                      <w:b/>
                      <w:bCs/>
                      <w:color w:val="auto"/>
                      <w:sz w:val="21"/>
                      <w:szCs w:val="21"/>
                      <w:highlight w:val="none"/>
                    </w:rPr>
                  </w:pPr>
                </w:p>
              </w:tc>
              <w:tc>
                <w:tcPr>
                  <w:tcW w:w="1468" w:type="dxa"/>
                  <w:shd w:val="clear" w:color="auto" w:fill="auto"/>
                  <w:vAlign w:val="center"/>
                </w:tcPr>
                <w:p w14:paraId="28FB4E4A">
                  <w:pPr>
                    <w:pStyle w:val="46"/>
                    <w:keepNext w:val="0"/>
                    <w:keepLines w:val="0"/>
                    <w:pageBreakBefore w:val="0"/>
                    <w:widowControl w:val="0"/>
                    <w:suppressLineNumbers w:val="0"/>
                    <w:kinsoku/>
                    <w:overflowPunct/>
                    <w:topLinePunct w:val="0"/>
                    <w:bidi w:val="0"/>
                    <w:snapToGrid w:val="0"/>
                    <w:spacing w:before="0" w:beforeAutospacing="0" w:after="0" w:afterAutospacing="0" w:line="240" w:lineRule="auto"/>
                    <w:ind w:left="0" w:right="0"/>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X</w:t>
                  </w:r>
                </w:p>
              </w:tc>
              <w:tc>
                <w:tcPr>
                  <w:tcW w:w="1128" w:type="dxa"/>
                  <w:shd w:val="clear" w:color="auto" w:fill="auto"/>
                  <w:vAlign w:val="center"/>
                </w:tcPr>
                <w:p w14:paraId="7B3993ED">
                  <w:pPr>
                    <w:pStyle w:val="46"/>
                    <w:keepNext w:val="0"/>
                    <w:keepLines w:val="0"/>
                    <w:pageBreakBefore w:val="0"/>
                    <w:widowControl w:val="0"/>
                    <w:suppressLineNumbers w:val="0"/>
                    <w:kinsoku/>
                    <w:overflowPunct/>
                    <w:topLinePunct w:val="0"/>
                    <w:bidi w:val="0"/>
                    <w:snapToGrid w:val="0"/>
                    <w:spacing w:before="0" w:beforeAutospacing="0" w:after="0" w:afterAutospacing="0" w:line="240" w:lineRule="auto"/>
                    <w:ind w:left="0" w:right="0"/>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Y</w:t>
                  </w:r>
                </w:p>
              </w:tc>
              <w:tc>
                <w:tcPr>
                  <w:tcW w:w="742" w:type="dxa"/>
                  <w:vMerge w:val="continue"/>
                  <w:shd w:val="clear" w:color="auto" w:fill="auto"/>
                  <w:vAlign w:val="center"/>
                </w:tcPr>
                <w:p w14:paraId="02701C72">
                  <w:pPr>
                    <w:pStyle w:val="46"/>
                    <w:keepNext w:val="0"/>
                    <w:keepLines w:val="0"/>
                    <w:pageBreakBefore w:val="0"/>
                    <w:widowControl w:val="0"/>
                    <w:suppressLineNumbers w:val="0"/>
                    <w:kinsoku/>
                    <w:overflowPunct/>
                    <w:topLinePunct w:val="0"/>
                    <w:bidi w:val="0"/>
                    <w:snapToGrid w:val="0"/>
                    <w:spacing w:before="0" w:beforeAutospacing="0" w:after="0" w:afterAutospacing="0" w:line="240" w:lineRule="auto"/>
                    <w:ind w:left="0" w:right="0"/>
                    <w:jc w:val="center"/>
                    <w:textAlignment w:val="auto"/>
                    <w:outlineLvl w:val="9"/>
                    <w:rPr>
                      <w:rFonts w:hint="default" w:ascii="Times New Roman" w:hAnsi="Times New Roman" w:cs="Times New Roman"/>
                      <w:color w:val="auto"/>
                      <w:sz w:val="21"/>
                      <w:szCs w:val="21"/>
                      <w:highlight w:val="none"/>
                    </w:rPr>
                  </w:pPr>
                </w:p>
              </w:tc>
              <w:tc>
                <w:tcPr>
                  <w:tcW w:w="2570" w:type="dxa"/>
                  <w:vMerge w:val="continue"/>
                  <w:shd w:val="clear" w:color="auto" w:fill="auto"/>
                  <w:vAlign w:val="center"/>
                </w:tcPr>
                <w:p w14:paraId="59BD1000">
                  <w:pPr>
                    <w:pStyle w:val="46"/>
                    <w:keepNext w:val="0"/>
                    <w:keepLines w:val="0"/>
                    <w:pageBreakBefore w:val="0"/>
                    <w:widowControl w:val="0"/>
                    <w:suppressLineNumbers w:val="0"/>
                    <w:kinsoku/>
                    <w:overflowPunct/>
                    <w:topLinePunct w:val="0"/>
                    <w:bidi w:val="0"/>
                    <w:snapToGrid w:val="0"/>
                    <w:spacing w:before="0" w:beforeAutospacing="0" w:after="0" w:afterAutospacing="0" w:line="240" w:lineRule="auto"/>
                    <w:ind w:left="0" w:right="0"/>
                    <w:jc w:val="center"/>
                    <w:textAlignment w:val="auto"/>
                    <w:outlineLvl w:val="9"/>
                    <w:rPr>
                      <w:rFonts w:hint="default" w:ascii="Times New Roman" w:hAnsi="Times New Roman" w:cs="Times New Roman"/>
                      <w:color w:val="auto"/>
                      <w:sz w:val="21"/>
                      <w:szCs w:val="21"/>
                      <w:highlight w:val="none"/>
                    </w:rPr>
                  </w:pPr>
                </w:p>
              </w:tc>
              <w:tc>
                <w:tcPr>
                  <w:tcW w:w="976" w:type="dxa"/>
                  <w:vMerge w:val="continue"/>
                  <w:shd w:val="clear" w:color="auto" w:fill="auto"/>
                  <w:vAlign w:val="center"/>
                </w:tcPr>
                <w:p w14:paraId="19072033">
                  <w:pPr>
                    <w:pStyle w:val="46"/>
                    <w:keepNext w:val="0"/>
                    <w:keepLines w:val="0"/>
                    <w:pageBreakBefore w:val="0"/>
                    <w:widowControl w:val="0"/>
                    <w:suppressLineNumbers w:val="0"/>
                    <w:kinsoku/>
                    <w:overflowPunct/>
                    <w:topLinePunct w:val="0"/>
                    <w:bidi w:val="0"/>
                    <w:snapToGrid w:val="0"/>
                    <w:spacing w:before="0" w:beforeAutospacing="0" w:after="0" w:afterAutospacing="0" w:line="240" w:lineRule="auto"/>
                    <w:ind w:left="0" w:right="0"/>
                    <w:jc w:val="center"/>
                    <w:textAlignment w:val="auto"/>
                    <w:outlineLvl w:val="9"/>
                    <w:rPr>
                      <w:rFonts w:hint="default" w:ascii="Times New Roman" w:hAnsi="Times New Roman" w:cs="Times New Roman"/>
                      <w:color w:val="auto"/>
                      <w:sz w:val="21"/>
                      <w:szCs w:val="21"/>
                      <w:highlight w:val="none"/>
                    </w:rPr>
                  </w:pPr>
                </w:p>
              </w:tc>
              <w:tc>
                <w:tcPr>
                  <w:tcW w:w="1244" w:type="dxa"/>
                  <w:vMerge w:val="continue"/>
                  <w:shd w:val="clear" w:color="auto" w:fill="auto"/>
                  <w:vAlign w:val="center"/>
                </w:tcPr>
                <w:p w14:paraId="4727C1F2">
                  <w:pPr>
                    <w:pStyle w:val="46"/>
                    <w:keepNext w:val="0"/>
                    <w:keepLines w:val="0"/>
                    <w:pageBreakBefore w:val="0"/>
                    <w:widowControl w:val="0"/>
                    <w:suppressLineNumbers w:val="0"/>
                    <w:kinsoku/>
                    <w:overflowPunct/>
                    <w:topLinePunct w:val="0"/>
                    <w:bidi w:val="0"/>
                    <w:snapToGrid w:val="0"/>
                    <w:spacing w:before="0" w:beforeAutospacing="0" w:after="0" w:afterAutospacing="0" w:line="240" w:lineRule="auto"/>
                    <w:ind w:left="0" w:right="0"/>
                    <w:jc w:val="center"/>
                    <w:textAlignment w:val="auto"/>
                    <w:outlineLvl w:val="9"/>
                    <w:rPr>
                      <w:rFonts w:hint="default" w:ascii="Times New Roman" w:hAnsi="Times New Roman" w:cs="Times New Roman"/>
                      <w:color w:val="auto"/>
                      <w:sz w:val="21"/>
                      <w:szCs w:val="21"/>
                      <w:highlight w:val="none"/>
                    </w:rPr>
                  </w:pPr>
                </w:p>
              </w:tc>
            </w:tr>
            <w:tr w14:paraId="1E719C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1" w:hRule="atLeast"/>
              </w:trPr>
              <w:tc>
                <w:tcPr>
                  <w:tcW w:w="1151" w:type="dxa"/>
                  <w:shd w:val="clear" w:color="auto" w:fill="auto"/>
                  <w:vAlign w:val="center"/>
                </w:tcPr>
                <w:p w14:paraId="655E0D97">
                  <w:pPr>
                    <w:pStyle w:val="46"/>
                    <w:keepNext w:val="0"/>
                    <w:keepLines w:val="0"/>
                    <w:pageBreakBefore w:val="0"/>
                    <w:widowControl w:val="0"/>
                    <w:suppressLineNumbers w:val="0"/>
                    <w:kinsoku/>
                    <w:overflowPunct/>
                    <w:topLinePunct w:val="0"/>
                    <w:bidi w:val="0"/>
                    <w:snapToGrid w:val="0"/>
                    <w:spacing w:before="0" w:beforeAutospacing="0" w:after="0" w:afterAutospacing="0" w:line="240" w:lineRule="auto"/>
                    <w:ind w:left="0" w:right="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G1</w:t>
                  </w:r>
                  <w:r>
                    <w:rPr>
                      <w:rFonts w:hint="eastAsia" w:ascii="Times New Roman" w:cs="Times New Roman"/>
                      <w:color w:val="auto"/>
                      <w:sz w:val="21"/>
                      <w:szCs w:val="21"/>
                      <w:highlight w:val="none"/>
                      <w:lang w:val="en-US" w:eastAsia="zh-CN"/>
                    </w:rPr>
                    <w:t>和</w:t>
                  </w:r>
                  <w:r>
                    <w:rPr>
                      <w:rFonts w:hint="default" w:ascii="Times New Roman" w:hAnsi="Times New Roman" w:cs="Times New Roman"/>
                      <w:color w:val="auto"/>
                      <w:sz w:val="21"/>
                      <w:szCs w:val="21"/>
                      <w:highlight w:val="none"/>
                    </w:rPr>
                    <w:t>村</w:t>
                  </w:r>
                </w:p>
              </w:tc>
              <w:tc>
                <w:tcPr>
                  <w:tcW w:w="1468" w:type="dxa"/>
                  <w:shd w:val="clear" w:color="auto" w:fill="auto"/>
                  <w:vAlign w:val="center"/>
                </w:tcPr>
                <w:p w14:paraId="0943542F">
                  <w:pPr>
                    <w:pStyle w:val="46"/>
                    <w:keepNext w:val="0"/>
                    <w:keepLines w:val="0"/>
                    <w:pageBreakBefore w:val="0"/>
                    <w:widowControl w:val="0"/>
                    <w:suppressLineNumbers w:val="0"/>
                    <w:kinsoku/>
                    <w:overflowPunct/>
                    <w:topLinePunct w:val="0"/>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-450</w:t>
                  </w:r>
                </w:p>
              </w:tc>
              <w:tc>
                <w:tcPr>
                  <w:tcW w:w="1128" w:type="dxa"/>
                  <w:shd w:val="clear" w:color="auto" w:fill="auto"/>
                  <w:vAlign w:val="center"/>
                </w:tcPr>
                <w:p w14:paraId="3A7D27AB">
                  <w:pPr>
                    <w:pStyle w:val="46"/>
                    <w:keepNext w:val="0"/>
                    <w:keepLines w:val="0"/>
                    <w:pageBreakBefore w:val="0"/>
                    <w:widowControl w:val="0"/>
                    <w:suppressLineNumbers w:val="0"/>
                    <w:kinsoku/>
                    <w:overflowPunct/>
                    <w:topLinePunct w:val="0"/>
                    <w:bidi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-4610</w:t>
                  </w:r>
                </w:p>
              </w:tc>
              <w:tc>
                <w:tcPr>
                  <w:tcW w:w="742" w:type="dxa"/>
                  <w:shd w:val="clear" w:color="auto" w:fill="auto"/>
                  <w:vAlign w:val="center"/>
                </w:tcPr>
                <w:p w14:paraId="2AE3CF63">
                  <w:pPr>
                    <w:pStyle w:val="46"/>
                    <w:keepNext w:val="0"/>
                    <w:keepLines w:val="0"/>
                    <w:pageBreakBefore w:val="0"/>
                    <w:widowControl w:val="0"/>
                    <w:suppressLineNumbers w:val="0"/>
                    <w:kinsoku/>
                    <w:overflowPunct/>
                    <w:topLinePunct w:val="0"/>
                    <w:bidi w:val="0"/>
                    <w:spacing w:before="0" w:beforeAutospacing="0" w:after="0" w:afterAutospacing="0" w:line="240" w:lineRule="auto"/>
                    <w:ind w:left="0" w:right="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TSP</w:t>
                  </w:r>
                </w:p>
              </w:tc>
              <w:tc>
                <w:tcPr>
                  <w:tcW w:w="2570" w:type="dxa"/>
                  <w:shd w:val="clear" w:color="auto" w:fill="auto"/>
                  <w:vAlign w:val="center"/>
                </w:tcPr>
                <w:p w14:paraId="1EE4F7E3">
                  <w:pPr>
                    <w:pStyle w:val="46"/>
                    <w:keepNext w:val="0"/>
                    <w:keepLines w:val="0"/>
                    <w:pageBreakBefore w:val="0"/>
                    <w:widowControl w:val="0"/>
                    <w:suppressLineNumbers w:val="0"/>
                    <w:kinsoku/>
                    <w:overflowPunct/>
                    <w:topLinePunct w:val="0"/>
                    <w:bidi w:val="0"/>
                    <w:spacing w:before="0" w:beforeAutospacing="0" w:after="0" w:afterAutospacing="0" w:line="240" w:lineRule="auto"/>
                    <w:ind w:left="0" w:right="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202</w:t>
                  </w:r>
                  <w:r>
                    <w:rPr>
                      <w:rFonts w:hint="eastAsia" w:ascii="Times New Roman" w:cs="Times New Roman"/>
                      <w:bCs/>
                      <w:color w:val="auto"/>
                      <w:sz w:val="21"/>
                      <w:szCs w:val="21"/>
                      <w:highlight w:val="none"/>
                      <w:lang w:val="en-US" w:eastAsia="zh-CN"/>
                    </w:rPr>
                    <w:t>3</w:t>
                  </w:r>
                  <w:r>
                    <w:rPr>
                      <w:rFonts w:hint="default" w:ascii="Times New Roman" w:hAnsi="Times New Roman" w:cs="Times New Roman"/>
                      <w:bCs/>
                      <w:color w:val="auto"/>
                      <w:sz w:val="21"/>
                      <w:szCs w:val="21"/>
                      <w:highlight w:val="none"/>
                    </w:rPr>
                    <w:t>年12月</w:t>
                  </w:r>
                  <w:r>
                    <w:rPr>
                      <w:rFonts w:hint="eastAsia" w:ascii="Times New Roman" w:cs="Times New Roman"/>
                      <w:bCs/>
                      <w:color w:val="auto"/>
                      <w:sz w:val="21"/>
                      <w:szCs w:val="21"/>
                      <w:highlight w:val="none"/>
                      <w:lang w:val="en-US" w:eastAsia="zh-CN"/>
                    </w:rPr>
                    <w:t>19</w:t>
                  </w:r>
                  <w:r>
                    <w:rPr>
                      <w:rFonts w:hint="default" w:ascii="Times New Roman" w:hAnsi="Times New Roman" w:cs="Times New Roman"/>
                      <w:bCs/>
                      <w:color w:val="auto"/>
                      <w:sz w:val="21"/>
                      <w:szCs w:val="21"/>
                      <w:highlight w:val="none"/>
                    </w:rPr>
                    <w:t>日</w:t>
                  </w:r>
                  <w:r>
                    <w:rPr>
                      <w:rFonts w:hint="eastAsia" w:ascii="Times New Roman" w:cs="Times New Roman"/>
                      <w:bCs/>
                      <w:color w:val="auto"/>
                      <w:sz w:val="21"/>
                      <w:szCs w:val="21"/>
                      <w:highlight w:val="none"/>
                      <w:lang w:val="en-US" w:eastAsia="zh-CN"/>
                    </w:rPr>
                    <w:t>~</w:t>
                  </w:r>
                  <w:r>
                    <w:rPr>
                      <w:rFonts w:hint="default" w:ascii="Times New Roman" w:hAnsi="Times New Roman" w:cs="Times New Roman"/>
                      <w:bCs/>
                      <w:color w:val="auto"/>
                      <w:sz w:val="21"/>
                      <w:szCs w:val="21"/>
                      <w:highlight w:val="none"/>
                    </w:rPr>
                    <w:t>202</w:t>
                  </w:r>
                  <w:r>
                    <w:rPr>
                      <w:rFonts w:hint="eastAsia" w:ascii="Times New Roman" w:cs="Times New Roman"/>
                      <w:bCs/>
                      <w:color w:val="auto"/>
                      <w:sz w:val="21"/>
                      <w:szCs w:val="21"/>
                      <w:highlight w:val="none"/>
                      <w:lang w:val="en-US" w:eastAsia="zh-CN"/>
                    </w:rPr>
                    <w:t>3</w:t>
                  </w:r>
                  <w:r>
                    <w:rPr>
                      <w:rFonts w:hint="default" w:ascii="Times New Roman" w:hAnsi="Times New Roman" w:cs="Times New Roman"/>
                      <w:bCs/>
                      <w:color w:val="auto"/>
                      <w:sz w:val="21"/>
                      <w:szCs w:val="21"/>
                      <w:highlight w:val="none"/>
                    </w:rPr>
                    <w:t>年12月2</w:t>
                  </w:r>
                  <w:r>
                    <w:rPr>
                      <w:rFonts w:hint="eastAsia" w:ascii="Times New Roman" w:cs="Times New Roman"/>
                      <w:bCs/>
                      <w:color w:val="auto"/>
                      <w:sz w:val="21"/>
                      <w:szCs w:val="21"/>
                      <w:highlight w:val="none"/>
                      <w:lang w:val="en-US" w:eastAsia="zh-CN"/>
                    </w:rPr>
                    <w:t>5</w:t>
                  </w:r>
                  <w:r>
                    <w:rPr>
                      <w:rFonts w:hint="default" w:ascii="Times New Roman" w:hAnsi="Times New Roman" w:cs="Times New Roman"/>
                      <w:bCs/>
                      <w:color w:val="auto"/>
                      <w:sz w:val="21"/>
                      <w:szCs w:val="21"/>
                      <w:highlight w:val="none"/>
                    </w:rPr>
                    <w:t>日</w:t>
                  </w:r>
                </w:p>
              </w:tc>
              <w:tc>
                <w:tcPr>
                  <w:tcW w:w="976" w:type="dxa"/>
                  <w:shd w:val="clear" w:color="auto" w:fill="auto"/>
                  <w:vAlign w:val="center"/>
                </w:tcPr>
                <w:p w14:paraId="115FDAF1">
                  <w:pPr>
                    <w:pStyle w:val="46"/>
                    <w:keepNext w:val="0"/>
                    <w:keepLines w:val="0"/>
                    <w:pageBreakBefore w:val="0"/>
                    <w:widowControl w:val="0"/>
                    <w:suppressLineNumbers w:val="0"/>
                    <w:kinsoku/>
                    <w:overflowPunct/>
                    <w:topLinePunct w:val="0"/>
                    <w:bidi w:val="0"/>
                    <w:snapToGrid w:val="0"/>
                    <w:spacing w:before="0" w:beforeAutospacing="0" w:after="0" w:afterAutospacing="0" w:line="240" w:lineRule="auto"/>
                    <w:ind w:left="0" w:right="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西南</w:t>
                  </w:r>
                </w:p>
              </w:tc>
              <w:tc>
                <w:tcPr>
                  <w:tcW w:w="1244" w:type="dxa"/>
                  <w:shd w:val="clear" w:color="auto" w:fill="auto"/>
                  <w:vAlign w:val="center"/>
                </w:tcPr>
                <w:p w14:paraId="5D605669">
                  <w:pPr>
                    <w:pStyle w:val="46"/>
                    <w:keepNext w:val="0"/>
                    <w:keepLines w:val="0"/>
                    <w:pageBreakBefore w:val="0"/>
                    <w:widowControl w:val="0"/>
                    <w:suppressLineNumbers w:val="0"/>
                    <w:kinsoku/>
                    <w:overflowPunct/>
                    <w:topLinePunct w:val="0"/>
                    <w:bidi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4700</w:t>
                  </w:r>
                </w:p>
              </w:tc>
            </w:tr>
            <w:tr w14:paraId="0BE106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5000" w:type="pct"/>
                  <w:gridSpan w:val="7"/>
                  <w:shd w:val="clear" w:color="auto" w:fill="auto"/>
                  <w:vAlign w:val="center"/>
                </w:tcPr>
                <w:p w14:paraId="50800607">
                  <w:pPr>
                    <w:keepNext w:val="0"/>
                    <w:keepLines w:val="0"/>
                    <w:pageBreakBefore w:val="0"/>
                    <w:widowControl w:val="0"/>
                    <w:suppressLineNumbers w:val="0"/>
                    <w:kinsoku/>
                    <w:wordWrap/>
                    <w:overflowPunct/>
                    <w:topLinePunct w:val="0"/>
                    <w:bidi w:val="0"/>
                    <w:snapToGrid/>
                    <w:spacing w:before="0" w:beforeAutospacing="0" w:after="0" w:afterAutospacing="0" w:line="276" w:lineRule="auto"/>
                    <w:ind w:left="0" w:right="0"/>
                    <w:jc w:val="left"/>
                    <w:textAlignment w:val="auto"/>
                    <w:outlineLvl w:val="9"/>
                    <w:rPr>
                      <w:rFonts w:hint="default" w:ascii="Times New Roman" w:hAnsi="Times New Roman" w:cs="Times New Roman"/>
                      <w:color w:val="auto"/>
                      <w:sz w:val="21"/>
                      <w:szCs w:val="21"/>
                      <w:highlight w:val="none"/>
                    </w:rPr>
                  </w:pPr>
                  <w:bookmarkStart w:id="66" w:name="_Toc698"/>
                  <w:bookmarkStart w:id="67" w:name="_Toc21186"/>
                  <w:bookmarkStart w:id="68" w:name="_Toc14154"/>
                  <w:bookmarkStart w:id="69" w:name="_Toc4447"/>
                  <w:bookmarkStart w:id="70" w:name="_Toc21557"/>
                  <w:bookmarkStart w:id="71" w:name="_Toc24731"/>
                  <w:bookmarkStart w:id="72" w:name="_Toc8233"/>
                  <w:bookmarkStart w:id="73" w:name="_Toc14846"/>
                  <w:bookmarkStart w:id="74" w:name="_Toc24683"/>
                  <w:bookmarkStart w:id="75" w:name="_Toc13955"/>
                  <w:r>
                    <w:rPr>
                      <w:rFonts w:hint="default" w:ascii="Times New Roman" w:hAnsi="Times New Roman" w:cs="Times New Roman"/>
                      <w:b/>
                      <w:bCs/>
                      <w:color w:val="auto"/>
                      <w:sz w:val="21"/>
                      <w:szCs w:val="21"/>
                      <w:highlight w:val="none"/>
                      <w:lang w:val="en-GB"/>
                    </w:rPr>
                    <w:t>注：设本</w:t>
                  </w:r>
                  <w:r>
                    <w:rPr>
                      <w:rFonts w:hint="default" w:ascii="Times New Roman" w:hAnsi="Times New Roman" w:cs="Times New Roman"/>
                      <w:b/>
                      <w:bCs/>
                      <w:color w:val="auto"/>
                      <w:sz w:val="21"/>
                      <w:szCs w:val="21"/>
                      <w:highlight w:val="none"/>
                    </w:rPr>
                    <w:t>项目中心坐标（X，Y）为（0，0）</w:t>
                  </w:r>
                  <w:bookmarkEnd w:id="66"/>
                  <w:bookmarkEnd w:id="67"/>
                  <w:bookmarkEnd w:id="68"/>
                  <w:bookmarkEnd w:id="69"/>
                  <w:bookmarkEnd w:id="70"/>
                </w:p>
              </w:tc>
            </w:tr>
          </w:tbl>
          <w:p w14:paraId="15751F0D">
            <w:pPr>
              <w:keepNext w:val="0"/>
              <w:keepLines w:val="0"/>
              <w:pageBreakBefore w:val="0"/>
              <w:widowControl w:val="0"/>
              <w:suppressLineNumbers w:val="0"/>
              <w:kinsoku/>
              <w:overflowPunct/>
              <w:topLinePunct w:val="0"/>
              <w:bidi w:val="0"/>
              <w:spacing w:before="0" w:beforeAutospacing="0" w:after="0" w:afterAutospacing="0"/>
              <w:ind w:left="0" w:right="0"/>
              <w:jc w:val="center"/>
              <w:textAlignment w:val="auto"/>
              <w:outlineLvl w:val="9"/>
              <w:rPr>
                <w:rFonts w:hint="default" w:ascii="Times New Roman" w:hAnsi="Times New Roman" w:cs="Times New Roman"/>
                <w:b/>
                <w:bCs/>
                <w:color w:val="auto"/>
                <w:sz w:val="21"/>
                <w:szCs w:val="21"/>
                <w:highlight w:val="none"/>
                <w:lang w:val="en-GB"/>
              </w:rPr>
            </w:pPr>
            <w:r>
              <w:rPr>
                <w:rFonts w:hint="default" w:ascii="Times New Roman" w:hAnsi="Times New Roman" w:cs="Times New Roman"/>
                <w:b/>
                <w:bCs/>
                <w:color w:val="auto"/>
                <w:sz w:val="21"/>
                <w:szCs w:val="21"/>
                <w:highlight w:val="none"/>
                <w:lang w:val="en-GB"/>
              </w:rPr>
              <w:t>表</w:t>
            </w:r>
            <w:r>
              <w:rPr>
                <w:rFonts w:hint="default" w:ascii="Times New Roman" w:hAnsi="Times New Roman" w:cs="Times New Roman"/>
                <w:b/>
                <w:bCs/>
                <w:color w:val="auto"/>
                <w:sz w:val="21"/>
                <w:szCs w:val="21"/>
                <w:highlight w:val="none"/>
              </w:rPr>
              <w:t>3-3</w:t>
            </w:r>
            <w:r>
              <w:rPr>
                <w:rFonts w:hint="default" w:ascii="Times New Roman" w:hAnsi="Times New Roman" w:cs="Times New Roman"/>
                <w:b/>
                <w:bCs/>
                <w:color w:val="auto"/>
                <w:sz w:val="21"/>
                <w:szCs w:val="21"/>
                <w:highlight w:val="none"/>
                <w:lang w:val="en-GB"/>
              </w:rPr>
              <w:t xml:space="preserve"> 其他污染物环境质量现状（监测结果）表</w:t>
            </w:r>
            <w:bookmarkEnd w:id="71"/>
            <w:bookmarkEnd w:id="72"/>
            <w:bookmarkEnd w:id="73"/>
            <w:bookmarkEnd w:id="74"/>
            <w:bookmarkEnd w:id="75"/>
          </w:p>
          <w:tbl>
            <w:tblPr>
              <w:tblStyle w:val="39"/>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87"/>
              <w:gridCol w:w="898"/>
              <w:gridCol w:w="1052"/>
              <w:gridCol w:w="1311"/>
              <w:gridCol w:w="1558"/>
              <w:gridCol w:w="1279"/>
              <w:gridCol w:w="827"/>
              <w:gridCol w:w="877"/>
            </w:tblGrid>
            <w:tr w14:paraId="6422E6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0" w:type="pct"/>
                  <w:vMerge w:val="restart"/>
                  <w:shd w:val="clear" w:color="auto" w:fill="auto"/>
                  <w:vAlign w:val="center"/>
                </w:tcPr>
                <w:p w14:paraId="1C8D183A">
                  <w:pPr>
                    <w:pStyle w:val="12"/>
                    <w:keepNext w:val="0"/>
                    <w:keepLines w:val="0"/>
                    <w:pageBreakBefore w:val="0"/>
                    <w:widowControl w:val="0"/>
                    <w:suppressLineNumbers w:val="0"/>
                    <w:kinsoku/>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监测</w:t>
                  </w:r>
                </w:p>
                <w:p w14:paraId="35D0DFD6">
                  <w:pPr>
                    <w:pStyle w:val="12"/>
                    <w:keepNext w:val="0"/>
                    <w:keepLines w:val="0"/>
                    <w:pageBreakBefore w:val="0"/>
                    <w:widowControl w:val="0"/>
                    <w:suppressLineNumbers w:val="0"/>
                    <w:kinsoku/>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点位</w:t>
                  </w:r>
                </w:p>
              </w:tc>
              <w:tc>
                <w:tcPr>
                  <w:tcW w:w="483" w:type="pct"/>
                  <w:vMerge w:val="restart"/>
                  <w:shd w:val="clear" w:color="auto" w:fill="auto"/>
                  <w:vAlign w:val="center"/>
                </w:tcPr>
                <w:p w14:paraId="5257A87B">
                  <w:pPr>
                    <w:pStyle w:val="12"/>
                    <w:keepNext w:val="0"/>
                    <w:keepLines w:val="0"/>
                    <w:pageBreakBefore w:val="0"/>
                    <w:widowControl w:val="0"/>
                    <w:suppressLineNumbers w:val="0"/>
                    <w:kinsoku/>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污染物</w:t>
                  </w:r>
                </w:p>
              </w:tc>
              <w:tc>
                <w:tcPr>
                  <w:tcW w:w="566" w:type="pct"/>
                  <w:vMerge w:val="restart"/>
                  <w:shd w:val="clear" w:color="auto" w:fill="auto"/>
                  <w:vAlign w:val="center"/>
                </w:tcPr>
                <w:p w14:paraId="56D6E2B5">
                  <w:pPr>
                    <w:pStyle w:val="12"/>
                    <w:keepNext w:val="0"/>
                    <w:keepLines w:val="0"/>
                    <w:pageBreakBefore w:val="0"/>
                    <w:widowControl w:val="0"/>
                    <w:suppressLineNumbers w:val="0"/>
                    <w:kinsoku/>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平均</w:t>
                  </w:r>
                </w:p>
                <w:p w14:paraId="41C8AC9C">
                  <w:pPr>
                    <w:pStyle w:val="12"/>
                    <w:keepNext w:val="0"/>
                    <w:keepLines w:val="0"/>
                    <w:pageBreakBefore w:val="0"/>
                    <w:widowControl w:val="0"/>
                    <w:suppressLineNumbers w:val="0"/>
                    <w:kinsoku/>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时间</w:t>
                  </w:r>
                </w:p>
              </w:tc>
              <w:tc>
                <w:tcPr>
                  <w:tcW w:w="705" w:type="pct"/>
                  <w:vMerge w:val="restart"/>
                  <w:shd w:val="clear" w:color="auto" w:fill="auto"/>
                  <w:vAlign w:val="center"/>
                </w:tcPr>
                <w:p w14:paraId="2004360D">
                  <w:pPr>
                    <w:pStyle w:val="12"/>
                    <w:keepNext w:val="0"/>
                    <w:keepLines w:val="0"/>
                    <w:pageBreakBefore w:val="0"/>
                    <w:widowControl w:val="0"/>
                    <w:suppressLineNumbers w:val="0"/>
                    <w:kinsoku/>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评价标准/</w:t>
                  </w:r>
                  <w:r>
                    <w:rPr>
                      <w:rFonts w:hint="default" w:ascii="Times New Roman" w:hAnsi="Times New Roman" w:cs="Times New Roman"/>
                      <w:b/>
                      <w:color w:val="auto"/>
                      <w:kern w:val="0"/>
                      <w:sz w:val="21"/>
                      <w:szCs w:val="21"/>
                      <w:highlight w:val="none"/>
                    </w:rPr>
                    <w:t>（μg/m</w:t>
                  </w:r>
                  <w:r>
                    <w:rPr>
                      <w:rFonts w:hint="default" w:ascii="Times New Roman" w:hAnsi="Times New Roman" w:cs="Times New Roman"/>
                      <w:b/>
                      <w:color w:val="auto"/>
                      <w:kern w:val="0"/>
                      <w:sz w:val="21"/>
                      <w:szCs w:val="21"/>
                      <w:highlight w:val="none"/>
                      <w:vertAlign w:val="superscript"/>
                    </w:rPr>
                    <w:t>3</w:t>
                  </w:r>
                  <w:r>
                    <w:rPr>
                      <w:rFonts w:hint="default" w:ascii="Times New Roman" w:hAnsi="Times New Roman" w:cs="Times New Roman"/>
                      <w:b/>
                      <w:color w:val="auto"/>
                      <w:kern w:val="0"/>
                      <w:sz w:val="21"/>
                      <w:szCs w:val="21"/>
                      <w:highlight w:val="none"/>
                    </w:rPr>
                    <w:t>）</w:t>
                  </w:r>
                </w:p>
              </w:tc>
              <w:tc>
                <w:tcPr>
                  <w:tcW w:w="838" w:type="pct"/>
                  <w:vMerge w:val="restart"/>
                  <w:shd w:val="clear" w:color="auto" w:fill="auto"/>
                  <w:vAlign w:val="center"/>
                </w:tcPr>
                <w:p w14:paraId="153AF377">
                  <w:pPr>
                    <w:pStyle w:val="12"/>
                    <w:keepNext w:val="0"/>
                    <w:keepLines w:val="0"/>
                    <w:pageBreakBefore w:val="0"/>
                    <w:widowControl w:val="0"/>
                    <w:suppressLineNumbers w:val="0"/>
                    <w:kinsoku/>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监测浓度范围/（</w:t>
                  </w:r>
                  <w:r>
                    <w:rPr>
                      <w:rFonts w:hint="default" w:ascii="Times New Roman" w:hAnsi="Times New Roman" w:cs="Times New Roman"/>
                      <w:b/>
                      <w:color w:val="auto"/>
                      <w:kern w:val="0"/>
                      <w:sz w:val="21"/>
                      <w:szCs w:val="21"/>
                      <w:highlight w:val="none"/>
                    </w:rPr>
                    <w:t>mg/m</w:t>
                  </w:r>
                  <w:r>
                    <w:rPr>
                      <w:rFonts w:hint="default" w:ascii="Times New Roman" w:hAnsi="Times New Roman" w:cs="Times New Roman"/>
                      <w:b/>
                      <w:color w:val="auto"/>
                      <w:kern w:val="0"/>
                      <w:sz w:val="21"/>
                      <w:szCs w:val="21"/>
                      <w:highlight w:val="none"/>
                      <w:vertAlign w:val="superscript"/>
                    </w:rPr>
                    <w:t>3</w:t>
                  </w:r>
                  <w:r>
                    <w:rPr>
                      <w:rFonts w:hint="default" w:ascii="Times New Roman" w:hAnsi="Times New Roman" w:cs="Times New Roman"/>
                      <w:b/>
                      <w:color w:val="auto"/>
                      <w:sz w:val="21"/>
                      <w:szCs w:val="21"/>
                      <w:highlight w:val="none"/>
                    </w:rPr>
                    <w:t>）</w:t>
                  </w:r>
                </w:p>
              </w:tc>
              <w:tc>
                <w:tcPr>
                  <w:tcW w:w="688" w:type="pct"/>
                  <w:vMerge w:val="restart"/>
                  <w:shd w:val="clear" w:color="auto" w:fill="auto"/>
                  <w:vAlign w:val="center"/>
                </w:tcPr>
                <w:p w14:paraId="1755A2A5">
                  <w:pPr>
                    <w:pStyle w:val="12"/>
                    <w:keepNext w:val="0"/>
                    <w:keepLines w:val="0"/>
                    <w:pageBreakBefore w:val="0"/>
                    <w:widowControl w:val="0"/>
                    <w:suppressLineNumbers w:val="0"/>
                    <w:kinsoku/>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最大浓度占标率/%</w:t>
                  </w:r>
                </w:p>
              </w:tc>
              <w:tc>
                <w:tcPr>
                  <w:tcW w:w="445" w:type="pct"/>
                  <w:vMerge w:val="restart"/>
                  <w:shd w:val="clear" w:color="auto" w:fill="auto"/>
                  <w:vAlign w:val="center"/>
                </w:tcPr>
                <w:p w14:paraId="021A0458">
                  <w:pPr>
                    <w:pStyle w:val="12"/>
                    <w:keepNext w:val="0"/>
                    <w:keepLines w:val="0"/>
                    <w:pageBreakBefore w:val="0"/>
                    <w:widowControl w:val="0"/>
                    <w:suppressLineNumbers w:val="0"/>
                    <w:kinsoku/>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超标频率/%</w:t>
                  </w:r>
                </w:p>
              </w:tc>
              <w:tc>
                <w:tcPr>
                  <w:tcW w:w="471" w:type="pct"/>
                  <w:vMerge w:val="restart"/>
                  <w:shd w:val="clear" w:color="auto" w:fill="auto"/>
                  <w:vAlign w:val="center"/>
                </w:tcPr>
                <w:p w14:paraId="20D626A4">
                  <w:pPr>
                    <w:pStyle w:val="12"/>
                    <w:keepNext w:val="0"/>
                    <w:keepLines w:val="0"/>
                    <w:pageBreakBefore w:val="0"/>
                    <w:widowControl w:val="0"/>
                    <w:suppressLineNumbers w:val="0"/>
                    <w:kinsoku/>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达标情况</w:t>
                  </w:r>
                </w:p>
              </w:tc>
            </w:tr>
            <w:tr w14:paraId="5F1146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0" w:type="pct"/>
                  <w:vMerge w:val="continue"/>
                  <w:shd w:val="clear" w:color="auto" w:fill="auto"/>
                  <w:vAlign w:val="center"/>
                </w:tcPr>
                <w:p w14:paraId="7611FC7C">
                  <w:pPr>
                    <w:pStyle w:val="12"/>
                    <w:keepNext w:val="0"/>
                    <w:keepLines w:val="0"/>
                    <w:pageBreakBefore w:val="0"/>
                    <w:widowControl w:val="0"/>
                    <w:suppressLineNumbers w:val="0"/>
                    <w:kinsoku/>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color w:val="auto"/>
                      <w:sz w:val="21"/>
                      <w:szCs w:val="21"/>
                      <w:highlight w:val="none"/>
                    </w:rPr>
                  </w:pPr>
                </w:p>
              </w:tc>
              <w:tc>
                <w:tcPr>
                  <w:tcW w:w="483" w:type="pct"/>
                  <w:vMerge w:val="continue"/>
                  <w:shd w:val="clear" w:color="auto" w:fill="auto"/>
                  <w:vAlign w:val="center"/>
                </w:tcPr>
                <w:p w14:paraId="4C2CEEB9">
                  <w:pPr>
                    <w:pStyle w:val="12"/>
                    <w:keepNext w:val="0"/>
                    <w:keepLines w:val="0"/>
                    <w:pageBreakBefore w:val="0"/>
                    <w:widowControl w:val="0"/>
                    <w:suppressLineNumbers w:val="0"/>
                    <w:kinsoku/>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color w:val="auto"/>
                      <w:sz w:val="21"/>
                      <w:szCs w:val="21"/>
                      <w:highlight w:val="none"/>
                    </w:rPr>
                  </w:pPr>
                </w:p>
              </w:tc>
              <w:tc>
                <w:tcPr>
                  <w:tcW w:w="566" w:type="pct"/>
                  <w:vMerge w:val="continue"/>
                  <w:shd w:val="clear" w:color="auto" w:fill="auto"/>
                  <w:vAlign w:val="center"/>
                </w:tcPr>
                <w:p w14:paraId="45140C1D">
                  <w:pPr>
                    <w:pStyle w:val="12"/>
                    <w:keepNext w:val="0"/>
                    <w:keepLines w:val="0"/>
                    <w:pageBreakBefore w:val="0"/>
                    <w:widowControl w:val="0"/>
                    <w:suppressLineNumbers w:val="0"/>
                    <w:kinsoku/>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color w:val="auto"/>
                      <w:sz w:val="21"/>
                      <w:szCs w:val="21"/>
                      <w:highlight w:val="none"/>
                    </w:rPr>
                  </w:pPr>
                </w:p>
              </w:tc>
              <w:tc>
                <w:tcPr>
                  <w:tcW w:w="705" w:type="pct"/>
                  <w:vMerge w:val="continue"/>
                  <w:shd w:val="clear" w:color="auto" w:fill="auto"/>
                  <w:vAlign w:val="center"/>
                </w:tcPr>
                <w:p w14:paraId="5E44655F">
                  <w:pPr>
                    <w:pStyle w:val="12"/>
                    <w:keepNext w:val="0"/>
                    <w:keepLines w:val="0"/>
                    <w:pageBreakBefore w:val="0"/>
                    <w:widowControl w:val="0"/>
                    <w:suppressLineNumbers w:val="0"/>
                    <w:kinsoku/>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color w:val="auto"/>
                      <w:sz w:val="21"/>
                      <w:szCs w:val="21"/>
                      <w:highlight w:val="none"/>
                    </w:rPr>
                  </w:pPr>
                </w:p>
              </w:tc>
              <w:tc>
                <w:tcPr>
                  <w:tcW w:w="838" w:type="pct"/>
                  <w:vMerge w:val="continue"/>
                  <w:shd w:val="clear" w:color="auto" w:fill="auto"/>
                  <w:vAlign w:val="center"/>
                </w:tcPr>
                <w:p w14:paraId="4E34CB8C">
                  <w:pPr>
                    <w:pStyle w:val="12"/>
                    <w:keepNext w:val="0"/>
                    <w:keepLines w:val="0"/>
                    <w:pageBreakBefore w:val="0"/>
                    <w:widowControl w:val="0"/>
                    <w:suppressLineNumbers w:val="0"/>
                    <w:kinsoku/>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color w:val="auto"/>
                      <w:sz w:val="21"/>
                      <w:szCs w:val="21"/>
                      <w:highlight w:val="none"/>
                    </w:rPr>
                  </w:pPr>
                </w:p>
              </w:tc>
              <w:tc>
                <w:tcPr>
                  <w:tcW w:w="688" w:type="pct"/>
                  <w:vMerge w:val="continue"/>
                  <w:shd w:val="clear" w:color="auto" w:fill="auto"/>
                  <w:vAlign w:val="center"/>
                </w:tcPr>
                <w:p w14:paraId="178CF315">
                  <w:pPr>
                    <w:pStyle w:val="12"/>
                    <w:keepNext w:val="0"/>
                    <w:keepLines w:val="0"/>
                    <w:pageBreakBefore w:val="0"/>
                    <w:widowControl w:val="0"/>
                    <w:suppressLineNumbers w:val="0"/>
                    <w:kinsoku/>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color w:val="auto"/>
                      <w:sz w:val="21"/>
                      <w:szCs w:val="21"/>
                      <w:highlight w:val="none"/>
                    </w:rPr>
                  </w:pPr>
                </w:p>
              </w:tc>
              <w:tc>
                <w:tcPr>
                  <w:tcW w:w="445" w:type="pct"/>
                  <w:vMerge w:val="continue"/>
                  <w:shd w:val="clear" w:color="auto" w:fill="auto"/>
                  <w:vAlign w:val="center"/>
                </w:tcPr>
                <w:p w14:paraId="5B16D483">
                  <w:pPr>
                    <w:pStyle w:val="12"/>
                    <w:keepNext w:val="0"/>
                    <w:keepLines w:val="0"/>
                    <w:pageBreakBefore w:val="0"/>
                    <w:widowControl w:val="0"/>
                    <w:suppressLineNumbers w:val="0"/>
                    <w:kinsoku/>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color w:val="auto"/>
                      <w:sz w:val="21"/>
                      <w:szCs w:val="21"/>
                      <w:highlight w:val="none"/>
                    </w:rPr>
                  </w:pPr>
                </w:p>
              </w:tc>
              <w:tc>
                <w:tcPr>
                  <w:tcW w:w="471" w:type="pct"/>
                  <w:vMerge w:val="continue"/>
                  <w:shd w:val="clear" w:color="auto" w:fill="auto"/>
                  <w:vAlign w:val="center"/>
                </w:tcPr>
                <w:p w14:paraId="57506226">
                  <w:pPr>
                    <w:pStyle w:val="12"/>
                    <w:keepNext w:val="0"/>
                    <w:keepLines w:val="0"/>
                    <w:pageBreakBefore w:val="0"/>
                    <w:widowControl w:val="0"/>
                    <w:suppressLineNumbers w:val="0"/>
                    <w:kinsoku/>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color w:val="auto"/>
                      <w:sz w:val="21"/>
                      <w:szCs w:val="21"/>
                      <w:highlight w:val="none"/>
                    </w:rPr>
                  </w:pPr>
                </w:p>
              </w:tc>
            </w:tr>
            <w:tr w14:paraId="7C1727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0" w:type="pct"/>
                  <w:shd w:val="clear" w:color="auto" w:fill="auto"/>
                  <w:vAlign w:val="center"/>
                </w:tcPr>
                <w:p w14:paraId="144AD7FE">
                  <w:pPr>
                    <w:pStyle w:val="12"/>
                    <w:keepNext w:val="0"/>
                    <w:keepLines w:val="0"/>
                    <w:pageBreakBefore w:val="0"/>
                    <w:widowControl w:val="0"/>
                    <w:suppressLineNumbers w:val="0"/>
                    <w:kinsoku/>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Cs/>
                      <w:color w:val="auto"/>
                      <w:kern w:val="0"/>
                      <w:sz w:val="21"/>
                      <w:szCs w:val="21"/>
                      <w:highlight w:val="none"/>
                    </w:rPr>
                  </w:pPr>
                  <w:r>
                    <w:rPr>
                      <w:rFonts w:hint="default" w:ascii="Times New Roman" w:hAnsi="Times New Roman" w:cs="Times New Roman"/>
                      <w:color w:val="auto"/>
                      <w:sz w:val="21"/>
                      <w:szCs w:val="21"/>
                      <w:highlight w:val="none"/>
                    </w:rPr>
                    <w:t>G1</w:t>
                  </w:r>
                  <w:r>
                    <w:rPr>
                      <w:rFonts w:hint="eastAsia" w:cs="Times New Roman"/>
                      <w:color w:val="auto"/>
                      <w:sz w:val="21"/>
                      <w:szCs w:val="21"/>
                      <w:highlight w:val="none"/>
                      <w:lang w:val="en-US" w:eastAsia="zh-CN"/>
                    </w:rPr>
                    <w:t>和</w:t>
                  </w:r>
                  <w:r>
                    <w:rPr>
                      <w:rFonts w:hint="default" w:ascii="Times New Roman" w:hAnsi="Times New Roman" w:cs="Times New Roman"/>
                      <w:color w:val="auto"/>
                      <w:sz w:val="21"/>
                      <w:szCs w:val="21"/>
                      <w:highlight w:val="none"/>
                    </w:rPr>
                    <w:t>村</w:t>
                  </w:r>
                </w:p>
              </w:tc>
              <w:tc>
                <w:tcPr>
                  <w:tcW w:w="483" w:type="pct"/>
                  <w:shd w:val="clear" w:color="auto" w:fill="auto"/>
                  <w:vAlign w:val="center"/>
                </w:tcPr>
                <w:p w14:paraId="6750C158">
                  <w:pPr>
                    <w:pStyle w:val="49"/>
                    <w:keepNext w:val="0"/>
                    <w:keepLines w:val="0"/>
                    <w:pageBreakBefore w:val="0"/>
                    <w:widowControl w:val="0"/>
                    <w:suppressLineNumbers w:val="0"/>
                    <w:kinsoku/>
                    <w:overflowPunct/>
                    <w:topLinePunct w:val="0"/>
                    <w:bidi w:val="0"/>
                    <w:spacing w:before="46" w:beforeAutospacing="0" w:after="46" w:afterAutospacing="0" w:line="240" w:lineRule="auto"/>
                    <w:ind w:left="0" w:right="0"/>
                    <w:textAlignment w:val="auto"/>
                    <w:outlineLvl w:val="9"/>
                    <w:rPr>
                      <w:rFonts w:hint="default" w:ascii="Times New Roman" w:hAnsi="Times New Roman" w:cs="Times New Roman"/>
                      <w:bCs/>
                      <w:color w:val="auto"/>
                      <w:sz w:val="21"/>
                      <w:highlight w:val="none"/>
                    </w:rPr>
                  </w:pPr>
                  <w:r>
                    <w:rPr>
                      <w:rFonts w:hint="default" w:ascii="Times New Roman" w:hAnsi="Times New Roman" w:cs="Times New Roman"/>
                      <w:bCs/>
                      <w:color w:val="auto"/>
                      <w:sz w:val="21"/>
                      <w:highlight w:val="none"/>
                    </w:rPr>
                    <w:t>TSP</w:t>
                  </w:r>
                </w:p>
              </w:tc>
              <w:tc>
                <w:tcPr>
                  <w:tcW w:w="566" w:type="pct"/>
                  <w:shd w:val="clear" w:color="auto" w:fill="auto"/>
                  <w:vAlign w:val="center"/>
                </w:tcPr>
                <w:p w14:paraId="10633443">
                  <w:pPr>
                    <w:pStyle w:val="49"/>
                    <w:keepNext w:val="0"/>
                    <w:keepLines w:val="0"/>
                    <w:pageBreakBefore w:val="0"/>
                    <w:widowControl w:val="0"/>
                    <w:suppressLineNumbers w:val="0"/>
                    <w:kinsoku/>
                    <w:overflowPunct/>
                    <w:topLinePunct w:val="0"/>
                    <w:bidi w:val="0"/>
                    <w:spacing w:before="46" w:beforeAutospacing="0" w:after="46" w:afterAutospacing="0" w:line="240" w:lineRule="auto"/>
                    <w:ind w:left="0" w:right="0"/>
                    <w:textAlignment w:val="auto"/>
                    <w:outlineLvl w:val="9"/>
                    <w:rPr>
                      <w:rFonts w:hint="default" w:ascii="Times New Roman" w:hAnsi="Times New Roman" w:cs="Times New Roman"/>
                      <w:bCs/>
                      <w:color w:val="auto"/>
                      <w:sz w:val="21"/>
                      <w:highlight w:val="none"/>
                    </w:rPr>
                  </w:pPr>
                  <w:r>
                    <w:rPr>
                      <w:rFonts w:hint="default" w:ascii="Times New Roman" w:hAnsi="Times New Roman" w:cs="Times New Roman"/>
                      <w:bCs/>
                      <w:color w:val="auto"/>
                      <w:sz w:val="21"/>
                      <w:highlight w:val="none"/>
                    </w:rPr>
                    <w:t>日均值</w:t>
                  </w:r>
                </w:p>
              </w:tc>
              <w:tc>
                <w:tcPr>
                  <w:tcW w:w="705" w:type="pct"/>
                  <w:shd w:val="clear" w:color="auto" w:fill="auto"/>
                  <w:vAlign w:val="center"/>
                </w:tcPr>
                <w:p w14:paraId="0314B544">
                  <w:pPr>
                    <w:pStyle w:val="49"/>
                    <w:keepNext w:val="0"/>
                    <w:keepLines w:val="0"/>
                    <w:pageBreakBefore w:val="0"/>
                    <w:widowControl w:val="0"/>
                    <w:suppressLineNumbers w:val="0"/>
                    <w:kinsoku/>
                    <w:overflowPunct/>
                    <w:topLinePunct w:val="0"/>
                    <w:bidi w:val="0"/>
                    <w:spacing w:before="46" w:beforeAutospacing="0" w:after="46" w:afterAutospacing="0" w:line="240" w:lineRule="auto"/>
                    <w:ind w:left="0" w:right="0"/>
                    <w:textAlignment w:val="auto"/>
                    <w:outlineLvl w:val="9"/>
                    <w:rPr>
                      <w:rFonts w:hint="default" w:ascii="Times New Roman" w:hAnsi="Times New Roman" w:cs="Times New Roman"/>
                      <w:bCs/>
                      <w:color w:val="auto"/>
                      <w:sz w:val="21"/>
                      <w:highlight w:val="none"/>
                    </w:rPr>
                  </w:pPr>
                  <w:r>
                    <w:rPr>
                      <w:rFonts w:hint="default" w:ascii="Times New Roman" w:hAnsi="Times New Roman" w:cs="Times New Roman"/>
                      <w:bCs/>
                      <w:color w:val="auto"/>
                      <w:sz w:val="21"/>
                      <w:highlight w:val="none"/>
                    </w:rPr>
                    <w:t>300</w:t>
                  </w:r>
                </w:p>
              </w:tc>
              <w:tc>
                <w:tcPr>
                  <w:tcW w:w="1558" w:type="dxa"/>
                  <w:shd w:val="clear" w:color="auto" w:fill="auto"/>
                  <w:vAlign w:val="center"/>
                </w:tcPr>
                <w:p w14:paraId="79143297">
                  <w:pPr>
                    <w:pStyle w:val="12"/>
                    <w:keepNext w:val="0"/>
                    <w:keepLines w:val="0"/>
                    <w:pageBreakBefore w:val="0"/>
                    <w:widowControl w:val="0"/>
                    <w:suppressLineNumbers w:val="0"/>
                    <w:kinsoku/>
                    <w:overflowPunct/>
                    <w:topLinePunct w:val="0"/>
                    <w:bidi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0.</w:t>
                  </w:r>
                  <w:r>
                    <w:rPr>
                      <w:rFonts w:hint="eastAsia" w:cs="Times New Roman"/>
                      <w:color w:val="auto"/>
                      <w:kern w:val="0"/>
                      <w:sz w:val="21"/>
                      <w:szCs w:val="21"/>
                      <w:highlight w:val="none"/>
                      <w:lang w:val="en-US" w:eastAsia="zh-CN"/>
                    </w:rPr>
                    <w:t>100</w:t>
                  </w:r>
                  <w:r>
                    <w:rPr>
                      <w:rFonts w:hint="default" w:ascii="Times New Roman" w:hAnsi="Times New Roman" w:cs="Times New Roman"/>
                      <w:color w:val="auto"/>
                      <w:kern w:val="0"/>
                      <w:sz w:val="21"/>
                      <w:szCs w:val="21"/>
                      <w:highlight w:val="none"/>
                    </w:rPr>
                    <w:t>~0.1</w:t>
                  </w:r>
                  <w:r>
                    <w:rPr>
                      <w:rFonts w:hint="eastAsia" w:cs="Times New Roman"/>
                      <w:color w:val="auto"/>
                      <w:kern w:val="0"/>
                      <w:sz w:val="21"/>
                      <w:szCs w:val="21"/>
                      <w:highlight w:val="none"/>
                      <w:lang w:val="en-US" w:eastAsia="zh-CN"/>
                    </w:rPr>
                    <w:t>11</w:t>
                  </w:r>
                </w:p>
              </w:tc>
              <w:tc>
                <w:tcPr>
                  <w:tcW w:w="1279" w:type="dxa"/>
                  <w:shd w:val="clear" w:color="auto" w:fill="auto"/>
                  <w:vAlign w:val="center"/>
                </w:tcPr>
                <w:p w14:paraId="6CA5EB28">
                  <w:pPr>
                    <w:pStyle w:val="12"/>
                    <w:keepNext w:val="0"/>
                    <w:keepLines w:val="0"/>
                    <w:pageBreakBefore w:val="0"/>
                    <w:widowControl w:val="0"/>
                    <w:suppressLineNumbers w:val="0"/>
                    <w:kinsoku/>
                    <w:overflowPunct/>
                    <w:topLinePunct w:val="0"/>
                    <w:bidi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3</w:t>
                  </w:r>
                  <w:r>
                    <w:rPr>
                      <w:rFonts w:hint="eastAsia" w:cs="Times New Roman"/>
                      <w:color w:val="auto"/>
                      <w:kern w:val="0"/>
                      <w:sz w:val="21"/>
                      <w:szCs w:val="21"/>
                      <w:highlight w:val="none"/>
                      <w:lang w:val="en-US" w:eastAsia="zh-CN"/>
                    </w:rPr>
                    <w:t>7</w:t>
                  </w:r>
                </w:p>
              </w:tc>
              <w:tc>
                <w:tcPr>
                  <w:tcW w:w="827" w:type="dxa"/>
                  <w:shd w:val="clear" w:color="auto" w:fill="auto"/>
                  <w:vAlign w:val="center"/>
                </w:tcPr>
                <w:p w14:paraId="318871F6">
                  <w:pPr>
                    <w:keepNext w:val="0"/>
                    <w:keepLines w:val="0"/>
                    <w:pageBreakBefore w:val="0"/>
                    <w:widowControl w:val="0"/>
                    <w:suppressLineNumbers w:val="0"/>
                    <w:kinsoku/>
                    <w:overflowPunct/>
                    <w:topLinePunct w:val="0"/>
                    <w:bidi w:val="0"/>
                    <w:spacing w:before="0" w:beforeAutospacing="0" w:after="0" w:afterAutospacing="0" w:line="240" w:lineRule="auto"/>
                    <w:ind w:left="0" w:right="0"/>
                    <w:jc w:val="center"/>
                    <w:textAlignment w:val="auto"/>
                    <w:outlineLvl w:val="9"/>
                    <w:rPr>
                      <w:rFonts w:hint="default" w:ascii="Times New Roman" w:hAnsi="Times New Roman" w:cs="Times New Roman"/>
                      <w:bCs/>
                      <w:color w:val="auto"/>
                      <w:kern w:val="0"/>
                      <w:sz w:val="21"/>
                      <w:szCs w:val="21"/>
                      <w:highlight w:val="none"/>
                    </w:rPr>
                  </w:pPr>
                  <w:r>
                    <w:rPr>
                      <w:rFonts w:hint="default" w:ascii="Times New Roman" w:hAnsi="Times New Roman" w:cs="Times New Roman"/>
                      <w:color w:val="auto"/>
                      <w:sz w:val="21"/>
                      <w:szCs w:val="21"/>
                      <w:highlight w:val="none"/>
                    </w:rPr>
                    <w:t>0</w:t>
                  </w:r>
                </w:p>
              </w:tc>
              <w:tc>
                <w:tcPr>
                  <w:tcW w:w="877" w:type="dxa"/>
                  <w:shd w:val="clear" w:color="auto" w:fill="auto"/>
                  <w:vAlign w:val="center"/>
                </w:tcPr>
                <w:p w14:paraId="0B932AF4">
                  <w:pPr>
                    <w:keepNext w:val="0"/>
                    <w:keepLines w:val="0"/>
                    <w:pageBreakBefore w:val="0"/>
                    <w:widowControl w:val="0"/>
                    <w:suppressLineNumbers w:val="0"/>
                    <w:kinsoku/>
                    <w:overflowPunct/>
                    <w:topLinePunct w:val="0"/>
                    <w:bidi w:val="0"/>
                    <w:spacing w:before="0" w:beforeAutospacing="0" w:after="0" w:afterAutospacing="0" w:line="240" w:lineRule="auto"/>
                    <w:ind w:left="0" w:right="0"/>
                    <w:jc w:val="center"/>
                    <w:textAlignment w:val="auto"/>
                    <w:outlineLvl w:val="9"/>
                    <w:rPr>
                      <w:rFonts w:hint="default" w:ascii="Times New Roman" w:hAnsi="Times New Roman" w:cs="Times New Roman"/>
                      <w:bCs/>
                      <w:color w:val="auto"/>
                      <w:kern w:val="0"/>
                      <w:sz w:val="21"/>
                      <w:szCs w:val="21"/>
                      <w:highlight w:val="none"/>
                    </w:rPr>
                  </w:pPr>
                  <w:r>
                    <w:rPr>
                      <w:rFonts w:hint="default" w:ascii="Times New Roman" w:hAnsi="Times New Roman" w:cs="Times New Roman"/>
                      <w:color w:val="auto"/>
                      <w:sz w:val="21"/>
                      <w:szCs w:val="21"/>
                      <w:highlight w:val="none"/>
                    </w:rPr>
                    <w:t>达标</w:t>
                  </w:r>
                </w:p>
              </w:tc>
            </w:tr>
          </w:tbl>
          <w:p w14:paraId="0A9807E3">
            <w:pPr>
              <w:keepNext w:val="0"/>
              <w:keepLines w:val="0"/>
              <w:pageBreakBefore w:val="0"/>
              <w:widowControl w:val="0"/>
              <w:suppressLineNumbers w:val="0"/>
              <w:kinsoku/>
              <w:overflowPunct/>
              <w:topLinePunct w:val="0"/>
              <w:bidi w:val="0"/>
              <w:spacing w:before="0" w:beforeAutospacing="0" w:after="0" w:afterAutospacing="0"/>
              <w:ind w:left="0" w:right="0" w:firstLine="480" w:firstLineChars="200"/>
              <w:textAlignment w:val="auto"/>
              <w:outlineLvl w:val="9"/>
              <w:rPr>
                <w:rFonts w:hint="default" w:ascii="Times New Roman" w:hAnsi="Times New Roman" w:cs="Times New Roman"/>
                <w:color w:val="auto"/>
                <w:highlight w:val="none"/>
              </w:rPr>
            </w:pPr>
            <w:r>
              <w:rPr>
                <w:rFonts w:hint="default" w:ascii="Times New Roman" w:hAnsi="Times New Roman" w:cs="Times New Roman"/>
                <w:bCs/>
                <w:color w:val="auto"/>
                <w:szCs w:val="22"/>
                <w:highlight w:val="none"/>
              </w:rPr>
              <w:t>监测结果表明，项目周围区域空气中，特征污染物TSP 24小时平均浓度可达到《环境空气质量标准》（GB3095-2012）及其修改单中二级标准要求。</w:t>
            </w:r>
          </w:p>
          <w:p w14:paraId="4646E91E">
            <w:pPr>
              <w:keepNext w:val="0"/>
              <w:keepLines w:val="0"/>
              <w:pageBreakBefore w:val="0"/>
              <w:widowControl w:val="0"/>
              <w:numPr>
                <w:ilvl w:val="2"/>
                <w:numId w:val="0"/>
              </w:numPr>
              <w:suppressLineNumbers w:val="0"/>
              <w:tabs>
                <w:tab w:val="left" w:pos="420"/>
              </w:tabs>
              <w:kinsoku/>
              <w:overflowPunct/>
              <w:topLinePunct w:val="0"/>
              <w:bidi w:val="0"/>
              <w:spacing w:before="0" w:beforeAutospacing="0" w:after="0" w:afterAutospacing="0"/>
              <w:ind w:left="-2" w:right="0" w:firstLine="482"/>
              <w:textAlignment w:val="auto"/>
              <w:outlineLvl w:val="9"/>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二、水环境质量现状</w:t>
            </w:r>
          </w:p>
          <w:p w14:paraId="139ABD80">
            <w:pPr>
              <w:keepNext w:val="0"/>
              <w:keepLines w:val="0"/>
              <w:suppressLineNumbers w:val="0"/>
              <w:autoSpaceDE w:val="0"/>
              <w:autoSpaceDN w:val="0"/>
              <w:adjustRightInd w:val="0"/>
              <w:spacing w:before="0" w:beforeAutospacing="0" w:after="0" w:afterAutospacing="0"/>
              <w:ind w:left="0" w:right="0"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根据《广东省地表水环境功能区划》（粤环</w:t>
            </w:r>
            <w:r>
              <w:rPr>
                <w:rFonts w:hint="eastAsia" w:cs="Times New Roman"/>
                <w:color w:val="auto"/>
                <w:highlight w:val="none"/>
                <w:lang w:eastAsia="zh-CN"/>
              </w:rPr>
              <w:t>〔2011〕14号</w:t>
            </w:r>
            <w:r>
              <w:rPr>
                <w:rFonts w:hint="default" w:ascii="Times New Roman" w:hAnsi="Times New Roman" w:cs="Times New Roman"/>
                <w:color w:val="auto"/>
                <w:highlight w:val="none"/>
              </w:rPr>
              <w:t>），本项目所在区域主要地表水及纳污水体为武江（乐昌城-犁市），为</w:t>
            </w:r>
            <w:r>
              <w:rPr>
                <w:rFonts w:hint="eastAsia" w:cs="Times New Roman"/>
                <w:color w:val="auto"/>
                <w:highlight w:val="none"/>
                <w:lang w:eastAsia="zh-CN"/>
              </w:rPr>
              <w:t>Ⅲ</w:t>
            </w:r>
            <w:r>
              <w:rPr>
                <w:rFonts w:hint="default" w:ascii="Times New Roman" w:hAnsi="Times New Roman" w:cs="Times New Roman"/>
                <w:color w:val="auto"/>
                <w:highlight w:val="none"/>
              </w:rPr>
              <w:t>类水质功能区，执行《地表水环境质量标准》（GB3838-2002）中的</w:t>
            </w:r>
            <w:r>
              <w:rPr>
                <w:rFonts w:hint="eastAsia" w:cs="Times New Roman"/>
                <w:color w:val="auto"/>
                <w:highlight w:val="none"/>
                <w:lang w:eastAsia="zh-CN"/>
              </w:rPr>
              <w:t>Ⅲ</w:t>
            </w:r>
            <w:r>
              <w:rPr>
                <w:rFonts w:hint="default" w:ascii="Times New Roman" w:hAnsi="Times New Roman" w:cs="Times New Roman"/>
                <w:color w:val="auto"/>
                <w:highlight w:val="none"/>
              </w:rPr>
              <w:t>类标准。</w:t>
            </w:r>
          </w:p>
          <w:p w14:paraId="2F4E8171">
            <w:pPr>
              <w:keepNext w:val="0"/>
              <w:keepLines w:val="0"/>
              <w:suppressLineNumbers w:val="0"/>
              <w:autoSpaceDE w:val="0"/>
              <w:autoSpaceDN w:val="0"/>
              <w:adjustRightInd w:val="0"/>
              <w:spacing w:before="0" w:beforeAutospacing="0" w:after="0" w:afterAutospacing="0"/>
              <w:ind w:left="0" w:right="0"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根据《韶关市生态环境状况公报》</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202</w:t>
            </w:r>
            <w:r>
              <w:rPr>
                <w:rFonts w:hint="eastAsia" w:ascii="Times New Roman" w:hAnsi="Times New Roman" w:cs="Times New Roman"/>
                <w:color w:val="auto"/>
                <w:highlight w:val="none"/>
                <w:lang w:val="en-US" w:eastAsia="zh-CN"/>
              </w:rPr>
              <w:t>4</w:t>
            </w:r>
            <w:r>
              <w:rPr>
                <w:rFonts w:hint="default" w:ascii="Times New Roman" w:hAnsi="Times New Roman" w:cs="Times New Roman"/>
                <w:color w:val="auto"/>
                <w:highlight w:val="none"/>
              </w:rPr>
              <w:t>年</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，2024年，韶关市11条主要江河（北江、武江、浈江、南水河、墨江、锦江、马坝河、滃江、新丰江、横石水和大潭河）34个市考以上手工监测断面水质优良率为100%，与2023年持平</w:t>
            </w:r>
            <w:r>
              <w:rPr>
                <w:rFonts w:hint="eastAsia" w:cs="Times New Roman"/>
                <w:color w:val="auto"/>
                <w:highlight w:val="none"/>
                <w:lang w:eastAsia="zh-CN"/>
              </w:rPr>
              <w:t>，其中Ⅰ类比例为2.9%、Ⅱ类比例为88.2%、Ⅲ类比例为8.8%。</w:t>
            </w:r>
            <w:r>
              <w:rPr>
                <w:rFonts w:hint="default" w:ascii="Times New Roman" w:hAnsi="Times New Roman" w:cs="Times New Roman"/>
                <w:color w:val="auto"/>
                <w:highlight w:val="none"/>
              </w:rPr>
              <w:t>故项目所在地地表水环境质量现状良好。</w:t>
            </w:r>
          </w:p>
          <w:p w14:paraId="287780B6">
            <w:pPr>
              <w:keepNext w:val="0"/>
              <w:keepLines w:val="0"/>
              <w:suppressLineNumbers w:val="0"/>
              <w:autoSpaceDE w:val="0"/>
              <w:autoSpaceDN w:val="0"/>
              <w:adjustRightInd w:val="0"/>
              <w:spacing w:before="0" w:beforeAutospacing="0" w:after="0" w:afterAutospacing="0"/>
              <w:ind w:left="0" w:right="0" w:firstLine="480" w:firstLineChars="200"/>
              <w:jc w:val="left"/>
              <w:rPr>
                <w:rFonts w:hint="eastAsia" w:cs="Times New Roman"/>
                <w:color w:val="auto"/>
                <w:highlight w:val="none"/>
                <w:lang w:val="en-US" w:eastAsia="zh-CN"/>
              </w:rPr>
            </w:pPr>
            <w:r>
              <w:rPr>
                <w:rFonts w:hint="eastAsia" w:cs="Times New Roman"/>
                <w:color w:val="auto"/>
                <w:highlight w:val="none"/>
                <w:lang w:val="en-US" w:eastAsia="zh-CN"/>
              </w:rPr>
              <w:t>为了进一步了解项目纳污水体武江中钛的污染状况，引用广东省韶关生态环境监测中心站于2024年11月18日对张滩闸坝上游780米处监测断面进行的地表水环境质量现状监测数据（报告编号：(韶)环境监测(水)字(2024)第095号）来评价钛的污染现状。监测报告详见附件8。</w:t>
            </w:r>
          </w:p>
          <w:p w14:paraId="16538E62">
            <w:pPr>
              <w:keepNext w:val="0"/>
              <w:keepLines w:val="0"/>
              <w:widowControl w:val="0"/>
              <w:suppressLineNumbers w:val="0"/>
              <w:spacing w:before="0" w:beforeAutospacing="0" w:after="0" w:afterAutospacing="0" w:line="360" w:lineRule="auto"/>
              <w:ind w:left="0" w:right="0"/>
              <w:jc w:val="center"/>
              <w:rPr>
                <w:rFonts w:hint="default" w:ascii="Times New Roman" w:hAnsi="Times New Roman" w:eastAsia="宋体" w:cs="Times New Roman"/>
                <w:b/>
                <w:bCs w:val="0"/>
                <w:color w:val="auto"/>
                <w:kern w:val="2"/>
                <w:sz w:val="21"/>
                <w:szCs w:val="21"/>
                <w:highlight w:val="none"/>
                <w:lang w:val="en-US" w:eastAsia="zh-CN" w:bidi="ar-SA"/>
              </w:rPr>
            </w:pPr>
            <w:r>
              <w:rPr>
                <w:rFonts w:hint="default" w:ascii="Times New Roman" w:hAnsi="Times New Roman" w:eastAsia="宋体" w:cs="Times New Roman"/>
                <w:b/>
                <w:bCs w:val="0"/>
                <w:color w:val="auto"/>
                <w:kern w:val="2"/>
                <w:sz w:val="21"/>
                <w:szCs w:val="21"/>
                <w:highlight w:val="none"/>
                <w:lang w:val="en-US" w:eastAsia="zh-CN" w:bidi="ar-SA"/>
              </w:rPr>
              <w:t>表3-4 武江中钛的监测结果及统计分析一览表</w:t>
            </w:r>
          </w:p>
          <w:tbl>
            <w:tblPr>
              <w:tblStyle w:val="39"/>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02"/>
              <w:gridCol w:w="839"/>
              <w:gridCol w:w="1101"/>
              <w:gridCol w:w="1510"/>
              <w:gridCol w:w="1101"/>
              <w:gridCol w:w="1402"/>
              <w:gridCol w:w="1354"/>
              <w:gridCol w:w="1376"/>
            </w:tblGrid>
            <w:tr w14:paraId="39E996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4" w:type="pct"/>
                  <w:vMerge w:val="restart"/>
                  <w:vAlign w:val="center"/>
                </w:tcPr>
                <w:p w14:paraId="0577CCF0">
                  <w:pPr>
                    <w:keepNext w:val="0"/>
                    <w:keepLines w:val="0"/>
                    <w:widowControl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b/>
                      <w:color w:val="auto"/>
                      <w:kern w:val="2"/>
                      <w:sz w:val="21"/>
                      <w:szCs w:val="21"/>
                      <w:highlight w:val="none"/>
                      <w:lang w:val="en-US" w:eastAsia="zh-CN" w:bidi="ar-SA"/>
                    </w:rPr>
                    <w:t>序号</w:t>
                  </w:r>
                </w:p>
              </w:tc>
              <w:tc>
                <w:tcPr>
                  <w:tcW w:w="452" w:type="pct"/>
                  <w:vMerge w:val="restart"/>
                  <w:vAlign w:val="center"/>
                </w:tcPr>
                <w:p w14:paraId="4BFF14FB">
                  <w:pPr>
                    <w:keepNext w:val="0"/>
                    <w:keepLines w:val="0"/>
                    <w:widowControl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b/>
                      <w:color w:val="auto"/>
                      <w:kern w:val="2"/>
                      <w:sz w:val="21"/>
                      <w:szCs w:val="21"/>
                      <w:highlight w:val="none"/>
                      <w:lang w:val="en-US" w:eastAsia="zh-CN" w:bidi="ar-SA"/>
                    </w:rPr>
                    <w:t>河流名称</w:t>
                  </w:r>
                </w:p>
              </w:tc>
              <w:tc>
                <w:tcPr>
                  <w:tcW w:w="593" w:type="pct"/>
                  <w:vMerge w:val="restart"/>
                  <w:vAlign w:val="center"/>
                </w:tcPr>
                <w:p w14:paraId="364CE5B4">
                  <w:pPr>
                    <w:keepNext w:val="0"/>
                    <w:keepLines w:val="0"/>
                    <w:widowControl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b/>
                      <w:color w:val="auto"/>
                      <w:kern w:val="2"/>
                      <w:sz w:val="21"/>
                      <w:szCs w:val="21"/>
                      <w:highlight w:val="none"/>
                      <w:lang w:val="en-US" w:eastAsia="zh-CN" w:bidi="ar-SA"/>
                    </w:rPr>
                    <w:t>所在</w:t>
                  </w:r>
                </w:p>
                <w:p w14:paraId="5C0CF31E">
                  <w:pPr>
                    <w:keepNext w:val="0"/>
                    <w:keepLines w:val="0"/>
                    <w:widowControl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b/>
                      <w:color w:val="auto"/>
                      <w:kern w:val="2"/>
                      <w:sz w:val="21"/>
                      <w:szCs w:val="21"/>
                      <w:highlight w:val="none"/>
                      <w:lang w:val="en-US" w:eastAsia="zh-CN" w:bidi="ar-SA"/>
                    </w:rPr>
                    <w:t>县区</w:t>
                  </w:r>
                </w:p>
              </w:tc>
              <w:tc>
                <w:tcPr>
                  <w:tcW w:w="813" w:type="pct"/>
                  <w:vMerge w:val="restart"/>
                  <w:vAlign w:val="center"/>
                </w:tcPr>
                <w:p w14:paraId="2E9ABC74">
                  <w:pPr>
                    <w:keepNext w:val="0"/>
                    <w:keepLines w:val="0"/>
                    <w:widowControl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b/>
                      <w:color w:val="auto"/>
                      <w:kern w:val="2"/>
                      <w:sz w:val="21"/>
                      <w:szCs w:val="21"/>
                      <w:highlight w:val="none"/>
                      <w:lang w:val="en-US" w:eastAsia="zh-CN" w:bidi="ar-SA"/>
                    </w:rPr>
                    <w:t>监测断面</w:t>
                  </w:r>
                </w:p>
              </w:tc>
              <w:tc>
                <w:tcPr>
                  <w:tcW w:w="593" w:type="pct"/>
                  <w:vMerge w:val="restart"/>
                  <w:vAlign w:val="center"/>
                </w:tcPr>
                <w:p w14:paraId="743E5B58">
                  <w:pPr>
                    <w:keepNext w:val="0"/>
                    <w:keepLines w:val="0"/>
                    <w:widowControl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2"/>
                      <w:sz w:val="21"/>
                      <w:szCs w:val="21"/>
                      <w:highlight w:val="none"/>
                      <w:lang w:val="en-US" w:eastAsia="zh-CN" w:bidi="ar-SA"/>
                    </w:rPr>
                  </w:pPr>
                  <w:r>
                    <w:rPr>
                      <w:rFonts w:hint="eastAsia" w:ascii="Times New Roman" w:hAnsi="Times New Roman" w:eastAsia="宋体" w:cs="Times New Roman"/>
                      <w:b/>
                      <w:color w:val="auto"/>
                      <w:kern w:val="2"/>
                      <w:sz w:val="21"/>
                      <w:szCs w:val="21"/>
                      <w:highlight w:val="none"/>
                      <w:lang w:val="en-US" w:eastAsia="zh-CN" w:bidi="ar-SA"/>
                    </w:rPr>
                    <w:t>监测因子</w:t>
                  </w:r>
                </w:p>
              </w:tc>
              <w:tc>
                <w:tcPr>
                  <w:tcW w:w="755" w:type="pct"/>
                  <w:vMerge w:val="restart"/>
                  <w:vAlign w:val="center"/>
                </w:tcPr>
                <w:p w14:paraId="136644D6">
                  <w:pPr>
                    <w:keepNext w:val="0"/>
                    <w:keepLines w:val="0"/>
                    <w:widowControl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2"/>
                      <w:sz w:val="21"/>
                      <w:szCs w:val="21"/>
                      <w:highlight w:val="none"/>
                      <w:lang w:val="en-US" w:eastAsia="zh-CN" w:bidi="ar-SA"/>
                    </w:rPr>
                  </w:pPr>
                  <w:r>
                    <w:rPr>
                      <w:rFonts w:hint="eastAsia" w:ascii="Times New Roman" w:hAnsi="Times New Roman" w:eastAsia="宋体" w:cs="Times New Roman"/>
                      <w:b/>
                      <w:color w:val="auto"/>
                      <w:kern w:val="2"/>
                      <w:sz w:val="21"/>
                      <w:szCs w:val="21"/>
                      <w:highlight w:val="none"/>
                      <w:lang w:val="en-US" w:eastAsia="zh-CN" w:bidi="ar-SA"/>
                    </w:rPr>
                    <w:t>监测结果(mg/L)</w:t>
                  </w:r>
                </w:p>
              </w:tc>
              <w:tc>
                <w:tcPr>
                  <w:tcW w:w="729" w:type="pct"/>
                  <w:vMerge w:val="restart"/>
                  <w:vAlign w:val="center"/>
                </w:tcPr>
                <w:p w14:paraId="46DB1B68">
                  <w:pPr>
                    <w:keepNext w:val="0"/>
                    <w:keepLines w:val="0"/>
                    <w:widowControl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2"/>
                      <w:sz w:val="21"/>
                      <w:szCs w:val="21"/>
                      <w:highlight w:val="none"/>
                      <w:lang w:val="en-US" w:eastAsia="zh-CN" w:bidi="ar-SA"/>
                    </w:rPr>
                  </w:pPr>
                  <w:r>
                    <w:rPr>
                      <w:rFonts w:hint="eastAsia" w:ascii="Times New Roman" w:hAnsi="Times New Roman" w:eastAsia="宋体" w:cs="Times New Roman"/>
                      <w:b/>
                      <w:color w:val="auto"/>
                      <w:kern w:val="2"/>
                      <w:sz w:val="21"/>
                      <w:szCs w:val="21"/>
                      <w:highlight w:val="none"/>
                      <w:lang w:val="en-US" w:eastAsia="zh-CN" w:bidi="ar-SA"/>
                    </w:rPr>
                    <w:t>标准限值</w:t>
                  </w:r>
                  <w:r>
                    <w:rPr>
                      <w:rFonts w:hint="default" w:ascii="Times New Roman" w:hAnsi="Times New Roman" w:eastAsia="宋体" w:cs="Times New Roman"/>
                      <w:b/>
                      <w:color w:val="auto"/>
                      <w:kern w:val="2"/>
                      <w:sz w:val="21"/>
                      <w:szCs w:val="21"/>
                      <w:highlight w:val="none"/>
                      <w:lang w:val="en-US" w:eastAsia="zh-CN" w:bidi="ar-SA"/>
                    </w:rPr>
                    <w:t>(mg/L)</w:t>
                  </w:r>
                </w:p>
              </w:tc>
              <w:tc>
                <w:tcPr>
                  <w:tcW w:w="737" w:type="pct"/>
                  <w:vMerge w:val="restart"/>
                  <w:vAlign w:val="center"/>
                </w:tcPr>
                <w:p w14:paraId="3D9671A1">
                  <w:pPr>
                    <w:keepNext w:val="0"/>
                    <w:keepLines w:val="0"/>
                    <w:widowControl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2"/>
                      <w:sz w:val="21"/>
                      <w:szCs w:val="21"/>
                      <w:highlight w:val="none"/>
                      <w:lang w:val="en-US" w:eastAsia="zh-CN" w:bidi="ar-SA"/>
                    </w:rPr>
                  </w:pPr>
                  <w:r>
                    <w:rPr>
                      <w:rFonts w:hint="eastAsia" w:ascii="Times New Roman" w:hAnsi="Times New Roman" w:eastAsia="宋体" w:cs="Times New Roman"/>
                      <w:b/>
                      <w:color w:val="auto"/>
                      <w:kern w:val="2"/>
                      <w:sz w:val="21"/>
                      <w:szCs w:val="21"/>
                      <w:highlight w:val="none"/>
                      <w:lang w:val="en-US" w:eastAsia="zh-CN" w:bidi="ar-SA"/>
                    </w:rPr>
                    <w:t>达标情况</w:t>
                  </w:r>
                </w:p>
              </w:tc>
            </w:tr>
            <w:tr w14:paraId="18E0AC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4" w:type="pct"/>
                  <w:vMerge w:val="continue"/>
                  <w:vAlign w:val="center"/>
                </w:tcPr>
                <w:p w14:paraId="6F84DF2B">
                  <w:pPr>
                    <w:keepNext w:val="0"/>
                    <w:keepLines w:val="0"/>
                    <w:widowControl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2"/>
                      <w:sz w:val="21"/>
                      <w:szCs w:val="21"/>
                      <w:highlight w:val="none"/>
                      <w:lang w:val="en-US" w:eastAsia="zh-CN" w:bidi="ar-SA"/>
                    </w:rPr>
                  </w:pPr>
                </w:p>
              </w:tc>
              <w:tc>
                <w:tcPr>
                  <w:tcW w:w="452" w:type="pct"/>
                  <w:vMerge w:val="continue"/>
                  <w:vAlign w:val="center"/>
                </w:tcPr>
                <w:p w14:paraId="4912B9FE">
                  <w:pPr>
                    <w:keepNext w:val="0"/>
                    <w:keepLines w:val="0"/>
                    <w:widowControl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2"/>
                      <w:sz w:val="21"/>
                      <w:szCs w:val="21"/>
                      <w:highlight w:val="none"/>
                      <w:lang w:val="en-US" w:eastAsia="zh-CN" w:bidi="ar-SA"/>
                    </w:rPr>
                  </w:pPr>
                </w:p>
              </w:tc>
              <w:tc>
                <w:tcPr>
                  <w:tcW w:w="593" w:type="pct"/>
                  <w:vMerge w:val="continue"/>
                  <w:vAlign w:val="center"/>
                </w:tcPr>
                <w:p w14:paraId="7AA94FE8">
                  <w:pPr>
                    <w:keepNext w:val="0"/>
                    <w:keepLines w:val="0"/>
                    <w:widowControl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2"/>
                      <w:sz w:val="21"/>
                      <w:szCs w:val="21"/>
                      <w:highlight w:val="none"/>
                      <w:lang w:val="en-US" w:eastAsia="zh-CN" w:bidi="ar-SA"/>
                    </w:rPr>
                  </w:pPr>
                </w:p>
              </w:tc>
              <w:tc>
                <w:tcPr>
                  <w:tcW w:w="813" w:type="pct"/>
                  <w:vMerge w:val="continue"/>
                  <w:vAlign w:val="center"/>
                </w:tcPr>
                <w:p w14:paraId="457ED897">
                  <w:pPr>
                    <w:keepNext w:val="0"/>
                    <w:keepLines w:val="0"/>
                    <w:widowControl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2"/>
                      <w:sz w:val="21"/>
                      <w:szCs w:val="21"/>
                      <w:highlight w:val="none"/>
                      <w:lang w:val="en-US" w:eastAsia="zh-CN" w:bidi="ar-SA"/>
                    </w:rPr>
                  </w:pPr>
                </w:p>
              </w:tc>
              <w:tc>
                <w:tcPr>
                  <w:tcW w:w="593" w:type="pct"/>
                  <w:vMerge w:val="continue"/>
                  <w:vAlign w:val="center"/>
                </w:tcPr>
                <w:p w14:paraId="751D9359">
                  <w:pPr>
                    <w:keepNext w:val="0"/>
                    <w:keepLines w:val="0"/>
                    <w:widowControl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2"/>
                      <w:sz w:val="21"/>
                      <w:szCs w:val="21"/>
                      <w:highlight w:val="none"/>
                      <w:lang w:val="en-US" w:eastAsia="zh-CN" w:bidi="ar-SA"/>
                    </w:rPr>
                  </w:pPr>
                </w:p>
              </w:tc>
              <w:tc>
                <w:tcPr>
                  <w:tcW w:w="755" w:type="pct"/>
                  <w:vMerge w:val="continue"/>
                  <w:vAlign w:val="center"/>
                </w:tcPr>
                <w:p w14:paraId="471FEAA4">
                  <w:pPr>
                    <w:keepNext w:val="0"/>
                    <w:keepLines w:val="0"/>
                    <w:widowControl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2"/>
                      <w:sz w:val="21"/>
                      <w:szCs w:val="21"/>
                      <w:highlight w:val="none"/>
                      <w:lang w:val="en-US" w:eastAsia="zh-CN" w:bidi="ar-SA"/>
                    </w:rPr>
                  </w:pPr>
                </w:p>
              </w:tc>
              <w:tc>
                <w:tcPr>
                  <w:tcW w:w="729" w:type="pct"/>
                  <w:vMerge w:val="continue"/>
                  <w:vAlign w:val="center"/>
                </w:tcPr>
                <w:p w14:paraId="262BDFC4">
                  <w:pPr>
                    <w:keepNext w:val="0"/>
                    <w:keepLines w:val="0"/>
                    <w:widowControl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2"/>
                      <w:sz w:val="21"/>
                      <w:szCs w:val="21"/>
                      <w:highlight w:val="none"/>
                      <w:lang w:val="en-US" w:eastAsia="zh-CN" w:bidi="ar-SA"/>
                    </w:rPr>
                  </w:pPr>
                </w:p>
              </w:tc>
              <w:tc>
                <w:tcPr>
                  <w:tcW w:w="737" w:type="pct"/>
                  <w:vMerge w:val="continue"/>
                  <w:vAlign w:val="center"/>
                </w:tcPr>
                <w:p w14:paraId="32CBE47B">
                  <w:pPr>
                    <w:keepNext w:val="0"/>
                    <w:keepLines w:val="0"/>
                    <w:widowControl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2"/>
                      <w:sz w:val="21"/>
                      <w:szCs w:val="21"/>
                      <w:highlight w:val="none"/>
                      <w:lang w:val="en-US" w:eastAsia="zh-CN" w:bidi="ar-SA"/>
                    </w:rPr>
                  </w:pPr>
                </w:p>
              </w:tc>
            </w:tr>
            <w:tr w14:paraId="2D5C5D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4" w:type="pct"/>
                  <w:vAlign w:val="center"/>
                </w:tcPr>
                <w:p w14:paraId="64645EC3">
                  <w:pPr>
                    <w:keepNext w:val="0"/>
                    <w:keepLines w:val="0"/>
                    <w:widowControl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 w:val="21"/>
                      <w:szCs w:val="21"/>
                      <w:highlight w:val="none"/>
                      <w:lang w:val="en-US" w:eastAsia="zh-CN" w:bidi="ar-SA"/>
                    </w:rPr>
                    <w:t>1</w:t>
                  </w:r>
                </w:p>
              </w:tc>
              <w:tc>
                <w:tcPr>
                  <w:tcW w:w="452" w:type="pct"/>
                  <w:vAlign w:val="center"/>
                </w:tcPr>
                <w:p w14:paraId="3C263004">
                  <w:pPr>
                    <w:keepNext w:val="0"/>
                    <w:keepLines w:val="0"/>
                    <w:widowControl w:val="0"/>
                    <w:suppressLineNumbers w:val="0"/>
                    <w:adjustRightInd w:val="0"/>
                    <w:snapToGrid w:val="0"/>
                    <w:spacing w:before="46" w:beforeLines="15" w:beforeAutospacing="0" w:after="46" w:afterAutospacing="0" w:line="240" w:lineRule="auto"/>
                    <w:ind w:left="0" w:right="0"/>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 w:val="21"/>
                      <w:szCs w:val="21"/>
                      <w:highlight w:val="none"/>
                      <w:lang w:val="en-US" w:eastAsia="zh-CN" w:bidi="ar-SA"/>
                    </w:rPr>
                    <w:t>武江</w:t>
                  </w:r>
                </w:p>
              </w:tc>
              <w:tc>
                <w:tcPr>
                  <w:tcW w:w="593" w:type="pct"/>
                  <w:vAlign w:val="center"/>
                </w:tcPr>
                <w:p w14:paraId="27A8B45B">
                  <w:pPr>
                    <w:keepNext w:val="0"/>
                    <w:keepLines w:val="0"/>
                    <w:widowControl w:val="0"/>
                    <w:suppressLineNumbers w:val="0"/>
                    <w:adjustRightInd w:val="0"/>
                    <w:snapToGrid w:val="0"/>
                    <w:spacing w:before="46" w:beforeLines="15" w:beforeAutospacing="0" w:after="46" w:afterAutospacing="0" w:line="240" w:lineRule="auto"/>
                    <w:ind w:left="0" w:right="0"/>
                    <w:jc w:val="center"/>
                    <w:rPr>
                      <w:rFonts w:hint="default" w:ascii="Times New Roman" w:hAnsi="Times New Roman" w:eastAsia="宋体" w:cs="Times New Roman"/>
                      <w:bCs/>
                      <w:color w:val="auto"/>
                      <w:kern w:val="0"/>
                      <w:sz w:val="21"/>
                      <w:szCs w:val="21"/>
                      <w:highlight w:val="none"/>
                      <w:lang w:val="en-US" w:eastAsia="zh-CN" w:bidi="ar-SA"/>
                    </w:rPr>
                  </w:pPr>
                  <w:r>
                    <w:rPr>
                      <w:rFonts w:hint="eastAsia" w:ascii="Times New Roman" w:hAnsi="Times New Roman" w:eastAsia="宋体" w:cs="Times New Roman"/>
                      <w:bCs/>
                      <w:color w:val="auto"/>
                      <w:kern w:val="0"/>
                      <w:sz w:val="21"/>
                      <w:szCs w:val="21"/>
                      <w:highlight w:val="none"/>
                      <w:lang w:val="en-US" w:eastAsia="zh-CN" w:bidi="ar-SA"/>
                    </w:rPr>
                    <w:t>乐昌市</w:t>
                  </w:r>
                </w:p>
              </w:tc>
              <w:tc>
                <w:tcPr>
                  <w:tcW w:w="813" w:type="pct"/>
                  <w:vAlign w:val="center"/>
                </w:tcPr>
                <w:p w14:paraId="010CCDFF">
                  <w:pPr>
                    <w:keepNext w:val="0"/>
                    <w:keepLines w:val="0"/>
                    <w:widowControl w:val="0"/>
                    <w:suppressLineNumbers w:val="0"/>
                    <w:adjustRightInd w:val="0"/>
                    <w:snapToGrid w:val="0"/>
                    <w:spacing w:before="46" w:beforeLines="15" w:beforeAutospacing="0" w:after="46" w:afterAutospacing="0" w:line="240" w:lineRule="auto"/>
                    <w:ind w:left="0" w:right="0"/>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 w:val="21"/>
                      <w:szCs w:val="21"/>
                      <w:highlight w:val="none"/>
                      <w:lang w:val="en-US" w:eastAsia="zh-CN" w:bidi="ar-SA"/>
                    </w:rPr>
                    <w:t>张滩闸坝上游780米处</w:t>
                  </w:r>
                </w:p>
              </w:tc>
              <w:tc>
                <w:tcPr>
                  <w:tcW w:w="593" w:type="pct"/>
                  <w:vAlign w:val="center"/>
                </w:tcPr>
                <w:p w14:paraId="5A0CAA33">
                  <w:pPr>
                    <w:keepNext w:val="0"/>
                    <w:keepLines w:val="0"/>
                    <w:widowControl w:val="0"/>
                    <w:suppressLineNumbers w:val="0"/>
                    <w:wordWrap/>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钛</w:t>
                  </w:r>
                </w:p>
              </w:tc>
              <w:tc>
                <w:tcPr>
                  <w:tcW w:w="755" w:type="pct"/>
                  <w:vAlign w:val="center"/>
                </w:tcPr>
                <w:p w14:paraId="04B31BA4">
                  <w:pPr>
                    <w:keepNext w:val="0"/>
                    <w:keepLines w:val="0"/>
                    <w:widowControl w:val="0"/>
                    <w:suppressLineNumbers w:val="0"/>
                    <w:wordWrap/>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ND</w:t>
                  </w:r>
                </w:p>
              </w:tc>
              <w:tc>
                <w:tcPr>
                  <w:tcW w:w="729" w:type="pct"/>
                  <w:vAlign w:val="center"/>
                </w:tcPr>
                <w:p w14:paraId="632BBA7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0.1</w:t>
                  </w:r>
                </w:p>
              </w:tc>
              <w:tc>
                <w:tcPr>
                  <w:tcW w:w="737" w:type="pct"/>
                  <w:shd w:val="clear" w:color="auto" w:fill="auto"/>
                  <w:vAlign w:val="center"/>
                </w:tcPr>
                <w:p w14:paraId="4587E9E2">
                  <w:pPr>
                    <w:keepNext w:val="0"/>
                    <w:keepLines w:val="0"/>
                    <w:widowControl w:val="0"/>
                    <w:suppressLineNumbers w:val="0"/>
                    <w:wordWrap/>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达标</w:t>
                  </w:r>
                </w:p>
              </w:tc>
            </w:tr>
            <w:tr w14:paraId="43654E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8"/>
                  <w:vAlign w:val="center"/>
                </w:tcPr>
                <w:p w14:paraId="6798BEA0">
                  <w:pPr>
                    <w:keepNext w:val="0"/>
                    <w:keepLines w:val="0"/>
                    <w:widowControl w:val="0"/>
                    <w:suppressLineNumbers w:val="0"/>
                    <w:wordWrap/>
                    <w:spacing w:before="0" w:beforeAutospacing="0" w:after="0" w:afterAutospacing="0" w:line="240" w:lineRule="auto"/>
                    <w:ind w:left="0" w:leftChars="0" w:right="0" w:rightChars="0" w:firstLine="0" w:firstLineChars="0"/>
                    <w:jc w:val="left"/>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注：ND为低于检出限</w:t>
                  </w:r>
                </w:p>
              </w:tc>
            </w:tr>
          </w:tbl>
          <w:p w14:paraId="5EF5F354">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lang w:val="en-US" w:eastAsia="zh-CN"/>
              </w:rPr>
              <w:t>根据监测结果显示，武江张滩闸坝上游780米处监测断面</w:t>
            </w:r>
            <w:r>
              <w:rPr>
                <w:rFonts w:hint="eastAsia" w:ascii="Times New Roman" w:hAnsi="Times New Roman" w:eastAsia="宋体" w:cs="Times New Roman"/>
                <w:color w:val="auto"/>
                <w:sz w:val="24"/>
                <w:szCs w:val="32"/>
                <w:highlight w:val="none"/>
                <w:lang w:val="en-US" w:eastAsia="zh-CN"/>
              </w:rPr>
              <w:t>中钛的监测结果为低于检出限，浓度</w:t>
            </w:r>
            <w:r>
              <w:rPr>
                <w:rFonts w:hint="default" w:ascii="Times New Roman" w:hAnsi="Times New Roman" w:eastAsia="宋体" w:cs="Times New Roman"/>
                <w:color w:val="auto"/>
                <w:sz w:val="24"/>
                <w:szCs w:val="32"/>
                <w:highlight w:val="none"/>
                <w:lang w:val="en-US" w:eastAsia="zh-CN"/>
              </w:rPr>
              <w:t>满足《地表水环境质量标准》(GB3838-2002)表3集中式生活饮用水地表水源地特定项目标准限值，表明项目附近地表水体武江水环境</w:t>
            </w:r>
            <w:r>
              <w:rPr>
                <w:rFonts w:hint="eastAsia" w:ascii="Times New Roman" w:hAnsi="Times New Roman" w:eastAsia="宋体" w:cs="Times New Roman"/>
                <w:color w:val="auto"/>
                <w:sz w:val="24"/>
                <w:szCs w:val="32"/>
                <w:highlight w:val="none"/>
                <w:lang w:val="en-US" w:eastAsia="zh-CN"/>
              </w:rPr>
              <w:t>中钛的浓度较低，</w:t>
            </w:r>
            <w:r>
              <w:rPr>
                <w:rFonts w:hint="default" w:ascii="Times New Roman" w:hAnsi="Times New Roman" w:eastAsia="宋体" w:cs="Times New Roman"/>
                <w:color w:val="auto"/>
                <w:sz w:val="24"/>
                <w:szCs w:val="32"/>
                <w:highlight w:val="none"/>
                <w:lang w:val="en-US" w:eastAsia="zh-CN"/>
              </w:rPr>
              <w:t xml:space="preserve">水环境质量现状良好。 </w:t>
            </w:r>
          </w:p>
          <w:p w14:paraId="5E7840FD">
            <w:pPr>
              <w:pStyle w:val="4"/>
              <w:numPr>
                <w:ilvl w:val="2"/>
                <w:numId w:val="0"/>
              </w:numPr>
              <w:suppressLineNumbers w:val="0"/>
              <w:spacing w:before="0" w:beforeAutospacing="0" w:after="0" w:afterAutospacing="0"/>
              <w:ind w:left="-2" w:right="0" w:firstLine="482"/>
              <w:rPr>
                <w:rFonts w:hint="default" w:ascii="Times New Roman" w:hAnsi="Times New Roman" w:cs="Times New Roman"/>
                <w:color w:val="auto"/>
                <w:highlight w:val="none"/>
              </w:rPr>
            </w:pPr>
            <w:r>
              <w:rPr>
                <w:rFonts w:hint="default" w:ascii="Times New Roman" w:hAnsi="Times New Roman" w:cs="Times New Roman"/>
                <w:color w:val="auto"/>
                <w:highlight w:val="none"/>
              </w:rPr>
              <w:t>三、声环境质量现状</w:t>
            </w:r>
          </w:p>
          <w:p w14:paraId="032C37E7">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项目所在地为工业园区内，执行《声环境质量标准》（GB3096—2008）3类标准（昼间65dB(A)；夜间55dB(A)）。</w:t>
            </w:r>
          </w:p>
          <w:p w14:paraId="44F7767C">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kern w:val="0"/>
                <w:highlight w:val="none"/>
              </w:rPr>
            </w:pPr>
            <w:r>
              <w:rPr>
                <w:rFonts w:hint="default" w:ascii="Times New Roman" w:hAnsi="Times New Roman" w:cs="Times New Roman"/>
                <w:color w:val="auto"/>
                <w:highlight w:val="none"/>
              </w:rPr>
              <w:t>根据《建设项目环境影响报告表编制技术指南（污染影响类）（试行）》，</w:t>
            </w:r>
            <w:r>
              <w:rPr>
                <w:rFonts w:hint="default" w:ascii="Times New Roman" w:hAnsi="Times New Roman" w:cs="Times New Roman"/>
                <w:color w:val="auto"/>
                <w:kern w:val="0"/>
                <w:highlight w:val="none"/>
              </w:rPr>
              <w:t>本项目周边50米范围内无敏感点，故无需进行声环境质量现状监测与评价。</w:t>
            </w:r>
          </w:p>
          <w:p w14:paraId="4E125A42">
            <w:pPr>
              <w:pStyle w:val="4"/>
              <w:numPr>
                <w:ilvl w:val="2"/>
                <w:numId w:val="0"/>
              </w:numPr>
              <w:suppressLineNumbers w:val="0"/>
              <w:spacing w:before="0" w:beforeAutospacing="0" w:after="0" w:afterAutospacing="0"/>
              <w:ind w:left="-2" w:right="0" w:firstLine="482"/>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四、地下水、土壤环境质量现状</w:t>
            </w:r>
          </w:p>
          <w:p w14:paraId="053B800C">
            <w:pPr>
              <w:keepNext w:val="0"/>
              <w:keepLines w:val="0"/>
              <w:suppressLineNumbers w:val="0"/>
              <w:autoSpaceDE w:val="0"/>
              <w:autoSpaceDN w:val="0"/>
              <w:adjustRightInd w:val="0"/>
              <w:spacing w:before="0" w:beforeAutospacing="0" w:after="0" w:afterAutospacing="0"/>
              <w:ind w:left="0" w:right="0" w:firstLine="480" w:firstLineChars="200"/>
              <w:jc w:val="both"/>
              <w:rPr>
                <w:rFonts w:hint="default" w:ascii="Times New Roman" w:hAnsi="Times New Roman" w:cs="Times New Roman"/>
                <w:bCs/>
                <w:color w:val="auto"/>
                <w:kern w:val="28"/>
                <w:sz w:val="24"/>
                <w:highlight w:val="none"/>
                <w:lang w:eastAsia="zh-CN"/>
              </w:rPr>
            </w:pPr>
            <w:r>
              <w:rPr>
                <w:rFonts w:hint="eastAsia" w:ascii="Times New Roman" w:hAnsi="Times New Roman" w:eastAsia="宋体" w:cs="Times New Roman"/>
                <w:color w:val="auto"/>
                <w:highlight w:val="none"/>
                <w:lang w:val="en-US" w:eastAsia="zh-CN"/>
              </w:rPr>
              <w:t>项目投产后，生产用地范围内均进行硬底化</w:t>
            </w:r>
            <w:r>
              <w:rPr>
                <w:rFonts w:hint="default" w:ascii="Times New Roman" w:hAnsi="Times New Roman" w:cs="Times New Roman"/>
                <w:bCs/>
                <w:color w:val="auto"/>
                <w:kern w:val="28"/>
                <w:sz w:val="24"/>
                <w:highlight w:val="none"/>
              </w:rPr>
              <w:t>，</w:t>
            </w:r>
            <w:r>
              <w:rPr>
                <w:rFonts w:hint="default" w:ascii="Times New Roman" w:hAnsi="Times New Roman" w:cs="Times New Roman"/>
                <w:bCs/>
                <w:color w:val="auto"/>
                <w:kern w:val="28"/>
                <w:sz w:val="24"/>
                <w:highlight w:val="none"/>
                <w:lang w:val="en-US" w:eastAsia="zh-CN"/>
              </w:rPr>
              <w:t>铝卷表面预处理生产车间、</w:t>
            </w:r>
            <w:r>
              <w:rPr>
                <w:rFonts w:hint="default" w:ascii="Times New Roman" w:hAnsi="Times New Roman" w:cs="Times New Roman"/>
                <w:bCs/>
                <w:color w:val="auto"/>
                <w:kern w:val="28"/>
                <w:sz w:val="24"/>
                <w:highlight w:val="none"/>
              </w:rPr>
              <w:t>危险废物</w:t>
            </w:r>
            <w:r>
              <w:rPr>
                <w:rFonts w:hint="default" w:ascii="Times New Roman" w:hAnsi="Times New Roman" w:cs="Times New Roman"/>
                <w:bCs/>
                <w:color w:val="auto"/>
                <w:kern w:val="28"/>
                <w:sz w:val="24"/>
                <w:highlight w:val="none"/>
                <w:lang w:eastAsia="zh-CN"/>
              </w:rPr>
              <w:t>暂存间、自建污水处理站</w:t>
            </w:r>
            <w:r>
              <w:rPr>
                <w:rFonts w:hint="default" w:ascii="Times New Roman" w:hAnsi="Times New Roman" w:cs="Times New Roman"/>
                <w:bCs/>
                <w:color w:val="auto"/>
                <w:kern w:val="28"/>
                <w:sz w:val="24"/>
                <w:highlight w:val="none"/>
              </w:rPr>
              <w:t>作基础防渗，防渗层为至少lm厚粘土层（渗透系数≤10</w:t>
            </w:r>
            <w:r>
              <w:rPr>
                <w:rFonts w:hint="default" w:ascii="Times New Roman" w:hAnsi="Times New Roman" w:cs="Times New Roman"/>
                <w:bCs/>
                <w:color w:val="auto"/>
                <w:kern w:val="28"/>
                <w:sz w:val="24"/>
                <w:highlight w:val="none"/>
                <w:vertAlign w:val="superscript"/>
              </w:rPr>
              <w:t>-7</w:t>
            </w:r>
            <w:r>
              <w:rPr>
                <w:rFonts w:hint="default" w:ascii="Times New Roman" w:hAnsi="Times New Roman" w:cs="Times New Roman"/>
                <w:bCs/>
                <w:color w:val="auto"/>
                <w:kern w:val="28"/>
                <w:sz w:val="24"/>
                <w:highlight w:val="none"/>
              </w:rPr>
              <w:t>cm/s），或2mm厚高密度聚乙烯，或至少2mm厚的其他人工材料，渗透系数≤10</w:t>
            </w:r>
            <w:r>
              <w:rPr>
                <w:rFonts w:hint="default" w:ascii="Times New Roman" w:hAnsi="Times New Roman" w:cs="Times New Roman"/>
                <w:bCs/>
                <w:color w:val="auto"/>
                <w:kern w:val="28"/>
                <w:sz w:val="24"/>
                <w:highlight w:val="none"/>
                <w:vertAlign w:val="superscript"/>
              </w:rPr>
              <w:t>-10</w:t>
            </w:r>
            <w:r>
              <w:rPr>
                <w:rFonts w:hint="default" w:ascii="Times New Roman" w:hAnsi="Times New Roman" w:cs="Times New Roman"/>
                <w:bCs/>
                <w:color w:val="auto"/>
                <w:kern w:val="28"/>
                <w:sz w:val="24"/>
                <w:highlight w:val="none"/>
              </w:rPr>
              <w:t>cm/s；本项目液态</w:t>
            </w:r>
            <w:r>
              <w:rPr>
                <w:rFonts w:hint="default" w:ascii="Times New Roman" w:hAnsi="Times New Roman" w:cs="Times New Roman"/>
                <w:bCs/>
                <w:color w:val="auto"/>
                <w:kern w:val="28"/>
                <w:sz w:val="24"/>
                <w:highlight w:val="none"/>
                <w:lang w:eastAsia="zh-CN"/>
              </w:rPr>
              <w:t>原辅料</w:t>
            </w:r>
            <w:r>
              <w:rPr>
                <w:rFonts w:hint="default" w:ascii="Times New Roman" w:hAnsi="Times New Roman" w:cs="Times New Roman"/>
                <w:bCs/>
                <w:color w:val="auto"/>
                <w:kern w:val="28"/>
                <w:sz w:val="24"/>
                <w:highlight w:val="none"/>
              </w:rPr>
              <w:t>均储存在厂房设置的化学品仓内，且出入口处设置围堰围挡，物料随用随取，不使用时密闭封存，厂界四周设置围墙围挡，仅保留</w:t>
            </w:r>
            <w:r>
              <w:rPr>
                <w:rFonts w:hint="default" w:ascii="Times New Roman" w:hAnsi="Times New Roman" w:cs="Times New Roman"/>
                <w:bCs/>
                <w:color w:val="auto"/>
                <w:kern w:val="28"/>
                <w:sz w:val="24"/>
                <w:highlight w:val="none"/>
                <w:lang w:val="en-US" w:eastAsia="zh-CN"/>
              </w:rPr>
              <w:t>东</w:t>
            </w:r>
            <w:r>
              <w:rPr>
                <w:rFonts w:hint="eastAsia" w:cs="Times New Roman"/>
                <w:bCs/>
                <w:color w:val="auto"/>
                <w:kern w:val="28"/>
                <w:sz w:val="24"/>
                <w:highlight w:val="none"/>
                <w:lang w:val="en-US" w:eastAsia="zh-CN"/>
              </w:rPr>
              <w:t>北</w:t>
            </w:r>
            <w:r>
              <w:rPr>
                <w:rFonts w:hint="default" w:ascii="Times New Roman" w:hAnsi="Times New Roman" w:cs="Times New Roman"/>
                <w:bCs/>
                <w:color w:val="auto"/>
                <w:kern w:val="28"/>
                <w:sz w:val="24"/>
                <w:highlight w:val="none"/>
              </w:rPr>
              <w:t>侧厂区出入口，且厂区出入口通道整体呈</w:t>
            </w:r>
            <w:r>
              <w:rPr>
                <w:rFonts w:hint="default" w:ascii="Times New Roman" w:hAnsi="Times New Roman" w:cs="Times New Roman"/>
                <w:bCs/>
                <w:color w:val="auto"/>
                <w:kern w:val="28"/>
                <w:sz w:val="24"/>
                <w:highlight w:val="none"/>
                <w:lang w:val="en-US" w:eastAsia="zh-CN"/>
              </w:rPr>
              <w:t>西南</w:t>
            </w:r>
            <w:r>
              <w:rPr>
                <w:rFonts w:hint="default" w:ascii="Times New Roman" w:hAnsi="Times New Roman" w:cs="Times New Roman"/>
                <w:bCs/>
                <w:color w:val="auto"/>
                <w:kern w:val="28"/>
                <w:sz w:val="24"/>
                <w:highlight w:val="none"/>
              </w:rPr>
              <w:t>自</w:t>
            </w:r>
            <w:r>
              <w:rPr>
                <w:rFonts w:hint="default" w:ascii="Times New Roman" w:hAnsi="Times New Roman" w:cs="Times New Roman"/>
                <w:bCs/>
                <w:color w:val="auto"/>
                <w:kern w:val="28"/>
                <w:sz w:val="24"/>
                <w:highlight w:val="none"/>
                <w:lang w:val="en-US" w:eastAsia="zh-CN"/>
              </w:rPr>
              <w:t>东北</w:t>
            </w:r>
            <w:r>
              <w:rPr>
                <w:rFonts w:hint="default" w:ascii="Times New Roman" w:hAnsi="Times New Roman" w:cs="Times New Roman"/>
                <w:bCs/>
                <w:color w:val="auto"/>
                <w:kern w:val="28"/>
                <w:sz w:val="24"/>
                <w:highlight w:val="none"/>
              </w:rPr>
              <w:t>走向，可防止地表径流直接进入本项目</w:t>
            </w:r>
            <w:r>
              <w:rPr>
                <w:rFonts w:hint="default" w:ascii="Times New Roman" w:hAnsi="Times New Roman" w:cs="Times New Roman"/>
                <w:bCs/>
                <w:color w:val="auto"/>
                <w:kern w:val="28"/>
                <w:sz w:val="24"/>
                <w:highlight w:val="none"/>
                <w:lang w:val="en-US" w:eastAsia="zh-CN"/>
              </w:rPr>
              <w:t>周边水体</w:t>
            </w:r>
            <w:r>
              <w:rPr>
                <w:rFonts w:hint="default" w:ascii="Times New Roman" w:hAnsi="Times New Roman" w:cs="Times New Roman"/>
                <w:bCs/>
                <w:color w:val="auto"/>
                <w:kern w:val="28"/>
                <w:sz w:val="24"/>
                <w:highlight w:val="none"/>
              </w:rPr>
              <w:t>。因此不存在地</w:t>
            </w:r>
            <w:r>
              <w:rPr>
                <w:rFonts w:hint="default" w:ascii="Times New Roman" w:hAnsi="Times New Roman" w:cs="Times New Roman"/>
                <w:bCs/>
                <w:color w:val="auto"/>
                <w:kern w:val="28"/>
                <w:sz w:val="24"/>
                <w:highlight w:val="none"/>
                <w:lang w:eastAsia="zh-CN"/>
              </w:rPr>
              <w:t>下</w:t>
            </w:r>
            <w:r>
              <w:rPr>
                <w:rFonts w:hint="default" w:ascii="Times New Roman" w:hAnsi="Times New Roman" w:cs="Times New Roman"/>
                <w:bCs/>
                <w:color w:val="auto"/>
                <w:kern w:val="28"/>
                <w:sz w:val="24"/>
                <w:highlight w:val="none"/>
              </w:rPr>
              <w:t>水、</w:t>
            </w:r>
            <w:r>
              <w:rPr>
                <w:rFonts w:hint="default" w:ascii="Times New Roman" w:hAnsi="Times New Roman" w:cs="Times New Roman"/>
                <w:bCs/>
                <w:color w:val="auto"/>
                <w:kern w:val="28"/>
                <w:sz w:val="24"/>
                <w:highlight w:val="none"/>
                <w:lang w:eastAsia="zh-CN"/>
              </w:rPr>
              <w:t>土壤</w:t>
            </w:r>
            <w:r>
              <w:rPr>
                <w:rFonts w:hint="default" w:ascii="Times New Roman" w:hAnsi="Times New Roman" w:cs="Times New Roman"/>
                <w:bCs/>
                <w:color w:val="auto"/>
                <w:kern w:val="28"/>
                <w:sz w:val="24"/>
                <w:highlight w:val="none"/>
              </w:rPr>
              <w:t>环境污染途径。其他区域均进行水泥地面硬底化。项目生产经营范围内具有一定的防腐防渗作用，可有效阻断污染物入渗土壤的途径，正常工况下不会对地下水、土壤环境造成显著不良影响，且占地范围内不具备监测条件。因此不存在地下水</w:t>
            </w:r>
            <w:r>
              <w:rPr>
                <w:rFonts w:hint="default" w:ascii="Times New Roman" w:hAnsi="Times New Roman" w:cs="Times New Roman"/>
                <w:bCs/>
                <w:color w:val="auto"/>
                <w:kern w:val="28"/>
                <w:sz w:val="24"/>
                <w:highlight w:val="none"/>
                <w:lang w:eastAsia="zh-CN"/>
              </w:rPr>
              <w:t>、土壤</w:t>
            </w:r>
            <w:r>
              <w:rPr>
                <w:rFonts w:hint="default" w:ascii="Times New Roman" w:hAnsi="Times New Roman" w:cs="Times New Roman"/>
                <w:bCs/>
                <w:color w:val="auto"/>
                <w:kern w:val="28"/>
                <w:sz w:val="24"/>
                <w:highlight w:val="none"/>
              </w:rPr>
              <w:t>环境污</w:t>
            </w:r>
            <w:r>
              <w:rPr>
                <w:rFonts w:hint="default" w:ascii="Times New Roman" w:hAnsi="Times New Roman" w:cs="Times New Roman"/>
                <w:bCs/>
                <w:color w:val="auto"/>
                <w:kern w:val="28"/>
                <w:sz w:val="24"/>
                <w:highlight w:val="none"/>
                <w:lang w:eastAsia="zh-CN"/>
              </w:rPr>
              <w:t>染。</w:t>
            </w:r>
          </w:p>
          <w:p w14:paraId="75716D55">
            <w:pPr>
              <w:pStyle w:val="4"/>
              <w:numPr>
                <w:ilvl w:val="2"/>
                <w:numId w:val="0"/>
              </w:numPr>
              <w:suppressLineNumbers w:val="0"/>
              <w:spacing w:before="0" w:beforeAutospacing="0" w:after="0" w:afterAutospacing="0"/>
              <w:ind w:left="-2" w:right="0" w:firstLine="482"/>
              <w:rPr>
                <w:rFonts w:hint="default" w:ascii="Times New Roman" w:hAnsi="Times New Roman" w:cs="Times New Roman"/>
                <w:color w:val="auto"/>
                <w:highlight w:val="none"/>
              </w:rPr>
            </w:pPr>
            <w:r>
              <w:rPr>
                <w:rFonts w:hint="default" w:ascii="Times New Roman" w:hAnsi="Times New Roman" w:cs="Times New Roman"/>
                <w:color w:val="auto"/>
                <w:highlight w:val="none"/>
              </w:rPr>
              <w:t>五、生态环境质量现状</w:t>
            </w:r>
          </w:p>
          <w:p w14:paraId="1306EA07">
            <w:pPr>
              <w:pStyle w:val="4"/>
              <w:numPr>
                <w:ilvl w:val="2"/>
                <w:numId w:val="0"/>
              </w:numPr>
              <w:suppressLineNumbers w:val="0"/>
              <w:spacing w:before="0" w:beforeAutospacing="0" w:after="0" w:afterAutospacing="0"/>
              <w:ind w:left="0" w:right="0" w:firstLine="480" w:firstLineChars="200"/>
              <w:rPr>
                <w:rFonts w:hint="default" w:ascii="Times New Roman" w:hAnsi="Times New Roman" w:cs="Times New Roman"/>
                <w:b w:val="0"/>
                <w:bCs w:val="0"/>
                <w:color w:val="auto"/>
                <w:szCs w:val="32"/>
                <w:highlight w:val="none"/>
              </w:rPr>
            </w:pPr>
            <w:r>
              <w:rPr>
                <w:rFonts w:hint="default" w:ascii="Times New Roman" w:hAnsi="Times New Roman" w:cs="Times New Roman"/>
                <w:b w:val="0"/>
                <w:bCs w:val="0"/>
                <w:color w:val="auto"/>
                <w:szCs w:val="32"/>
                <w:highlight w:val="none"/>
              </w:rPr>
              <w:t>本项目位于乐昌市乐昌产业转移工业园内，根据现场勘踏和调查，项目用地范围内不含生态环境保护目标，不需进行生态环境调查。</w:t>
            </w:r>
          </w:p>
          <w:p w14:paraId="1EA29A11">
            <w:pPr>
              <w:pStyle w:val="4"/>
              <w:numPr>
                <w:ilvl w:val="2"/>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eastAsia" w:cs="Times New Roman"/>
                <w:color w:val="auto"/>
                <w:highlight w:val="none"/>
                <w:lang w:val="en-US" w:eastAsia="zh-CN"/>
              </w:rPr>
              <w:t>六</w:t>
            </w:r>
            <w:r>
              <w:rPr>
                <w:rFonts w:hint="default" w:ascii="Times New Roman" w:hAnsi="Times New Roman" w:cs="Times New Roman"/>
                <w:color w:val="auto"/>
                <w:highlight w:val="none"/>
              </w:rPr>
              <w:t>、</w:t>
            </w:r>
            <w:r>
              <w:rPr>
                <w:rFonts w:hint="eastAsia" w:cs="Times New Roman"/>
                <w:color w:val="auto"/>
                <w:highlight w:val="none"/>
                <w:lang w:val="en-US" w:eastAsia="zh-CN"/>
              </w:rPr>
              <w:t>辐射</w:t>
            </w:r>
            <w:r>
              <w:rPr>
                <w:rFonts w:hint="default" w:ascii="Times New Roman" w:hAnsi="Times New Roman" w:cs="Times New Roman"/>
                <w:color w:val="auto"/>
                <w:highlight w:val="none"/>
              </w:rPr>
              <w:t>环境现状</w:t>
            </w:r>
          </w:p>
          <w:p w14:paraId="3DC98298">
            <w:pPr>
              <w:pStyle w:val="4"/>
              <w:numPr>
                <w:ilvl w:val="2"/>
                <w:numId w:val="0"/>
              </w:numPr>
              <w:suppressLineNumbers w:val="0"/>
              <w:spacing w:before="0" w:beforeAutospacing="0" w:after="0" w:afterAutospacing="0"/>
              <w:ind w:left="0" w:right="0" w:firstLine="480" w:firstLineChars="200"/>
              <w:rPr>
                <w:rFonts w:hint="eastAsia" w:ascii="Times New Roman" w:hAnsi="Times New Roman" w:cs="Times New Roman"/>
                <w:b w:val="0"/>
                <w:bCs w:val="0"/>
                <w:color w:val="auto"/>
                <w:szCs w:val="32"/>
                <w:highlight w:val="none"/>
                <w:lang w:val="en-US" w:eastAsia="zh-CN"/>
              </w:rPr>
            </w:pPr>
            <w:r>
              <w:rPr>
                <w:rFonts w:hint="default" w:ascii="Times New Roman" w:hAnsi="Times New Roman" w:cs="Times New Roman"/>
                <w:b w:val="0"/>
                <w:bCs w:val="0"/>
                <w:color w:val="auto"/>
                <w:szCs w:val="32"/>
                <w:highlight w:val="none"/>
              </w:rPr>
              <w:t>本项目</w:t>
            </w:r>
            <w:r>
              <w:rPr>
                <w:rFonts w:hint="eastAsia" w:ascii="Times New Roman" w:hAnsi="Times New Roman" w:cs="Times New Roman"/>
                <w:b w:val="0"/>
                <w:bCs w:val="0"/>
                <w:color w:val="auto"/>
                <w:szCs w:val="32"/>
                <w:highlight w:val="none"/>
                <w:lang w:val="en-US" w:eastAsia="zh-CN"/>
              </w:rPr>
              <w:t>为</w:t>
            </w:r>
            <w:r>
              <w:rPr>
                <w:rFonts w:hint="eastAsia" w:cs="Times New Roman"/>
                <w:b w:val="0"/>
                <w:bCs w:val="0"/>
                <w:color w:val="auto"/>
                <w:szCs w:val="32"/>
                <w:highlight w:val="none"/>
                <w:lang w:val="en-US" w:eastAsia="zh-CN"/>
              </w:rPr>
              <w:t>废塑料破碎分选</w:t>
            </w:r>
            <w:r>
              <w:rPr>
                <w:rFonts w:hint="eastAsia" w:ascii="Times New Roman" w:hAnsi="Times New Roman" w:cs="Times New Roman"/>
                <w:b w:val="0"/>
                <w:bCs w:val="0"/>
                <w:color w:val="auto"/>
                <w:szCs w:val="32"/>
                <w:highlight w:val="none"/>
                <w:lang w:val="en-US" w:eastAsia="zh-CN"/>
              </w:rPr>
              <w:t>项目，主要建设内容包括</w:t>
            </w:r>
            <w:r>
              <w:rPr>
                <w:rFonts w:hint="eastAsia" w:cs="Times New Roman"/>
                <w:b w:val="0"/>
                <w:bCs w:val="0"/>
                <w:color w:val="auto"/>
                <w:szCs w:val="32"/>
                <w:highlight w:val="none"/>
                <w:lang w:val="en-US" w:eastAsia="zh-CN"/>
              </w:rPr>
              <w:t>破碎、清洗、分选</w:t>
            </w:r>
            <w:r>
              <w:rPr>
                <w:rFonts w:hint="eastAsia" w:ascii="Times New Roman" w:hAnsi="Times New Roman" w:cs="Times New Roman"/>
                <w:b w:val="0"/>
                <w:bCs w:val="0"/>
                <w:color w:val="auto"/>
                <w:szCs w:val="32"/>
                <w:highlight w:val="none"/>
                <w:lang w:val="en-US" w:eastAsia="zh-CN"/>
              </w:rPr>
              <w:t>等工序，不涉及放射性同位素、射线装置、高压输变电工程、移动通信基站等电离或电磁辐射污染源。</w:t>
            </w:r>
          </w:p>
          <w:p w14:paraId="27CDEE3F">
            <w:pPr>
              <w:pStyle w:val="4"/>
              <w:numPr>
                <w:ilvl w:val="2"/>
                <w:numId w:val="0"/>
              </w:numPr>
              <w:suppressLineNumbers w:val="0"/>
              <w:spacing w:before="0" w:beforeAutospacing="0" w:after="0" w:afterAutospacing="0"/>
              <w:ind w:left="0" w:right="0" w:firstLine="480" w:firstLineChars="200"/>
              <w:rPr>
                <w:rFonts w:hint="eastAsia" w:ascii="Times New Roman" w:hAnsi="Times New Roman" w:cs="Times New Roman"/>
                <w:b w:val="0"/>
                <w:bCs w:val="0"/>
                <w:color w:val="auto"/>
                <w:szCs w:val="32"/>
                <w:highlight w:val="none"/>
                <w:lang w:val="en-US" w:eastAsia="zh-CN"/>
              </w:rPr>
            </w:pPr>
            <w:r>
              <w:rPr>
                <w:rFonts w:hint="eastAsia" w:ascii="Times New Roman" w:hAnsi="Times New Roman" w:cs="Times New Roman"/>
                <w:b w:val="0"/>
                <w:bCs w:val="0"/>
                <w:color w:val="auto"/>
                <w:szCs w:val="32"/>
                <w:highlight w:val="none"/>
                <w:lang w:val="en-US" w:eastAsia="zh-CN"/>
              </w:rPr>
              <w:t>项目所在区域周边无核技术利用单位、无大型变电站、无广播电视发射塔等辐射设施。根据《建设项目环境影响评价分类管理名录（2021年版）》及《辐射环境保护管理导则》，本项目无需开展辐射环境影响专项评价。</w:t>
            </w:r>
          </w:p>
          <w:p w14:paraId="1FE4FE34">
            <w:pPr>
              <w:pStyle w:val="4"/>
              <w:numPr>
                <w:ilvl w:val="2"/>
                <w:numId w:val="0"/>
              </w:numPr>
              <w:suppressLineNumbers w:val="0"/>
              <w:spacing w:before="0" w:beforeAutospacing="0" w:after="0" w:afterAutospacing="0"/>
              <w:ind w:left="0" w:right="0" w:firstLine="480" w:firstLineChars="200"/>
              <w:rPr>
                <w:rFonts w:hint="default" w:ascii="Times New Roman" w:hAnsi="Times New Roman" w:cs="Times New Roman"/>
                <w:b w:val="0"/>
                <w:bCs w:val="0"/>
                <w:color w:val="auto"/>
                <w:szCs w:val="32"/>
                <w:highlight w:val="none"/>
              </w:rPr>
            </w:pPr>
            <w:r>
              <w:rPr>
                <w:rFonts w:hint="eastAsia" w:ascii="Times New Roman" w:hAnsi="Times New Roman" w:cs="Times New Roman"/>
                <w:b w:val="0"/>
                <w:bCs w:val="0"/>
                <w:color w:val="auto"/>
                <w:szCs w:val="32"/>
                <w:highlight w:val="none"/>
                <w:lang w:val="en-US" w:eastAsia="zh-CN"/>
              </w:rPr>
              <w:t>综上，项目运营期无辐射污染物产生，对辐射环境无影响。</w:t>
            </w:r>
          </w:p>
          <w:p w14:paraId="0480CF13">
            <w:pPr>
              <w:pStyle w:val="4"/>
              <w:numPr>
                <w:ilvl w:val="2"/>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p>
        </w:tc>
      </w:tr>
      <w:tr w14:paraId="6986CE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2" w:type="pct"/>
            <w:vAlign w:val="center"/>
          </w:tcPr>
          <w:p w14:paraId="0D5302D1">
            <w:pPr>
              <w:keepNext/>
              <w:keepLines w:val="0"/>
              <w:pageBreakBefore w:val="0"/>
              <w:widowControl/>
              <w:numPr>
                <w:ilvl w:val="1"/>
                <w:numId w:val="0"/>
              </w:numPr>
              <w:suppressLineNumbers w:val="0"/>
              <w:tabs>
                <w:tab w:val="left" w:pos="420"/>
              </w:tabs>
              <w:kinsoku/>
              <w:wordWrap/>
              <w:overflowPunct/>
              <w:topLinePunct w:val="0"/>
              <w:autoSpaceDE/>
              <w:autoSpaceDN/>
              <w:bidi w:val="0"/>
              <w:adjustRightInd/>
              <w:snapToGrid/>
              <w:spacing w:before="0" w:beforeAutospacing="0" w:after="0" w:afterAutospacing="0" w:line="276" w:lineRule="auto"/>
              <w:ind w:left="0" w:right="0"/>
              <w:jc w:val="center"/>
              <w:textAlignment w:val="auto"/>
              <w:outlineLvl w:val="9"/>
              <w:rPr>
                <w:rFonts w:hint="default" w:ascii="Times New Roman" w:hAnsi="Times New Roman" w:cs="Times New Roman"/>
                <w:b/>
                <w:bCs/>
                <w:color w:val="auto"/>
                <w:kern w:val="2"/>
                <w:highlight w:val="none"/>
              </w:rPr>
            </w:pPr>
            <w:bookmarkStart w:id="76" w:name="_Toc28582"/>
            <w:bookmarkStart w:id="77" w:name="_Toc31357"/>
            <w:bookmarkStart w:id="78" w:name="_Toc241"/>
            <w:bookmarkStart w:id="79" w:name="_Toc4567"/>
            <w:bookmarkStart w:id="80" w:name="_Toc28210"/>
            <w:bookmarkStart w:id="81" w:name="_Toc24022"/>
            <w:bookmarkStart w:id="82" w:name="_Toc31344"/>
            <w:bookmarkStart w:id="83" w:name="_Toc14552"/>
            <w:bookmarkStart w:id="84" w:name="_Toc728"/>
            <w:bookmarkStart w:id="85" w:name="_Toc461"/>
            <w:bookmarkStart w:id="86" w:name="_Toc20976"/>
            <w:bookmarkStart w:id="87" w:name="_Toc15908"/>
            <w:bookmarkStart w:id="88" w:name="_Toc15642"/>
            <w:bookmarkStart w:id="89" w:name="_Toc28375"/>
            <w:r>
              <w:rPr>
                <w:rFonts w:hint="default" w:ascii="Times New Roman" w:hAnsi="Times New Roman" w:cs="Times New Roman"/>
                <w:b/>
                <w:bCs/>
                <w:color w:val="auto"/>
                <w:kern w:val="2"/>
                <w:highlight w:val="none"/>
              </w:rPr>
              <w:t>环境保护目标</w:t>
            </w:r>
            <w:bookmarkEnd w:id="76"/>
            <w:bookmarkEnd w:id="77"/>
            <w:bookmarkEnd w:id="78"/>
            <w:bookmarkEnd w:id="79"/>
            <w:bookmarkEnd w:id="80"/>
            <w:bookmarkEnd w:id="81"/>
            <w:bookmarkEnd w:id="82"/>
            <w:bookmarkEnd w:id="83"/>
            <w:bookmarkEnd w:id="84"/>
            <w:bookmarkEnd w:id="85"/>
            <w:bookmarkEnd w:id="86"/>
            <w:bookmarkEnd w:id="87"/>
            <w:bookmarkEnd w:id="88"/>
            <w:bookmarkEnd w:id="89"/>
          </w:p>
        </w:tc>
        <w:tc>
          <w:tcPr>
            <w:tcW w:w="4737" w:type="pct"/>
          </w:tcPr>
          <w:p w14:paraId="323654B6">
            <w:pPr>
              <w:pStyle w:val="4"/>
              <w:numPr>
                <w:ilvl w:val="2"/>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一、环境空气保护目标</w:t>
            </w:r>
          </w:p>
          <w:p w14:paraId="10AE4499">
            <w:pPr>
              <w:pStyle w:val="105"/>
              <w:keepNext w:val="0"/>
              <w:keepLines w:val="0"/>
              <w:suppressLineNumbers w:val="0"/>
              <w:topLinePunct w:val="0"/>
              <w:autoSpaceDE/>
              <w:autoSpaceDN/>
              <w:bidi w:val="0"/>
              <w:spacing w:before="0" w:beforeAutospacing="0" w:after="0" w:afterAutospacing="0"/>
              <w:ind w:left="0" w:right="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本项目厂界外500m范围内无自然保护区、风景名胜区、文化区，主要大气环境保护目标为居民区等。具体情况详见下表，大气环境保护</w:t>
            </w:r>
            <w:r>
              <w:rPr>
                <w:rFonts w:hint="eastAsia"/>
                <w:color w:val="auto"/>
                <w:highlight w:val="none"/>
                <w:lang w:val="en-US" w:eastAsia="zh-CN"/>
              </w:rPr>
              <w:t>目标</w:t>
            </w:r>
            <w:r>
              <w:rPr>
                <w:rFonts w:hint="default" w:ascii="Times New Roman" w:hAnsi="Times New Roman" w:cs="Times New Roman"/>
                <w:color w:val="auto"/>
                <w:highlight w:val="none"/>
              </w:rPr>
              <w:t>分布情况详见附图</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lang w:eastAsia="zh-CN"/>
              </w:rPr>
              <w:t>。</w:t>
            </w:r>
          </w:p>
          <w:p w14:paraId="79DAADCD">
            <w:pPr>
              <w:pStyle w:val="4"/>
              <w:numPr>
                <w:ilvl w:val="0"/>
                <w:numId w:val="0"/>
              </w:numPr>
              <w:suppressLineNumbers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bCs/>
                <w:color w:val="auto"/>
                <w:kern w:val="2"/>
                <w:sz w:val="21"/>
                <w:szCs w:val="21"/>
                <w:highlight w:val="none"/>
                <w:lang w:val="en-US" w:eastAsia="zh-CN" w:bidi="ar-SA"/>
              </w:rPr>
              <w:t>表3-</w:t>
            </w:r>
            <w:r>
              <w:rPr>
                <w:rFonts w:hint="eastAsia" w:cs="Times New Roman"/>
                <w:b/>
                <w:bCs/>
                <w:color w:val="auto"/>
                <w:kern w:val="2"/>
                <w:sz w:val="21"/>
                <w:szCs w:val="21"/>
                <w:highlight w:val="none"/>
                <w:lang w:val="en-US" w:eastAsia="zh-CN" w:bidi="ar-SA"/>
              </w:rPr>
              <w:t xml:space="preserve">5 </w:t>
            </w:r>
            <w:r>
              <w:rPr>
                <w:rFonts w:hint="default" w:ascii="Times New Roman" w:hAnsi="Times New Roman" w:cs="Times New Roman"/>
                <w:color w:val="auto"/>
                <w:sz w:val="21"/>
                <w:szCs w:val="21"/>
                <w:highlight w:val="none"/>
              </w:rPr>
              <w:t>大气环境保护目标一览表</w:t>
            </w:r>
          </w:p>
          <w:tbl>
            <w:tblPr>
              <w:tblStyle w:val="39"/>
              <w:tblW w:w="5017"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44"/>
              <w:gridCol w:w="2028"/>
              <w:gridCol w:w="706"/>
              <w:gridCol w:w="689"/>
              <w:gridCol w:w="923"/>
              <w:gridCol w:w="1087"/>
              <w:gridCol w:w="1096"/>
              <w:gridCol w:w="1063"/>
              <w:gridCol w:w="1102"/>
            </w:tblGrid>
            <w:tr w14:paraId="6509F13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1" w:hRule="atLeast"/>
                <w:jc w:val="center"/>
              </w:trPr>
              <w:tc>
                <w:tcPr>
                  <w:tcW w:w="34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E6074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序号</w:t>
                  </w:r>
                </w:p>
              </w:tc>
              <w:tc>
                <w:tcPr>
                  <w:tcW w:w="108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3DEE2E7">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名称</w:t>
                  </w:r>
                </w:p>
              </w:tc>
              <w:tc>
                <w:tcPr>
                  <w:tcW w:w="74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756229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坐标/m</w:t>
                  </w:r>
                </w:p>
              </w:tc>
              <w:tc>
                <w:tcPr>
                  <w:tcW w:w="49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58B3BE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保护</w:t>
                  </w:r>
                  <w:r>
                    <w:rPr>
                      <w:rFonts w:hint="default" w:ascii="Times New Roman" w:hAnsi="Times New Roman" w:eastAsia="宋体" w:cs="Times New Roman"/>
                      <w:b/>
                      <w:bCs/>
                      <w:i w:val="0"/>
                      <w:iCs w:val="0"/>
                      <w:color w:val="auto"/>
                      <w:kern w:val="0"/>
                      <w:sz w:val="21"/>
                      <w:szCs w:val="21"/>
                      <w:highlight w:val="none"/>
                      <w:u w:val="none"/>
                      <w:lang w:val="en-US" w:eastAsia="zh-CN"/>
                    </w:rPr>
                    <w:br w:type="textWrapping"/>
                  </w:r>
                  <w:r>
                    <w:rPr>
                      <w:rFonts w:hint="default" w:ascii="Times New Roman" w:hAnsi="Times New Roman" w:eastAsia="宋体" w:cs="Times New Roman"/>
                      <w:b/>
                      <w:bCs/>
                      <w:i w:val="0"/>
                      <w:iCs w:val="0"/>
                      <w:color w:val="auto"/>
                      <w:kern w:val="0"/>
                      <w:sz w:val="21"/>
                      <w:szCs w:val="21"/>
                      <w:highlight w:val="none"/>
                      <w:u w:val="none"/>
                      <w:lang w:val="en-US" w:eastAsia="zh-CN"/>
                    </w:rPr>
                    <w:t>对象</w:t>
                  </w:r>
                </w:p>
              </w:tc>
              <w:tc>
                <w:tcPr>
                  <w:tcW w:w="58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30458C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保护内容</w:t>
                  </w:r>
                </w:p>
              </w:tc>
              <w:tc>
                <w:tcPr>
                  <w:tcW w:w="58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7FDCE8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环境功能</w:t>
                  </w:r>
                </w:p>
              </w:tc>
              <w:tc>
                <w:tcPr>
                  <w:tcW w:w="56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21C6CFA">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相对厂址方位</w:t>
                  </w:r>
                </w:p>
              </w:tc>
              <w:tc>
                <w:tcPr>
                  <w:tcW w:w="58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7DBB32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相对厂址距离/m</w:t>
                  </w:r>
                </w:p>
              </w:tc>
            </w:tr>
            <w:tr w14:paraId="4BAB9D8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3" w:hRule="atLeast"/>
                <w:jc w:val="center"/>
              </w:trPr>
              <w:tc>
                <w:tcPr>
                  <w:tcW w:w="34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06C8D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108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302A2E6">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3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0C22B0">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X</w:t>
                  </w:r>
                </w:p>
              </w:tc>
              <w:tc>
                <w:tcPr>
                  <w:tcW w:w="3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A1258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Y</w:t>
                  </w:r>
                </w:p>
              </w:tc>
              <w:tc>
                <w:tcPr>
                  <w:tcW w:w="49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E78964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58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B4427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58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F8AE99A">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56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A70C79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58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D6D437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r>
            <w:tr w14:paraId="1049E73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3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CE1E3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1</w:t>
                  </w:r>
                </w:p>
              </w:tc>
              <w:tc>
                <w:tcPr>
                  <w:tcW w:w="10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7D1B9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kern w:val="0"/>
                      <w:sz w:val="21"/>
                      <w:szCs w:val="21"/>
                      <w:highlight w:val="none"/>
                      <w:u w:val="none"/>
                      <w:lang w:val="en-US" w:eastAsia="zh-CN"/>
                    </w:rPr>
                    <w:t>高粱头村</w:t>
                  </w:r>
                </w:p>
              </w:tc>
              <w:tc>
                <w:tcPr>
                  <w:tcW w:w="3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2A3166">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kern w:val="0"/>
                      <w:sz w:val="21"/>
                      <w:szCs w:val="21"/>
                      <w:highlight w:val="none"/>
                      <w:u w:val="none"/>
                      <w:lang w:val="en-US" w:eastAsia="zh-CN"/>
                    </w:rPr>
                    <w:t>305</w:t>
                  </w:r>
                </w:p>
              </w:tc>
              <w:tc>
                <w:tcPr>
                  <w:tcW w:w="3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3D763C">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kern w:val="0"/>
                      <w:sz w:val="21"/>
                      <w:szCs w:val="21"/>
                      <w:highlight w:val="none"/>
                      <w:u w:val="none"/>
                      <w:lang w:val="en-US" w:eastAsia="zh-CN"/>
                    </w:rPr>
                    <w:t>-510</w:t>
                  </w:r>
                </w:p>
              </w:tc>
              <w:tc>
                <w:tcPr>
                  <w:tcW w:w="4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6845E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居民区</w:t>
                  </w:r>
                </w:p>
              </w:tc>
              <w:tc>
                <w:tcPr>
                  <w:tcW w:w="5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BC43C5">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kern w:val="0"/>
                      <w:sz w:val="21"/>
                      <w:szCs w:val="21"/>
                      <w:highlight w:val="none"/>
                      <w:u w:val="none"/>
                      <w:lang w:val="en-US" w:eastAsia="zh-CN"/>
                    </w:rPr>
                    <w:t>135</w:t>
                  </w:r>
                  <w:r>
                    <w:rPr>
                      <w:rFonts w:hint="default" w:ascii="Times New Roman" w:hAnsi="Times New Roman" w:eastAsia="宋体" w:cs="Times New Roman"/>
                      <w:i w:val="0"/>
                      <w:iCs w:val="0"/>
                      <w:color w:val="auto"/>
                      <w:kern w:val="0"/>
                      <w:sz w:val="21"/>
                      <w:szCs w:val="21"/>
                      <w:highlight w:val="none"/>
                      <w:u w:val="none"/>
                      <w:lang w:val="en-US" w:eastAsia="zh-CN"/>
                    </w:rPr>
                    <w:t>人</w:t>
                  </w:r>
                </w:p>
              </w:tc>
              <w:tc>
                <w:tcPr>
                  <w:tcW w:w="5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33C21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环境空气二类区</w:t>
                  </w:r>
                </w:p>
              </w:tc>
              <w:tc>
                <w:tcPr>
                  <w:tcW w:w="5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1407D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kern w:val="0"/>
                      <w:sz w:val="21"/>
                      <w:szCs w:val="21"/>
                      <w:highlight w:val="none"/>
                      <w:u w:val="none"/>
                      <w:lang w:val="en-US" w:eastAsia="zh-CN"/>
                    </w:rPr>
                    <w:t>东南</w:t>
                  </w:r>
                  <w:r>
                    <w:rPr>
                      <w:rFonts w:hint="default" w:ascii="Times New Roman" w:hAnsi="Times New Roman" w:eastAsia="宋体" w:cs="Times New Roman"/>
                      <w:i w:val="0"/>
                      <w:iCs w:val="0"/>
                      <w:color w:val="auto"/>
                      <w:kern w:val="0"/>
                      <w:sz w:val="21"/>
                      <w:szCs w:val="21"/>
                      <w:highlight w:val="none"/>
                      <w:u w:val="none"/>
                      <w:lang w:val="en-US" w:eastAsia="zh-CN"/>
                    </w:rPr>
                    <w:t>面</w:t>
                  </w:r>
                </w:p>
              </w:tc>
              <w:tc>
                <w:tcPr>
                  <w:tcW w:w="5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33735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kern w:val="0"/>
                      <w:sz w:val="21"/>
                      <w:szCs w:val="21"/>
                      <w:highlight w:val="none"/>
                      <w:u w:val="none"/>
                      <w:lang w:val="en-US" w:eastAsia="zh-CN"/>
                    </w:rPr>
                    <w:t>385</w:t>
                  </w:r>
                </w:p>
              </w:tc>
            </w:tr>
            <w:tr w14:paraId="42085E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81" w:hRule="atLeast"/>
                <w:jc w:val="center"/>
              </w:trPr>
              <w:tc>
                <w:tcPr>
                  <w:tcW w:w="5000" w:type="pct"/>
                  <w:gridSpan w:val="9"/>
                  <w:tcBorders>
                    <w:top w:val="single" w:color="000000" w:sz="4" w:space="0"/>
                    <w:left w:val="single" w:color="000000" w:sz="4" w:space="0"/>
                    <w:bottom w:val="single" w:color="000000" w:sz="4" w:space="0"/>
                    <w:right w:val="single" w:color="000000" w:sz="4" w:space="0"/>
                  </w:tcBorders>
                  <w:shd w:val="clear" w:color="auto" w:fill="auto"/>
                  <w:vAlign w:val="center"/>
                </w:tcPr>
                <w:p w14:paraId="521E576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left"/>
                    <w:textAlignment w:val="center"/>
                    <w:rPr>
                      <w:rFonts w:hint="default" w:eastAsia="宋体"/>
                      <w:color w:val="auto"/>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备注：以厂房中点坐标为原点（E</w:t>
                  </w:r>
                  <w:r>
                    <w:rPr>
                      <w:rFonts w:hint="eastAsia" w:cs="Times New Roman"/>
                      <w:i w:val="0"/>
                      <w:iCs w:val="0"/>
                      <w:color w:val="auto"/>
                      <w:kern w:val="0"/>
                      <w:sz w:val="21"/>
                      <w:szCs w:val="21"/>
                      <w:highlight w:val="none"/>
                      <w:u w:val="none"/>
                      <w:lang w:val="en-US" w:eastAsia="zh-CN"/>
                    </w:rPr>
                    <w:t>113°24′25.321″</w:t>
                  </w:r>
                  <w:r>
                    <w:rPr>
                      <w:rFonts w:hint="default" w:ascii="Times New Roman" w:hAnsi="Times New Roman" w:eastAsia="宋体" w:cs="Times New Roman"/>
                      <w:i w:val="0"/>
                      <w:iCs w:val="0"/>
                      <w:color w:val="auto"/>
                      <w:kern w:val="0"/>
                      <w:sz w:val="21"/>
                      <w:szCs w:val="21"/>
                      <w:highlight w:val="none"/>
                      <w:u w:val="none"/>
                      <w:lang w:val="en-US" w:eastAsia="zh-CN"/>
                    </w:rPr>
                    <w:t>、N</w:t>
                  </w:r>
                  <w:r>
                    <w:rPr>
                      <w:rFonts w:hint="eastAsia" w:cs="Times New Roman"/>
                      <w:i w:val="0"/>
                      <w:iCs w:val="0"/>
                      <w:color w:val="auto"/>
                      <w:kern w:val="0"/>
                      <w:sz w:val="21"/>
                      <w:szCs w:val="21"/>
                      <w:highlight w:val="none"/>
                      <w:u w:val="none"/>
                      <w:lang w:val="en-US" w:eastAsia="zh-CN"/>
                    </w:rPr>
                    <w:t>25°9′13.930″</w:t>
                  </w:r>
                  <w:r>
                    <w:rPr>
                      <w:rFonts w:hint="default" w:ascii="Times New Roman" w:hAnsi="Times New Roman" w:eastAsia="宋体" w:cs="Times New Roman"/>
                      <w:i w:val="0"/>
                      <w:iCs w:val="0"/>
                      <w:color w:val="auto"/>
                      <w:kern w:val="0"/>
                      <w:sz w:val="21"/>
                      <w:szCs w:val="21"/>
                      <w:highlight w:val="none"/>
                      <w:u w:val="none"/>
                      <w:lang w:val="en-US" w:eastAsia="zh-CN"/>
                    </w:rPr>
                    <w:t>），正东为X轴正向，正北为Y轴正向，建立直角坐标系。</w:t>
                  </w:r>
                </w:p>
              </w:tc>
            </w:tr>
          </w:tbl>
          <w:p w14:paraId="379EFC02">
            <w:pPr>
              <w:pStyle w:val="4"/>
              <w:numPr>
                <w:ilvl w:val="2"/>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二、声环境保护目标</w:t>
            </w:r>
          </w:p>
          <w:p w14:paraId="14DFEC37">
            <w:pPr>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szCs w:val="32"/>
                <w:highlight w:val="none"/>
              </w:rPr>
              <w:t>本项目</w:t>
            </w:r>
            <w:r>
              <w:rPr>
                <w:rFonts w:hint="default" w:ascii="Times New Roman" w:hAnsi="Times New Roman" w:cs="Times New Roman"/>
                <w:color w:val="auto"/>
                <w:highlight w:val="none"/>
              </w:rPr>
              <w:t>厂界外50米范围内无声环境保护目标。</w:t>
            </w:r>
          </w:p>
          <w:p w14:paraId="30702004">
            <w:pPr>
              <w:pStyle w:val="4"/>
              <w:numPr>
                <w:ilvl w:val="2"/>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三、地下水环境保护目标</w:t>
            </w:r>
          </w:p>
          <w:p w14:paraId="3FADAEB8">
            <w:pPr>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szCs w:val="32"/>
                <w:highlight w:val="none"/>
              </w:rPr>
              <w:t>本</w:t>
            </w:r>
            <w:r>
              <w:rPr>
                <w:rFonts w:hint="default" w:ascii="Times New Roman" w:hAnsi="Times New Roman" w:cs="Times New Roman"/>
                <w:color w:val="auto"/>
                <w:highlight w:val="none"/>
              </w:rPr>
              <w:t>项目厂界外500米范围内无地下水集中式饮用水水源和热水、矿泉水、温泉等特殊地下水资源。</w:t>
            </w:r>
          </w:p>
          <w:p w14:paraId="681910BF">
            <w:pPr>
              <w:pStyle w:val="4"/>
              <w:numPr>
                <w:ilvl w:val="2"/>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四、生态环境保护目标</w:t>
            </w:r>
          </w:p>
          <w:p w14:paraId="35182E78">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保护本项目建设地块的生态环境，防止水土流失，使其能实现生态环境的良性循环，</w:t>
            </w:r>
            <w:r>
              <w:rPr>
                <w:rFonts w:hint="default" w:ascii="Times New Roman" w:hAnsi="Times New Roman" w:cs="Times New Roman"/>
                <w:color w:val="auto"/>
                <w:szCs w:val="32"/>
                <w:highlight w:val="none"/>
              </w:rPr>
              <w:t>不对现有的生态环境造成大面积的破坏。本项目所在区域</w:t>
            </w:r>
            <w:r>
              <w:rPr>
                <w:rFonts w:hint="default" w:ascii="Times New Roman" w:hAnsi="Times New Roman" w:cs="Times New Roman"/>
                <w:color w:val="auto"/>
                <w:highlight w:val="none"/>
              </w:rPr>
              <w:t>无生态环境保护目标。</w:t>
            </w:r>
          </w:p>
        </w:tc>
      </w:tr>
      <w:tr w14:paraId="3826F3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trPr>
        <w:tc>
          <w:tcPr>
            <w:tcW w:w="262" w:type="pct"/>
            <w:vAlign w:val="center"/>
          </w:tcPr>
          <w:p w14:paraId="610157AE">
            <w:pPr>
              <w:keepNext/>
              <w:keepLines w:val="0"/>
              <w:pageBreakBefore w:val="0"/>
              <w:widowControl/>
              <w:numPr>
                <w:ilvl w:val="1"/>
                <w:numId w:val="0"/>
              </w:numPr>
              <w:suppressLineNumbers w:val="0"/>
              <w:tabs>
                <w:tab w:val="left" w:pos="420"/>
              </w:tabs>
              <w:kinsoku/>
              <w:wordWrap/>
              <w:overflowPunct/>
              <w:topLinePunct w:val="0"/>
              <w:autoSpaceDE/>
              <w:autoSpaceDN/>
              <w:bidi w:val="0"/>
              <w:adjustRightInd/>
              <w:snapToGrid/>
              <w:spacing w:before="0" w:beforeAutospacing="0" w:after="0" w:afterAutospacing="0"/>
              <w:ind w:left="0" w:right="0"/>
              <w:jc w:val="center"/>
              <w:textAlignment w:val="auto"/>
              <w:outlineLvl w:val="9"/>
              <w:rPr>
                <w:rFonts w:hint="default" w:ascii="Times New Roman" w:hAnsi="Times New Roman" w:cs="Times New Roman"/>
                <w:b/>
                <w:bCs/>
                <w:color w:val="auto"/>
                <w:kern w:val="2"/>
                <w:highlight w:val="none"/>
              </w:rPr>
            </w:pPr>
            <w:bookmarkStart w:id="90" w:name="_Toc21959"/>
            <w:bookmarkStart w:id="91" w:name="_Toc9663"/>
            <w:bookmarkStart w:id="92" w:name="_Toc24161"/>
            <w:bookmarkStart w:id="93" w:name="_Toc32736"/>
            <w:bookmarkStart w:id="94" w:name="_Toc27828"/>
            <w:bookmarkStart w:id="95" w:name="_Toc31966"/>
            <w:bookmarkStart w:id="96" w:name="_Toc30637"/>
            <w:bookmarkStart w:id="97" w:name="_Toc14344"/>
            <w:bookmarkStart w:id="98" w:name="_Toc10187"/>
            <w:bookmarkStart w:id="99" w:name="_Toc4596"/>
            <w:bookmarkStart w:id="100" w:name="_Toc8003"/>
            <w:bookmarkStart w:id="101" w:name="_Toc2199"/>
            <w:bookmarkStart w:id="102" w:name="_Toc8874"/>
            <w:bookmarkStart w:id="103" w:name="_Toc29246"/>
            <w:r>
              <w:rPr>
                <w:rFonts w:hint="default" w:ascii="Times New Roman" w:hAnsi="Times New Roman" w:cs="Times New Roman"/>
                <w:b/>
                <w:bCs/>
                <w:color w:val="auto"/>
                <w:kern w:val="2"/>
                <w:highlight w:val="none"/>
              </w:rPr>
              <w:t>污染物排放控制标准</w:t>
            </w:r>
            <w:bookmarkEnd w:id="90"/>
            <w:bookmarkEnd w:id="91"/>
            <w:bookmarkEnd w:id="92"/>
            <w:bookmarkEnd w:id="93"/>
            <w:bookmarkEnd w:id="94"/>
            <w:bookmarkEnd w:id="95"/>
            <w:bookmarkEnd w:id="96"/>
            <w:bookmarkEnd w:id="97"/>
            <w:bookmarkEnd w:id="98"/>
            <w:bookmarkEnd w:id="99"/>
            <w:bookmarkEnd w:id="100"/>
            <w:bookmarkEnd w:id="101"/>
            <w:bookmarkEnd w:id="102"/>
            <w:bookmarkEnd w:id="103"/>
          </w:p>
        </w:tc>
        <w:tc>
          <w:tcPr>
            <w:tcW w:w="4737" w:type="pct"/>
          </w:tcPr>
          <w:p w14:paraId="0D41A4C3">
            <w:pPr>
              <w:pStyle w:val="4"/>
              <w:numPr>
                <w:ilvl w:val="2"/>
                <w:numId w:val="0"/>
              </w:numPr>
              <w:suppressLineNumbers w:val="0"/>
              <w:spacing w:before="0" w:beforeAutospacing="0" w:after="0" w:afterAutospacing="0"/>
              <w:ind w:left="-2" w:leftChars="0" w:right="0" w:firstLine="482" w:firstLineChars="0"/>
              <w:rPr>
                <w:rFonts w:hint="default" w:ascii="Times New Roman" w:hAnsi="Times New Roman" w:cs="Times New Roman"/>
                <w:color w:val="auto"/>
                <w:highlight w:val="none"/>
              </w:rPr>
            </w:pPr>
            <w:r>
              <w:rPr>
                <w:rFonts w:hint="default" w:ascii="Times New Roman" w:hAnsi="Times New Roman" w:eastAsia="宋体" w:cs="Times New Roman"/>
                <w:b/>
                <w:bCs/>
                <w:color w:val="auto"/>
                <w:kern w:val="2"/>
                <w:sz w:val="24"/>
                <w:szCs w:val="24"/>
                <w:highlight w:val="none"/>
                <w:lang w:val="en-US" w:eastAsia="zh-CN" w:bidi="ar-SA"/>
              </w:rPr>
              <w:t>一、</w:t>
            </w:r>
            <w:r>
              <w:rPr>
                <w:rFonts w:hint="default" w:ascii="Times New Roman" w:hAnsi="Times New Roman" w:cs="Times New Roman"/>
                <w:color w:val="auto"/>
                <w:highlight w:val="none"/>
              </w:rPr>
              <w:t>废气排放标准</w:t>
            </w:r>
          </w:p>
          <w:p w14:paraId="318185D4">
            <w:pPr>
              <w:pStyle w:val="12"/>
              <w:keepNext w:val="0"/>
              <w:keepLines w:val="0"/>
              <w:numPr>
                <w:ilvl w:val="255"/>
                <w:numId w:val="0"/>
              </w:numPr>
              <w:suppressLineNumbers w:val="0"/>
              <w:spacing w:before="0" w:beforeAutospacing="0" w:after="0" w:afterAutospacing="0"/>
              <w:ind w:left="0" w:right="0" w:firstLine="480" w:firstLineChars="200"/>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（1）施工期</w:t>
            </w:r>
          </w:p>
          <w:p w14:paraId="7F6D02FC">
            <w:pPr>
              <w:pStyle w:val="12"/>
              <w:keepNext w:val="0"/>
              <w:keepLines w:val="0"/>
              <w:numPr>
                <w:ilvl w:val="255"/>
                <w:numId w:val="0"/>
              </w:numPr>
              <w:suppressLineNumbers w:val="0"/>
              <w:spacing w:before="0" w:beforeAutospacing="0" w:after="0" w:afterAutospacing="0"/>
              <w:ind w:left="0" w:right="0" w:firstLine="480" w:firstLineChars="20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本项目施工期间产生的颗粒物及施工机械设备尾气排放执行广东省《大气污染物排放限值》（DB44/27-2001）第二时段无组织排放要求。</w:t>
            </w:r>
          </w:p>
          <w:p w14:paraId="2FA3316E">
            <w:pPr>
              <w:pStyle w:val="12"/>
              <w:keepNext w:val="0"/>
              <w:keepLines w:val="0"/>
              <w:numPr>
                <w:ilvl w:val="0"/>
                <w:numId w:val="0"/>
              </w:numPr>
              <w:suppressLineNumbers w:val="0"/>
              <w:tabs>
                <w:tab w:val="left" w:pos="0"/>
              </w:tabs>
              <w:spacing w:before="0" w:beforeAutospacing="0" w:after="0" w:afterAutospacing="0" w:line="360" w:lineRule="auto"/>
              <w:ind w:left="0" w:leftChars="0" w:right="0" w:rightChars="0" w:firstLine="40" w:firstLineChars="0"/>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color w:val="auto"/>
                <w:kern w:val="2"/>
                <w:sz w:val="21"/>
                <w:szCs w:val="21"/>
                <w:highlight w:val="none"/>
                <w:lang w:val="en-US" w:eastAsia="zh-CN" w:bidi="ar-SA"/>
              </w:rPr>
              <w:t>表3-</w:t>
            </w:r>
            <w:r>
              <w:rPr>
                <w:rFonts w:hint="eastAsia" w:cs="Times New Roman"/>
                <w:b/>
                <w:color w:val="auto"/>
                <w:kern w:val="2"/>
                <w:sz w:val="21"/>
                <w:szCs w:val="21"/>
                <w:highlight w:val="none"/>
                <w:lang w:val="en-US" w:eastAsia="zh-CN" w:bidi="ar-SA"/>
              </w:rPr>
              <w:t xml:space="preserve">6 </w:t>
            </w:r>
            <w:r>
              <w:rPr>
                <w:rFonts w:hint="default" w:ascii="Times New Roman" w:hAnsi="Times New Roman" w:cs="Times New Roman"/>
                <w:b/>
                <w:bCs/>
                <w:color w:val="auto"/>
                <w:sz w:val="21"/>
                <w:szCs w:val="21"/>
                <w:highlight w:val="none"/>
              </w:rPr>
              <w:t>施工期大气污染物排放限值</w:t>
            </w:r>
          </w:p>
          <w:tbl>
            <w:tblPr>
              <w:tblStyle w:val="40"/>
              <w:tblW w:w="4991"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85"/>
              <w:gridCol w:w="1578"/>
              <w:gridCol w:w="2718"/>
              <w:gridCol w:w="3398"/>
            </w:tblGrid>
            <w:tr w14:paraId="71E89D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854" w:type="pct"/>
                  <w:vAlign w:val="center"/>
                </w:tcPr>
                <w:p w14:paraId="5826EE38">
                  <w:pPr>
                    <w:pStyle w:val="12"/>
                    <w:keepNext w:val="0"/>
                    <w:keepLines w:val="0"/>
                    <w:numPr>
                      <w:ilvl w:val="255"/>
                      <w:numId w:val="0"/>
                    </w:numPr>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监控点</w:t>
                  </w:r>
                </w:p>
              </w:tc>
              <w:tc>
                <w:tcPr>
                  <w:tcW w:w="850" w:type="pct"/>
                  <w:vAlign w:val="center"/>
                </w:tcPr>
                <w:p w14:paraId="2F1B64B3">
                  <w:pPr>
                    <w:pStyle w:val="12"/>
                    <w:keepNext w:val="0"/>
                    <w:keepLines w:val="0"/>
                    <w:numPr>
                      <w:ilvl w:val="255"/>
                      <w:numId w:val="0"/>
                    </w:numPr>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污染物</w:t>
                  </w:r>
                </w:p>
              </w:tc>
              <w:tc>
                <w:tcPr>
                  <w:tcW w:w="1464" w:type="pct"/>
                  <w:vAlign w:val="center"/>
                </w:tcPr>
                <w:p w14:paraId="3DF6817D">
                  <w:pPr>
                    <w:pStyle w:val="12"/>
                    <w:keepNext w:val="0"/>
                    <w:keepLines w:val="0"/>
                    <w:numPr>
                      <w:ilvl w:val="255"/>
                      <w:numId w:val="0"/>
                    </w:numPr>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排放浓度（mg/m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rPr>
                    <w:t>）</w:t>
                  </w:r>
                </w:p>
              </w:tc>
              <w:tc>
                <w:tcPr>
                  <w:tcW w:w="1830" w:type="pct"/>
                  <w:vAlign w:val="center"/>
                </w:tcPr>
                <w:p w14:paraId="3C7643F7">
                  <w:pPr>
                    <w:pStyle w:val="12"/>
                    <w:keepNext w:val="0"/>
                    <w:keepLines w:val="0"/>
                    <w:numPr>
                      <w:ilvl w:val="255"/>
                      <w:numId w:val="0"/>
                    </w:numPr>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执行标准</w:t>
                  </w:r>
                </w:p>
              </w:tc>
            </w:tr>
            <w:tr w14:paraId="417AC8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854" w:type="pct"/>
                  <w:vMerge w:val="restart"/>
                  <w:vAlign w:val="center"/>
                </w:tcPr>
                <w:p w14:paraId="6008C6DE">
                  <w:pPr>
                    <w:pStyle w:val="12"/>
                    <w:keepNext w:val="0"/>
                    <w:keepLines w:val="0"/>
                    <w:numPr>
                      <w:ilvl w:val="255"/>
                      <w:numId w:val="0"/>
                    </w:numPr>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厂界</w:t>
                  </w:r>
                </w:p>
              </w:tc>
              <w:tc>
                <w:tcPr>
                  <w:tcW w:w="850" w:type="pct"/>
                  <w:vAlign w:val="center"/>
                </w:tcPr>
                <w:p w14:paraId="78AF6BE7">
                  <w:pPr>
                    <w:pStyle w:val="12"/>
                    <w:keepNext w:val="0"/>
                    <w:keepLines w:val="0"/>
                    <w:numPr>
                      <w:ilvl w:val="255"/>
                      <w:numId w:val="0"/>
                    </w:numPr>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颗粒物</w:t>
                  </w:r>
                </w:p>
              </w:tc>
              <w:tc>
                <w:tcPr>
                  <w:tcW w:w="1464" w:type="pct"/>
                  <w:vAlign w:val="center"/>
                </w:tcPr>
                <w:p w14:paraId="71FDB2BB">
                  <w:pPr>
                    <w:pStyle w:val="12"/>
                    <w:keepNext w:val="0"/>
                    <w:keepLines w:val="0"/>
                    <w:numPr>
                      <w:ilvl w:val="255"/>
                      <w:numId w:val="0"/>
                    </w:numPr>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w:t>
                  </w:r>
                </w:p>
              </w:tc>
              <w:tc>
                <w:tcPr>
                  <w:tcW w:w="1830" w:type="pct"/>
                  <w:vMerge w:val="restart"/>
                  <w:vAlign w:val="center"/>
                </w:tcPr>
                <w:p w14:paraId="18CDEC7E">
                  <w:pPr>
                    <w:pStyle w:val="12"/>
                    <w:keepNext w:val="0"/>
                    <w:keepLines w:val="0"/>
                    <w:numPr>
                      <w:ilvl w:val="255"/>
                      <w:numId w:val="0"/>
                    </w:numPr>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广东省《大气污染物排放限值》</w:t>
                  </w:r>
                </w:p>
                <w:p w14:paraId="49C82B94">
                  <w:pPr>
                    <w:pStyle w:val="12"/>
                    <w:keepNext w:val="0"/>
                    <w:keepLines w:val="0"/>
                    <w:numPr>
                      <w:ilvl w:val="255"/>
                      <w:numId w:val="0"/>
                    </w:numPr>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（DB44/27-2001）</w:t>
                  </w:r>
                </w:p>
              </w:tc>
            </w:tr>
            <w:tr w14:paraId="42DED9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854" w:type="pct"/>
                  <w:vMerge w:val="continue"/>
                  <w:vAlign w:val="center"/>
                </w:tcPr>
                <w:p w14:paraId="23E7E0A6">
                  <w:pPr>
                    <w:pStyle w:val="12"/>
                    <w:keepNext w:val="0"/>
                    <w:keepLines w:val="0"/>
                    <w:numPr>
                      <w:ilvl w:val="255"/>
                      <w:numId w:val="0"/>
                    </w:numPr>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850" w:type="pct"/>
                  <w:vAlign w:val="center"/>
                </w:tcPr>
                <w:p w14:paraId="21D73B1F">
                  <w:pPr>
                    <w:pStyle w:val="12"/>
                    <w:keepNext w:val="0"/>
                    <w:keepLines w:val="0"/>
                    <w:numPr>
                      <w:ilvl w:val="255"/>
                      <w:numId w:val="0"/>
                    </w:numPr>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SO</w:t>
                  </w:r>
                  <w:r>
                    <w:rPr>
                      <w:rFonts w:hint="default" w:ascii="Times New Roman" w:hAnsi="Times New Roman" w:cs="Times New Roman"/>
                      <w:color w:val="auto"/>
                      <w:sz w:val="21"/>
                      <w:szCs w:val="21"/>
                      <w:highlight w:val="none"/>
                      <w:vertAlign w:val="subscript"/>
                    </w:rPr>
                    <w:t>2</w:t>
                  </w:r>
                </w:p>
              </w:tc>
              <w:tc>
                <w:tcPr>
                  <w:tcW w:w="1464" w:type="pct"/>
                  <w:vAlign w:val="center"/>
                </w:tcPr>
                <w:p w14:paraId="5173F838">
                  <w:pPr>
                    <w:pStyle w:val="12"/>
                    <w:keepNext w:val="0"/>
                    <w:keepLines w:val="0"/>
                    <w:numPr>
                      <w:ilvl w:val="255"/>
                      <w:numId w:val="0"/>
                    </w:numPr>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≤0.4</w:t>
                  </w:r>
                </w:p>
              </w:tc>
              <w:tc>
                <w:tcPr>
                  <w:tcW w:w="1830" w:type="pct"/>
                  <w:vMerge w:val="continue"/>
                  <w:vAlign w:val="center"/>
                </w:tcPr>
                <w:p w14:paraId="33B1517C">
                  <w:pPr>
                    <w:pStyle w:val="12"/>
                    <w:keepNext w:val="0"/>
                    <w:keepLines w:val="0"/>
                    <w:numPr>
                      <w:ilvl w:val="255"/>
                      <w:numId w:val="0"/>
                    </w:numPr>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r>
            <w:tr w14:paraId="268307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trPr>
              <w:tc>
                <w:tcPr>
                  <w:tcW w:w="854" w:type="pct"/>
                  <w:vMerge w:val="continue"/>
                  <w:vAlign w:val="center"/>
                </w:tcPr>
                <w:p w14:paraId="294FAB60">
                  <w:pPr>
                    <w:pStyle w:val="12"/>
                    <w:keepNext w:val="0"/>
                    <w:keepLines w:val="0"/>
                    <w:numPr>
                      <w:ilvl w:val="255"/>
                      <w:numId w:val="0"/>
                    </w:numPr>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850" w:type="pct"/>
                  <w:vAlign w:val="center"/>
                </w:tcPr>
                <w:p w14:paraId="71F570BA">
                  <w:pPr>
                    <w:pStyle w:val="12"/>
                    <w:keepNext w:val="0"/>
                    <w:keepLines w:val="0"/>
                    <w:numPr>
                      <w:ilvl w:val="255"/>
                      <w:numId w:val="0"/>
                    </w:numPr>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NO</w:t>
                  </w:r>
                  <w:r>
                    <w:rPr>
                      <w:rFonts w:hint="default" w:ascii="Times New Roman" w:hAnsi="Times New Roman" w:cs="Times New Roman"/>
                      <w:color w:val="auto"/>
                      <w:sz w:val="21"/>
                      <w:szCs w:val="21"/>
                      <w:highlight w:val="none"/>
                      <w:vertAlign w:val="subscript"/>
                    </w:rPr>
                    <w:t>X</w:t>
                  </w:r>
                </w:p>
              </w:tc>
              <w:tc>
                <w:tcPr>
                  <w:tcW w:w="1464" w:type="pct"/>
                  <w:vAlign w:val="center"/>
                </w:tcPr>
                <w:p w14:paraId="761AF2C1">
                  <w:pPr>
                    <w:pStyle w:val="12"/>
                    <w:keepNext w:val="0"/>
                    <w:keepLines w:val="0"/>
                    <w:numPr>
                      <w:ilvl w:val="255"/>
                      <w:numId w:val="0"/>
                    </w:numPr>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≤0.12</w:t>
                  </w:r>
                </w:p>
              </w:tc>
              <w:tc>
                <w:tcPr>
                  <w:tcW w:w="1830" w:type="pct"/>
                  <w:vMerge w:val="continue"/>
                  <w:vAlign w:val="center"/>
                </w:tcPr>
                <w:p w14:paraId="1435525A">
                  <w:pPr>
                    <w:pStyle w:val="12"/>
                    <w:keepNext w:val="0"/>
                    <w:keepLines w:val="0"/>
                    <w:numPr>
                      <w:ilvl w:val="255"/>
                      <w:numId w:val="0"/>
                    </w:numPr>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r>
            <w:tr w14:paraId="76A283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trPr>
              <w:tc>
                <w:tcPr>
                  <w:tcW w:w="854" w:type="pct"/>
                  <w:vAlign w:val="center"/>
                </w:tcPr>
                <w:p w14:paraId="469FEF69">
                  <w:pPr>
                    <w:pStyle w:val="12"/>
                    <w:keepNext w:val="0"/>
                    <w:keepLines w:val="0"/>
                    <w:numPr>
                      <w:ilvl w:val="255"/>
                      <w:numId w:val="0"/>
                    </w:numPr>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施工机械设备</w:t>
                  </w:r>
                </w:p>
              </w:tc>
              <w:tc>
                <w:tcPr>
                  <w:tcW w:w="850" w:type="pct"/>
                  <w:vAlign w:val="center"/>
                </w:tcPr>
                <w:p w14:paraId="5DEDE773">
                  <w:pPr>
                    <w:pStyle w:val="12"/>
                    <w:keepNext w:val="0"/>
                    <w:keepLines w:val="0"/>
                    <w:numPr>
                      <w:ilvl w:val="255"/>
                      <w:numId w:val="0"/>
                    </w:numPr>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林格曼烟度</w:t>
                  </w:r>
                </w:p>
              </w:tc>
              <w:tc>
                <w:tcPr>
                  <w:tcW w:w="1464" w:type="pct"/>
                  <w:vAlign w:val="center"/>
                </w:tcPr>
                <w:p w14:paraId="6274D6D2">
                  <w:pPr>
                    <w:pStyle w:val="12"/>
                    <w:keepNext w:val="0"/>
                    <w:keepLines w:val="0"/>
                    <w:numPr>
                      <w:ilvl w:val="255"/>
                      <w:numId w:val="0"/>
                    </w:numPr>
                    <w:suppressLineNumbers w:val="0"/>
                    <w:spacing w:before="0" w:beforeAutospacing="0" w:after="0" w:afterAutospacing="0" w:line="240" w:lineRule="auto"/>
                    <w:ind w:left="0" w:right="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1（林格曼黑度级数）</w:t>
                  </w:r>
                </w:p>
              </w:tc>
              <w:tc>
                <w:tcPr>
                  <w:tcW w:w="1830" w:type="pct"/>
                  <w:vAlign w:val="center"/>
                </w:tcPr>
                <w:p w14:paraId="23F77B67">
                  <w:pPr>
                    <w:pStyle w:val="12"/>
                    <w:keepNext w:val="0"/>
                    <w:keepLines w:val="0"/>
                    <w:numPr>
                      <w:ilvl w:val="255"/>
                      <w:numId w:val="0"/>
                    </w:numPr>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rPr>
                    <w:t>非道路移动柴油机械排气烟度限值及测量方法</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GB 36886-2018</w:t>
                  </w:r>
                  <w:r>
                    <w:rPr>
                      <w:rFonts w:hint="eastAsia" w:cs="Times New Roman"/>
                      <w:color w:val="auto"/>
                      <w:sz w:val="21"/>
                      <w:szCs w:val="21"/>
                      <w:highlight w:val="none"/>
                      <w:lang w:eastAsia="zh-CN"/>
                    </w:rPr>
                    <w:t>）</w:t>
                  </w:r>
                </w:p>
              </w:tc>
            </w:tr>
          </w:tbl>
          <w:p w14:paraId="71ED4F39">
            <w:pPr>
              <w:pStyle w:val="4"/>
              <w:numPr>
                <w:ilvl w:val="2"/>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2）运营期</w:t>
            </w:r>
          </w:p>
          <w:p w14:paraId="0579A86C">
            <w:pPr>
              <w:pStyle w:val="24"/>
              <w:keepNext w:val="0"/>
              <w:keepLines w:val="0"/>
              <w:suppressLineNumbers w:val="0"/>
              <w:spacing w:before="0" w:beforeAutospacing="0" w:after="0" w:afterAutospacing="0"/>
              <w:ind w:left="0" w:right="0" w:firstLine="480" w:firstLineChars="200"/>
              <w:rPr>
                <w:rFonts w:hint="default" w:cs="Times New Roman"/>
                <w:b w:val="0"/>
                <w:bCs w:val="0"/>
                <w:color w:val="auto"/>
                <w:highlight w:val="none"/>
                <w:lang w:val="en-US" w:eastAsia="zh-CN"/>
              </w:rPr>
            </w:pPr>
            <w:r>
              <w:rPr>
                <w:rFonts w:hint="eastAsia" w:cs="Times New Roman"/>
                <w:b w:val="0"/>
                <w:bCs w:val="0"/>
                <w:color w:val="auto"/>
                <w:highlight w:val="none"/>
                <w:lang w:val="en-US" w:eastAsia="zh-CN"/>
              </w:rPr>
              <w:t>①破碎粉尘</w:t>
            </w:r>
          </w:p>
          <w:p w14:paraId="3E5BE9CE">
            <w:pPr>
              <w:pStyle w:val="24"/>
              <w:keepNext w:val="0"/>
              <w:keepLines w:val="0"/>
              <w:suppressLineNumbers w:val="0"/>
              <w:spacing w:before="0" w:beforeAutospacing="0" w:after="0" w:afterAutospacing="0"/>
              <w:ind w:left="0" w:right="0" w:firstLine="480" w:firstLineChars="200"/>
              <w:rPr>
                <w:rFonts w:hint="default" w:ascii="Times New Roman" w:hAnsi="Times New Roman" w:cs="Times New Roman"/>
                <w:b w:val="0"/>
                <w:bCs w:val="0"/>
                <w:color w:val="auto"/>
                <w:highlight w:val="none"/>
              </w:rPr>
            </w:pPr>
            <w:r>
              <w:rPr>
                <w:rFonts w:hint="default" w:ascii="Times New Roman" w:hAnsi="Times New Roman" w:cs="Times New Roman"/>
                <w:b w:val="0"/>
                <w:bCs w:val="0"/>
                <w:color w:val="auto"/>
                <w:highlight w:val="none"/>
              </w:rPr>
              <w:t>本项目</w:t>
            </w:r>
            <w:r>
              <w:rPr>
                <w:rFonts w:hint="eastAsia" w:cs="Times New Roman"/>
                <w:b w:val="0"/>
                <w:bCs w:val="0"/>
                <w:color w:val="auto"/>
                <w:highlight w:val="none"/>
                <w:lang w:val="en-US" w:eastAsia="zh-CN"/>
              </w:rPr>
              <w:t>破碎粉尘</w:t>
            </w:r>
            <w:r>
              <w:rPr>
                <w:rFonts w:hint="default" w:ascii="Times New Roman" w:hAnsi="Times New Roman" w:cs="Times New Roman"/>
                <w:b w:val="0"/>
                <w:bCs w:val="0"/>
                <w:color w:val="auto"/>
                <w:highlight w:val="none"/>
              </w:rPr>
              <w:t>以颗粒物表征，</w:t>
            </w:r>
            <w:r>
              <w:rPr>
                <w:rFonts w:hint="eastAsia" w:cs="Times New Roman"/>
                <w:b w:val="0"/>
                <w:bCs w:val="0"/>
                <w:color w:val="auto"/>
                <w:highlight w:val="none"/>
                <w:lang w:val="en-US" w:eastAsia="zh-CN"/>
              </w:rPr>
              <w:t>废气颗粒物有组织排放执行《合成树脂工业污染物排放标准》(GB31572-2015) 及其 2024 年修改单中表 5 大气污染物特别排放限值和表9企业边界大气污染物浓度限值</w:t>
            </w:r>
            <w:r>
              <w:rPr>
                <w:rFonts w:hint="default" w:ascii="Times New Roman" w:hAnsi="Times New Roman" w:cs="Times New Roman"/>
                <w:b w:val="0"/>
                <w:bCs w:val="0"/>
                <w:color w:val="auto"/>
                <w:highlight w:val="none"/>
              </w:rPr>
              <w:t>。</w:t>
            </w:r>
          </w:p>
          <w:p w14:paraId="6D8A96AE">
            <w:pPr>
              <w:pStyle w:val="46"/>
              <w:keepNext w:val="0"/>
              <w:keepLines w:val="0"/>
              <w:numPr>
                <w:ilvl w:val="0"/>
                <w:numId w:val="0"/>
              </w:numPr>
              <w:suppressLineNumbers w:val="0"/>
              <w:tabs>
                <w:tab w:val="left" w:pos="0"/>
              </w:tabs>
              <w:spacing w:before="0" w:beforeAutospacing="0" w:after="0" w:afterAutospacing="0"/>
              <w:ind w:left="0" w:leftChars="0" w:right="0" w:rightChars="0" w:firstLine="40" w:firstLineChars="0"/>
              <w:jc w:val="center"/>
              <w:rPr>
                <w:rFonts w:hint="default" w:ascii="Times New Roman" w:hAnsi="Times New Roman" w:cs="Times New Roman"/>
                <w:color w:val="auto"/>
                <w:highlight w:val="none"/>
              </w:rPr>
            </w:pPr>
            <w:r>
              <w:rPr>
                <w:rFonts w:hint="default" w:ascii="Times New Roman" w:hAnsi="Times New Roman" w:eastAsia="宋体" w:cs="Times New Roman"/>
                <w:b/>
                <w:color w:val="auto"/>
                <w:kern w:val="2"/>
                <w:sz w:val="21"/>
                <w:szCs w:val="21"/>
                <w:highlight w:val="none"/>
                <w:lang w:val="en-US" w:eastAsia="zh-CN" w:bidi="ar-SA"/>
              </w:rPr>
              <w:t>表3-</w:t>
            </w:r>
            <w:r>
              <w:rPr>
                <w:rFonts w:hint="eastAsia" w:ascii="Times New Roman" w:cs="Times New Roman"/>
                <w:b/>
                <w:color w:val="auto"/>
                <w:kern w:val="2"/>
                <w:sz w:val="21"/>
                <w:szCs w:val="21"/>
                <w:highlight w:val="none"/>
                <w:lang w:val="en-US" w:eastAsia="zh-CN" w:bidi="ar-SA"/>
              </w:rPr>
              <w:t>7 干法</w:t>
            </w:r>
            <w:r>
              <w:rPr>
                <w:rFonts w:hint="eastAsia" w:ascii="Times New Roman" w:cs="Times New Roman"/>
                <w:b/>
                <w:bCs/>
                <w:color w:val="auto"/>
                <w:sz w:val="21"/>
                <w:szCs w:val="21"/>
                <w:highlight w:val="none"/>
                <w:lang w:val="en-US" w:eastAsia="zh-CN"/>
              </w:rPr>
              <w:t>破碎</w:t>
            </w:r>
            <w:r>
              <w:rPr>
                <w:rFonts w:hint="default" w:ascii="Times New Roman" w:hAnsi="Times New Roman" w:cs="Times New Roman"/>
                <w:b/>
                <w:bCs/>
                <w:color w:val="auto"/>
                <w:sz w:val="21"/>
                <w:szCs w:val="21"/>
                <w:highlight w:val="none"/>
              </w:rPr>
              <w:t>废气排放标准</w:t>
            </w:r>
          </w:p>
          <w:tbl>
            <w:tblPr>
              <w:tblStyle w:val="40"/>
              <w:tblW w:w="92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1"/>
              <w:gridCol w:w="901"/>
              <w:gridCol w:w="661"/>
              <w:gridCol w:w="1474"/>
              <w:gridCol w:w="1441"/>
              <w:gridCol w:w="1569"/>
              <w:gridCol w:w="2761"/>
            </w:tblGrid>
            <w:tr w14:paraId="3992D9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491" w:type="dxa"/>
                  <w:vMerge w:val="restart"/>
                  <w:vAlign w:val="center"/>
                </w:tcPr>
                <w:p w14:paraId="6C9940C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污染物</w:t>
                  </w:r>
                </w:p>
              </w:tc>
              <w:tc>
                <w:tcPr>
                  <w:tcW w:w="901" w:type="dxa"/>
                  <w:vMerge w:val="restart"/>
                  <w:vAlign w:val="center"/>
                </w:tcPr>
                <w:p w14:paraId="5B6BE35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排气筒编号</w:t>
                  </w:r>
                </w:p>
              </w:tc>
              <w:tc>
                <w:tcPr>
                  <w:tcW w:w="661" w:type="dxa"/>
                  <w:vMerge w:val="restart"/>
                  <w:vAlign w:val="center"/>
                </w:tcPr>
                <w:p w14:paraId="429122D8">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排放高度</w:t>
                  </w:r>
                </w:p>
              </w:tc>
              <w:tc>
                <w:tcPr>
                  <w:tcW w:w="2915" w:type="dxa"/>
                  <w:gridSpan w:val="2"/>
                  <w:vAlign w:val="center"/>
                </w:tcPr>
                <w:p w14:paraId="001D2449">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eastAsia"/>
                      <w:b/>
                      <w:bCs/>
                      <w:color w:val="auto"/>
                      <w:sz w:val="21"/>
                      <w:szCs w:val="21"/>
                      <w:highlight w:val="none"/>
                    </w:rPr>
                    <w:t>有组织排放要求</w:t>
                  </w:r>
                </w:p>
              </w:tc>
              <w:tc>
                <w:tcPr>
                  <w:tcW w:w="1569" w:type="dxa"/>
                  <w:vMerge w:val="restart"/>
                  <w:vAlign w:val="center"/>
                </w:tcPr>
                <w:p w14:paraId="6608990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厂界无组织排放监控浓度限值（mg/m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rPr>
                    <w:t>）</w:t>
                  </w:r>
                </w:p>
              </w:tc>
              <w:tc>
                <w:tcPr>
                  <w:tcW w:w="2761" w:type="dxa"/>
                  <w:vMerge w:val="restart"/>
                  <w:vAlign w:val="center"/>
                </w:tcPr>
                <w:p w14:paraId="45DBDE6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标准来源</w:t>
                  </w:r>
                </w:p>
              </w:tc>
            </w:tr>
            <w:tr w14:paraId="368AF6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491" w:type="dxa"/>
                  <w:vMerge w:val="continue"/>
                  <w:vAlign w:val="center"/>
                </w:tcPr>
                <w:p w14:paraId="43E9A213">
                  <w:pPr>
                    <w:keepNext w:val="0"/>
                    <w:keepLines w:val="0"/>
                    <w:suppressLineNumbers w:val="0"/>
                    <w:spacing w:before="0" w:beforeAutospacing="0" w:after="0" w:afterAutospacing="0" w:line="240" w:lineRule="auto"/>
                    <w:ind w:left="0" w:right="0"/>
                    <w:jc w:val="center"/>
                    <w:rPr>
                      <w:rFonts w:hint="eastAsia"/>
                      <w:color w:val="auto"/>
                      <w:highlight w:val="none"/>
                    </w:rPr>
                  </w:pPr>
                </w:p>
              </w:tc>
              <w:tc>
                <w:tcPr>
                  <w:tcW w:w="901" w:type="dxa"/>
                  <w:vMerge w:val="continue"/>
                  <w:vAlign w:val="center"/>
                </w:tcPr>
                <w:p w14:paraId="63BC8539">
                  <w:pPr>
                    <w:keepNext w:val="0"/>
                    <w:keepLines w:val="0"/>
                    <w:suppressLineNumbers w:val="0"/>
                    <w:spacing w:before="0" w:beforeAutospacing="0" w:after="0" w:afterAutospacing="0" w:line="240" w:lineRule="auto"/>
                    <w:ind w:left="0" w:right="0"/>
                    <w:jc w:val="center"/>
                    <w:rPr>
                      <w:rFonts w:hint="eastAsia"/>
                      <w:color w:val="auto"/>
                      <w:highlight w:val="none"/>
                    </w:rPr>
                  </w:pPr>
                </w:p>
              </w:tc>
              <w:tc>
                <w:tcPr>
                  <w:tcW w:w="661" w:type="dxa"/>
                  <w:vMerge w:val="continue"/>
                  <w:vAlign w:val="center"/>
                </w:tcPr>
                <w:p w14:paraId="142A9043">
                  <w:pPr>
                    <w:keepNext w:val="0"/>
                    <w:keepLines w:val="0"/>
                    <w:suppressLineNumbers w:val="0"/>
                    <w:spacing w:before="0" w:beforeAutospacing="0" w:after="0" w:afterAutospacing="0" w:line="240" w:lineRule="auto"/>
                    <w:ind w:left="0" w:right="0"/>
                    <w:jc w:val="center"/>
                    <w:rPr>
                      <w:rFonts w:hint="eastAsia"/>
                      <w:color w:val="auto"/>
                      <w:highlight w:val="none"/>
                    </w:rPr>
                  </w:pPr>
                </w:p>
              </w:tc>
              <w:tc>
                <w:tcPr>
                  <w:tcW w:w="1474" w:type="dxa"/>
                  <w:vAlign w:val="center"/>
                </w:tcPr>
                <w:p w14:paraId="66FC853F">
                  <w:pPr>
                    <w:keepNext w:val="0"/>
                    <w:keepLines w:val="0"/>
                    <w:suppressLineNumbers w:val="0"/>
                    <w:spacing w:before="0" w:beforeAutospacing="0" w:after="0" w:afterAutospacing="0" w:line="240" w:lineRule="auto"/>
                    <w:ind w:left="0" w:right="0"/>
                    <w:jc w:val="center"/>
                    <w:rPr>
                      <w:rFonts w:hint="eastAsia"/>
                      <w:color w:val="auto"/>
                      <w:sz w:val="21"/>
                      <w:szCs w:val="21"/>
                      <w:highlight w:val="none"/>
                    </w:rPr>
                  </w:pPr>
                  <w:r>
                    <w:rPr>
                      <w:rFonts w:hint="eastAsia"/>
                      <w:b/>
                      <w:bCs/>
                      <w:color w:val="auto"/>
                      <w:sz w:val="21"/>
                      <w:szCs w:val="21"/>
                      <w:highlight w:val="none"/>
                    </w:rPr>
                    <w:t>最高允许排放浓度</w:t>
                  </w:r>
                  <w:r>
                    <w:rPr>
                      <w:rFonts w:hint="default" w:ascii="Times New Roman" w:hAnsi="Times New Roman" w:cs="Times New Roman"/>
                      <w:b/>
                      <w:bCs/>
                      <w:color w:val="auto"/>
                      <w:sz w:val="21"/>
                      <w:szCs w:val="21"/>
                      <w:highlight w:val="none"/>
                    </w:rPr>
                    <w:t>（mg/m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rPr>
                    <w:t>）</w:t>
                  </w:r>
                </w:p>
              </w:tc>
              <w:tc>
                <w:tcPr>
                  <w:tcW w:w="1441" w:type="dxa"/>
                  <w:vAlign w:val="center"/>
                </w:tcPr>
                <w:p w14:paraId="6D5FA8FC">
                  <w:pPr>
                    <w:keepNext w:val="0"/>
                    <w:keepLines w:val="0"/>
                    <w:suppressLineNumbers w:val="0"/>
                    <w:spacing w:before="0" w:beforeAutospacing="0" w:after="0" w:afterAutospacing="0" w:line="240" w:lineRule="auto"/>
                    <w:ind w:left="0" w:right="0"/>
                    <w:jc w:val="center"/>
                    <w:rPr>
                      <w:rFonts w:hint="eastAsia"/>
                      <w:color w:val="auto"/>
                      <w:sz w:val="21"/>
                      <w:szCs w:val="21"/>
                      <w:highlight w:val="none"/>
                    </w:rPr>
                  </w:pPr>
                  <w:r>
                    <w:rPr>
                      <w:rFonts w:hint="eastAsia"/>
                      <w:b/>
                      <w:bCs/>
                      <w:color w:val="auto"/>
                      <w:sz w:val="21"/>
                      <w:szCs w:val="21"/>
                      <w:highlight w:val="none"/>
                    </w:rPr>
                    <w:t>最高允许排放速率</w:t>
                  </w:r>
                  <w:r>
                    <w:rPr>
                      <w:rFonts w:hint="default" w:ascii="Times New Roman" w:hAnsi="Times New Roman" w:cs="Times New Roman"/>
                      <w:b/>
                      <w:bCs/>
                      <w:color w:val="auto"/>
                      <w:sz w:val="21"/>
                      <w:szCs w:val="21"/>
                      <w:highlight w:val="none"/>
                    </w:rPr>
                    <w:t>（</w:t>
                  </w:r>
                  <w:r>
                    <w:rPr>
                      <w:rFonts w:hint="eastAsia" w:ascii="Times New Roman" w:hAnsi="Times New Roman" w:cs="Times New Roman"/>
                      <w:b/>
                      <w:bCs/>
                      <w:color w:val="auto"/>
                      <w:sz w:val="21"/>
                      <w:szCs w:val="21"/>
                      <w:highlight w:val="none"/>
                      <w:lang w:val="en-US" w:eastAsia="zh-CN"/>
                    </w:rPr>
                    <w:t>kg/h</w:t>
                  </w:r>
                  <w:r>
                    <w:rPr>
                      <w:rFonts w:hint="default" w:ascii="Times New Roman" w:hAnsi="Times New Roman" w:cs="Times New Roman"/>
                      <w:b/>
                      <w:bCs/>
                      <w:color w:val="auto"/>
                      <w:sz w:val="21"/>
                      <w:szCs w:val="21"/>
                      <w:highlight w:val="none"/>
                    </w:rPr>
                    <w:t>）</w:t>
                  </w:r>
                </w:p>
              </w:tc>
              <w:tc>
                <w:tcPr>
                  <w:tcW w:w="1569" w:type="dxa"/>
                  <w:vMerge w:val="continue"/>
                  <w:vAlign w:val="center"/>
                </w:tcPr>
                <w:p w14:paraId="76200E81">
                  <w:pPr>
                    <w:keepNext w:val="0"/>
                    <w:keepLines w:val="0"/>
                    <w:suppressLineNumbers w:val="0"/>
                    <w:spacing w:before="0" w:beforeAutospacing="0" w:after="0" w:afterAutospacing="0" w:line="240" w:lineRule="auto"/>
                    <w:ind w:left="0" w:right="0"/>
                    <w:jc w:val="center"/>
                    <w:rPr>
                      <w:rFonts w:hint="eastAsia"/>
                      <w:color w:val="auto"/>
                      <w:highlight w:val="none"/>
                    </w:rPr>
                  </w:pPr>
                </w:p>
              </w:tc>
              <w:tc>
                <w:tcPr>
                  <w:tcW w:w="2761" w:type="dxa"/>
                  <w:vMerge w:val="continue"/>
                  <w:vAlign w:val="center"/>
                </w:tcPr>
                <w:p w14:paraId="2B03ABFF">
                  <w:pPr>
                    <w:keepNext w:val="0"/>
                    <w:keepLines w:val="0"/>
                    <w:suppressLineNumbers w:val="0"/>
                    <w:spacing w:before="0" w:beforeAutospacing="0" w:after="0" w:afterAutospacing="0" w:line="240" w:lineRule="auto"/>
                    <w:ind w:left="0" w:right="0"/>
                    <w:jc w:val="center"/>
                    <w:rPr>
                      <w:rFonts w:hint="eastAsia"/>
                      <w:color w:val="auto"/>
                      <w:highlight w:val="none"/>
                    </w:rPr>
                  </w:pPr>
                </w:p>
              </w:tc>
            </w:tr>
            <w:tr w14:paraId="3E8DC9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3" w:hRule="atLeast"/>
              </w:trPr>
              <w:tc>
                <w:tcPr>
                  <w:tcW w:w="491" w:type="dxa"/>
                  <w:vAlign w:val="center"/>
                </w:tcPr>
                <w:p w14:paraId="7D4057B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颗粒物</w:t>
                  </w:r>
                </w:p>
              </w:tc>
              <w:tc>
                <w:tcPr>
                  <w:tcW w:w="901" w:type="dxa"/>
                  <w:vAlign w:val="center"/>
                </w:tcPr>
                <w:p w14:paraId="310FE64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DA001</w:t>
                  </w:r>
                </w:p>
              </w:tc>
              <w:tc>
                <w:tcPr>
                  <w:tcW w:w="661" w:type="dxa"/>
                  <w:vAlign w:val="center"/>
                </w:tcPr>
                <w:p w14:paraId="7A2E446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15m</w:t>
                  </w:r>
                </w:p>
              </w:tc>
              <w:tc>
                <w:tcPr>
                  <w:tcW w:w="1474" w:type="dxa"/>
                  <w:shd w:val="clear" w:color="auto" w:fill="auto"/>
                  <w:vAlign w:val="center"/>
                </w:tcPr>
                <w:p w14:paraId="5E805278">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20</w:t>
                  </w:r>
                </w:p>
              </w:tc>
              <w:tc>
                <w:tcPr>
                  <w:tcW w:w="1441" w:type="dxa"/>
                  <w:shd w:val="clear" w:color="auto" w:fill="auto"/>
                  <w:vAlign w:val="center"/>
                </w:tcPr>
                <w:p w14:paraId="4977D992">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w:t>
                  </w:r>
                </w:p>
              </w:tc>
              <w:tc>
                <w:tcPr>
                  <w:tcW w:w="1569" w:type="dxa"/>
                  <w:shd w:val="clear" w:color="auto" w:fill="auto"/>
                  <w:vAlign w:val="center"/>
                </w:tcPr>
                <w:p w14:paraId="4708F2D0">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1.0</w:t>
                  </w:r>
                </w:p>
              </w:tc>
              <w:tc>
                <w:tcPr>
                  <w:tcW w:w="2761" w:type="dxa"/>
                  <w:vAlign w:val="center"/>
                </w:tcPr>
                <w:p w14:paraId="0E5C353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《合成树脂工业污染物排放标准》(GB31572-2015) 及其 2024 年修改单中表 5 大气污染物特别排放限值</w:t>
                  </w:r>
                  <w:r>
                    <w:rPr>
                      <w:rFonts w:hint="eastAsia" w:ascii="Times New Roman" w:hAnsi="Times New Roman" w:cs="Times New Roman"/>
                      <w:color w:val="auto"/>
                      <w:sz w:val="21"/>
                      <w:szCs w:val="21"/>
                      <w:highlight w:val="none"/>
                      <w:lang w:val="en-US" w:eastAsia="zh-CN"/>
                    </w:rPr>
                    <w:t>和表9企业边界大气污染物浓度限值</w:t>
                  </w:r>
                </w:p>
              </w:tc>
            </w:tr>
          </w:tbl>
          <w:p w14:paraId="17245A06">
            <w:pPr>
              <w:pStyle w:val="4"/>
              <w:numPr>
                <w:ilvl w:val="2"/>
                <w:numId w:val="0"/>
              </w:numPr>
              <w:suppressLineNumbers w:val="0"/>
              <w:spacing w:before="0" w:beforeAutospacing="0" w:after="0" w:afterAutospacing="0"/>
              <w:ind w:left="0" w:right="0" w:firstLine="480" w:firstLineChars="200"/>
              <w:rPr>
                <w:rFonts w:hint="eastAsia" w:cs="Times New Roman"/>
                <w:color w:val="auto"/>
                <w:highlight w:val="none"/>
                <w:lang w:val="en-US" w:eastAsia="zh-CN"/>
              </w:rPr>
            </w:pPr>
            <w:r>
              <w:rPr>
                <w:rFonts w:hint="eastAsia" w:cs="Times New Roman"/>
                <w:color w:val="auto"/>
                <w:highlight w:val="none"/>
                <w:lang w:val="en-US" w:eastAsia="zh-CN"/>
              </w:rPr>
              <w:t>②污水处理站恶臭</w:t>
            </w:r>
          </w:p>
          <w:p w14:paraId="1DE49EC9">
            <w:pPr>
              <w:keepNext w:val="0"/>
              <w:keepLines w:val="0"/>
              <w:pageBreakBefore w:val="0"/>
              <w:widowControl/>
              <w:suppressLineNumbers w:val="0"/>
              <w:kinsoku/>
              <w:wordWrap/>
              <w:overflowPunct/>
              <w:topLinePunct w:val="0"/>
              <w:bidi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0"/>
                <w:sz w:val="24"/>
                <w:szCs w:val="24"/>
                <w:highlight w:val="none"/>
                <w:lang w:val="en-US" w:eastAsia="zh-CN"/>
              </w:rPr>
            </w:pPr>
            <w:r>
              <w:rPr>
                <w:rFonts w:hint="eastAsia" w:cs="Times New Roman"/>
                <w:color w:val="auto"/>
                <w:kern w:val="0"/>
                <w:sz w:val="24"/>
                <w:szCs w:val="24"/>
                <w:highlight w:val="none"/>
                <w:lang w:val="en-US" w:eastAsia="zh-CN"/>
              </w:rPr>
              <w:t>本项目自建污水处理站运行过程会产生少量恶臭污染物（氨气、硫化氢以及臭气浓度等），污水处理站恶臭在厂区内无组织排放。</w:t>
            </w:r>
            <w:r>
              <w:rPr>
                <w:rFonts w:hint="default" w:ascii="Times New Roman" w:hAnsi="Times New Roman" w:cs="Times New Roman"/>
                <w:color w:val="auto"/>
                <w:kern w:val="0"/>
                <w:sz w:val="24"/>
                <w:szCs w:val="24"/>
                <w:highlight w:val="none"/>
                <w:lang w:val="en-US" w:eastAsia="zh-CN"/>
              </w:rPr>
              <w:t>厂界</w:t>
            </w:r>
            <w:r>
              <w:rPr>
                <w:rFonts w:hint="default" w:ascii="Times New Roman" w:hAnsi="Times New Roman" w:eastAsia="宋体" w:cs="Times New Roman"/>
                <w:color w:val="auto"/>
                <w:kern w:val="0"/>
                <w:sz w:val="24"/>
                <w:szCs w:val="24"/>
                <w:highlight w:val="none"/>
                <w:lang w:val="en-US" w:eastAsia="zh-CN"/>
              </w:rPr>
              <w:t>氨气、硫化氢、臭气浓度排放浓度执行《恶臭污染物排放标准》（GB14554-93）中表1二级标准中“新改扩建”限值要求。</w:t>
            </w:r>
          </w:p>
          <w:p w14:paraId="0AE8775F">
            <w:pPr>
              <w:pStyle w:val="46"/>
              <w:keepNext w:val="0"/>
              <w:keepLines w:val="0"/>
              <w:numPr>
                <w:ilvl w:val="0"/>
                <w:numId w:val="0"/>
              </w:numPr>
              <w:suppressLineNumbers w:val="0"/>
              <w:tabs>
                <w:tab w:val="left" w:pos="0"/>
              </w:tabs>
              <w:spacing w:before="0" w:beforeAutospacing="0" w:after="0" w:afterAutospacing="0"/>
              <w:ind w:left="0" w:leftChars="0" w:right="0" w:rightChars="0" w:firstLine="40" w:firstLineChars="0"/>
              <w:jc w:val="center"/>
              <w:rPr>
                <w:rFonts w:hint="default" w:cs="Times New Roman"/>
                <w:color w:val="auto"/>
                <w:highlight w:val="none"/>
                <w:lang w:val="en-US" w:eastAsia="zh-CN"/>
              </w:rPr>
            </w:pPr>
            <w:r>
              <w:rPr>
                <w:rFonts w:hint="default" w:ascii="Times New Roman" w:hAnsi="Times New Roman" w:eastAsia="宋体" w:cs="Times New Roman"/>
                <w:b/>
                <w:color w:val="auto"/>
                <w:kern w:val="2"/>
                <w:sz w:val="21"/>
                <w:szCs w:val="21"/>
                <w:highlight w:val="none"/>
                <w:lang w:val="en-US" w:eastAsia="zh-CN" w:bidi="ar-SA"/>
              </w:rPr>
              <w:t>表3</w:t>
            </w:r>
            <w:r>
              <w:rPr>
                <w:rFonts w:hint="eastAsia" w:ascii="Times New Roman" w:cs="Times New Roman"/>
                <w:b/>
                <w:color w:val="auto"/>
                <w:kern w:val="2"/>
                <w:sz w:val="21"/>
                <w:szCs w:val="21"/>
                <w:highlight w:val="none"/>
                <w:lang w:val="en-US" w:eastAsia="zh-CN" w:bidi="ar-SA"/>
              </w:rPr>
              <w:t xml:space="preserve">-8 </w:t>
            </w:r>
            <w:r>
              <w:rPr>
                <w:rFonts w:hint="default" w:ascii="Times New Roman" w:hAnsi="Times New Roman" w:cs="Times New Roman"/>
                <w:b/>
                <w:bCs/>
                <w:color w:val="auto"/>
                <w:sz w:val="21"/>
                <w:szCs w:val="21"/>
                <w:highlight w:val="none"/>
              </w:rPr>
              <w:t>污水处理站恶臭排放标准（单位：mg/m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rPr>
              <w:t>）</w:t>
            </w:r>
          </w:p>
          <w:tbl>
            <w:tblPr>
              <w:tblStyle w:val="39"/>
              <w:tblW w:w="4998"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855"/>
              <w:gridCol w:w="1814"/>
              <w:gridCol w:w="2118"/>
              <w:gridCol w:w="3515"/>
            </w:tblGrid>
            <w:tr w14:paraId="3C2D28B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7" w:hRule="atLeast"/>
                <w:jc w:val="center"/>
              </w:trPr>
              <w:tc>
                <w:tcPr>
                  <w:tcW w:w="99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80FCD5">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污染物类别</w:t>
                  </w:r>
                </w:p>
              </w:tc>
              <w:tc>
                <w:tcPr>
                  <w:tcW w:w="9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0CE5E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位置</w:t>
                  </w:r>
                </w:p>
              </w:tc>
              <w:tc>
                <w:tcPr>
                  <w:tcW w:w="11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BEF59C">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污染因子</w:t>
                  </w:r>
                </w:p>
              </w:tc>
              <w:tc>
                <w:tcPr>
                  <w:tcW w:w="18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BAABB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无组织排放限值</w:t>
                  </w:r>
                </w:p>
              </w:tc>
            </w:tr>
            <w:tr w14:paraId="7B8B4B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7" w:hRule="atLeast"/>
                <w:jc w:val="center"/>
              </w:trPr>
              <w:tc>
                <w:tcPr>
                  <w:tcW w:w="99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FC5878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恶臭污染物</w:t>
                  </w:r>
                </w:p>
              </w:tc>
              <w:tc>
                <w:tcPr>
                  <w:tcW w:w="97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5FFD8C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厂界</w:t>
                  </w:r>
                </w:p>
              </w:tc>
              <w:tc>
                <w:tcPr>
                  <w:tcW w:w="11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6AF10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氨</w:t>
                  </w:r>
                </w:p>
              </w:tc>
              <w:tc>
                <w:tcPr>
                  <w:tcW w:w="18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F43F8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1.5</w:t>
                  </w:r>
                </w:p>
              </w:tc>
            </w:tr>
            <w:tr w14:paraId="316532D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7" w:hRule="atLeast"/>
                <w:jc w:val="center"/>
              </w:trPr>
              <w:tc>
                <w:tcPr>
                  <w:tcW w:w="99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285CF69">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97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19A593E">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1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36A6B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硫化氢</w:t>
                  </w:r>
                </w:p>
              </w:tc>
              <w:tc>
                <w:tcPr>
                  <w:tcW w:w="18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BAB67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0.06</w:t>
                  </w:r>
                </w:p>
              </w:tc>
            </w:tr>
            <w:tr w14:paraId="7140280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4" w:hRule="atLeast"/>
                <w:jc w:val="center"/>
              </w:trPr>
              <w:tc>
                <w:tcPr>
                  <w:tcW w:w="99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F4385FD">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97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C5762C8">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1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CD23D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臭气浓度</w:t>
                  </w:r>
                </w:p>
              </w:tc>
              <w:tc>
                <w:tcPr>
                  <w:tcW w:w="18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7D46B1">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20（无量纲）</w:t>
                  </w:r>
                </w:p>
              </w:tc>
            </w:tr>
          </w:tbl>
          <w:p w14:paraId="711C6FA7">
            <w:pPr>
              <w:pStyle w:val="4"/>
              <w:pageBreakBefore w:val="0"/>
              <w:widowControl w:val="0"/>
              <w:numPr>
                <w:ilvl w:val="2"/>
                <w:numId w:val="0"/>
              </w:numPr>
              <w:suppressLineNumbers w:val="0"/>
              <w:kinsoku/>
              <w:wordWrap/>
              <w:overflowPunct/>
              <w:topLinePunct w:val="0"/>
              <w:autoSpaceDE/>
              <w:autoSpaceDN/>
              <w:bidi w:val="0"/>
              <w:adjustRightInd/>
              <w:snapToGrid/>
              <w:spacing w:before="0" w:beforeAutospacing="0" w:after="0" w:afterAutospacing="0"/>
              <w:ind w:left="0" w:right="0" w:firstLine="480" w:firstLineChars="200"/>
              <w:textAlignment w:val="auto"/>
              <w:rPr>
                <w:rFonts w:hint="eastAsia" w:cs="Times New Roman"/>
                <w:color w:val="auto"/>
                <w:highlight w:val="none"/>
                <w:lang w:val="en-US" w:eastAsia="zh-CN"/>
              </w:rPr>
            </w:pPr>
            <w:r>
              <w:rPr>
                <w:rFonts w:hint="eastAsia" w:cs="Times New Roman"/>
                <w:color w:val="auto"/>
                <w:highlight w:val="none"/>
                <w:lang w:val="en-US" w:eastAsia="zh-CN"/>
              </w:rPr>
              <w:t>③油烟</w:t>
            </w:r>
          </w:p>
          <w:p w14:paraId="4B26BC0E">
            <w:pPr>
              <w:keepNext w:val="0"/>
              <w:keepLines w:val="0"/>
              <w:suppressLineNumbers w:val="0"/>
              <w:spacing w:before="0" w:beforeAutospacing="0" w:after="0" w:afterAutospacing="0"/>
              <w:ind w:left="0" w:right="0" w:firstLine="480" w:firstLineChars="200"/>
              <w:rPr>
                <w:rFonts w:hint="eastAsia" w:eastAsia="宋体"/>
                <w:color w:val="auto"/>
                <w:highlight w:val="none"/>
                <w:lang w:val="en-US" w:eastAsia="zh-CN"/>
              </w:rPr>
            </w:pPr>
            <w:r>
              <w:rPr>
                <w:rFonts w:hint="eastAsia" w:ascii="Times New Roman" w:hAnsi="Times New Roman" w:eastAsia="宋体" w:cs="Times New Roman"/>
                <w:color w:val="auto"/>
                <w:sz w:val="24"/>
                <w:szCs w:val="24"/>
                <w:highlight w:val="none"/>
                <w:lang w:val="en-US" w:eastAsia="zh-CN"/>
              </w:rPr>
              <w:t>项目</w:t>
            </w:r>
            <w:r>
              <w:rPr>
                <w:rFonts w:hint="default" w:ascii="Times New Roman" w:hAnsi="Times New Roman" w:eastAsia="宋体" w:cs="Times New Roman"/>
                <w:color w:val="auto"/>
                <w:sz w:val="24"/>
                <w:szCs w:val="24"/>
                <w:highlight w:val="none"/>
              </w:rPr>
              <w:t>食堂油烟执行《饮食业油烟排放标准（试行）》（GB18483-2001）</w:t>
            </w:r>
            <w:r>
              <w:rPr>
                <w:rFonts w:hint="eastAsia" w:ascii="Times New Roman" w:hAnsi="Times New Roman" w:eastAsia="宋体" w:cs="Times New Roman"/>
                <w:color w:val="auto"/>
                <w:sz w:val="24"/>
                <w:szCs w:val="24"/>
                <w:highlight w:val="none"/>
                <w:lang w:val="en-US" w:eastAsia="zh-CN"/>
              </w:rPr>
              <w:t>中</w:t>
            </w:r>
            <w:r>
              <w:rPr>
                <w:rFonts w:hint="default" w:ascii="Times New Roman" w:hAnsi="Times New Roman" w:eastAsia="宋体" w:cs="Times New Roman"/>
                <w:color w:val="auto"/>
                <w:sz w:val="24"/>
                <w:szCs w:val="24"/>
                <w:highlight w:val="none"/>
              </w:rPr>
              <w:t>型规模标准，最高允许排放浓度为2.0mg/m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，净化设施最低去除效率为</w:t>
            </w:r>
            <w:r>
              <w:rPr>
                <w:rFonts w:hint="eastAsia" w:ascii="Times New Roman" w:hAnsi="Times New Roman" w:eastAsia="宋体" w:cs="Times New Roman"/>
                <w:color w:val="auto"/>
                <w:sz w:val="24"/>
                <w:szCs w:val="24"/>
                <w:highlight w:val="none"/>
                <w:lang w:val="en-US" w:eastAsia="zh-CN"/>
              </w:rPr>
              <w:t>75</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eastAsia="zh-CN"/>
              </w:rPr>
              <w:t>。</w:t>
            </w:r>
          </w:p>
          <w:p w14:paraId="441C5ED0">
            <w:pPr>
              <w:pStyle w:val="4"/>
              <w:pageBreakBefore w:val="0"/>
              <w:widowControl w:val="0"/>
              <w:numPr>
                <w:ilvl w:val="2"/>
                <w:numId w:val="0"/>
              </w:numPr>
              <w:suppressLineNumbers w:val="0"/>
              <w:kinsoku/>
              <w:wordWrap/>
              <w:overflowPunct/>
              <w:topLinePunct w:val="0"/>
              <w:autoSpaceDE/>
              <w:autoSpaceDN/>
              <w:bidi w:val="0"/>
              <w:adjustRightInd/>
              <w:snapToGrid/>
              <w:spacing w:before="0" w:beforeAutospacing="0" w:after="0" w:afterAutospacing="0"/>
              <w:ind w:left="0" w:right="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二、废水排放标准</w:t>
            </w:r>
          </w:p>
          <w:p w14:paraId="1E9967A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本项目运营期废水主要为员工生活污水和</w:t>
            </w:r>
            <w:r>
              <w:rPr>
                <w:rFonts w:hint="eastAsia" w:cs="Times New Roman"/>
                <w:color w:val="auto"/>
                <w:highlight w:val="none"/>
                <w:lang w:val="en-US" w:eastAsia="zh-CN"/>
              </w:rPr>
              <w:t>废塑料</w:t>
            </w:r>
            <w:r>
              <w:rPr>
                <w:rFonts w:hint="eastAsia" w:cs="Times New Roman"/>
                <w:color w:val="auto"/>
                <w:highlight w:val="none"/>
                <w:lang w:eastAsia="zh-CN"/>
              </w:rPr>
              <w:t>洗料废水</w:t>
            </w:r>
            <w:r>
              <w:rPr>
                <w:rFonts w:hint="default" w:ascii="Times New Roman" w:hAnsi="Times New Roman" w:cs="Times New Roman"/>
                <w:color w:val="auto"/>
                <w:highlight w:val="none"/>
              </w:rPr>
              <w:t>。</w:t>
            </w:r>
          </w:p>
          <w:p w14:paraId="5A28CA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生活污水经三级化粪池</w:t>
            </w:r>
            <w:r>
              <w:rPr>
                <w:rFonts w:hint="eastAsia" w:cs="Times New Roman"/>
                <w:color w:val="auto"/>
                <w:highlight w:val="none"/>
                <w:lang w:eastAsia="zh-CN"/>
              </w:rPr>
              <w:t>、</w:t>
            </w:r>
            <w:r>
              <w:rPr>
                <w:rFonts w:hint="eastAsia" w:cs="Times New Roman"/>
                <w:color w:val="auto"/>
                <w:highlight w:val="none"/>
                <w:lang w:val="en-US" w:eastAsia="zh-CN"/>
              </w:rPr>
              <w:t>隔油隔渣池</w:t>
            </w:r>
            <w:r>
              <w:rPr>
                <w:rFonts w:hint="default" w:ascii="Times New Roman" w:hAnsi="Times New Roman" w:cs="Times New Roman"/>
                <w:color w:val="auto"/>
                <w:highlight w:val="none"/>
              </w:rPr>
              <w:t>处理</w:t>
            </w:r>
            <w:r>
              <w:rPr>
                <w:rFonts w:hint="eastAsia" w:cs="Times New Roman"/>
                <w:color w:val="auto"/>
                <w:highlight w:val="none"/>
                <w:lang w:eastAsia="zh-CN"/>
              </w:rPr>
              <w:t>；</w:t>
            </w:r>
            <w:r>
              <w:rPr>
                <w:rFonts w:hint="eastAsia" w:cs="Times New Roman"/>
                <w:color w:val="auto"/>
                <w:highlight w:val="none"/>
                <w:lang w:val="en-US" w:eastAsia="zh-CN"/>
              </w:rPr>
              <w:t>执行</w:t>
            </w:r>
            <w:r>
              <w:rPr>
                <w:rFonts w:hint="default" w:ascii="Times New Roman" w:hAnsi="Times New Roman" w:cs="Times New Roman"/>
                <w:color w:val="auto"/>
                <w:highlight w:val="none"/>
                <w:lang w:eastAsia="zh-CN"/>
              </w:rPr>
              <w:t>园区污水处理厂接管水质</w:t>
            </w:r>
            <w:r>
              <w:rPr>
                <w:rFonts w:hint="default" w:ascii="Times New Roman" w:hAnsi="Times New Roman" w:cs="Times New Roman"/>
                <w:color w:val="auto"/>
                <w:highlight w:val="none"/>
                <w:lang w:val="en-US" w:eastAsia="zh-CN"/>
              </w:rPr>
              <w:t>要求</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广东省《</w:t>
            </w:r>
            <w:r>
              <w:rPr>
                <w:rFonts w:hint="eastAsia" w:cs="Times New Roman"/>
                <w:color w:val="auto"/>
                <w:highlight w:val="none"/>
                <w:lang w:val="en-US" w:eastAsia="zh-CN"/>
              </w:rPr>
              <w:t>水污染物排放限值</w:t>
            </w:r>
            <w:r>
              <w:rPr>
                <w:rFonts w:hint="default" w:ascii="Times New Roman" w:hAnsi="Times New Roman" w:cs="Times New Roman"/>
                <w:color w:val="auto"/>
                <w:highlight w:val="none"/>
                <w:lang w:val="en-US" w:eastAsia="zh-CN"/>
              </w:rPr>
              <w:t>》（DB44/26-2001）第二时段三级标准</w:t>
            </w:r>
            <w:r>
              <w:rPr>
                <w:rFonts w:hint="eastAsia" w:cs="Times New Roman"/>
                <w:color w:val="auto"/>
                <w:highlight w:val="none"/>
                <w:lang w:val="en-US" w:eastAsia="zh-CN"/>
              </w:rPr>
              <w:t>两</w:t>
            </w:r>
            <w:r>
              <w:rPr>
                <w:rFonts w:hint="default" w:ascii="Times New Roman" w:hAnsi="Times New Roman" w:cs="Times New Roman"/>
                <w:color w:val="auto"/>
                <w:highlight w:val="none"/>
                <w:lang w:val="en-US" w:eastAsia="zh-CN"/>
              </w:rPr>
              <w:t>者较严值要求</w:t>
            </w:r>
            <w:r>
              <w:rPr>
                <w:rFonts w:hint="default" w:ascii="Times New Roman" w:hAnsi="Times New Roman" w:cs="Times New Roman"/>
                <w:color w:val="auto"/>
                <w:highlight w:val="none"/>
              </w:rPr>
              <w:t>。</w:t>
            </w:r>
          </w:p>
          <w:p w14:paraId="22D6C90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firstLineChars="200"/>
              <w:textAlignment w:val="auto"/>
              <w:rPr>
                <w:rFonts w:hint="eastAsia" w:cs="Times New Roman"/>
                <w:color w:val="auto"/>
                <w:highlight w:val="none"/>
                <w:lang w:val="en-US" w:eastAsia="zh-CN"/>
              </w:rPr>
            </w:pPr>
            <w:r>
              <w:rPr>
                <w:rFonts w:hint="eastAsia" w:cs="Times New Roman"/>
                <w:color w:val="auto"/>
                <w:highlight w:val="none"/>
                <w:lang w:eastAsia="zh-CN"/>
              </w:rPr>
              <w:t>洗料废水</w:t>
            </w:r>
            <w:r>
              <w:rPr>
                <w:rFonts w:hint="default" w:ascii="Times New Roman" w:hAnsi="Times New Roman" w:cs="Times New Roman"/>
                <w:color w:val="auto"/>
                <w:highlight w:val="none"/>
              </w:rPr>
              <w:t>经自建污水处理站处理《城市污水再生利用 工业用水水质》</w:t>
            </w:r>
            <w:r>
              <w:rPr>
                <w:rFonts w:hint="default" w:ascii="Times New Roman" w:hAnsi="Times New Roman" w:eastAsia="宋体" w:cs="Times New Roman"/>
                <w:i w:val="0"/>
                <w:iCs w:val="0"/>
                <w:color w:val="auto"/>
                <w:kern w:val="0"/>
                <w:sz w:val="24"/>
                <w:szCs w:val="24"/>
                <w:highlight w:val="none"/>
                <w:u w:val="none"/>
                <w:lang w:val="en-US" w:eastAsia="zh-CN"/>
              </w:rPr>
              <w:t>（GB/T 19923-2024）</w:t>
            </w:r>
            <w:r>
              <w:rPr>
                <w:rFonts w:hint="eastAsia" w:ascii="Times New Roman" w:hAnsi="Times New Roman" w:eastAsia="宋体" w:cs="Times New Roman"/>
                <w:i w:val="0"/>
                <w:iCs w:val="0"/>
                <w:color w:val="auto"/>
                <w:kern w:val="0"/>
                <w:sz w:val="24"/>
                <w:szCs w:val="24"/>
                <w:highlight w:val="none"/>
                <w:u w:val="none"/>
                <w:lang w:val="en-US" w:eastAsia="zh-CN"/>
              </w:rPr>
              <w:t>表1中洗涤用水标准限值要求</w:t>
            </w:r>
            <w:r>
              <w:rPr>
                <w:rFonts w:hint="eastAsia" w:cs="Times New Roman"/>
                <w:color w:val="auto"/>
                <w:highlight w:val="none"/>
                <w:lang w:val="en-US" w:eastAsia="zh-CN"/>
              </w:rPr>
              <w:t>后循环使用，定期排放。定期排放的生产废水处理执行</w:t>
            </w:r>
            <w:r>
              <w:rPr>
                <w:rFonts w:hint="default" w:ascii="Times New Roman" w:hAnsi="Times New Roman" w:cs="Times New Roman"/>
                <w:color w:val="auto"/>
                <w:highlight w:val="none"/>
                <w:lang w:eastAsia="zh-CN"/>
              </w:rPr>
              <w:t>园区污水处理厂接管水质</w:t>
            </w:r>
            <w:r>
              <w:rPr>
                <w:rFonts w:hint="default" w:ascii="Times New Roman" w:hAnsi="Times New Roman" w:cs="Times New Roman"/>
                <w:color w:val="auto"/>
                <w:highlight w:val="none"/>
                <w:lang w:val="en-US" w:eastAsia="zh-CN"/>
              </w:rPr>
              <w:t>要求</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广东省《</w:t>
            </w:r>
            <w:r>
              <w:rPr>
                <w:rFonts w:hint="eastAsia" w:cs="Times New Roman"/>
                <w:color w:val="auto"/>
                <w:highlight w:val="none"/>
                <w:lang w:val="en-US" w:eastAsia="zh-CN"/>
              </w:rPr>
              <w:t>水污染物排放限值</w:t>
            </w:r>
            <w:r>
              <w:rPr>
                <w:rFonts w:hint="default" w:ascii="Times New Roman" w:hAnsi="Times New Roman" w:cs="Times New Roman"/>
                <w:color w:val="auto"/>
                <w:highlight w:val="none"/>
                <w:lang w:val="en-US" w:eastAsia="zh-CN"/>
              </w:rPr>
              <w:t>》（DB44/26-2001）第二时段三级标准</w:t>
            </w:r>
            <w:r>
              <w:rPr>
                <w:rFonts w:hint="eastAsia" w:cs="Times New Roman"/>
                <w:color w:val="auto"/>
                <w:highlight w:val="none"/>
                <w:lang w:val="en-US" w:eastAsia="zh-CN"/>
              </w:rPr>
              <w:t>两</w:t>
            </w:r>
            <w:r>
              <w:rPr>
                <w:rFonts w:hint="default" w:ascii="Times New Roman" w:hAnsi="Times New Roman" w:cs="Times New Roman"/>
                <w:color w:val="auto"/>
                <w:highlight w:val="none"/>
                <w:lang w:val="en-US" w:eastAsia="zh-CN"/>
              </w:rPr>
              <w:t>者较严值要求</w:t>
            </w:r>
            <w:r>
              <w:rPr>
                <w:rFonts w:hint="eastAsia" w:cs="Times New Roman"/>
                <w:color w:val="auto"/>
                <w:highlight w:val="none"/>
                <w:lang w:val="en-US" w:eastAsia="zh-CN"/>
              </w:rPr>
              <w:t>。</w:t>
            </w:r>
          </w:p>
          <w:p w14:paraId="272CA8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firstLineChars="200"/>
              <w:textAlignment w:val="auto"/>
              <w:rPr>
                <w:rFonts w:hint="default" w:cs="Times New Roman"/>
                <w:color w:val="auto"/>
                <w:highlight w:val="none"/>
                <w:lang w:val="en-US" w:eastAsia="zh-CN"/>
              </w:rPr>
            </w:pPr>
            <w:r>
              <w:rPr>
                <w:rFonts w:hint="eastAsia" w:cs="Times New Roman"/>
                <w:color w:val="auto"/>
                <w:highlight w:val="none"/>
                <w:lang w:val="en-US" w:eastAsia="zh-CN"/>
              </w:rPr>
              <w:t>两股废水处理达标后一并送</w:t>
            </w:r>
            <w:r>
              <w:rPr>
                <w:rFonts w:hint="default" w:ascii="Times New Roman" w:hAnsi="Times New Roman" w:cs="Times New Roman"/>
                <w:color w:val="auto"/>
                <w:highlight w:val="none"/>
              </w:rPr>
              <w:t>入园区污水处理</w:t>
            </w:r>
            <w:r>
              <w:rPr>
                <w:rFonts w:hint="default" w:ascii="Times New Roman" w:hAnsi="Times New Roman" w:cs="Times New Roman"/>
                <w:color w:val="auto"/>
                <w:highlight w:val="none"/>
                <w:lang w:val="en-US" w:eastAsia="zh-CN"/>
              </w:rPr>
              <w:t>厂</w:t>
            </w:r>
            <w:r>
              <w:rPr>
                <w:rFonts w:hint="eastAsia" w:ascii="Times New Roman" w:hAnsi="Times New Roman" w:cs="Times New Roman"/>
                <w:color w:val="auto"/>
                <w:highlight w:val="none"/>
                <w:lang w:val="en-US" w:eastAsia="zh-CN"/>
              </w:rPr>
              <w:t>进一步</w:t>
            </w:r>
            <w:r>
              <w:rPr>
                <w:rFonts w:hint="default" w:ascii="Times New Roman" w:hAnsi="Times New Roman" w:cs="Times New Roman"/>
                <w:color w:val="auto"/>
                <w:highlight w:val="none"/>
              </w:rPr>
              <w:t>处理</w:t>
            </w:r>
            <w:r>
              <w:rPr>
                <w:rFonts w:hint="eastAsia" w:cs="Times New Roman"/>
                <w:color w:val="auto"/>
                <w:highlight w:val="none"/>
                <w:lang w:val="en-US" w:eastAsia="zh-CN"/>
              </w:rPr>
              <w:t>。</w:t>
            </w:r>
          </w:p>
          <w:p w14:paraId="1851DA7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园区</w:t>
            </w:r>
            <w:r>
              <w:rPr>
                <w:rFonts w:hint="default" w:ascii="Times New Roman" w:hAnsi="Times New Roman" w:cs="Times New Roman"/>
                <w:color w:val="auto"/>
                <w:highlight w:val="none"/>
                <w:lang w:eastAsia="zh-CN"/>
              </w:rPr>
              <w:t>污水</w:t>
            </w:r>
            <w:r>
              <w:rPr>
                <w:rFonts w:hint="default" w:ascii="Times New Roman" w:hAnsi="Times New Roman" w:cs="Times New Roman"/>
                <w:color w:val="auto"/>
                <w:highlight w:val="none"/>
              </w:rPr>
              <w:t>处理</w:t>
            </w:r>
            <w:r>
              <w:rPr>
                <w:rFonts w:hint="default" w:ascii="Times New Roman" w:hAnsi="Times New Roman" w:cs="Times New Roman"/>
                <w:color w:val="auto"/>
                <w:highlight w:val="none"/>
                <w:lang w:val="en-US" w:eastAsia="zh-CN"/>
              </w:rPr>
              <w:t>厂</w:t>
            </w:r>
            <w:r>
              <w:rPr>
                <w:rFonts w:hint="default" w:ascii="Times New Roman" w:hAnsi="Times New Roman" w:cs="Times New Roman"/>
                <w:color w:val="auto"/>
                <w:highlight w:val="none"/>
              </w:rPr>
              <w:t>出水水质标准执行广东省《</w:t>
            </w:r>
            <w:r>
              <w:rPr>
                <w:rFonts w:hint="eastAsia" w:cs="Times New Roman"/>
                <w:color w:val="auto"/>
                <w:highlight w:val="none"/>
                <w:lang w:eastAsia="zh-CN"/>
              </w:rPr>
              <w:t>水污染物排放限值</w:t>
            </w:r>
            <w:r>
              <w:rPr>
                <w:rFonts w:hint="default" w:ascii="Times New Roman" w:hAnsi="Times New Roman" w:cs="Times New Roman"/>
                <w:color w:val="auto"/>
                <w:highlight w:val="none"/>
              </w:rPr>
              <w:t>》（DB44/26-2001）第二时段一级标准和《城镇污水处理厂污染物排放标准》（GB18919-2002）一级B标准中严者。</w:t>
            </w:r>
            <w:r>
              <w:rPr>
                <w:rFonts w:hint="default" w:ascii="Times New Roman" w:hAnsi="Times New Roman" w:cs="Times New Roman"/>
                <w:color w:val="auto"/>
                <w:highlight w:val="none"/>
                <w:lang w:val="zh-CN"/>
              </w:rPr>
              <w:t>相关排放标准情况</w:t>
            </w:r>
            <w:r>
              <w:rPr>
                <w:rFonts w:hint="default" w:ascii="Times New Roman" w:hAnsi="Times New Roman" w:cs="Times New Roman"/>
                <w:color w:val="auto"/>
                <w:highlight w:val="none"/>
              </w:rPr>
              <w:t>见下表：</w:t>
            </w:r>
          </w:p>
          <w:p w14:paraId="5B174AFE">
            <w:pPr>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spacing w:before="0" w:beforeAutospacing="0" w:after="0" w:afterAutospacing="0" w:line="360" w:lineRule="auto"/>
              <w:ind w:left="0" w:leftChars="0" w:right="0" w:rightChars="0" w:firstLine="40" w:firstLineChars="0"/>
              <w:jc w:val="center"/>
              <w:textAlignment w:val="auto"/>
              <w:rPr>
                <w:rFonts w:hint="eastAsia"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kern w:val="2"/>
                <w:sz w:val="21"/>
                <w:szCs w:val="21"/>
                <w:highlight w:val="none"/>
                <w:lang w:val="en-US" w:eastAsia="zh-CN" w:bidi="ar-SA"/>
              </w:rPr>
              <w:t>表3-</w:t>
            </w:r>
            <w:r>
              <w:rPr>
                <w:rFonts w:hint="eastAsia" w:cs="Times New Roman"/>
                <w:b/>
                <w:bCs/>
                <w:color w:val="auto"/>
                <w:kern w:val="2"/>
                <w:sz w:val="21"/>
                <w:szCs w:val="21"/>
                <w:highlight w:val="none"/>
                <w:lang w:val="en-US" w:eastAsia="zh-CN" w:bidi="ar-SA"/>
              </w:rPr>
              <w:t>9</w:t>
            </w:r>
            <w:r>
              <w:rPr>
                <w:rFonts w:hint="default" w:ascii="Times New Roman" w:hAnsi="Times New Roman" w:cs="Times New Roman"/>
                <w:b/>
                <w:bCs/>
                <w:color w:val="auto"/>
                <w:sz w:val="21"/>
                <w:szCs w:val="21"/>
                <w:highlight w:val="none"/>
                <w:lang w:val="en-US" w:eastAsia="zh-CN"/>
              </w:rPr>
              <w:t>本项目水污染物排放标准</w:t>
            </w:r>
            <w:r>
              <w:rPr>
                <w:rFonts w:hint="default" w:ascii="Times New Roman" w:hAnsi="Times New Roman" w:cs="Times New Roman"/>
                <w:b/>
                <w:bCs/>
                <w:color w:val="auto"/>
                <w:sz w:val="21"/>
                <w:szCs w:val="21"/>
                <w:highlight w:val="none"/>
              </w:rPr>
              <w:t xml:space="preserve"> </w:t>
            </w:r>
            <w:r>
              <w:rPr>
                <w:rFonts w:hint="eastAsia"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lang w:val="en-US" w:eastAsia="zh-CN"/>
              </w:rPr>
              <w:t>单位：</w:t>
            </w:r>
            <w:r>
              <w:rPr>
                <w:rFonts w:hint="default" w:ascii="Times New Roman" w:hAnsi="Times New Roman" w:cs="Times New Roman"/>
                <w:b/>
                <w:bCs/>
                <w:color w:val="auto"/>
                <w:sz w:val="21"/>
                <w:szCs w:val="21"/>
                <w:highlight w:val="none"/>
              </w:rPr>
              <w:t>mg/L，pH为无量纲</w:t>
            </w:r>
            <w:r>
              <w:rPr>
                <w:rFonts w:hint="eastAsia" w:cs="Times New Roman"/>
                <w:b/>
                <w:bCs/>
                <w:color w:val="auto"/>
                <w:sz w:val="21"/>
                <w:szCs w:val="21"/>
                <w:highlight w:val="none"/>
                <w:lang w:eastAsia="zh-CN"/>
              </w:rPr>
              <w:t>）</w:t>
            </w:r>
          </w:p>
          <w:tbl>
            <w:tblPr>
              <w:tblStyle w:val="39"/>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423"/>
              <w:gridCol w:w="744"/>
              <w:gridCol w:w="699"/>
              <w:gridCol w:w="814"/>
              <w:gridCol w:w="584"/>
              <w:gridCol w:w="701"/>
              <w:gridCol w:w="686"/>
              <w:gridCol w:w="935"/>
              <w:gridCol w:w="704"/>
            </w:tblGrid>
            <w:tr w14:paraId="2B954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7" w:hRule="atLeast"/>
                <w:jc w:val="center"/>
              </w:trPr>
              <w:tc>
                <w:tcPr>
                  <w:tcW w:w="1841" w:type="pct"/>
                  <w:tcBorders>
                    <w:tl2br w:val="nil"/>
                    <w:tr2bl w:val="nil"/>
                  </w:tcBorders>
                  <w:noWrap/>
                  <w:tcMar>
                    <w:left w:w="0" w:type="dxa"/>
                    <w:right w:w="0" w:type="dxa"/>
                  </w:tcMar>
                  <w:vAlign w:val="center"/>
                </w:tcPr>
                <w:p w14:paraId="56FAC87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污染物</w:t>
                  </w:r>
                </w:p>
              </w:tc>
              <w:tc>
                <w:tcPr>
                  <w:tcW w:w="400" w:type="pct"/>
                  <w:tcBorders>
                    <w:tl2br w:val="nil"/>
                    <w:tr2bl w:val="nil"/>
                  </w:tcBorders>
                  <w:noWrap/>
                  <w:tcMar>
                    <w:left w:w="0" w:type="dxa"/>
                    <w:right w:w="0" w:type="dxa"/>
                  </w:tcMar>
                  <w:vAlign w:val="center"/>
                </w:tcPr>
                <w:p w14:paraId="733EB0F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pH</w:t>
                  </w:r>
                </w:p>
              </w:tc>
              <w:tc>
                <w:tcPr>
                  <w:tcW w:w="376" w:type="pct"/>
                  <w:tcBorders>
                    <w:tl2br w:val="nil"/>
                    <w:tr2bl w:val="nil"/>
                  </w:tcBorders>
                  <w:noWrap/>
                  <w:tcMar>
                    <w:left w:w="0" w:type="dxa"/>
                    <w:right w:w="0" w:type="dxa"/>
                  </w:tcMar>
                  <w:vAlign w:val="center"/>
                </w:tcPr>
                <w:p w14:paraId="237DA52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vertAlign w:val="subscript"/>
                    </w:rPr>
                  </w:pPr>
                  <w:r>
                    <w:rPr>
                      <w:rFonts w:hint="default" w:ascii="Times New Roman" w:hAnsi="Times New Roman" w:cs="Times New Roman"/>
                      <w:b/>
                      <w:bCs/>
                      <w:color w:val="auto"/>
                      <w:sz w:val="21"/>
                      <w:szCs w:val="21"/>
                      <w:highlight w:val="none"/>
                    </w:rPr>
                    <w:t>COD</w:t>
                  </w:r>
                  <w:r>
                    <w:rPr>
                      <w:rFonts w:hint="default" w:ascii="Times New Roman" w:hAnsi="Times New Roman" w:cs="Times New Roman"/>
                      <w:b/>
                      <w:bCs/>
                      <w:color w:val="auto"/>
                      <w:sz w:val="21"/>
                      <w:szCs w:val="21"/>
                      <w:highlight w:val="none"/>
                      <w:vertAlign w:val="subscript"/>
                    </w:rPr>
                    <w:t>Cr</w:t>
                  </w:r>
                </w:p>
              </w:tc>
              <w:tc>
                <w:tcPr>
                  <w:tcW w:w="438" w:type="pct"/>
                  <w:tcBorders>
                    <w:tl2br w:val="nil"/>
                    <w:tr2bl w:val="nil"/>
                  </w:tcBorders>
                  <w:noWrap/>
                  <w:vAlign w:val="center"/>
                </w:tcPr>
                <w:p w14:paraId="1BB389C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vertAlign w:val="subscript"/>
                    </w:rPr>
                  </w:pPr>
                  <w:r>
                    <w:rPr>
                      <w:rFonts w:hint="default" w:ascii="Times New Roman" w:hAnsi="Times New Roman" w:cs="Times New Roman"/>
                      <w:b/>
                      <w:bCs/>
                      <w:color w:val="auto"/>
                      <w:sz w:val="21"/>
                      <w:szCs w:val="21"/>
                      <w:highlight w:val="none"/>
                    </w:rPr>
                    <w:t>BOD</w:t>
                  </w:r>
                  <w:r>
                    <w:rPr>
                      <w:rFonts w:hint="default" w:ascii="Times New Roman" w:hAnsi="Times New Roman" w:cs="Times New Roman"/>
                      <w:b/>
                      <w:bCs/>
                      <w:color w:val="auto"/>
                      <w:sz w:val="21"/>
                      <w:szCs w:val="21"/>
                      <w:highlight w:val="none"/>
                      <w:vertAlign w:val="subscript"/>
                    </w:rPr>
                    <w:t>5</w:t>
                  </w:r>
                </w:p>
              </w:tc>
              <w:tc>
                <w:tcPr>
                  <w:tcW w:w="314" w:type="pct"/>
                  <w:tcBorders>
                    <w:tl2br w:val="nil"/>
                    <w:tr2bl w:val="nil"/>
                  </w:tcBorders>
                  <w:noWrap/>
                  <w:vAlign w:val="center"/>
                </w:tcPr>
                <w:p w14:paraId="28C8C51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SS</w:t>
                  </w:r>
                </w:p>
              </w:tc>
              <w:tc>
                <w:tcPr>
                  <w:tcW w:w="377" w:type="pct"/>
                  <w:tcBorders>
                    <w:tl2br w:val="nil"/>
                    <w:tr2bl w:val="nil"/>
                  </w:tcBorders>
                  <w:noWrap/>
                  <w:vAlign w:val="center"/>
                </w:tcPr>
                <w:p w14:paraId="184A69A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氨氮</w:t>
                  </w:r>
                </w:p>
              </w:tc>
              <w:tc>
                <w:tcPr>
                  <w:tcW w:w="369" w:type="pct"/>
                  <w:tcBorders>
                    <w:tl2br w:val="nil"/>
                    <w:tr2bl w:val="nil"/>
                  </w:tcBorders>
                  <w:noWrap/>
                  <w:vAlign w:val="center"/>
                </w:tcPr>
                <w:p w14:paraId="148A50C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LAS</w:t>
                  </w:r>
                </w:p>
              </w:tc>
              <w:tc>
                <w:tcPr>
                  <w:tcW w:w="503" w:type="pct"/>
                  <w:tcBorders>
                    <w:tl2br w:val="nil"/>
                    <w:tr2bl w:val="nil"/>
                  </w:tcBorders>
                  <w:noWrap/>
                  <w:vAlign w:val="center"/>
                </w:tcPr>
                <w:p w14:paraId="4FFE2F0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石油类</w:t>
                  </w:r>
                </w:p>
              </w:tc>
              <w:tc>
                <w:tcPr>
                  <w:tcW w:w="378" w:type="pct"/>
                  <w:tcBorders>
                    <w:tl2br w:val="nil"/>
                    <w:tr2bl w:val="nil"/>
                  </w:tcBorders>
                  <w:noWrap/>
                  <w:vAlign w:val="center"/>
                </w:tcPr>
                <w:p w14:paraId="660F505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总磷</w:t>
                  </w:r>
                </w:p>
              </w:tc>
            </w:tr>
            <w:tr w14:paraId="36A71E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8" w:hRule="atLeast"/>
                <w:jc w:val="center"/>
              </w:trPr>
              <w:tc>
                <w:tcPr>
                  <w:tcW w:w="1841" w:type="pct"/>
                  <w:tcBorders>
                    <w:tl2br w:val="nil"/>
                    <w:tr2bl w:val="nil"/>
                  </w:tcBorders>
                  <w:noWrap/>
                  <w:tcMar>
                    <w:left w:w="0" w:type="dxa"/>
                    <w:right w:w="0" w:type="dxa"/>
                  </w:tcMar>
                  <w:vAlign w:val="center"/>
                </w:tcPr>
                <w:p w14:paraId="6F2698E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园区污水处理厂接管水质要求</w:t>
                  </w:r>
                </w:p>
              </w:tc>
              <w:tc>
                <w:tcPr>
                  <w:tcW w:w="400" w:type="pct"/>
                  <w:tcBorders>
                    <w:tl2br w:val="nil"/>
                    <w:tr2bl w:val="nil"/>
                  </w:tcBorders>
                  <w:noWrap/>
                  <w:tcMar>
                    <w:left w:w="0" w:type="dxa"/>
                    <w:right w:w="0" w:type="dxa"/>
                  </w:tcMar>
                  <w:vAlign w:val="center"/>
                </w:tcPr>
                <w:p w14:paraId="6B28F41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color w:val="auto"/>
                      <w:sz w:val="21"/>
                      <w:szCs w:val="21"/>
                      <w:highlight w:val="none"/>
                    </w:rPr>
                    <w:t>6-9</w:t>
                  </w:r>
                </w:p>
              </w:tc>
              <w:tc>
                <w:tcPr>
                  <w:tcW w:w="376" w:type="pct"/>
                  <w:tcBorders>
                    <w:tl2br w:val="nil"/>
                    <w:tr2bl w:val="nil"/>
                  </w:tcBorders>
                  <w:noWrap/>
                  <w:tcMar>
                    <w:left w:w="0" w:type="dxa"/>
                    <w:right w:w="0" w:type="dxa"/>
                  </w:tcMar>
                  <w:vAlign w:val="center"/>
                </w:tcPr>
                <w:p w14:paraId="4E780FC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300</w:t>
                  </w:r>
                </w:p>
              </w:tc>
              <w:tc>
                <w:tcPr>
                  <w:tcW w:w="438" w:type="pct"/>
                  <w:tcBorders>
                    <w:tl2br w:val="nil"/>
                    <w:tr2bl w:val="nil"/>
                  </w:tcBorders>
                  <w:noWrap/>
                  <w:vAlign w:val="center"/>
                </w:tcPr>
                <w:p w14:paraId="0BB7CED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150</w:t>
                  </w:r>
                </w:p>
              </w:tc>
              <w:tc>
                <w:tcPr>
                  <w:tcW w:w="314" w:type="pct"/>
                  <w:tcBorders>
                    <w:tl2br w:val="nil"/>
                    <w:tr2bl w:val="nil"/>
                  </w:tcBorders>
                  <w:noWrap/>
                  <w:vAlign w:val="center"/>
                </w:tcPr>
                <w:p w14:paraId="0A26879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250</w:t>
                  </w:r>
                </w:p>
              </w:tc>
              <w:tc>
                <w:tcPr>
                  <w:tcW w:w="377" w:type="pct"/>
                  <w:tcBorders>
                    <w:tl2br w:val="nil"/>
                    <w:tr2bl w:val="nil"/>
                  </w:tcBorders>
                  <w:noWrap/>
                  <w:vAlign w:val="center"/>
                </w:tcPr>
                <w:p w14:paraId="682DBA5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w:t>
                  </w:r>
                </w:p>
              </w:tc>
              <w:tc>
                <w:tcPr>
                  <w:tcW w:w="369" w:type="pct"/>
                  <w:tcBorders>
                    <w:tl2br w:val="nil"/>
                    <w:tr2bl w:val="nil"/>
                  </w:tcBorders>
                  <w:noWrap/>
                  <w:vAlign w:val="center"/>
                </w:tcPr>
                <w:p w14:paraId="37A6558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503" w:type="pct"/>
                  <w:tcBorders>
                    <w:tl2br w:val="nil"/>
                    <w:tr2bl w:val="nil"/>
                  </w:tcBorders>
                  <w:noWrap/>
                  <w:vAlign w:val="center"/>
                </w:tcPr>
                <w:p w14:paraId="5970145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378" w:type="pct"/>
                  <w:tcBorders>
                    <w:tl2br w:val="nil"/>
                    <w:tr2bl w:val="nil"/>
                  </w:tcBorders>
                  <w:noWrap/>
                  <w:vAlign w:val="center"/>
                </w:tcPr>
                <w:p w14:paraId="5818A84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lang w:val="en-US" w:eastAsia="zh-CN"/>
                    </w:rPr>
                  </w:pPr>
                </w:p>
              </w:tc>
            </w:tr>
            <w:tr w14:paraId="587602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8" w:hRule="atLeast"/>
                <w:jc w:val="center"/>
              </w:trPr>
              <w:tc>
                <w:tcPr>
                  <w:tcW w:w="1841" w:type="pct"/>
                  <w:tcBorders>
                    <w:tl2br w:val="nil"/>
                    <w:tr2bl w:val="nil"/>
                  </w:tcBorders>
                  <w:noWrap/>
                  <w:tcMar>
                    <w:left w:w="0" w:type="dxa"/>
                    <w:right w:w="0" w:type="dxa"/>
                  </w:tcMar>
                  <w:vAlign w:val="center"/>
                </w:tcPr>
                <w:p w14:paraId="401DDE4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DB44/26-2001第二时段三级标准</w:t>
                  </w:r>
                </w:p>
              </w:tc>
              <w:tc>
                <w:tcPr>
                  <w:tcW w:w="400" w:type="pct"/>
                  <w:tcBorders>
                    <w:tl2br w:val="nil"/>
                    <w:tr2bl w:val="nil"/>
                  </w:tcBorders>
                  <w:noWrap/>
                  <w:tcMar>
                    <w:left w:w="0" w:type="dxa"/>
                    <w:right w:w="0" w:type="dxa"/>
                  </w:tcMar>
                  <w:vAlign w:val="center"/>
                </w:tcPr>
                <w:p w14:paraId="7B2BF6E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color w:val="auto"/>
                      <w:sz w:val="21"/>
                      <w:szCs w:val="21"/>
                      <w:highlight w:val="none"/>
                    </w:rPr>
                    <w:t>6-9</w:t>
                  </w:r>
                </w:p>
              </w:tc>
              <w:tc>
                <w:tcPr>
                  <w:tcW w:w="376" w:type="pct"/>
                  <w:tcBorders>
                    <w:tl2br w:val="nil"/>
                    <w:tr2bl w:val="nil"/>
                  </w:tcBorders>
                  <w:noWrap/>
                  <w:tcMar>
                    <w:left w:w="0" w:type="dxa"/>
                    <w:right w:w="0" w:type="dxa"/>
                  </w:tcMar>
                  <w:vAlign w:val="center"/>
                </w:tcPr>
                <w:p w14:paraId="5DE4B9C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500</w:t>
                  </w:r>
                </w:p>
              </w:tc>
              <w:tc>
                <w:tcPr>
                  <w:tcW w:w="438" w:type="pct"/>
                  <w:tcBorders>
                    <w:tl2br w:val="nil"/>
                    <w:tr2bl w:val="nil"/>
                  </w:tcBorders>
                  <w:noWrap/>
                  <w:vAlign w:val="center"/>
                </w:tcPr>
                <w:p w14:paraId="39DA568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300</w:t>
                  </w:r>
                </w:p>
              </w:tc>
              <w:tc>
                <w:tcPr>
                  <w:tcW w:w="314" w:type="pct"/>
                  <w:tcBorders>
                    <w:tl2br w:val="nil"/>
                    <w:tr2bl w:val="nil"/>
                  </w:tcBorders>
                  <w:noWrap/>
                  <w:vAlign w:val="center"/>
                </w:tcPr>
                <w:p w14:paraId="14ED6D6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400</w:t>
                  </w:r>
                </w:p>
              </w:tc>
              <w:tc>
                <w:tcPr>
                  <w:tcW w:w="377" w:type="pct"/>
                  <w:tcBorders>
                    <w:tl2br w:val="nil"/>
                    <w:tr2bl w:val="nil"/>
                  </w:tcBorders>
                  <w:noWrap/>
                  <w:vAlign w:val="center"/>
                </w:tcPr>
                <w:p w14:paraId="537C6A5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369" w:type="pct"/>
                  <w:tcBorders>
                    <w:tl2br w:val="nil"/>
                    <w:tr2bl w:val="nil"/>
                  </w:tcBorders>
                  <w:noWrap/>
                  <w:vAlign w:val="center"/>
                </w:tcPr>
                <w:p w14:paraId="61F1AA3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503" w:type="pct"/>
                  <w:tcBorders>
                    <w:tl2br w:val="nil"/>
                    <w:tr2bl w:val="nil"/>
                  </w:tcBorders>
                  <w:noWrap/>
                  <w:vAlign w:val="center"/>
                </w:tcPr>
                <w:p w14:paraId="7DAA7EB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78" w:type="pct"/>
                  <w:tcBorders>
                    <w:tl2br w:val="nil"/>
                    <w:tr2bl w:val="nil"/>
                  </w:tcBorders>
                  <w:noWrap/>
                  <w:vAlign w:val="center"/>
                </w:tcPr>
                <w:p w14:paraId="768C2BF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r w14:paraId="5CDBA6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0" w:hRule="atLeast"/>
                <w:jc w:val="center"/>
              </w:trPr>
              <w:tc>
                <w:tcPr>
                  <w:tcW w:w="1841" w:type="pct"/>
                  <w:tcBorders>
                    <w:tl2br w:val="nil"/>
                    <w:tr2bl w:val="nil"/>
                  </w:tcBorders>
                  <w:noWrap/>
                  <w:tcMar>
                    <w:left w:w="0" w:type="dxa"/>
                    <w:right w:w="0" w:type="dxa"/>
                  </w:tcMar>
                  <w:vAlign w:val="center"/>
                </w:tcPr>
                <w:p w14:paraId="31A1002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本项目</w:t>
                  </w:r>
                  <w:r>
                    <w:rPr>
                      <w:rFonts w:hint="default" w:ascii="Times New Roman" w:hAnsi="Times New Roman" w:cs="Times New Roman"/>
                      <w:color w:val="auto"/>
                      <w:sz w:val="21"/>
                      <w:szCs w:val="21"/>
                      <w:highlight w:val="none"/>
                    </w:rPr>
                    <w:t>执行限值</w:t>
                  </w:r>
                </w:p>
              </w:tc>
              <w:tc>
                <w:tcPr>
                  <w:tcW w:w="400" w:type="pct"/>
                  <w:tcBorders>
                    <w:tl2br w:val="nil"/>
                    <w:tr2bl w:val="nil"/>
                  </w:tcBorders>
                  <w:noWrap/>
                  <w:tcMar>
                    <w:left w:w="0" w:type="dxa"/>
                    <w:right w:w="0" w:type="dxa"/>
                  </w:tcMar>
                  <w:vAlign w:val="center"/>
                </w:tcPr>
                <w:p w14:paraId="6753A93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6-9</w:t>
                  </w:r>
                </w:p>
              </w:tc>
              <w:tc>
                <w:tcPr>
                  <w:tcW w:w="376" w:type="pct"/>
                  <w:tcBorders>
                    <w:tl2br w:val="nil"/>
                    <w:tr2bl w:val="nil"/>
                  </w:tcBorders>
                  <w:noWrap/>
                  <w:tcMar>
                    <w:left w:w="0" w:type="dxa"/>
                    <w:right w:w="0" w:type="dxa"/>
                  </w:tcMar>
                  <w:vAlign w:val="center"/>
                </w:tcPr>
                <w:p w14:paraId="052270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300</w:t>
                  </w:r>
                </w:p>
              </w:tc>
              <w:tc>
                <w:tcPr>
                  <w:tcW w:w="438" w:type="pct"/>
                  <w:tcBorders>
                    <w:tl2br w:val="nil"/>
                    <w:tr2bl w:val="nil"/>
                  </w:tcBorders>
                  <w:noWrap/>
                  <w:vAlign w:val="center"/>
                </w:tcPr>
                <w:p w14:paraId="46BA37A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150</w:t>
                  </w:r>
                </w:p>
              </w:tc>
              <w:tc>
                <w:tcPr>
                  <w:tcW w:w="314" w:type="pct"/>
                  <w:tcBorders>
                    <w:tl2br w:val="nil"/>
                    <w:tr2bl w:val="nil"/>
                  </w:tcBorders>
                  <w:noWrap/>
                  <w:vAlign w:val="center"/>
                </w:tcPr>
                <w:p w14:paraId="62FD6D0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250</w:t>
                  </w:r>
                </w:p>
              </w:tc>
              <w:tc>
                <w:tcPr>
                  <w:tcW w:w="377" w:type="pct"/>
                  <w:tcBorders>
                    <w:tl2br w:val="nil"/>
                    <w:tr2bl w:val="nil"/>
                  </w:tcBorders>
                  <w:noWrap/>
                  <w:vAlign w:val="center"/>
                </w:tcPr>
                <w:p w14:paraId="491370A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40</w:t>
                  </w:r>
                </w:p>
              </w:tc>
              <w:tc>
                <w:tcPr>
                  <w:tcW w:w="369" w:type="pct"/>
                  <w:tcBorders>
                    <w:tl2br w:val="nil"/>
                    <w:tr2bl w:val="nil"/>
                  </w:tcBorders>
                  <w:noWrap/>
                  <w:vAlign w:val="center"/>
                </w:tcPr>
                <w:p w14:paraId="5178C7F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503" w:type="pct"/>
                  <w:tcBorders>
                    <w:tl2br w:val="nil"/>
                    <w:tr2bl w:val="nil"/>
                  </w:tcBorders>
                  <w:noWrap/>
                  <w:vAlign w:val="center"/>
                </w:tcPr>
                <w:p w14:paraId="25BD271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2.0</w:t>
                  </w:r>
                </w:p>
              </w:tc>
              <w:tc>
                <w:tcPr>
                  <w:tcW w:w="378" w:type="pct"/>
                  <w:tcBorders>
                    <w:tl2br w:val="nil"/>
                    <w:tr2bl w:val="nil"/>
                  </w:tcBorders>
                  <w:noWrap/>
                  <w:vAlign w:val="center"/>
                </w:tcPr>
                <w:p w14:paraId="5CCB2ED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1.0</w:t>
                  </w:r>
                </w:p>
              </w:tc>
            </w:tr>
          </w:tbl>
          <w:p w14:paraId="22AC8909">
            <w:pPr>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表3-1</w:t>
            </w:r>
            <w:r>
              <w:rPr>
                <w:rFonts w:hint="eastAsia" w:cs="Times New Roman"/>
                <w:b/>
                <w:bCs/>
                <w:color w:val="auto"/>
                <w:kern w:val="2"/>
                <w:sz w:val="21"/>
                <w:szCs w:val="21"/>
                <w:highlight w:val="none"/>
                <w:lang w:val="en-US" w:eastAsia="zh-CN" w:bidi="ar-SA"/>
              </w:rPr>
              <w:t>0 《城市污水再生利用 工业用水水质》《GB/T19923-2024》水质基本控制</w:t>
            </w:r>
            <w:r>
              <w:rPr>
                <w:rFonts w:hint="default" w:ascii="Times New Roman" w:hAnsi="Times New Roman" w:cs="Times New Roman"/>
                <w:b/>
                <w:bCs/>
                <w:color w:val="auto"/>
                <w:sz w:val="21"/>
                <w:szCs w:val="21"/>
                <w:highlight w:val="none"/>
              </w:rPr>
              <w:t>限值（摘录）</w:t>
            </w:r>
            <w:r>
              <w:rPr>
                <w:rFonts w:hint="eastAsia" w:cs="Times New Roman"/>
                <w:b/>
                <w:bCs/>
                <w:color w:val="auto"/>
                <w:sz w:val="21"/>
                <w:szCs w:val="21"/>
                <w:highlight w:val="none"/>
                <w:lang w:val="en-US" w:eastAsia="zh-CN"/>
              </w:rPr>
              <w:t xml:space="preserve"> </w:t>
            </w:r>
          </w:p>
          <w:tbl>
            <w:tblPr>
              <w:tblStyle w:val="39"/>
              <w:tblW w:w="5001"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866"/>
              <w:gridCol w:w="3561"/>
              <w:gridCol w:w="4871"/>
            </w:tblGrid>
            <w:tr w14:paraId="3C696E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466" w:type="pct"/>
                  <w:shd w:val="clear" w:color="auto" w:fill="auto"/>
                  <w:vAlign w:val="center"/>
                </w:tcPr>
                <w:p w14:paraId="31E9533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lang w:val="en-US" w:eastAsia="zh-CN"/>
                    </w:rPr>
                    <w:t>序号</w:t>
                  </w:r>
                </w:p>
              </w:tc>
              <w:tc>
                <w:tcPr>
                  <w:tcW w:w="1914" w:type="pct"/>
                  <w:shd w:val="clear" w:color="auto" w:fill="auto"/>
                  <w:vAlign w:val="center"/>
                </w:tcPr>
                <w:p w14:paraId="279903D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lang w:val="en-US" w:eastAsia="zh-CN"/>
                    </w:rPr>
                    <w:t>控制项目</w:t>
                  </w:r>
                </w:p>
              </w:tc>
              <w:tc>
                <w:tcPr>
                  <w:tcW w:w="2618" w:type="pct"/>
                  <w:shd w:val="clear" w:color="auto" w:fill="auto"/>
                  <w:vAlign w:val="center"/>
                </w:tcPr>
                <w:p w14:paraId="18891AC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lang w:val="en-US" w:eastAsia="zh-CN"/>
                    </w:rPr>
                    <w:t>直流冷却水、洗涤用水</w:t>
                  </w:r>
                </w:p>
              </w:tc>
            </w:tr>
            <w:tr w14:paraId="4DB2C8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62" w:hRule="atLeast"/>
              </w:trPr>
              <w:tc>
                <w:tcPr>
                  <w:tcW w:w="466" w:type="pct"/>
                  <w:shd w:val="clear" w:color="auto" w:fill="auto"/>
                  <w:vAlign w:val="center"/>
                </w:tcPr>
                <w:p w14:paraId="7147A05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ascii="Times New Roman" w:hAnsi="Times New Roman" w:eastAsia="宋体" w:cs="Times New Roman"/>
                      <w:b w:val="0"/>
                      <w:bCs w:val="0"/>
                      <w:color w:val="auto"/>
                      <w:sz w:val="21"/>
                      <w:szCs w:val="21"/>
                      <w:highlight w:val="none"/>
                    </w:rPr>
                  </w:pPr>
                  <w:r>
                    <w:rPr>
                      <w:rFonts w:hint="eastAsia" w:ascii="Times New Roman" w:hAnsi="Times New Roman" w:eastAsia="宋体" w:cs="Times New Roman"/>
                      <w:b w:val="0"/>
                      <w:bCs w:val="0"/>
                      <w:color w:val="auto"/>
                      <w:sz w:val="21"/>
                      <w:szCs w:val="21"/>
                      <w:highlight w:val="none"/>
                      <w:lang w:val="en-US" w:eastAsia="zh-CN"/>
                    </w:rPr>
                    <w:t>1</w:t>
                  </w:r>
                </w:p>
              </w:tc>
              <w:tc>
                <w:tcPr>
                  <w:tcW w:w="1914" w:type="pct"/>
                  <w:shd w:val="clear" w:color="auto" w:fill="auto"/>
                  <w:vAlign w:val="center"/>
                </w:tcPr>
                <w:p w14:paraId="39F32AD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ascii="Times New Roman" w:hAnsi="Times New Roman" w:eastAsia="宋体" w:cs="Times New Roman"/>
                      <w:b w:val="0"/>
                      <w:bCs w:val="0"/>
                      <w:color w:val="auto"/>
                      <w:sz w:val="21"/>
                      <w:szCs w:val="21"/>
                      <w:highlight w:val="none"/>
                    </w:rPr>
                  </w:pPr>
                  <w:r>
                    <w:rPr>
                      <w:rFonts w:hint="eastAsia" w:ascii="Times New Roman" w:hAnsi="Times New Roman" w:eastAsia="宋体" w:cs="Times New Roman"/>
                      <w:b w:val="0"/>
                      <w:bCs w:val="0"/>
                      <w:color w:val="auto"/>
                      <w:sz w:val="21"/>
                      <w:szCs w:val="21"/>
                      <w:highlight w:val="none"/>
                      <w:lang w:val="en-US" w:eastAsia="zh-CN"/>
                    </w:rPr>
                    <w:t>pH (无量纲)</w:t>
                  </w:r>
                </w:p>
              </w:tc>
              <w:tc>
                <w:tcPr>
                  <w:tcW w:w="2618" w:type="pct"/>
                  <w:shd w:val="clear" w:color="auto" w:fill="auto"/>
                  <w:vAlign w:val="center"/>
                </w:tcPr>
                <w:p w14:paraId="76261F4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ascii="Times New Roman" w:hAnsi="Times New Roman" w:eastAsia="宋体" w:cs="Times New Roman"/>
                      <w:b w:val="0"/>
                      <w:bCs w:val="0"/>
                      <w:color w:val="auto"/>
                      <w:sz w:val="21"/>
                      <w:szCs w:val="21"/>
                      <w:highlight w:val="none"/>
                    </w:rPr>
                  </w:pPr>
                  <w:r>
                    <w:rPr>
                      <w:rFonts w:hint="eastAsia" w:ascii="Times New Roman" w:hAnsi="Times New Roman" w:eastAsia="宋体" w:cs="Times New Roman"/>
                      <w:b w:val="0"/>
                      <w:bCs w:val="0"/>
                      <w:color w:val="auto"/>
                      <w:sz w:val="21"/>
                      <w:szCs w:val="21"/>
                      <w:highlight w:val="none"/>
                      <w:lang w:val="en-US" w:eastAsia="zh-CN"/>
                    </w:rPr>
                    <w:t>6.0~9.0</w:t>
                  </w:r>
                </w:p>
              </w:tc>
            </w:tr>
            <w:tr w14:paraId="65F0ED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2" w:hRule="atLeast"/>
              </w:trPr>
              <w:tc>
                <w:tcPr>
                  <w:tcW w:w="466" w:type="pct"/>
                  <w:shd w:val="clear" w:color="auto" w:fill="auto"/>
                  <w:vAlign w:val="center"/>
                </w:tcPr>
                <w:p w14:paraId="3D72A7C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ascii="Times New Roman" w:hAnsi="Times New Roman" w:eastAsia="宋体" w:cs="Times New Roman"/>
                      <w:b w:val="0"/>
                      <w:bCs w:val="0"/>
                      <w:color w:val="auto"/>
                      <w:sz w:val="21"/>
                      <w:szCs w:val="21"/>
                      <w:highlight w:val="none"/>
                    </w:rPr>
                  </w:pPr>
                  <w:r>
                    <w:rPr>
                      <w:rFonts w:hint="eastAsia" w:ascii="Times New Roman" w:hAnsi="Times New Roman" w:eastAsia="宋体" w:cs="Times New Roman"/>
                      <w:b w:val="0"/>
                      <w:bCs w:val="0"/>
                      <w:color w:val="auto"/>
                      <w:sz w:val="21"/>
                      <w:szCs w:val="21"/>
                      <w:highlight w:val="none"/>
                      <w:lang w:val="en-US" w:eastAsia="zh-CN"/>
                    </w:rPr>
                    <w:t>2</w:t>
                  </w:r>
                </w:p>
              </w:tc>
              <w:tc>
                <w:tcPr>
                  <w:tcW w:w="1914" w:type="pct"/>
                  <w:shd w:val="clear" w:color="auto" w:fill="auto"/>
                  <w:vAlign w:val="center"/>
                </w:tcPr>
                <w:p w14:paraId="2A06B44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ascii="Times New Roman" w:hAnsi="Times New Roman" w:eastAsia="宋体" w:cs="Times New Roman"/>
                      <w:b w:val="0"/>
                      <w:bCs w:val="0"/>
                      <w:color w:val="auto"/>
                      <w:sz w:val="21"/>
                      <w:szCs w:val="21"/>
                      <w:highlight w:val="none"/>
                    </w:rPr>
                  </w:pPr>
                  <w:r>
                    <w:rPr>
                      <w:rFonts w:hint="eastAsia" w:ascii="Times New Roman" w:hAnsi="Times New Roman" w:eastAsia="宋体" w:cs="Times New Roman"/>
                      <w:b w:val="0"/>
                      <w:bCs w:val="0"/>
                      <w:color w:val="auto"/>
                      <w:sz w:val="21"/>
                      <w:szCs w:val="21"/>
                      <w:highlight w:val="none"/>
                      <w:lang w:val="en-US" w:eastAsia="zh-CN"/>
                    </w:rPr>
                    <w:t>五日生化需氧量 (BOD</w:t>
                  </w:r>
                  <w:r>
                    <w:rPr>
                      <w:rFonts w:hint="eastAsia" w:ascii="Times New Roman" w:hAnsi="Times New Roman" w:eastAsia="宋体" w:cs="Times New Roman"/>
                      <w:b w:val="0"/>
                      <w:bCs w:val="0"/>
                      <w:color w:val="auto"/>
                      <w:sz w:val="21"/>
                      <w:szCs w:val="21"/>
                      <w:highlight w:val="none"/>
                      <w:vertAlign w:val="subscript"/>
                      <w:lang w:val="en-US" w:eastAsia="zh-CN"/>
                    </w:rPr>
                    <w:t>5</w:t>
                  </w:r>
                  <w:r>
                    <w:rPr>
                      <w:rFonts w:hint="eastAsia" w:ascii="Times New Roman" w:hAnsi="Times New Roman" w:eastAsia="宋体" w:cs="Times New Roman"/>
                      <w:b w:val="0"/>
                      <w:bCs w:val="0"/>
                      <w:color w:val="auto"/>
                      <w:sz w:val="21"/>
                      <w:szCs w:val="21"/>
                      <w:highlight w:val="none"/>
                      <w:lang w:val="en-US" w:eastAsia="zh-CN"/>
                    </w:rPr>
                    <w:t>)/(mg/L)</w:t>
                  </w:r>
                </w:p>
              </w:tc>
              <w:tc>
                <w:tcPr>
                  <w:tcW w:w="2618" w:type="pct"/>
                  <w:shd w:val="clear" w:color="auto" w:fill="auto"/>
                  <w:vAlign w:val="center"/>
                </w:tcPr>
                <w:p w14:paraId="23FF8E6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ascii="Times New Roman" w:hAnsi="Times New Roman" w:eastAsia="宋体" w:cs="Times New Roman"/>
                      <w:b w:val="0"/>
                      <w:bCs w:val="0"/>
                      <w:color w:val="auto"/>
                      <w:sz w:val="21"/>
                      <w:szCs w:val="21"/>
                      <w:highlight w:val="none"/>
                    </w:rPr>
                  </w:pPr>
                  <w:r>
                    <w:rPr>
                      <w:rFonts w:hint="eastAsia" w:ascii="Times New Roman" w:hAnsi="Times New Roman" w:eastAsia="宋体" w:cs="Times New Roman"/>
                      <w:b w:val="0"/>
                      <w:bCs w:val="0"/>
                      <w:color w:val="auto"/>
                      <w:sz w:val="21"/>
                      <w:szCs w:val="21"/>
                      <w:highlight w:val="none"/>
                      <w:lang w:val="en-US" w:eastAsia="zh-CN"/>
                    </w:rPr>
                    <w:t>10</w:t>
                  </w:r>
                </w:p>
              </w:tc>
            </w:tr>
            <w:tr w14:paraId="0F0FB9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2" w:hRule="atLeast"/>
              </w:trPr>
              <w:tc>
                <w:tcPr>
                  <w:tcW w:w="466" w:type="pct"/>
                  <w:shd w:val="clear" w:color="auto" w:fill="auto"/>
                  <w:vAlign w:val="center"/>
                </w:tcPr>
                <w:p w14:paraId="79B4EA3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ascii="Times New Roman" w:hAnsi="Times New Roman" w:eastAsia="宋体" w:cs="Times New Roman"/>
                      <w:b w:val="0"/>
                      <w:bCs w:val="0"/>
                      <w:color w:val="auto"/>
                      <w:sz w:val="21"/>
                      <w:szCs w:val="21"/>
                      <w:highlight w:val="none"/>
                    </w:rPr>
                  </w:pPr>
                  <w:r>
                    <w:rPr>
                      <w:rFonts w:hint="eastAsia" w:ascii="Times New Roman" w:hAnsi="Times New Roman" w:eastAsia="宋体" w:cs="Times New Roman"/>
                      <w:b w:val="0"/>
                      <w:bCs w:val="0"/>
                      <w:color w:val="auto"/>
                      <w:sz w:val="21"/>
                      <w:szCs w:val="21"/>
                      <w:highlight w:val="none"/>
                      <w:lang w:val="en-US" w:eastAsia="zh-CN"/>
                    </w:rPr>
                    <w:t>3</w:t>
                  </w:r>
                </w:p>
              </w:tc>
              <w:tc>
                <w:tcPr>
                  <w:tcW w:w="1914" w:type="pct"/>
                  <w:shd w:val="clear" w:color="auto" w:fill="auto"/>
                  <w:vAlign w:val="center"/>
                </w:tcPr>
                <w:p w14:paraId="68F60A1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ascii="Times New Roman" w:hAnsi="Times New Roman" w:eastAsia="宋体" w:cs="Times New Roman"/>
                      <w:b w:val="0"/>
                      <w:bCs w:val="0"/>
                      <w:color w:val="auto"/>
                      <w:sz w:val="21"/>
                      <w:szCs w:val="21"/>
                      <w:highlight w:val="none"/>
                    </w:rPr>
                  </w:pPr>
                  <w:r>
                    <w:rPr>
                      <w:rFonts w:hint="eastAsia" w:ascii="Times New Roman" w:hAnsi="Times New Roman" w:eastAsia="宋体" w:cs="Times New Roman"/>
                      <w:b w:val="0"/>
                      <w:bCs w:val="0"/>
                      <w:color w:val="auto"/>
                      <w:sz w:val="21"/>
                      <w:szCs w:val="21"/>
                      <w:highlight w:val="none"/>
                      <w:lang w:val="en-US" w:eastAsia="zh-CN"/>
                    </w:rPr>
                    <w:t>化学需氧量 (COD)/(mg/L)</w:t>
                  </w:r>
                </w:p>
              </w:tc>
              <w:tc>
                <w:tcPr>
                  <w:tcW w:w="2618" w:type="pct"/>
                  <w:shd w:val="clear" w:color="auto" w:fill="auto"/>
                  <w:vAlign w:val="center"/>
                </w:tcPr>
                <w:p w14:paraId="5A7909D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ascii="Times New Roman" w:hAnsi="Times New Roman" w:eastAsia="宋体" w:cs="Times New Roman"/>
                      <w:b w:val="0"/>
                      <w:bCs w:val="0"/>
                      <w:color w:val="auto"/>
                      <w:sz w:val="21"/>
                      <w:szCs w:val="21"/>
                      <w:highlight w:val="none"/>
                    </w:rPr>
                  </w:pPr>
                  <w:r>
                    <w:rPr>
                      <w:rFonts w:hint="eastAsia" w:ascii="Times New Roman" w:hAnsi="Times New Roman" w:eastAsia="宋体" w:cs="Times New Roman"/>
                      <w:b w:val="0"/>
                      <w:bCs w:val="0"/>
                      <w:color w:val="auto"/>
                      <w:sz w:val="21"/>
                      <w:szCs w:val="21"/>
                      <w:highlight w:val="none"/>
                      <w:lang w:val="en-US" w:eastAsia="zh-CN"/>
                    </w:rPr>
                    <w:t>50</w:t>
                  </w:r>
                </w:p>
              </w:tc>
            </w:tr>
            <w:tr w14:paraId="3E5D08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36" w:hRule="atLeast"/>
              </w:trPr>
              <w:tc>
                <w:tcPr>
                  <w:tcW w:w="466" w:type="pct"/>
                  <w:shd w:val="clear" w:color="auto" w:fill="auto"/>
                  <w:vAlign w:val="center"/>
                </w:tcPr>
                <w:p w14:paraId="15AB601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ascii="Times New Roman" w:hAnsi="Times New Roman" w:eastAsia="宋体" w:cs="Times New Roman"/>
                      <w:b w:val="0"/>
                      <w:bCs w:val="0"/>
                      <w:color w:val="auto"/>
                      <w:sz w:val="21"/>
                      <w:szCs w:val="21"/>
                      <w:highlight w:val="none"/>
                    </w:rPr>
                  </w:pPr>
                  <w:r>
                    <w:rPr>
                      <w:rFonts w:hint="eastAsia" w:ascii="Times New Roman" w:hAnsi="Times New Roman" w:eastAsia="宋体" w:cs="Times New Roman"/>
                      <w:b w:val="0"/>
                      <w:bCs w:val="0"/>
                      <w:color w:val="auto"/>
                      <w:sz w:val="21"/>
                      <w:szCs w:val="21"/>
                      <w:highlight w:val="none"/>
                      <w:lang w:val="en-US" w:eastAsia="zh-CN"/>
                    </w:rPr>
                    <w:t>4</w:t>
                  </w:r>
                </w:p>
              </w:tc>
              <w:tc>
                <w:tcPr>
                  <w:tcW w:w="1914" w:type="pct"/>
                  <w:shd w:val="clear" w:color="auto" w:fill="auto"/>
                  <w:vAlign w:val="center"/>
                </w:tcPr>
                <w:p w14:paraId="44E5FD0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ascii="Times New Roman" w:hAnsi="Times New Roman" w:eastAsia="宋体" w:cs="Times New Roman"/>
                      <w:b w:val="0"/>
                      <w:bCs w:val="0"/>
                      <w:color w:val="auto"/>
                      <w:sz w:val="21"/>
                      <w:szCs w:val="21"/>
                      <w:highlight w:val="none"/>
                    </w:rPr>
                  </w:pPr>
                  <w:r>
                    <w:rPr>
                      <w:rFonts w:hint="eastAsia" w:ascii="Times New Roman" w:hAnsi="Times New Roman" w:eastAsia="宋体" w:cs="Times New Roman"/>
                      <w:b w:val="0"/>
                      <w:bCs w:val="0"/>
                      <w:color w:val="auto"/>
                      <w:sz w:val="21"/>
                      <w:szCs w:val="21"/>
                      <w:highlight w:val="none"/>
                      <w:lang w:val="en-US" w:eastAsia="zh-CN"/>
                    </w:rPr>
                    <w:t>氨氮 (以 N 计)/(mg/L)</w:t>
                  </w:r>
                </w:p>
              </w:tc>
              <w:tc>
                <w:tcPr>
                  <w:tcW w:w="2618" w:type="pct"/>
                  <w:shd w:val="clear" w:color="auto" w:fill="auto"/>
                  <w:vAlign w:val="center"/>
                </w:tcPr>
                <w:p w14:paraId="2EF0DEE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ascii="Times New Roman" w:hAnsi="Times New Roman" w:eastAsia="宋体" w:cs="Times New Roman"/>
                      <w:b w:val="0"/>
                      <w:bCs w:val="0"/>
                      <w:color w:val="auto"/>
                      <w:sz w:val="21"/>
                      <w:szCs w:val="21"/>
                      <w:highlight w:val="none"/>
                    </w:rPr>
                  </w:pPr>
                  <w:r>
                    <w:rPr>
                      <w:rFonts w:hint="eastAsia" w:ascii="Times New Roman" w:hAnsi="Times New Roman" w:eastAsia="宋体" w:cs="Times New Roman"/>
                      <w:b w:val="0"/>
                      <w:bCs w:val="0"/>
                      <w:color w:val="auto"/>
                      <w:sz w:val="21"/>
                      <w:szCs w:val="21"/>
                      <w:highlight w:val="none"/>
                      <w:lang w:val="en-US" w:eastAsia="zh-CN"/>
                    </w:rPr>
                    <w:t>5</w:t>
                  </w:r>
                </w:p>
              </w:tc>
            </w:tr>
            <w:tr w14:paraId="3907E5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19" w:hRule="atLeast"/>
              </w:trPr>
              <w:tc>
                <w:tcPr>
                  <w:tcW w:w="466" w:type="pct"/>
                  <w:shd w:val="clear" w:color="auto" w:fill="auto"/>
                  <w:vAlign w:val="center"/>
                </w:tcPr>
                <w:p w14:paraId="24D4164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ascii="Times New Roman" w:hAnsi="Times New Roman" w:eastAsia="宋体" w:cs="Times New Roman"/>
                      <w:b w:val="0"/>
                      <w:bCs w:val="0"/>
                      <w:color w:val="auto"/>
                      <w:sz w:val="21"/>
                      <w:szCs w:val="21"/>
                      <w:highlight w:val="none"/>
                    </w:rPr>
                  </w:pPr>
                  <w:r>
                    <w:rPr>
                      <w:rFonts w:hint="eastAsia" w:ascii="Times New Roman" w:hAnsi="Times New Roman" w:eastAsia="宋体" w:cs="Times New Roman"/>
                      <w:b w:val="0"/>
                      <w:bCs w:val="0"/>
                      <w:color w:val="auto"/>
                      <w:sz w:val="21"/>
                      <w:szCs w:val="21"/>
                      <w:highlight w:val="none"/>
                      <w:lang w:val="en-US" w:eastAsia="zh-CN"/>
                    </w:rPr>
                    <w:t>5</w:t>
                  </w:r>
                </w:p>
              </w:tc>
              <w:tc>
                <w:tcPr>
                  <w:tcW w:w="1914" w:type="pct"/>
                  <w:shd w:val="clear" w:color="auto" w:fill="auto"/>
                  <w:vAlign w:val="center"/>
                </w:tcPr>
                <w:p w14:paraId="3C5602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ascii="Times New Roman" w:hAnsi="Times New Roman" w:eastAsia="宋体" w:cs="Times New Roman"/>
                      <w:b w:val="0"/>
                      <w:bCs w:val="0"/>
                      <w:color w:val="auto"/>
                      <w:sz w:val="21"/>
                      <w:szCs w:val="21"/>
                      <w:highlight w:val="none"/>
                    </w:rPr>
                  </w:pPr>
                  <w:r>
                    <w:rPr>
                      <w:rFonts w:hint="eastAsia" w:ascii="Times New Roman" w:hAnsi="Times New Roman" w:eastAsia="宋体" w:cs="Times New Roman"/>
                      <w:b w:val="0"/>
                      <w:bCs w:val="0"/>
                      <w:color w:val="auto"/>
                      <w:sz w:val="21"/>
                      <w:szCs w:val="21"/>
                      <w:highlight w:val="none"/>
                      <w:lang w:val="en-US" w:eastAsia="zh-CN"/>
                    </w:rPr>
                    <w:t>总氮 (以 N 计)/(mg/L)</w:t>
                  </w:r>
                </w:p>
              </w:tc>
              <w:tc>
                <w:tcPr>
                  <w:tcW w:w="2618" w:type="pct"/>
                  <w:shd w:val="clear" w:color="auto" w:fill="auto"/>
                  <w:vAlign w:val="center"/>
                </w:tcPr>
                <w:p w14:paraId="4C61FA2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ascii="Times New Roman" w:hAnsi="Times New Roman" w:eastAsia="宋体" w:cs="Times New Roman"/>
                      <w:b w:val="0"/>
                      <w:bCs w:val="0"/>
                      <w:color w:val="auto"/>
                      <w:sz w:val="21"/>
                      <w:szCs w:val="21"/>
                      <w:highlight w:val="none"/>
                    </w:rPr>
                  </w:pPr>
                  <w:r>
                    <w:rPr>
                      <w:rFonts w:hint="eastAsia" w:ascii="Times New Roman" w:hAnsi="Times New Roman" w:eastAsia="宋体" w:cs="Times New Roman"/>
                      <w:b w:val="0"/>
                      <w:bCs w:val="0"/>
                      <w:color w:val="auto"/>
                      <w:sz w:val="21"/>
                      <w:szCs w:val="21"/>
                      <w:highlight w:val="none"/>
                      <w:lang w:val="en-US" w:eastAsia="zh-CN"/>
                    </w:rPr>
                    <w:t>15</w:t>
                  </w:r>
                </w:p>
              </w:tc>
            </w:tr>
            <w:tr w14:paraId="42A129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36" w:hRule="atLeast"/>
              </w:trPr>
              <w:tc>
                <w:tcPr>
                  <w:tcW w:w="466" w:type="pct"/>
                  <w:shd w:val="clear" w:color="auto" w:fill="auto"/>
                  <w:vAlign w:val="center"/>
                </w:tcPr>
                <w:p w14:paraId="68D5D28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ascii="Times New Roman" w:hAnsi="Times New Roman" w:eastAsia="宋体" w:cs="Times New Roman"/>
                      <w:b w:val="0"/>
                      <w:bCs w:val="0"/>
                      <w:color w:val="auto"/>
                      <w:sz w:val="21"/>
                      <w:szCs w:val="21"/>
                      <w:highlight w:val="none"/>
                    </w:rPr>
                  </w:pPr>
                  <w:r>
                    <w:rPr>
                      <w:rFonts w:hint="eastAsia" w:ascii="Times New Roman" w:hAnsi="Times New Roman" w:eastAsia="宋体" w:cs="Times New Roman"/>
                      <w:b w:val="0"/>
                      <w:bCs w:val="0"/>
                      <w:color w:val="auto"/>
                      <w:sz w:val="21"/>
                      <w:szCs w:val="21"/>
                      <w:highlight w:val="none"/>
                      <w:lang w:val="en-US" w:eastAsia="zh-CN"/>
                    </w:rPr>
                    <w:t>6</w:t>
                  </w:r>
                </w:p>
              </w:tc>
              <w:tc>
                <w:tcPr>
                  <w:tcW w:w="1914" w:type="pct"/>
                  <w:shd w:val="clear" w:color="auto" w:fill="auto"/>
                  <w:vAlign w:val="center"/>
                </w:tcPr>
                <w:p w14:paraId="392CF06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ascii="Times New Roman" w:hAnsi="Times New Roman" w:eastAsia="宋体" w:cs="Times New Roman"/>
                      <w:b w:val="0"/>
                      <w:bCs w:val="0"/>
                      <w:color w:val="auto"/>
                      <w:sz w:val="21"/>
                      <w:szCs w:val="21"/>
                      <w:highlight w:val="none"/>
                    </w:rPr>
                  </w:pPr>
                  <w:r>
                    <w:rPr>
                      <w:rFonts w:hint="eastAsia" w:ascii="Times New Roman" w:hAnsi="Times New Roman" w:eastAsia="宋体" w:cs="Times New Roman"/>
                      <w:b w:val="0"/>
                      <w:bCs w:val="0"/>
                      <w:color w:val="auto"/>
                      <w:sz w:val="21"/>
                      <w:szCs w:val="21"/>
                      <w:highlight w:val="none"/>
                      <w:lang w:val="en-US" w:eastAsia="zh-CN"/>
                    </w:rPr>
                    <w:t>总磷 (以 P 计)/(mg/L)</w:t>
                  </w:r>
                </w:p>
              </w:tc>
              <w:tc>
                <w:tcPr>
                  <w:tcW w:w="2618" w:type="pct"/>
                  <w:shd w:val="clear" w:color="auto" w:fill="auto"/>
                  <w:vAlign w:val="center"/>
                </w:tcPr>
                <w:p w14:paraId="74FA342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ascii="Times New Roman" w:hAnsi="Times New Roman" w:eastAsia="宋体" w:cs="Times New Roman"/>
                      <w:b w:val="0"/>
                      <w:bCs w:val="0"/>
                      <w:color w:val="auto"/>
                      <w:sz w:val="21"/>
                      <w:szCs w:val="21"/>
                      <w:highlight w:val="none"/>
                    </w:rPr>
                  </w:pPr>
                  <w:r>
                    <w:rPr>
                      <w:rFonts w:hint="eastAsia" w:ascii="Times New Roman" w:hAnsi="Times New Roman" w:eastAsia="宋体" w:cs="Times New Roman"/>
                      <w:b w:val="0"/>
                      <w:bCs w:val="0"/>
                      <w:color w:val="auto"/>
                      <w:sz w:val="21"/>
                      <w:szCs w:val="21"/>
                      <w:highlight w:val="none"/>
                      <w:lang w:val="en-US" w:eastAsia="zh-CN"/>
                    </w:rPr>
                    <w:t>0.5</w:t>
                  </w:r>
                </w:p>
              </w:tc>
            </w:tr>
            <w:tr w14:paraId="77B27A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48" w:hRule="atLeast"/>
              </w:trPr>
              <w:tc>
                <w:tcPr>
                  <w:tcW w:w="466" w:type="pct"/>
                  <w:shd w:val="clear" w:color="auto" w:fill="auto"/>
                  <w:vAlign w:val="center"/>
                </w:tcPr>
                <w:p w14:paraId="0D5C90A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ascii="Times New Roman" w:hAnsi="Times New Roman" w:eastAsia="宋体" w:cs="Times New Roman"/>
                      <w:b w:val="0"/>
                      <w:bCs w:val="0"/>
                      <w:color w:val="auto"/>
                      <w:sz w:val="21"/>
                      <w:szCs w:val="21"/>
                      <w:highlight w:val="none"/>
                    </w:rPr>
                  </w:pPr>
                  <w:r>
                    <w:rPr>
                      <w:rFonts w:hint="eastAsia" w:ascii="Times New Roman" w:hAnsi="Times New Roman" w:eastAsia="宋体" w:cs="Times New Roman"/>
                      <w:b w:val="0"/>
                      <w:bCs w:val="0"/>
                      <w:color w:val="auto"/>
                      <w:sz w:val="21"/>
                      <w:szCs w:val="21"/>
                      <w:highlight w:val="none"/>
                      <w:lang w:val="en-US" w:eastAsia="zh-CN"/>
                    </w:rPr>
                    <w:t>7</w:t>
                  </w:r>
                </w:p>
              </w:tc>
              <w:tc>
                <w:tcPr>
                  <w:tcW w:w="1914" w:type="pct"/>
                  <w:shd w:val="clear" w:color="auto" w:fill="auto"/>
                  <w:vAlign w:val="center"/>
                </w:tcPr>
                <w:p w14:paraId="141FB19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ascii="Times New Roman" w:hAnsi="Times New Roman" w:eastAsia="宋体" w:cs="Times New Roman"/>
                      <w:b w:val="0"/>
                      <w:bCs w:val="0"/>
                      <w:color w:val="auto"/>
                      <w:sz w:val="21"/>
                      <w:szCs w:val="21"/>
                      <w:highlight w:val="none"/>
                    </w:rPr>
                  </w:pPr>
                  <w:r>
                    <w:rPr>
                      <w:rFonts w:hint="eastAsia" w:ascii="Times New Roman" w:hAnsi="Times New Roman" w:eastAsia="宋体" w:cs="Times New Roman"/>
                      <w:b w:val="0"/>
                      <w:bCs w:val="0"/>
                      <w:color w:val="auto"/>
                      <w:sz w:val="21"/>
                      <w:szCs w:val="21"/>
                      <w:highlight w:val="none"/>
                      <w:lang w:val="en-US" w:eastAsia="zh-CN"/>
                    </w:rPr>
                    <w:t>石油类 /(mg/L)</w:t>
                  </w:r>
                </w:p>
              </w:tc>
              <w:tc>
                <w:tcPr>
                  <w:tcW w:w="2618" w:type="pct"/>
                  <w:shd w:val="clear" w:color="auto" w:fill="auto"/>
                  <w:vAlign w:val="center"/>
                </w:tcPr>
                <w:p w14:paraId="060E25E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ascii="Times New Roman" w:hAnsi="Times New Roman" w:eastAsia="宋体" w:cs="Times New Roman"/>
                      <w:b w:val="0"/>
                      <w:bCs w:val="0"/>
                      <w:color w:val="auto"/>
                      <w:sz w:val="21"/>
                      <w:szCs w:val="21"/>
                      <w:highlight w:val="none"/>
                    </w:rPr>
                  </w:pPr>
                  <w:r>
                    <w:rPr>
                      <w:rFonts w:hint="eastAsia" w:ascii="Times New Roman" w:hAnsi="Times New Roman" w:eastAsia="宋体" w:cs="Times New Roman"/>
                      <w:b w:val="0"/>
                      <w:bCs w:val="0"/>
                      <w:color w:val="auto"/>
                      <w:sz w:val="21"/>
                      <w:szCs w:val="21"/>
                      <w:highlight w:val="none"/>
                      <w:lang w:val="en-US" w:eastAsia="zh-CN"/>
                    </w:rPr>
                    <w:t>1</w:t>
                  </w:r>
                </w:p>
              </w:tc>
            </w:tr>
            <w:tr w14:paraId="3C5056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48" w:hRule="atLeast"/>
              </w:trPr>
              <w:tc>
                <w:tcPr>
                  <w:tcW w:w="466" w:type="pct"/>
                  <w:shd w:val="clear" w:color="auto" w:fill="auto"/>
                  <w:vAlign w:val="center"/>
                </w:tcPr>
                <w:p w14:paraId="2BDDB2C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8</w:t>
                  </w:r>
                </w:p>
              </w:tc>
              <w:tc>
                <w:tcPr>
                  <w:tcW w:w="1914" w:type="pct"/>
                  <w:shd w:val="clear" w:color="auto" w:fill="auto"/>
                  <w:vAlign w:val="center"/>
                </w:tcPr>
                <w:p w14:paraId="3550807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LAS</w:t>
                  </w:r>
                  <w:r>
                    <w:rPr>
                      <w:rFonts w:hint="eastAsia" w:ascii="Times New Roman" w:hAnsi="Times New Roman" w:eastAsia="宋体" w:cs="Times New Roman"/>
                      <w:b w:val="0"/>
                      <w:bCs w:val="0"/>
                      <w:color w:val="auto"/>
                      <w:sz w:val="21"/>
                      <w:szCs w:val="21"/>
                      <w:highlight w:val="none"/>
                      <w:lang w:val="en-US" w:eastAsia="zh-CN"/>
                    </w:rPr>
                    <w:t>/(mg/L)</w:t>
                  </w:r>
                </w:p>
              </w:tc>
              <w:tc>
                <w:tcPr>
                  <w:tcW w:w="2618" w:type="pct"/>
                  <w:shd w:val="clear" w:color="auto" w:fill="auto"/>
                  <w:vAlign w:val="center"/>
                </w:tcPr>
                <w:p w14:paraId="08B2796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0.5</w:t>
                  </w:r>
                </w:p>
              </w:tc>
            </w:tr>
          </w:tbl>
          <w:p w14:paraId="417AF224">
            <w:pPr>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kern w:val="2"/>
                <w:sz w:val="21"/>
                <w:szCs w:val="21"/>
                <w:highlight w:val="none"/>
                <w:lang w:val="en-US" w:eastAsia="zh-CN" w:bidi="ar-SA"/>
              </w:rPr>
              <w:t>表3-1</w:t>
            </w:r>
            <w:r>
              <w:rPr>
                <w:rFonts w:hint="eastAsia" w:cs="Times New Roman"/>
                <w:b/>
                <w:bCs/>
                <w:color w:val="auto"/>
                <w:kern w:val="2"/>
                <w:sz w:val="21"/>
                <w:szCs w:val="21"/>
                <w:highlight w:val="none"/>
                <w:lang w:val="en-US" w:eastAsia="zh-CN" w:bidi="ar-SA"/>
              </w:rPr>
              <w:t xml:space="preserve">1 </w:t>
            </w:r>
            <w:r>
              <w:rPr>
                <w:rFonts w:hint="default" w:ascii="Times New Roman" w:hAnsi="Times New Roman" w:cs="Times New Roman"/>
                <w:b/>
                <w:bCs/>
                <w:color w:val="auto"/>
                <w:sz w:val="21"/>
                <w:szCs w:val="21"/>
                <w:highlight w:val="none"/>
              </w:rPr>
              <w:t>园区污水处理厂水污染物排放限值（摘录）</w:t>
            </w:r>
            <w:r>
              <w:rPr>
                <w:rFonts w:hint="eastAsia" w:cs="Times New Roman"/>
                <w:b/>
                <w:bCs/>
                <w:color w:val="auto"/>
                <w:sz w:val="21"/>
                <w:szCs w:val="21"/>
                <w:highlight w:val="none"/>
                <w:lang w:val="en-US" w:eastAsia="zh-CN"/>
              </w:rPr>
              <w:t xml:space="preserve"> 单位：</w:t>
            </w:r>
            <w:r>
              <w:rPr>
                <w:rFonts w:hint="default" w:ascii="Times New Roman" w:hAnsi="Times New Roman" w:cs="Times New Roman"/>
                <w:b/>
                <w:bCs/>
                <w:color w:val="auto"/>
                <w:sz w:val="21"/>
                <w:szCs w:val="21"/>
                <w:highlight w:val="none"/>
              </w:rPr>
              <w:t>mg/L</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pH为无量纲</w:t>
            </w:r>
          </w:p>
          <w:tbl>
            <w:tblPr>
              <w:tblStyle w:val="3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58"/>
              <w:gridCol w:w="849"/>
              <w:gridCol w:w="709"/>
              <w:gridCol w:w="677"/>
              <w:gridCol w:w="941"/>
              <w:gridCol w:w="1772"/>
              <w:gridCol w:w="1190"/>
            </w:tblGrid>
            <w:tr w14:paraId="61E464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37" w:hRule="atLeast"/>
                <w:jc w:val="center"/>
              </w:trPr>
              <w:tc>
                <w:tcPr>
                  <w:tcW w:w="1328" w:type="pct"/>
                  <w:tcBorders>
                    <w:bottom w:val="single" w:color="auto" w:sz="4" w:space="0"/>
                    <w:tl2br w:val="nil"/>
                    <w:tr2bl w:val="nil"/>
                  </w:tcBorders>
                  <w:noWrap/>
                  <w:tcMar>
                    <w:left w:w="0" w:type="dxa"/>
                    <w:right w:w="0" w:type="dxa"/>
                  </w:tcMar>
                  <w:vAlign w:val="center"/>
                </w:tcPr>
                <w:p w14:paraId="6D66C81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污染物</w:t>
                  </w:r>
                </w:p>
              </w:tc>
              <w:tc>
                <w:tcPr>
                  <w:tcW w:w="537" w:type="pct"/>
                  <w:tcBorders>
                    <w:bottom w:val="single" w:color="auto" w:sz="4" w:space="0"/>
                    <w:tl2br w:val="nil"/>
                    <w:tr2bl w:val="nil"/>
                  </w:tcBorders>
                  <w:noWrap/>
                  <w:tcMar>
                    <w:left w:w="0" w:type="dxa"/>
                    <w:right w:w="0" w:type="dxa"/>
                  </w:tcMar>
                  <w:vAlign w:val="center"/>
                </w:tcPr>
                <w:p w14:paraId="08C0460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vertAlign w:val="subscript"/>
                    </w:rPr>
                  </w:pPr>
                  <w:r>
                    <w:rPr>
                      <w:rFonts w:hint="default" w:ascii="Times New Roman" w:hAnsi="Times New Roman" w:cs="Times New Roman"/>
                      <w:b/>
                      <w:bCs/>
                      <w:color w:val="auto"/>
                      <w:sz w:val="21"/>
                      <w:szCs w:val="21"/>
                      <w:highlight w:val="none"/>
                    </w:rPr>
                    <w:t>COD</w:t>
                  </w:r>
                  <w:r>
                    <w:rPr>
                      <w:rFonts w:hint="default" w:ascii="Times New Roman" w:hAnsi="Times New Roman" w:cs="Times New Roman"/>
                      <w:b/>
                      <w:bCs/>
                      <w:color w:val="auto"/>
                      <w:sz w:val="21"/>
                      <w:szCs w:val="21"/>
                      <w:highlight w:val="none"/>
                      <w:vertAlign w:val="subscript"/>
                    </w:rPr>
                    <w:t>Cr</w:t>
                  </w:r>
                </w:p>
              </w:tc>
              <w:tc>
                <w:tcPr>
                  <w:tcW w:w="439" w:type="pct"/>
                  <w:tcBorders>
                    <w:bottom w:val="single" w:color="auto" w:sz="4" w:space="0"/>
                    <w:tl2br w:val="nil"/>
                    <w:tr2bl w:val="nil"/>
                  </w:tcBorders>
                  <w:noWrap/>
                  <w:vAlign w:val="center"/>
                </w:tcPr>
                <w:p w14:paraId="35F3FBC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vertAlign w:val="subscript"/>
                    </w:rPr>
                  </w:pPr>
                  <w:r>
                    <w:rPr>
                      <w:rFonts w:hint="default" w:ascii="Times New Roman" w:hAnsi="Times New Roman" w:cs="Times New Roman"/>
                      <w:b/>
                      <w:bCs/>
                      <w:color w:val="auto"/>
                      <w:sz w:val="21"/>
                      <w:szCs w:val="21"/>
                      <w:highlight w:val="none"/>
                    </w:rPr>
                    <w:t>BOD</w:t>
                  </w:r>
                  <w:r>
                    <w:rPr>
                      <w:rFonts w:hint="default" w:ascii="Times New Roman" w:hAnsi="Times New Roman" w:cs="Times New Roman"/>
                      <w:b/>
                      <w:bCs/>
                      <w:color w:val="auto"/>
                      <w:sz w:val="21"/>
                      <w:szCs w:val="21"/>
                      <w:highlight w:val="none"/>
                      <w:vertAlign w:val="subscript"/>
                    </w:rPr>
                    <w:t>5</w:t>
                  </w:r>
                </w:p>
              </w:tc>
              <w:tc>
                <w:tcPr>
                  <w:tcW w:w="419" w:type="pct"/>
                  <w:tcBorders>
                    <w:bottom w:val="single" w:color="auto" w:sz="4" w:space="0"/>
                    <w:tl2br w:val="nil"/>
                    <w:tr2bl w:val="nil"/>
                  </w:tcBorders>
                  <w:noWrap/>
                  <w:vAlign w:val="center"/>
                </w:tcPr>
                <w:p w14:paraId="2070B49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SS</w:t>
                  </w:r>
                </w:p>
              </w:tc>
              <w:tc>
                <w:tcPr>
                  <w:tcW w:w="586" w:type="pct"/>
                  <w:tcBorders>
                    <w:bottom w:val="single" w:color="auto" w:sz="4" w:space="0"/>
                    <w:tl2br w:val="nil"/>
                    <w:tr2bl w:val="nil"/>
                  </w:tcBorders>
                  <w:noWrap/>
                  <w:vAlign w:val="center"/>
                </w:tcPr>
                <w:p w14:paraId="450803B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氨氮</w:t>
                  </w:r>
                </w:p>
              </w:tc>
              <w:tc>
                <w:tcPr>
                  <w:tcW w:w="960" w:type="pct"/>
                  <w:tcBorders>
                    <w:bottom w:val="single" w:color="auto" w:sz="4" w:space="0"/>
                    <w:tl2br w:val="nil"/>
                    <w:tr2bl w:val="nil"/>
                  </w:tcBorders>
                  <w:noWrap/>
                  <w:vAlign w:val="center"/>
                </w:tcPr>
                <w:p w14:paraId="14A9690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阴离子表面活性剂</w:t>
                  </w:r>
                </w:p>
              </w:tc>
              <w:tc>
                <w:tcPr>
                  <w:tcW w:w="728" w:type="pct"/>
                  <w:tcBorders>
                    <w:bottom w:val="single" w:color="auto" w:sz="4" w:space="0"/>
                    <w:tl2br w:val="nil"/>
                    <w:tr2bl w:val="nil"/>
                  </w:tcBorders>
                  <w:noWrap/>
                  <w:vAlign w:val="center"/>
                </w:tcPr>
                <w:p w14:paraId="07E4252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动植物油</w:t>
                  </w:r>
                </w:p>
              </w:tc>
            </w:tr>
            <w:tr w14:paraId="26E26B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0" w:hRule="atLeast"/>
                <w:jc w:val="center"/>
              </w:trPr>
              <w:tc>
                <w:tcPr>
                  <w:tcW w:w="1328"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6903971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DB44/26-2001第二时段一级排放标准</w:t>
                  </w:r>
                </w:p>
              </w:tc>
              <w:tc>
                <w:tcPr>
                  <w:tcW w:w="537"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24B9768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w:t>
                  </w:r>
                </w:p>
              </w:tc>
              <w:tc>
                <w:tcPr>
                  <w:tcW w:w="439" w:type="pct"/>
                  <w:tcBorders>
                    <w:top w:val="single" w:color="auto" w:sz="4" w:space="0"/>
                    <w:left w:val="single" w:color="auto" w:sz="4" w:space="0"/>
                    <w:bottom w:val="single" w:color="auto" w:sz="4" w:space="0"/>
                    <w:right w:val="single" w:color="auto" w:sz="4" w:space="0"/>
                    <w:tl2br w:val="nil"/>
                    <w:tr2bl w:val="nil"/>
                  </w:tcBorders>
                  <w:noWrap/>
                  <w:vAlign w:val="center"/>
                </w:tcPr>
                <w:p w14:paraId="2EF69B6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419" w:type="pct"/>
                  <w:tcBorders>
                    <w:top w:val="single" w:color="auto" w:sz="4" w:space="0"/>
                    <w:left w:val="single" w:color="auto" w:sz="4" w:space="0"/>
                    <w:bottom w:val="single" w:color="auto" w:sz="4" w:space="0"/>
                    <w:right w:val="single" w:color="auto" w:sz="4" w:space="0"/>
                    <w:tl2br w:val="nil"/>
                    <w:tr2bl w:val="nil"/>
                  </w:tcBorders>
                  <w:noWrap/>
                  <w:vAlign w:val="center"/>
                </w:tcPr>
                <w:p w14:paraId="4FAAF00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586" w:type="pct"/>
                  <w:tcBorders>
                    <w:top w:val="single" w:color="auto" w:sz="4" w:space="0"/>
                    <w:left w:val="single" w:color="auto" w:sz="4" w:space="0"/>
                    <w:bottom w:val="single" w:color="auto" w:sz="4" w:space="0"/>
                    <w:right w:val="single" w:color="auto" w:sz="4" w:space="0"/>
                    <w:tl2br w:val="nil"/>
                    <w:tr2bl w:val="nil"/>
                  </w:tcBorders>
                  <w:noWrap/>
                  <w:vAlign w:val="center"/>
                </w:tcPr>
                <w:p w14:paraId="2688350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w:t>
                  </w:r>
                </w:p>
              </w:tc>
              <w:tc>
                <w:tcPr>
                  <w:tcW w:w="960" w:type="pct"/>
                  <w:tcBorders>
                    <w:top w:val="single" w:color="auto" w:sz="4" w:space="0"/>
                    <w:left w:val="single" w:color="auto" w:sz="4" w:space="0"/>
                    <w:bottom w:val="single" w:color="auto" w:sz="4" w:space="0"/>
                    <w:right w:val="single" w:color="auto" w:sz="4" w:space="0"/>
                    <w:tl2br w:val="nil"/>
                    <w:tr2bl w:val="nil"/>
                  </w:tcBorders>
                  <w:noWrap/>
                  <w:vAlign w:val="center"/>
                </w:tcPr>
                <w:p w14:paraId="169BA17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5.0</w:t>
                  </w:r>
                </w:p>
              </w:tc>
              <w:tc>
                <w:tcPr>
                  <w:tcW w:w="728" w:type="pct"/>
                  <w:tcBorders>
                    <w:top w:val="single" w:color="auto" w:sz="4" w:space="0"/>
                    <w:left w:val="single" w:color="auto" w:sz="4" w:space="0"/>
                    <w:bottom w:val="single" w:color="auto" w:sz="4" w:space="0"/>
                    <w:right w:val="single" w:color="auto" w:sz="4" w:space="0"/>
                    <w:tl2br w:val="nil"/>
                    <w:tr2bl w:val="nil"/>
                  </w:tcBorders>
                  <w:noWrap/>
                  <w:vAlign w:val="center"/>
                </w:tcPr>
                <w:p w14:paraId="4A42ECF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w:t>
                  </w:r>
                </w:p>
              </w:tc>
            </w:tr>
            <w:tr w14:paraId="731E86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7" w:hRule="atLeast"/>
                <w:jc w:val="center"/>
              </w:trPr>
              <w:tc>
                <w:tcPr>
                  <w:tcW w:w="1328"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3B83734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GB18918-2002一级B标准</w:t>
                  </w:r>
                </w:p>
              </w:tc>
              <w:tc>
                <w:tcPr>
                  <w:tcW w:w="537"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0A68555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60</w:t>
                  </w:r>
                </w:p>
              </w:tc>
              <w:tc>
                <w:tcPr>
                  <w:tcW w:w="439" w:type="pct"/>
                  <w:tcBorders>
                    <w:top w:val="single" w:color="auto" w:sz="4" w:space="0"/>
                    <w:left w:val="single" w:color="auto" w:sz="4" w:space="0"/>
                    <w:bottom w:val="single" w:color="auto" w:sz="4" w:space="0"/>
                    <w:right w:val="single" w:color="auto" w:sz="4" w:space="0"/>
                    <w:tl2br w:val="nil"/>
                    <w:tr2bl w:val="nil"/>
                  </w:tcBorders>
                  <w:noWrap/>
                  <w:vAlign w:val="center"/>
                </w:tcPr>
                <w:p w14:paraId="3925253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419" w:type="pct"/>
                  <w:tcBorders>
                    <w:top w:val="single" w:color="auto" w:sz="4" w:space="0"/>
                    <w:left w:val="single" w:color="auto" w:sz="4" w:space="0"/>
                    <w:bottom w:val="single" w:color="auto" w:sz="4" w:space="0"/>
                    <w:right w:val="single" w:color="auto" w:sz="4" w:space="0"/>
                    <w:tl2br w:val="nil"/>
                    <w:tr2bl w:val="nil"/>
                  </w:tcBorders>
                  <w:noWrap/>
                  <w:vAlign w:val="center"/>
                </w:tcPr>
                <w:p w14:paraId="1246ED4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586" w:type="pct"/>
                  <w:tcBorders>
                    <w:top w:val="single" w:color="auto" w:sz="4" w:space="0"/>
                    <w:left w:val="single" w:color="auto" w:sz="4" w:space="0"/>
                    <w:bottom w:val="single" w:color="auto" w:sz="4" w:space="0"/>
                    <w:right w:val="single" w:color="auto" w:sz="4" w:space="0"/>
                    <w:tl2br w:val="nil"/>
                    <w:tr2bl w:val="nil"/>
                  </w:tcBorders>
                  <w:noWrap/>
                  <w:vAlign w:val="center"/>
                </w:tcPr>
                <w:p w14:paraId="38A5D45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8(15①)</w:t>
                  </w:r>
                </w:p>
              </w:tc>
              <w:tc>
                <w:tcPr>
                  <w:tcW w:w="960" w:type="pct"/>
                  <w:tcBorders>
                    <w:top w:val="single" w:color="auto" w:sz="4" w:space="0"/>
                    <w:left w:val="single" w:color="auto" w:sz="4" w:space="0"/>
                    <w:bottom w:val="single" w:color="auto" w:sz="4" w:space="0"/>
                    <w:right w:val="single" w:color="auto" w:sz="4" w:space="0"/>
                    <w:tl2br w:val="nil"/>
                    <w:tr2bl w:val="nil"/>
                  </w:tcBorders>
                  <w:noWrap/>
                  <w:vAlign w:val="center"/>
                </w:tcPr>
                <w:p w14:paraId="23C836B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w:t>
                  </w:r>
                </w:p>
              </w:tc>
              <w:tc>
                <w:tcPr>
                  <w:tcW w:w="728" w:type="pct"/>
                  <w:tcBorders>
                    <w:top w:val="single" w:color="auto" w:sz="4" w:space="0"/>
                    <w:left w:val="single" w:color="auto" w:sz="4" w:space="0"/>
                    <w:bottom w:val="single" w:color="auto" w:sz="4" w:space="0"/>
                    <w:right w:val="single" w:color="auto" w:sz="4" w:space="0"/>
                    <w:tl2br w:val="nil"/>
                    <w:tr2bl w:val="nil"/>
                  </w:tcBorders>
                  <w:noWrap/>
                  <w:vAlign w:val="center"/>
                </w:tcPr>
                <w:p w14:paraId="1D3AEC6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w:t>
                  </w:r>
                </w:p>
              </w:tc>
            </w:tr>
            <w:tr w14:paraId="618B3C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7" w:hRule="atLeast"/>
                <w:jc w:val="center"/>
              </w:trPr>
              <w:tc>
                <w:tcPr>
                  <w:tcW w:w="1328"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0854C7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执行限值</w:t>
                  </w:r>
                </w:p>
              </w:tc>
              <w:tc>
                <w:tcPr>
                  <w:tcW w:w="537"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3687213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w:t>
                  </w:r>
                </w:p>
              </w:tc>
              <w:tc>
                <w:tcPr>
                  <w:tcW w:w="439" w:type="pct"/>
                  <w:tcBorders>
                    <w:top w:val="single" w:color="auto" w:sz="4" w:space="0"/>
                    <w:left w:val="single" w:color="auto" w:sz="4" w:space="0"/>
                    <w:bottom w:val="single" w:color="auto" w:sz="4" w:space="0"/>
                    <w:right w:val="single" w:color="auto" w:sz="4" w:space="0"/>
                    <w:tl2br w:val="nil"/>
                    <w:tr2bl w:val="nil"/>
                  </w:tcBorders>
                  <w:noWrap/>
                  <w:vAlign w:val="center"/>
                </w:tcPr>
                <w:p w14:paraId="7683AEA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419" w:type="pct"/>
                  <w:tcBorders>
                    <w:top w:val="single" w:color="auto" w:sz="4" w:space="0"/>
                    <w:left w:val="single" w:color="auto" w:sz="4" w:space="0"/>
                    <w:bottom w:val="single" w:color="auto" w:sz="4" w:space="0"/>
                    <w:right w:val="single" w:color="auto" w:sz="4" w:space="0"/>
                    <w:tl2br w:val="nil"/>
                    <w:tr2bl w:val="nil"/>
                  </w:tcBorders>
                  <w:noWrap/>
                  <w:vAlign w:val="center"/>
                </w:tcPr>
                <w:p w14:paraId="4402997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586" w:type="pct"/>
                  <w:tcBorders>
                    <w:top w:val="single" w:color="auto" w:sz="4" w:space="0"/>
                    <w:left w:val="single" w:color="auto" w:sz="4" w:space="0"/>
                    <w:bottom w:val="single" w:color="auto" w:sz="4" w:space="0"/>
                    <w:right w:val="single" w:color="auto" w:sz="4" w:space="0"/>
                    <w:tl2br w:val="nil"/>
                    <w:tr2bl w:val="nil"/>
                  </w:tcBorders>
                  <w:noWrap/>
                  <w:vAlign w:val="center"/>
                </w:tcPr>
                <w:p w14:paraId="66BC439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w:t>
                  </w:r>
                </w:p>
              </w:tc>
              <w:tc>
                <w:tcPr>
                  <w:tcW w:w="960" w:type="pct"/>
                  <w:tcBorders>
                    <w:top w:val="single" w:color="auto" w:sz="4" w:space="0"/>
                    <w:left w:val="single" w:color="auto" w:sz="4" w:space="0"/>
                    <w:bottom w:val="single" w:color="auto" w:sz="4" w:space="0"/>
                    <w:right w:val="single" w:color="auto" w:sz="4" w:space="0"/>
                    <w:tl2br w:val="nil"/>
                    <w:tr2bl w:val="nil"/>
                  </w:tcBorders>
                  <w:noWrap/>
                  <w:vAlign w:val="center"/>
                </w:tcPr>
                <w:p w14:paraId="115C020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w:t>
                  </w:r>
                </w:p>
              </w:tc>
              <w:tc>
                <w:tcPr>
                  <w:tcW w:w="728" w:type="pct"/>
                  <w:tcBorders>
                    <w:top w:val="single" w:color="auto" w:sz="4" w:space="0"/>
                    <w:left w:val="single" w:color="auto" w:sz="4" w:space="0"/>
                    <w:bottom w:val="single" w:color="auto" w:sz="4" w:space="0"/>
                    <w:right w:val="single" w:color="auto" w:sz="4" w:space="0"/>
                    <w:tl2br w:val="nil"/>
                    <w:tr2bl w:val="nil"/>
                  </w:tcBorders>
                  <w:noWrap/>
                  <w:vAlign w:val="center"/>
                </w:tcPr>
                <w:p w14:paraId="624DD18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w:t>
                  </w:r>
                </w:p>
              </w:tc>
            </w:tr>
            <w:tr w14:paraId="73048A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7" w:hRule="atLeast"/>
                <w:jc w:val="center"/>
              </w:trPr>
              <w:tc>
                <w:tcPr>
                  <w:tcW w:w="1328"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3467CCD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污染物</w:t>
                  </w:r>
                </w:p>
              </w:tc>
              <w:tc>
                <w:tcPr>
                  <w:tcW w:w="537"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54FAF42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总氮</w:t>
                  </w:r>
                </w:p>
              </w:tc>
              <w:tc>
                <w:tcPr>
                  <w:tcW w:w="439" w:type="pct"/>
                  <w:tcBorders>
                    <w:top w:val="single" w:color="auto" w:sz="4" w:space="0"/>
                    <w:left w:val="single" w:color="auto" w:sz="4" w:space="0"/>
                    <w:bottom w:val="single" w:color="auto" w:sz="4" w:space="0"/>
                    <w:right w:val="single" w:color="auto" w:sz="4" w:space="0"/>
                    <w:tl2br w:val="nil"/>
                    <w:tr2bl w:val="nil"/>
                  </w:tcBorders>
                  <w:noWrap/>
                  <w:vAlign w:val="center"/>
                </w:tcPr>
                <w:p w14:paraId="007555D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总磷</w:t>
                  </w:r>
                </w:p>
              </w:tc>
              <w:tc>
                <w:tcPr>
                  <w:tcW w:w="419" w:type="pct"/>
                  <w:tcBorders>
                    <w:top w:val="single" w:color="auto" w:sz="4" w:space="0"/>
                    <w:left w:val="single" w:color="auto" w:sz="4" w:space="0"/>
                    <w:bottom w:val="single" w:color="auto" w:sz="4" w:space="0"/>
                    <w:right w:val="single" w:color="auto" w:sz="4" w:space="0"/>
                    <w:tl2br w:val="nil"/>
                    <w:tr2bl w:val="nil"/>
                  </w:tcBorders>
                  <w:noWrap/>
                  <w:vAlign w:val="center"/>
                </w:tcPr>
                <w:p w14:paraId="52144EF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pH</w:t>
                  </w:r>
                </w:p>
              </w:tc>
              <w:tc>
                <w:tcPr>
                  <w:tcW w:w="586" w:type="pct"/>
                  <w:tcBorders>
                    <w:top w:val="single" w:color="auto" w:sz="4" w:space="0"/>
                    <w:left w:val="single" w:color="auto" w:sz="4" w:space="0"/>
                    <w:bottom w:val="single" w:color="auto" w:sz="4" w:space="0"/>
                    <w:right w:val="single" w:color="auto" w:sz="4" w:space="0"/>
                    <w:tl2br w:val="nil"/>
                    <w:tr2bl w:val="nil"/>
                  </w:tcBorders>
                  <w:noWrap/>
                  <w:vAlign w:val="center"/>
                </w:tcPr>
                <w:p w14:paraId="3D247CC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石油类</w:t>
                  </w:r>
                </w:p>
              </w:tc>
              <w:tc>
                <w:tcPr>
                  <w:tcW w:w="960" w:type="pct"/>
                  <w:tcBorders>
                    <w:top w:val="single" w:color="auto" w:sz="4" w:space="0"/>
                    <w:left w:val="single" w:color="auto" w:sz="4" w:space="0"/>
                    <w:bottom w:val="single" w:color="auto" w:sz="4" w:space="0"/>
                    <w:right w:val="single" w:color="auto" w:sz="4" w:space="0"/>
                    <w:tl2br w:val="nil"/>
                    <w:tr2bl w:val="nil"/>
                  </w:tcBorders>
                  <w:noWrap/>
                  <w:vAlign w:val="center"/>
                </w:tcPr>
                <w:p w14:paraId="7BF4AB6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色度（稀释倍数）</w:t>
                  </w:r>
                </w:p>
              </w:tc>
              <w:tc>
                <w:tcPr>
                  <w:tcW w:w="728" w:type="pct"/>
                  <w:tcBorders>
                    <w:top w:val="single" w:color="auto" w:sz="4" w:space="0"/>
                    <w:left w:val="single" w:color="auto" w:sz="4" w:space="0"/>
                    <w:bottom w:val="single" w:color="auto" w:sz="4" w:space="0"/>
                    <w:right w:val="single" w:color="auto" w:sz="4" w:space="0"/>
                    <w:tl2br w:val="nil"/>
                    <w:tr2bl w:val="nil"/>
                  </w:tcBorders>
                  <w:noWrap/>
                  <w:vAlign w:val="center"/>
                </w:tcPr>
                <w:p w14:paraId="6005C85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粪大肠菌群</w:t>
                  </w:r>
                </w:p>
              </w:tc>
            </w:tr>
            <w:tr w14:paraId="64A956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0" w:hRule="atLeast"/>
                <w:jc w:val="center"/>
              </w:trPr>
              <w:tc>
                <w:tcPr>
                  <w:tcW w:w="1328"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723997B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DB44/26-2001第二时段一级排放标准</w:t>
                  </w:r>
                </w:p>
              </w:tc>
              <w:tc>
                <w:tcPr>
                  <w:tcW w:w="537"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398FCA5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439" w:type="pct"/>
                  <w:tcBorders>
                    <w:top w:val="single" w:color="auto" w:sz="4" w:space="0"/>
                    <w:left w:val="single" w:color="auto" w:sz="4" w:space="0"/>
                    <w:bottom w:val="single" w:color="auto" w:sz="4" w:space="0"/>
                    <w:right w:val="single" w:color="auto" w:sz="4" w:space="0"/>
                    <w:tl2br w:val="nil"/>
                    <w:tr2bl w:val="nil"/>
                  </w:tcBorders>
                  <w:noWrap/>
                  <w:vAlign w:val="center"/>
                </w:tcPr>
                <w:p w14:paraId="400CF7C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0.5</w:t>
                  </w:r>
                </w:p>
              </w:tc>
              <w:tc>
                <w:tcPr>
                  <w:tcW w:w="419" w:type="pct"/>
                  <w:tcBorders>
                    <w:top w:val="single" w:color="auto" w:sz="4" w:space="0"/>
                    <w:left w:val="single" w:color="auto" w:sz="4" w:space="0"/>
                    <w:bottom w:val="single" w:color="auto" w:sz="4" w:space="0"/>
                    <w:right w:val="single" w:color="auto" w:sz="4" w:space="0"/>
                    <w:tl2br w:val="nil"/>
                    <w:tr2bl w:val="nil"/>
                  </w:tcBorders>
                  <w:noWrap/>
                  <w:vAlign w:val="center"/>
                </w:tcPr>
                <w:p w14:paraId="42637C1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6~9</w:t>
                  </w:r>
                </w:p>
              </w:tc>
              <w:tc>
                <w:tcPr>
                  <w:tcW w:w="586" w:type="pct"/>
                  <w:tcBorders>
                    <w:top w:val="single" w:color="auto" w:sz="4" w:space="0"/>
                    <w:left w:val="single" w:color="auto" w:sz="4" w:space="0"/>
                    <w:bottom w:val="single" w:color="auto" w:sz="4" w:space="0"/>
                    <w:right w:val="single" w:color="auto" w:sz="4" w:space="0"/>
                    <w:tl2br w:val="nil"/>
                    <w:tr2bl w:val="nil"/>
                  </w:tcBorders>
                  <w:noWrap/>
                  <w:vAlign w:val="center"/>
                </w:tcPr>
                <w:p w14:paraId="50F294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5.0</w:t>
                  </w:r>
                </w:p>
              </w:tc>
              <w:tc>
                <w:tcPr>
                  <w:tcW w:w="960" w:type="pct"/>
                  <w:tcBorders>
                    <w:top w:val="single" w:color="auto" w:sz="4" w:space="0"/>
                    <w:left w:val="single" w:color="auto" w:sz="4" w:space="0"/>
                    <w:bottom w:val="single" w:color="auto" w:sz="4" w:space="0"/>
                    <w:right w:val="single" w:color="auto" w:sz="4" w:space="0"/>
                    <w:tl2br w:val="nil"/>
                    <w:tr2bl w:val="nil"/>
                  </w:tcBorders>
                  <w:noWrap/>
                  <w:vAlign w:val="center"/>
                </w:tcPr>
                <w:p w14:paraId="1F16A6D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w:t>
                  </w:r>
                </w:p>
              </w:tc>
              <w:tc>
                <w:tcPr>
                  <w:tcW w:w="728" w:type="pct"/>
                  <w:tcBorders>
                    <w:top w:val="single" w:color="auto" w:sz="4" w:space="0"/>
                    <w:left w:val="single" w:color="auto" w:sz="4" w:space="0"/>
                    <w:bottom w:val="single" w:color="auto" w:sz="4" w:space="0"/>
                    <w:right w:val="single" w:color="auto" w:sz="4" w:space="0"/>
                    <w:tl2br w:val="nil"/>
                    <w:tr2bl w:val="nil"/>
                  </w:tcBorders>
                  <w:noWrap/>
                  <w:vAlign w:val="center"/>
                </w:tcPr>
                <w:p w14:paraId="240A4EB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r>
            <w:tr w14:paraId="550149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7" w:hRule="atLeast"/>
                <w:jc w:val="center"/>
              </w:trPr>
              <w:tc>
                <w:tcPr>
                  <w:tcW w:w="1328"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5A5F8BC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GB18918-2002一级B标准</w:t>
                  </w:r>
                </w:p>
              </w:tc>
              <w:tc>
                <w:tcPr>
                  <w:tcW w:w="537"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26515D0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439" w:type="pct"/>
                  <w:tcBorders>
                    <w:top w:val="single" w:color="auto" w:sz="4" w:space="0"/>
                    <w:left w:val="single" w:color="auto" w:sz="4" w:space="0"/>
                    <w:bottom w:val="single" w:color="auto" w:sz="4" w:space="0"/>
                    <w:right w:val="single" w:color="auto" w:sz="4" w:space="0"/>
                    <w:tl2br w:val="nil"/>
                    <w:tr2bl w:val="nil"/>
                  </w:tcBorders>
                  <w:noWrap/>
                  <w:vAlign w:val="center"/>
                </w:tcPr>
                <w:p w14:paraId="5D263FF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w:t>
                  </w:r>
                </w:p>
              </w:tc>
              <w:tc>
                <w:tcPr>
                  <w:tcW w:w="419" w:type="pct"/>
                  <w:tcBorders>
                    <w:top w:val="single" w:color="auto" w:sz="4" w:space="0"/>
                    <w:left w:val="single" w:color="auto" w:sz="4" w:space="0"/>
                    <w:bottom w:val="single" w:color="auto" w:sz="4" w:space="0"/>
                    <w:right w:val="single" w:color="auto" w:sz="4" w:space="0"/>
                    <w:tl2br w:val="nil"/>
                    <w:tr2bl w:val="nil"/>
                  </w:tcBorders>
                  <w:noWrap/>
                  <w:vAlign w:val="center"/>
                </w:tcPr>
                <w:p w14:paraId="627ECD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6~9</w:t>
                  </w:r>
                </w:p>
              </w:tc>
              <w:tc>
                <w:tcPr>
                  <w:tcW w:w="586" w:type="pct"/>
                  <w:tcBorders>
                    <w:top w:val="single" w:color="auto" w:sz="4" w:space="0"/>
                    <w:left w:val="single" w:color="auto" w:sz="4" w:space="0"/>
                    <w:bottom w:val="single" w:color="auto" w:sz="4" w:space="0"/>
                    <w:right w:val="single" w:color="auto" w:sz="4" w:space="0"/>
                    <w:tl2br w:val="nil"/>
                    <w:tr2bl w:val="nil"/>
                  </w:tcBorders>
                  <w:noWrap/>
                  <w:vAlign w:val="center"/>
                </w:tcPr>
                <w:p w14:paraId="755DAA4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w:t>
                  </w:r>
                </w:p>
              </w:tc>
              <w:tc>
                <w:tcPr>
                  <w:tcW w:w="960" w:type="pct"/>
                  <w:tcBorders>
                    <w:top w:val="single" w:color="auto" w:sz="4" w:space="0"/>
                    <w:left w:val="single" w:color="auto" w:sz="4" w:space="0"/>
                    <w:bottom w:val="single" w:color="auto" w:sz="4" w:space="0"/>
                    <w:right w:val="single" w:color="auto" w:sz="4" w:space="0"/>
                    <w:tl2br w:val="nil"/>
                    <w:tr2bl w:val="nil"/>
                  </w:tcBorders>
                  <w:noWrap/>
                  <w:vAlign w:val="center"/>
                </w:tcPr>
                <w:p w14:paraId="1E72753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w:t>
                  </w:r>
                </w:p>
              </w:tc>
              <w:tc>
                <w:tcPr>
                  <w:tcW w:w="728" w:type="pct"/>
                  <w:tcBorders>
                    <w:top w:val="single" w:color="auto" w:sz="4" w:space="0"/>
                    <w:left w:val="single" w:color="auto" w:sz="4" w:space="0"/>
                    <w:bottom w:val="single" w:color="auto" w:sz="4" w:space="0"/>
                    <w:right w:val="single" w:color="auto" w:sz="4" w:space="0"/>
                    <w:tl2br w:val="nil"/>
                    <w:tr2bl w:val="nil"/>
                  </w:tcBorders>
                  <w:noWrap/>
                  <w:vAlign w:val="center"/>
                </w:tcPr>
                <w:p w14:paraId="4CAF82C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10000个/L</w:t>
                  </w:r>
                </w:p>
              </w:tc>
            </w:tr>
            <w:tr w14:paraId="625517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7" w:hRule="atLeast"/>
                <w:jc w:val="center"/>
              </w:trPr>
              <w:tc>
                <w:tcPr>
                  <w:tcW w:w="1328"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76D9130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执行限值</w:t>
                  </w:r>
                </w:p>
              </w:tc>
              <w:tc>
                <w:tcPr>
                  <w:tcW w:w="537"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7C8165F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439" w:type="pct"/>
                  <w:tcBorders>
                    <w:top w:val="single" w:color="auto" w:sz="4" w:space="0"/>
                    <w:left w:val="single" w:color="auto" w:sz="4" w:space="0"/>
                    <w:bottom w:val="single" w:color="auto" w:sz="4" w:space="0"/>
                    <w:right w:val="single" w:color="auto" w:sz="4" w:space="0"/>
                    <w:tl2br w:val="nil"/>
                    <w:tr2bl w:val="nil"/>
                  </w:tcBorders>
                  <w:noWrap/>
                  <w:vAlign w:val="center"/>
                </w:tcPr>
                <w:p w14:paraId="7E63DC8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0.5</w:t>
                  </w:r>
                </w:p>
              </w:tc>
              <w:tc>
                <w:tcPr>
                  <w:tcW w:w="419" w:type="pct"/>
                  <w:tcBorders>
                    <w:top w:val="single" w:color="auto" w:sz="4" w:space="0"/>
                    <w:left w:val="single" w:color="auto" w:sz="4" w:space="0"/>
                    <w:bottom w:val="single" w:color="auto" w:sz="4" w:space="0"/>
                    <w:right w:val="single" w:color="auto" w:sz="4" w:space="0"/>
                    <w:tl2br w:val="nil"/>
                    <w:tr2bl w:val="nil"/>
                  </w:tcBorders>
                  <w:noWrap/>
                  <w:vAlign w:val="center"/>
                </w:tcPr>
                <w:p w14:paraId="7F54959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6~9</w:t>
                  </w:r>
                </w:p>
              </w:tc>
              <w:tc>
                <w:tcPr>
                  <w:tcW w:w="586" w:type="pct"/>
                  <w:tcBorders>
                    <w:top w:val="single" w:color="auto" w:sz="4" w:space="0"/>
                    <w:left w:val="single" w:color="auto" w:sz="4" w:space="0"/>
                    <w:bottom w:val="single" w:color="auto" w:sz="4" w:space="0"/>
                    <w:right w:val="single" w:color="auto" w:sz="4" w:space="0"/>
                    <w:tl2br w:val="nil"/>
                    <w:tr2bl w:val="nil"/>
                  </w:tcBorders>
                  <w:noWrap/>
                  <w:vAlign w:val="center"/>
                </w:tcPr>
                <w:p w14:paraId="6A6B384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w:t>
                  </w:r>
                </w:p>
              </w:tc>
              <w:tc>
                <w:tcPr>
                  <w:tcW w:w="960" w:type="pct"/>
                  <w:tcBorders>
                    <w:top w:val="single" w:color="auto" w:sz="4" w:space="0"/>
                    <w:left w:val="single" w:color="auto" w:sz="4" w:space="0"/>
                    <w:bottom w:val="single" w:color="auto" w:sz="4" w:space="0"/>
                    <w:right w:val="single" w:color="auto" w:sz="4" w:space="0"/>
                    <w:tl2br w:val="nil"/>
                    <w:tr2bl w:val="nil"/>
                  </w:tcBorders>
                  <w:noWrap/>
                  <w:vAlign w:val="center"/>
                </w:tcPr>
                <w:p w14:paraId="1992C51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w:t>
                  </w:r>
                </w:p>
              </w:tc>
              <w:tc>
                <w:tcPr>
                  <w:tcW w:w="728" w:type="pct"/>
                  <w:tcBorders>
                    <w:top w:val="single" w:color="auto" w:sz="4" w:space="0"/>
                    <w:left w:val="single" w:color="auto" w:sz="4" w:space="0"/>
                    <w:bottom w:val="single" w:color="auto" w:sz="4" w:space="0"/>
                    <w:right w:val="single" w:color="auto" w:sz="4" w:space="0"/>
                    <w:tl2br w:val="nil"/>
                    <w:tr2bl w:val="nil"/>
                  </w:tcBorders>
                  <w:noWrap/>
                  <w:vAlign w:val="center"/>
                </w:tcPr>
                <w:p w14:paraId="43E9C59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10000个/L</w:t>
                  </w:r>
                </w:p>
              </w:tc>
            </w:tr>
            <w:tr w14:paraId="55B49C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30" w:hRule="atLeast"/>
                <w:jc w:val="center"/>
              </w:trPr>
              <w:tc>
                <w:tcPr>
                  <w:tcW w:w="1328"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4036BD6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备注</w:t>
                  </w:r>
                </w:p>
              </w:tc>
              <w:tc>
                <w:tcPr>
                  <w:tcW w:w="3671" w:type="pct"/>
                  <w:gridSpan w:val="6"/>
                  <w:tcBorders>
                    <w:top w:val="single" w:color="auto" w:sz="4" w:space="0"/>
                    <w:left w:val="single" w:color="auto" w:sz="4" w:space="0"/>
                    <w:bottom w:val="single" w:color="auto" w:sz="4" w:space="0"/>
                    <w:right w:val="single" w:color="auto" w:sz="4" w:space="0"/>
                    <w:tl2br w:val="nil"/>
                    <w:tr2bl w:val="nil"/>
                  </w:tcBorders>
                  <w:noWrap/>
                  <w:vAlign w:val="center"/>
                </w:tcPr>
                <w:p w14:paraId="25DBDD6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ja-JP"/>
                    </w:rPr>
                    <w:t>①</w:t>
                  </w:r>
                  <w:r>
                    <w:rPr>
                      <w:rFonts w:hint="default" w:ascii="Times New Roman" w:hAnsi="Times New Roman" w:cs="Times New Roman"/>
                      <w:color w:val="auto"/>
                      <w:sz w:val="21"/>
                      <w:szCs w:val="21"/>
                      <w:highlight w:val="none"/>
                    </w:rPr>
                    <w:t>括号内为水温&lt;12℃时的限值，括号外为水温在12℃以上的限值</w:t>
                  </w:r>
                </w:p>
              </w:tc>
            </w:tr>
          </w:tbl>
          <w:p w14:paraId="77AC4C0C">
            <w:pPr>
              <w:pStyle w:val="4"/>
              <w:numPr>
                <w:ilvl w:val="2"/>
                <w:numId w:val="0"/>
              </w:numPr>
              <w:suppressLineNumbers w:val="0"/>
              <w:spacing w:before="0" w:beforeAutospacing="0" w:after="0" w:afterAutospacing="0"/>
              <w:ind w:left="480" w:right="0"/>
              <w:rPr>
                <w:rFonts w:hint="default" w:ascii="Times New Roman" w:hAnsi="Times New Roman" w:cs="Times New Roman"/>
                <w:color w:val="auto"/>
                <w:highlight w:val="none"/>
              </w:rPr>
            </w:pPr>
            <w:r>
              <w:rPr>
                <w:rFonts w:hint="default" w:ascii="Times New Roman" w:hAnsi="Times New Roman" w:cs="Times New Roman"/>
                <w:color w:val="auto"/>
                <w:highlight w:val="none"/>
              </w:rPr>
              <w:t>三、噪声排放标准</w:t>
            </w:r>
          </w:p>
          <w:p w14:paraId="05F24491">
            <w:pPr>
              <w:keepNext w:val="0"/>
              <w:keepLines w:val="0"/>
              <w:suppressLineNumbers w:val="0"/>
              <w:wordWrap w:val="0"/>
              <w:spacing w:before="0" w:beforeAutospacing="0" w:after="0" w:afterAutospacing="0"/>
              <w:ind w:left="0" w:right="0" w:firstLine="480" w:firstLineChars="200"/>
              <w:jc w:val="left"/>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lang w:eastAsia="zh-CN"/>
              </w:rPr>
              <w:t>（</w:t>
            </w:r>
            <w:r>
              <w:rPr>
                <w:rFonts w:hint="default" w:ascii="Times New Roman" w:hAnsi="Times New Roman" w:cs="Times New Roman"/>
                <w:b/>
                <w:bCs/>
                <w:color w:val="auto"/>
                <w:highlight w:val="none"/>
                <w:lang w:val="en-US" w:eastAsia="zh-CN"/>
              </w:rPr>
              <w:t>1</w:t>
            </w:r>
            <w:r>
              <w:rPr>
                <w:rFonts w:hint="default" w:ascii="Times New Roman" w:hAnsi="Times New Roman" w:cs="Times New Roman"/>
                <w:b/>
                <w:bCs/>
                <w:color w:val="auto"/>
                <w:highlight w:val="none"/>
                <w:lang w:eastAsia="zh-CN"/>
              </w:rPr>
              <w:t>）</w:t>
            </w:r>
            <w:r>
              <w:rPr>
                <w:rFonts w:hint="default" w:ascii="Times New Roman" w:hAnsi="Times New Roman" w:cs="Times New Roman"/>
                <w:b/>
                <w:bCs/>
                <w:color w:val="auto"/>
                <w:highlight w:val="none"/>
                <w:lang w:val="en-US" w:eastAsia="zh-CN"/>
              </w:rPr>
              <w:t>施工期</w:t>
            </w:r>
          </w:p>
          <w:p w14:paraId="5C9CF05E">
            <w:pPr>
              <w:keepNext w:val="0"/>
              <w:keepLines w:val="0"/>
              <w:suppressLineNumbers w:val="0"/>
              <w:wordWrap w:val="0"/>
              <w:spacing w:before="0" w:beforeAutospacing="0" w:after="0" w:afterAutospacing="0"/>
              <w:ind w:left="0" w:right="0" w:firstLine="480" w:firstLineChars="200"/>
              <w:jc w:val="left"/>
              <w:rPr>
                <w:rFonts w:hint="eastAsia" w:eastAsia="宋体" w:cs="Times New Roman"/>
                <w:color w:val="auto"/>
                <w:highlight w:val="none"/>
                <w:lang w:eastAsia="zh-CN"/>
              </w:rPr>
            </w:pPr>
            <w:r>
              <w:rPr>
                <w:rFonts w:hint="default" w:ascii="Times New Roman" w:hAnsi="Times New Roman" w:eastAsia="宋体" w:cs="Times New Roman"/>
                <w:color w:val="auto"/>
                <w:sz w:val="24"/>
                <w:highlight w:val="none"/>
              </w:rPr>
              <w:t>施工期项目边界噪声执行</w:t>
            </w:r>
            <w:r>
              <w:rPr>
                <w:rFonts w:hint="eastAsia" w:cs="Times New Roman"/>
                <w:color w:val="auto"/>
                <w:sz w:val="24"/>
                <w:highlight w:val="none"/>
                <w:lang w:eastAsia="zh-CN"/>
              </w:rPr>
              <w:t>《建筑施工噪声排放标准》（GB 12523–2025）</w:t>
            </w:r>
            <w:r>
              <w:rPr>
                <w:rFonts w:hint="default" w:ascii="Times New Roman" w:hAnsi="Times New Roman" w:eastAsia="宋体" w:cs="Times New Roman"/>
                <w:color w:val="auto"/>
                <w:sz w:val="24"/>
                <w:highlight w:val="none"/>
              </w:rPr>
              <w:t>（昼间≤</w:t>
            </w:r>
            <w:r>
              <w:rPr>
                <w:rFonts w:hint="eastAsia" w:cs="Times New Roman"/>
                <w:color w:val="auto"/>
                <w:sz w:val="24"/>
                <w:highlight w:val="none"/>
                <w:lang w:val="en-US" w:eastAsia="zh-CN"/>
              </w:rPr>
              <w:t>65</w:t>
            </w:r>
            <w:r>
              <w:rPr>
                <w:rFonts w:hint="default" w:ascii="Times New Roman" w:hAnsi="Times New Roman" w:eastAsia="宋体" w:cs="Times New Roman"/>
                <w:color w:val="auto"/>
                <w:sz w:val="24"/>
                <w:highlight w:val="none"/>
              </w:rPr>
              <w:t>dB，夜间≤5</w:t>
            </w:r>
            <w:r>
              <w:rPr>
                <w:rFonts w:hint="eastAsia" w:cs="Times New Roman"/>
                <w:color w:val="auto"/>
                <w:sz w:val="24"/>
                <w:highlight w:val="none"/>
                <w:lang w:val="en-US" w:eastAsia="zh-CN"/>
              </w:rPr>
              <w:t>0</w:t>
            </w:r>
            <w:r>
              <w:rPr>
                <w:rFonts w:hint="default" w:ascii="Times New Roman" w:hAnsi="Times New Roman" w:eastAsia="宋体" w:cs="Times New Roman"/>
                <w:color w:val="auto"/>
                <w:sz w:val="24"/>
                <w:highlight w:val="none"/>
              </w:rPr>
              <w:t>dB）</w:t>
            </w:r>
            <w:r>
              <w:rPr>
                <w:rFonts w:hint="eastAsia" w:ascii="Times New Roman" w:hAnsi="Times New Roman" w:eastAsia="宋体" w:cs="Times New Roman"/>
                <w:color w:val="auto"/>
                <w:sz w:val="24"/>
                <w:highlight w:val="none"/>
                <w:lang w:eastAsia="zh-CN"/>
              </w:rPr>
              <w:t>。</w:t>
            </w:r>
          </w:p>
          <w:p w14:paraId="3A2B3225">
            <w:pPr>
              <w:keepNext w:val="0"/>
              <w:keepLines w:val="0"/>
              <w:suppressLineNumbers w:val="0"/>
              <w:wordWrap w:val="0"/>
              <w:spacing w:before="0" w:beforeAutospacing="0" w:after="0" w:afterAutospacing="0"/>
              <w:ind w:left="0" w:right="0" w:firstLine="480" w:firstLineChars="200"/>
              <w:jc w:val="left"/>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eastAsia="zh-CN"/>
              </w:rPr>
              <w:t>（</w:t>
            </w:r>
            <w:r>
              <w:rPr>
                <w:rFonts w:hint="default" w:ascii="Times New Roman" w:hAnsi="Times New Roman" w:eastAsia="宋体" w:cs="Times New Roman"/>
                <w:b/>
                <w:bCs/>
                <w:color w:val="auto"/>
                <w:highlight w:val="none"/>
                <w:lang w:val="en-US" w:eastAsia="zh-CN"/>
              </w:rPr>
              <w:t>2</w:t>
            </w:r>
            <w:r>
              <w:rPr>
                <w:rFonts w:hint="default" w:ascii="Times New Roman" w:hAnsi="Times New Roman" w:eastAsia="宋体" w:cs="Times New Roman"/>
                <w:b/>
                <w:bCs/>
                <w:color w:val="auto"/>
                <w:highlight w:val="none"/>
                <w:lang w:eastAsia="zh-CN"/>
              </w:rPr>
              <w:t>）</w:t>
            </w:r>
            <w:r>
              <w:rPr>
                <w:rFonts w:hint="default" w:ascii="Times New Roman" w:hAnsi="Times New Roman" w:eastAsia="宋体" w:cs="Times New Roman"/>
                <w:b/>
                <w:bCs/>
                <w:color w:val="auto"/>
                <w:highlight w:val="none"/>
                <w:lang w:val="en-US" w:eastAsia="zh-CN"/>
              </w:rPr>
              <w:t>运营期</w:t>
            </w:r>
          </w:p>
          <w:p w14:paraId="22E05AD0">
            <w:pPr>
              <w:keepNext w:val="0"/>
              <w:keepLines w:val="0"/>
              <w:suppressLineNumbers w:val="0"/>
              <w:wordWrap w:val="0"/>
              <w:spacing w:before="0" w:beforeAutospacing="0" w:after="0" w:afterAutospacing="0"/>
              <w:ind w:left="0" w:right="0"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本项目厂界噪声排放执行《工业企业厂界环境噪声排放标准》（GB12348-2008）3类标准。</w:t>
            </w:r>
          </w:p>
          <w:p w14:paraId="47291766">
            <w:pPr>
              <w:pStyle w:val="20"/>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cs="Times New Roman"/>
                <w:color w:val="auto"/>
                <w:highlight w:val="none"/>
              </w:rPr>
            </w:pPr>
            <w:r>
              <w:rPr>
                <w:rFonts w:hint="default" w:ascii="Times New Roman" w:hAnsi="Times New Roman" w:eastAsia="宋体" w:cs="Times New Roman"/>
                <w:b/>
                <w:bCs/>
                <w:color w:val="auto"/>
                <w:kern w:val="2"/>
                <w:sz w:val="21"/>
                <w:szCs w:val="21"/>
                <w:highlight w:val="none"/>
                <w:lang w:val="en-US" w:eastAsia="zh-CN" w:bidi="ar-SA"/>
              </w:rPr>
              <w:t>表3-1</w:t>
            </w:r>
            <w:r>
              <w:rPr>
                <w:rFonts w:hint="eastAsia" w:cs="Times New Roman"/>
                <w:b/>
                <w:bCs/>
                <w:color w:val="auto"/>
                <w:kern w:val="2"/>
                <w:sz w:val="21"/>
                <w:szCs w:val="21"/>
                <w:highlight w:val="none"/>
                <w:lang w:val="en-US" w:eastAsia="zh-CN" w:bidi="ar-SA"/>
              </w:rPr>
              <w:t xml:space="preserve">2 </w:t>
            </w:r>
            <w:r>
              <w:rPr>
                <w:rFonts w:hint="default" w:ascii="Times New Roman" w:hAnsi="Times New Roman" w:cs="Times New Roman"/>
                <w:color w:val="auto"/>
                <w:highlight w:val="none"/>
              </w:rPr>
              <w:t>环境噪声排放标准</w:t>
            </w:r>
          </w:p>
          <w:tbl>
            <w:tblPr>
              <w:tblStyle w:val="39"/>
              <w:tblW w:w="9238"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2309"/>
              <w:gridCol w:w="2309"/>
              <w:gridCol w:w="2309"/>
              <w:gridCol w:w="2311"/>
            </w:tblGrid>
            <w:tr w14:paraId="1DA02B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00" w:hRule="atLeast"/>
                <w:jc w:val="center"/>
              </w:trPr>
              <w:tc>
                <w:tcPr>
                  <w:tcW w:w="1249" w:type="pct"/>
                  <w:noWrap/>
                  <w:vAlign w:val="center"/>
                </w:tcPr>
                <w:p w14:paraId="4587310A">
                  <w:pPr>
                    <w:pStyle w:val="60"/>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污染物</w:t>
                  </w:r>
                </w:p>
              </w:tc>
              <w:tc>
                <w:tcPr>
                  <w:tcW w:w="1249" w:type="pct"/>
                  <w:tcBorders>
                    <w:right w:val="single" w:color="auto" w:sz="4" w:space="0"/>
                  </w:tcBorders>
                  <w:noWrap/>
                  <w:vAlign w:val="center"/>
                </w:tcPr>
                <w:p w14:paraId="7846B0E5">
                  <w:pPr>
                    <w:pStyle w:val="60"/>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昼间</w:t>
                  </w:r>
                </w:p>
              </w:tc>
              <w:tc>
                <w:tcPr>
                  <w:tcW w:w="1249" w:type="pct"/>
                  <w:tcBorders>
                    <w:left w:val="single" w:color="auto" w:sz="4" w:space="0"/>
                  </w:tcBorders>
                  <w:noWrap/>
                  <w:vAlign w:val="center"/>
                </w:tcPr>
                <w:p w14:paraId="0FC62924">
                  <w:pPr>
                    <w:pStyle w:val="60"/>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夜间</w:t>
                  </w:r>
                </w:p>
              </w:tc>
              <w:tc>
                <w:tcPr>
                  <w:tcW w:w="1250" w:type="pct"/>
                  <w:tcBorders>
                    <w:left w:val="single" w:color="auto" w:sz="4" w:space="0"/>
                  </w:tcBorders>
                  <w:noWrap/>
                  <w:vAlign w:val="center"/>
                </w:tcPr>
                <w:p w14:paraId="17444B8C">
                  <w:pPr>
                    <w:pStyle w:val="60"/>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单位</w:t>
                  </w:r>
                </w:p>
              </w:tc>
            </w:tr>
            <w:tr w14:paraId="5E6C897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07" w:hRule="atLeast"/>
                <w:jc w:val="center"/>
              </w:trPr>
              <w:tc>
                <w:tcPr>
                  <w:tcW w:w="1249" w:type="pct"/>
                  <w:noWrap/>
                  <w:vAlign w:val="center"/>
                </w:tcPr>
                <w:p w14:paraId="3C746C05">
                  <w:pPr>
                    <w:pStyle w:val="60"/>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厂界噪声</w:t>
                  </w:r>
                </w:p>
              </w:tc>
              <w:tc>
                <w:tcPr>
                  <w:tcW w:w="1249" w:type="pct"/>
                  <w:noWrap/>
                  <w:vAlign w:val="center"/>
                </w:tcPr>
                <w:p w14:paraId="72E826C8">
                  <w:pPr>
                    <w:pStyle w:val="60"/>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65</w:t>
                  </w:r>
                </w:p>
              </w:tc>
              <w:tc>
                <w:tcPr>
                  <w:tcW w:w="1249" w:type="pct"/>
                  <w:noWrap/>
                  <w:vAlign w:val="center"/>
                </w:tcPr>
                <w:p w14:paraId="04431B8D">
                  <w:pPr>
                    <w:pStyle w:val="60"/>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55</w:t>
                  </w:r>
                </w:p>
              </w:tc>
              <w:tc>
                <w:tcPr>
                  <w:tcW w:w="1250" w:type="pct"/>
                  <w:noWrap/>
                  <w:vAlign w:val="center"/>
                </w:tcPr>
                <w:p w14:paraId="19540E7D">
                  <w:pPr>
                    <w:pStyle w:val="60"/>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dB（A）</w:t>
                  </w:r>
                </w:p>
              </w:tc>
            </w:tr>
          </w:tbl>
          <w:p w14:paraId="38916354">
            <w:pPr>
              <w:pStyle w:val="4"/>
              <w:numPr>
                <w:ilvl w:val="2"/>
                <w:numId w:val="0"/>
              </w:numPr>
              <w:suppressLineNumbers w:val="0"/>
              <w:spacing w:before="0" w:beforeAutospacing="0" w:after="0" w:afterAutospacing="0"/>
              <w:ind w:left="480" w:right="0"/>
              <w:rPr>
                <w:rFonts w:hint="default" w:ascii="Times New Roman" w:hAnsi="Times New Roman" w:cs="Times New Roman"/>
                <w:color w:val="auto"/>
                <w:highlight w:val="none"/>
              </w:rPr>
            </w:pPr>
            <w:r>
              <w:rPr>
                <w:rFonts w:hint="default" w:ascii="Times New Roman" w:hAnsi="Times New Roman" w:cs="Times New Roman"/>
                <w:color w:val="auto"/>
                <w:highlight w:val="none"/>
              </w:rPr>
              <w:t>四、固体废物污染控制标准</w:t>
            </w:r>
          </w:p>
          <w:p w14:paraId="7C7968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456" w:firstLineChars="200"/>
              <w:jc w:val="both"/>
              <w:textAlignment w:val="auto"/>
              <w:rPr>
                <w:rFonts w:hint="default" w:ascii="Times New Roman" w:hAnsi="Times New Roman" w:cs="Times New Roman"/>
                <w:color w:val="auto"/>
                <w:highlight w:val="none"/>
              </w:rPr>
            </w:pPr>
            <w:r>
              <w:rPr>
                <w:rFonts w:hint="default" w:ascii="Times New Roman" w:hAnsi="Times New Roman" w:cs="Times New Roman"/>
                <w:color w:val="auto"/>
                <w:spacing w:val="-6"/>
                <w:highlight w:val="none"/>
              </w:rPr>
              <w:t>一般工业固体废物在厂内采用库房或包装工具贮存，贮存过程应满足相应防渗漏、防雨淋、防扬尘等环境保护要求；危险废物贮存过程执行《危险废物贮存污染控制标准》（GB18597-2023）</w:t>
            </w:r>
            <w:r>
              <w:rPr>
                <w:rFonts w:hint="default" w:ascii="Times New Roman" w:hAnsi="Times New Roman" w:cs="Times New Roman"/>
                <w:color w:val="auto"/>
                <w:spacing w:val="-6"/>
                <w:highlight w:val="none"/>
                <w:lang w:eastAsia="zh-CN"/>
              </w:rPr>
              <w:t>和《危险废物收集贮存运输技术规范》（HJ2025-2012）</w:t>
            </w:r>
            <w:r>
              <w:rPr>
                <w:rFonts w:hint="default" w:ascii="Times New Roman" w:hAnsi="Times New Roman" w:cs="Times New Roman"/>
                <w:color w:val="auto"/>
                <w:spacing w:val="-6"/>
                <w:highlight w:val="none"/>
              </w:rPr>
              <w:t>。</w:t>
            </w:r>
          </w:p>
        </w:tc>
      </w:tr>
      <w:tr w14:paraId="3E6B10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42" w:hRule="atLeast"/>
        </w:trPr>
        <w:tc>
          <w:tcPr>
            <w:tcW w:w="262" w:type="pct"/>
            <w:vAlign w:val="center"/>
          </w:tcPr>
          <w:p w14:paraId="13EEBD83">
            <w:pPr>
              <w:keepNext/>
              <w:keepLines w:val="0"/>
              <w:pageBreakBefore w:val="0"/>
              <w:widowControl/>
              <w:numPr>
                <w:ilvl w:val="1"/>
                <w:numId w:val="0"/>
              </w:numPr>
              <w:suppressLineNumbers w:val="0"/>
              <w:tabs>
                <w:tab w:val="left" w:pos="420"/>
              </w:tabs>
              <w:kinsoku/>
              <w:wordWrap/>
              <w:overflowPunct/>
              <w:topLinePunct w:val="0"/>
              <w:autoSpaceDE/>
              <w:autoSpaceDN/>
              <w:bidi w:val="0"/>
              <w:adjustRightInd/>
              <w:snapToGrid/>
              <w:spacing w:before="0" w:beforeAutospacing="0" w:after="0" w:afterAutospacing="0" w:line="360" w:lineRule="auto"/>
              <w:ind w:left="0" w:right="0"/>
              <w:textAlignment w:val="auto"/>
              <w:outlineLvl w:val="9"/>
              <w:rPr>
                <w:rFonts w:hint="default" w:ascii="Times New Roman" w:hAnsi="Times New Roman" w:cs="Times New Roman"/>
                <w:color w:val="auto"/>
                <w:kern w:val="2"/>
                <w:highlight w:val="none"/>
              </w:rPr>
            </w:pPr>
            <w:bookmarkStart w:id="104" w:name="_Toc14770"/>
            <w:bookmarkStart w:id="105" w:name="_Toc6465"/>
            <w:bookmarkStart w:id="106" w:name="_Toc23863"/>
            <w:bookmarkStart w:id="107" w:name="_Toc8540"/>
            <w:bookmarkStart w:id="108" w:name="_Toc9431"/>
            <w:bookmarkStart w:id="109" w:name="_Toc4557"/>
            <w:bookmarkStart w:id="110" w:name="_Toc18024"/>
            <w:bookmarkStart w:id="111" w:name="_Toc21080"/>
            <w:bookmarkStart w:id="112" w:name="_Toc12454"/>
            <w:bookmarkStart w:id="113" w:name="_Toc7590"/>
            <w:bookmarkStart w:id="114" w:name="_Toc8863"/>
            <w:bookmarkStart w:id="115" w:name="_Toc31892"/>
            <w:bookmarkStart w:id="116" w:name="_Toc10891"/>
            <w:bookmarkStart w:id="117" w:name="_Toc23450"/>
            <w:r>
              <w:rPr>
                <w:rFonts w:hint="default" w:ascii="Times New Roman" w:hAnsi="Times New Roman" w:cs="Times New Roman"/>
                <w:b/>
                <w:bCs/>
                <w:color w:val="auto"/>
                <w:kern w:val="2"/>
                <w:highlight w:val="none"/>
              </w:rPr>
              <w:t>总量控制指标</w:t>
            </w:r>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p>
        </w:tc>
        <w:tc>
          <w:tcPr>
            <w:tcW w:w="4737" w:type="pct"/>
          </w:tcPr>
          <w:p w14:paraId="51A09BF2">
            <w:pPr>
              <w:pStyle w:val="4"/>
              <w:numPr>
                <w:ilvl w:val="2"/>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一、水污染物排放总量控制指标</w:t>
            </w:r>
          </w:p>
          <w:p w14:paraId="73308AAA">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建设单位应根据本项目的废水和废气等污染物的排放量，向上级主管部门和环保部门申请各项目污染物排放总量控制指标。</w:t>
            </w:r>
          </w:p>
          <w:p w14:paraId="5F5755BD">
            <w:pPr>
              <w:pStyle w:val="23"/>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0"/>
                <w:highlight w:val="none"/>
              </w:rPr>
            </w:pPr>
            <w:r>
              <w:rPr>
                <w:rFonts w:hint="default" w:ascii="Times New Roman" w:hAnsi="Times New Roman" w:cs="Times New Roman"/>
                <w:b/>
                <w:bCs/>
                <w:color w:val="auto"/>
                <w:kern w:val="0"/>
                <w:highlight w:val="none"/>
              </w:rPr>
              <w:t>（1）废水总量控制指标</w:t>
            </w:r>
          </w:p>
          <w:p w14:paraId="65F127A7">
            <w:pPr>
              <w:keepNext w:val="0"/>
              <w:keepLines w:val="0"/>
              <w:widowControl/>
              <w:suppressLineNumbers w:val="0"/>
              <w:spacing w:before="0" w:beforeAutospacing="0" w:after="0" w:afterAutospacing="0"/>
              <w:ind w:left="0" w:right="0"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项目生产废水</w:t>
            </w:r>
            <w:r>
              <w:rPr>
                <w:rFonts w:hint="eastAsia" w:cs="Times New Roman"/>
                <w:color w:val="auto"/>
                <w:highlight w:val="none"/>
                <w:lang w:val="en-US" w:eastAsia="zh-CN"/>
              </w:rPr>
              <w:t>外排量为2970t/a</w:t>
            </w:r>
            <w:r>
              <w:rPr>
                <w:rFonts w:hint="default" w:ascii="Times New Roman" w:hAnsi="Times New Roman" w:cs="Times New Roman"/>
                <w:color w:val="auto"/>
                <w:highlight w:val="none"/>
              </w:rPr>
              <w:t>，生活污水排放量为</w:t>
            </w:r>
            <w:r>
              <w:rPr>
                <w:rFonts w:hint="eastAsia" w:cs="Times New Roman"/>
                <w:color w:val="auto"/>
                <w:highlight w:val="none"/>
                <w:lang w:val="en-US" w:eastAsia="zh-CN"/>
              </w:rPr>
              <w:t>3420</w:t>
            </w:r>
            <w:r>
              <w:rPr>
                <w:rFonts w:hint="default" w:ascii="Times New Roman" w:hAnsi="Times New Roman" w:cs="Times New Roman"/>
                <w:color w:val="auto"/>
                <w:highlight w:val="none"/>
              </w:rPr>
              <w:t>t/a，</w:t>
            </w:r>
            <w:r>
              <w:rPr>
                <w:rFonts w:hint="eastAsia" w:cs="Times New Roman"/>
                <w:color w:val="auto"/>
                <w:highlight w:val="none"/>
                <w:lang w:val="en-US" w:eastAsia="zh-CN"/>
              </w:rPr>
              <w:t>废水合计为6390t/a，</w:t>
            </w:r>
            <w:r>
              <w:rPr>
                <w:rFonts w:hint="default" w:ascii="Times New Roman" w:hAnsi="Times New Roman" w:cs="Times New Roman"/>
                <w:color w:val="auto"/>
                <w:highlight w:val="none"/>
              </w:rPr>
              <w:t>经预处理后排入园区污水处理厂进行处理，</w:t>
            </w:r>
            <w:r>
              <w:rPr>
                <w:rFonts w:hint="default" w:ascii="Times New Roman" w:hAnsi="Times New Roman" w:cs="Times New Roman"/>
                <w:color w:val="auto"/>
                <w:kern w:val="0"/>
                <w:highlight w:val="none"/>
              </w:rPr>
              <w:t>因此，CODcr</w:t>
            </w:r>
            <w:r>
              <w:rPr>
                <w:rFonts w:hint="default" w:ascii="Times New Roman" w:hAnsi="Times New Roman" w:cs="Times New Roman"/>
                <w:color w:val="auto"/>
                <w:kern w:val="0"/>
                <w:highlight w:val="none"/>
                <w:lang w:eastAsia="zh-CN"/>
              </w:rPr>
              <w:t>（</w:t>
            </w:r>
            <w:r>
              <w:rPr>
                <w:rFonts w:hint="eastAsia" w:cs="Times New Roman"/>
                <w:color w:val="auto"/>
                <w:kern w:val="0"/>
                <w:highlight w:val="none"/>
                <w:lang w:val="en-US" w:eastAsia="zh-CN"/>
              </w:rPr>
              <w:t>0.256</w:t>
            </w:r>
            <w:r>
              <w:rPr>
                <w:rFonts w:hint="default" w:ascii="Times New Roman" w:hAnsi="Times New Roman" w:cs="Times New Roman"/>
                <w:color w:val="auto"/>
                <w:kern w:val="0"/>
                <w:highlight w:val="none"/>
                <w:lang w:val="en-US" w:eastAsia="zh-CN"/>
              </w:rPr>
              <w:t>t/a）</w:t>
            </w:r>
            <w:r>
              <w:rPr>
                <w:rFonts w:hint="default" w:ascii="Times New Roman" w:hAnsi="Times New Roman" w:cs="Times New Roman"/>
                <w:color w:val="auto"/>
                <w:kern w:val="0"/>
                <w:highlight w:val="none"/>
              </w:rPr>
              <w:t>、NH</w:t>
            </w:r>
            <w:r>
              <w:rPr>
                <w:rFonts w:hint="default" w:ascii="Times New Roman" w:hAnsi="Times New Roman" w:cs="Times New Roman"/>
                <w:color w:val="auto"/>
                <w:kern w:val="0"/>
                <w:highlight w:val="none"/>
                <w:vertAlign w:val="subscript"/>
                <w:lang w:val="en-US" w:eastAsia="zh-CN"/>
              </w:rPr>
              <w:t>3</w:t>
            </w:r>
            <w:r>
              <w:rPr>
                <w:rFonts w:hint="default" w:ascii="Times New Roman" w:hAnsi="Times New Roman" w:cs="Times New Roman"/>
                <w:color w:val="auto"/>
                <w:kern w:val="0"/>
                <w:highlight w:val="none"/>
                <w:lang w:val="en-US" w:eastAsia="zh-CN"/>
              </w:rPr>
              <w:t>-</w:t>
            </w:r>
            <w:r>
              <w:rPr>
                <w:rFonts w:hint="default" w:ascii="Times New Roman" w:hAnsi="Times New Roman" w:cs="Times New Roman"/>
                <w:color w:val="auto"/>
                <w:kern w:val="0"/>
                <w:highlight w:val="none"/>
              </w:rPr>
              <w:t>N</w:t>
            </w:r>
            <w:r>
              <w:rPr>
                <w:rFonts w:hint="default" w:ascii="Times New Roman" w:hAnsi="Times New Roman" w:cs="Times New Roman"/>
                <w:color w:val="auto"/>
                <w:kern w:val="0"/>
                <w:highlight w:val="none"/>
                <w:lang w:eastAsia="zh-CN"/>
              </w:rPr>
              <w:t>（</w:t>
            </w:r>
            <w:r>
              <w:rPr>
                <w:rFonts w:hint="eastAsia" w:cs="Times New Roman"/>
                <w:color w:val="auto"/>
                <w:kern w:val="0"/>
                <w:highlight w:val="none"/>
                <w:lang w:val="en-US" w:eastAsia="zh-CN"/>
              </w:rPr>
              <w:t>0.051</w:t>
            </w:r>
            <w:r>
              <w:rPr>
                <w:rFonts w:hint="default" w:ascii="Times New Roman" w:hAnsi="Times New Roman" w:cs="Times New Roman"/>
                <w:color w:val="auto"/>
                <w:kern w:val="0"/>
                <w:highlight w:val="none"/>
                <w:lang w:val="en-US" w:eastAsia="zh-CN"/>
              </w:rPr>
              <w:t>t/a）</w:t>
            </w:r>
            <w:r>
              <w:rPr>
                <w:rFonts w:hint="default" w:ascii="Times New Roman" w:hAnsi="Times New Roman" w:cs="Times New Roman"/>
                <w:color w:val="auto"/>
                <w:kern w:val="0"/>
                <w:highlight w:val="none"/>
              </w:rPr>
              <w:t>纳入园区污水处理厂的总量控制指标，不需再增加新的总量分配指标</w:t>
            </w:r>
            <w:r>
              <w:rPr>
                <w:rFonts w:hint="default" w:ascii="Times New Roman" w:hAnsi="Times New Roman" w:cs="Times New Roman"/>
                <w:color w:val="auto"/>
                <w:highlight w:val="none"/>
              </w:rPr>
              <w:t>。</w:t>
            </w:r>
          </w:p>
          <w:p w14:paraId="2F6231BF">
            <w:pPr>
              <w:pStyle w:val="23"/>
              <w:keepNext w:val="0"/>
              <w:keepLines w:val="0"/>
              <w:widowControl/>
              <w:suppressLineNumbers w:val="0"/>
              <w:spacing w:before="0" w:beforeAutospacing="0" w:after="0" w:afterAutospacing="0"/>
              <w:ind w:left="0" w:right="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（2）废气总量控制指标</w:t>
            </w:r>
          </w:p>
          <w:p w14:paraId="423016D4">
            <w:pPr>
              <w:keepNext w:val="0"/>
              <w:keepLines w:val="0"/>
              <w:widowControl/>
              <w:suppressLineNumbers w:val="0"/>
              <w:spacing w:before="0" w:beforeAutospacing="0" w:after="0" w:afterAutospacing="0"/>
              <w:ind w:left="0" w:right="0" w:firstLine="480" w:firstLineChars="200"/>
              <w:jc w:val="both"/>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kern w:val="0"/>
                <w:highlight w:val="none"/>
              </w:rPr>
              <w:t>本项目建成后大气污染物总排放量为</w:t>
            </w:r>
            <w:r>
              <w:rPr>
                <w:rFonts w:hint="eastAsia" w:cs="Times New Roman"/>
                <w:color w:val="auto"/>
                <w:kern w:val="0"/>
                <w:highlight w:val="none"/>
                <w:lang w:val="en-US" w:eastAsia="zh-CN"/>
              </w:rPr>
              <w:t>颗粒物</w:t>
            </w:r>
            <w:r>
              <w:rPr>
                <w:rFonts w:hint="default" w:ascii="Times New Roman" w:hAnsi="Times New Roman" w:cs="Times New Roman"/>
                <w:color w:val="auto"/>
                <w:kern w:val="0"/>
                <w:highlight w:val="none"/>
              </w:rPr>
              <w:t>总量为</w:t>
            </w:r>
            <w:r>
              <w:rPr>
                <w:rFonts w:hint="eastAsia" w:cs="Times New Roman"/>
                <w:color w:val="auto"/>
                <w:kern w:val="0"/>
                <w:highlight w:val="none"/>
                <w:lang w:val="en-US" w:eastAsia="zh-CN"/>
              </w:rPr>
              <w:t>1.789</w:t>
            </w:r>
            <w:r>
              <w:rPr>
                <w:rFonts w:hint="default" w:ascii="Times New Roman" w:hAnsi="Times New Roman" w:cs="Times New Roman"/>
                <w:color w:val="auto"/>
                <w:kern w:val="0"/>
                <w:highlight w:val="none"/>
              </w:rPr>
              <w:t>t/a</w:t>
            </w:r>
            <w:r>
              <w:rPr>
                <w:rFonts w:hint="default" w:ascii="Times New Roman" w:hAnsi="Times New Roman" w:cs="Times New Roman"/>
                <w:color w:val="auto"/>
                <w:kern w:val="0"/>
                <w:highlight w:val="none"/>
                <w:lang w:eastAsia="zh-CN"/>
              </w:rPr>
              <w:t>。</w:t>
            </w:r>
          </w:p>
          <w:p w14:paraId="23601F98">
            <w:pPr>
              <w:pStyle w:val="4"/>
              <w:numPr>
                <w:ilvl w:val="2"/>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三、固体废物排放总量控制指标</w:t>
            </w:r>
          </w:p>
          <w:p w14:paraId="3343F53F">
            <w:pPr>
              <w:pStyle w:val="4"/>
              <w:numPr>
                <w:ilvl w:val="2"/>
                <w:numId w:val="0"/>
              </w:numPr>
              <w:suppressLineNumbers w:val="0"/>
              <w:spacing w:before="0" w:beforeAutospacing="0" w:after="0" w:afterAutospacing="0"/>
              <w:ind w:left="0" w:right="0" w:firstLine="480" w:firstLineChars="200"/>
              <w:rPr>
                <w:rFonts w:hint="eastAsia" w:cs="Times New Roman"/>
                <w:b w:val="0"/>
                <w:bCs w:val="0"/>
                <w:color w:val="auto"/>
                <w:highlight w:val="none"/>
                <w:lang w:eastAsia="zh-CN"/>
              </w:rPr>
            </w:pPr>
            <w:r>
              <w:rPr>
                <w:rFonts w:hint="default" w:ascii="Times New Roman" w:hAnsi="Times New Roman" w:cs="Times New Roman"/>
                <w:b w:val="0"/>
                <w:bCs w:val="0"/>
                <w:color w:val="auto"/>
                <w:highlight w:val="none"/>
              </w:rPr>
              <w:t>本项目固体废物不自行处理排放，不设置固体废物总量控制指标</w:t>
            </w:r>
            <w:r>
              <w:rPr>
                <w:rFonts w:hint="eastAsia" w:cs="Times New Roman"/>
                <w:b w:val="0"/>
                <w:bCs w:val="0"/>
                <w:color w:val="auto"/>
                <w:highlight w:val="none"/>
                <w:lang w:eastAsia="zh-CN"/>
              </w:rPr>
              <w:t>。</w:t>
            </w:r>
          </w:p>
          <w:p w14:paraId="62EFD3E1">
            <w:pPr>
              <w:pStyle w:val="46"/>
              <w:keepNext w:val="0"/>
              <w:keepLines w:val="0"/>
              <w:suppressLineNumbers w:val="0"/>
              <w:spacing w:before="0" w:beforeAutospacing="0" w:after="0" w:afterAutospacing="0"/>
              <w:ind w:left="0" w:right="0"/>
              <w:rPr>
                <w:rFonts w:hint="default"/>
                <w:color w:val="auto"/>
                <w:highlight w:val="none"/>
                <w:lang w:val="en-US" w:eastAsia="zh-CN"/>
              </w:rPr>
            </w:pPr>
          </w:p>
        </w:tc>
      </w:tr>
    </w:tbl>
    <w:p w14:paraId="657B21C5">
      <w:pPr>
        <w:pStyle w:val="2"/>
        <w:rPr>
          <w:rFonts w:cs="Times New Roman"/>
          <w:color w:val="auto"/>
          <w:highlight w:val="none"/>
        </w:rPr>
        <w:sectPr>
          <w:pgSz w:w="11906" w:h="16838"/>
          <w:pgMar w:top="1440" w:right="1080" w:bottom="1440" w:left="1080" w:header="851" w:footer="680" w:gutter="0"/>
          <w:pgBorders>
            <w:top w:val="none" w:sz="0" w:space="0"/>
            <w:left w:val="none" w:sz="0" w:space="0"/>
            <w:bottom w:val="none" w:sz="0" w:space="0"/>
            <w:right w:val="none" w:sz="0" w:space="0"/>
          </w:pgBorders>
          <w:pgNumType w:fmt="numberInDash"/>
          <w:cols w:space="720" w:num="1"/>
          <w:docGrid w:type="linesAndChars" w:linePitch="312" w:charSpace="0"/>
        </w:sectPr>
      </w:pPr>
    </w:p>
    <w:p w14:paraId="57E56E8B">
      <w:pPr>
        <w:pStyle w:val="2"/>
        <w:numPr>
          <w:ilvl w:val="0"/>
          <w:numId w:val="0"/>
        </w:numPr>
        <w:rPr>
          <w:rFonts w:cs="Times New Roman"/>
          <w:b/>
          <w:bCs/>
          <w:color w:val="auto"/>
          <w:highlight w:val="none"/>
        </w:rPr>
      </w:pPr>
      <w:bookmarkStart w:id="118" w:name="_Toc22544"/>
      <w:bookmarkStart w:id="119" w:name="_Toc3944"/>
      <w:bookmarkStart w:id="120" w:name="_Toc32008"/>
      <w:r>
        <w:rPr>
          <w:rFonts w:hint="eastAsia" w:cs="Times New Roman"/>
          <w:b/>
          <w:bCs/>
          <w:color w:val="auto"/>
          <w:highlight w:val="none"/>
        </w:rPr>
        <w:t>四、</w:t>
      </w:r>
      <w:r>
        <w:rPr>
          <w:rFonts w:cs="Times New Roman"/>
          <w:b/>
          <w:bCs/>
          <w:color w:val="auto"/>
          <w:highlight w:val="none"/>
        </w:rPr>
        <w:t>主要环境影响和保护措施</w:t>
      </w:r>
      <w:bookmarkEnd w:id="118"/>
      <w:bookmarkEnd w:id="119"/>
    </w:p>
    <w:tbl>
      <w:tblPr>
        <w:tblStyle w:val="4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7"/>
        <w:gridCol w:w="9505"/>
      </w:tblGrid>
      <w:tr w14:paraId="4A63C0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4" w:hRule="atLeast"/>
        </w:trPr>
        <w:tc>
          <w:tcPr>
            <w:tcW w:w="224" w:type="pct"/>
            <w:vAlign w:val="center"/>
          </w:tcPr>
          <w:p w14:paraId="048C2006">
            <w:pPr>
              <w:keepNext/>
              <w:keepLines w:val="0"/>
              <w:pageBreakBefore w:val="0"/>
              <w:widowControl/>
              <w:numPr>
                <w:ilvl w:val="1"/>
                <w:numId w:val="0"/>
              </w:numPr>
              <w:suppressLineNumbers w:val="0"/>
              <w:tabs>
                <w:tab w:val="left" w:pos="420"/>
              </w:tabs>
              <w:kinsoku/>
              <w:wordWrap/>
              <w:overflowPunct/>
              <w:topLinePunct w:val="0"/>
              <w:autoSpaceDE/>
              <w:autoSpaceDN/>
              <w:bidi w:val="0"/>
              <w:adjustRightInd/>
              <w:snapToGrid/>
              <w:spacing w:before="0" w:beforeAutospacing="0" w:after="0" w:afterAutospacing="0"/>
              <w:ind w:left="0" w:right="0"/>
              <w:textAlignment w:val="auto"/>
              <w:outlineLvl w:val="9"/>
              <w:rPr>
                <w:rFonts w:hint="default" w:ascii="Times New Roman" w:hAnsi="Times New Roman" w:cs="Times New Roman"/>
                <w:color w:val="auto"/>
                <w:kern w:val="2"/>
                <w:highlight w:val="none"/>
              </w:rPr>
            </w:pPr>
            <w:bookmarkStart w:id="121" w:name="_Toc32016"/>
            <w:bookmarkStart w:id="122" w:name="_Toc16612"/>
            <w:bookmarkStart w:id="123" w:name="_Toc8812"/>
            <w:bookmarkStart w:id="124" w:name="_Toc25551"/>
            <w:bookmarkStart w:id="125" w:name="_Toc25142"/>
            <w:bookmarkStart w:id="126" w:name="_Toc3227"/>
            <w:bookmarkStart w:id="127" w:name="_Toc18588"/>
            <w:bookmarkStart w:id="128" w:name="_Toc4550"/>
            <w:bookmarkStart w:id="129" w:name="_Toc30266"/>
            <w:bookmarkStart w:id="130" w:name="_Toc7895"/>
            <w:bookmarkStart w:id="131" w:name="_Toc25331"/>
            <w:r>
              <w:rPr>
                <w:rFonts w:hint="default" w:ascii="Times New Roman" w:hAnsi="Times New Roman" w:cs="Times New Roman"/>
                <w:color w:val="auto"/>
                <w:kern w:val="2"/>
                <w:highlight w:val="none"/>
              </w:rPr>
              <w:t>施工期环境保护措施</w:t>
            </w:r>
            <w:bookmarkEnd w:id="121"/>
            <w:bookmarkEnd w:id="122"/>
            <w:bookmarkEnd w:id="123"/>
            <w:bookmarkEnd w:id="124"/>
            <w:bookmarkEnd w:id="125"/>
            <w:bookmarkEnd w:id="126"/>
            <w:bookmarkEnd w:id="127"/>
            <w:bookmarkEnd w:id="128"/>
            <w:bookmarkEnd w:id="129"/>
            <w:bookmarkEnd w:id="130"/>
            <w:bookmarkEnd w:id="131"/>
          </w:p>
        </w:tc>
        <w:tc>
          <w:tcPr>
            <w:tcW w:w="4775" w:type="pct"/>
            <w:vAlign w:val="center"/>
          </w:tcPr>
          <w:p w14:paraId="52B4C7F6">
            <w:pPr>
              <w:keepNext w:val="0"/>
              <w:keepLines w:val="0"/>
              <w:suppressLineNumbers w:val="0"/>
              <w:spacing w:before="0" w:beforeAutospacing="0" w:after="0" w:afterAutospacing="0"/>
              <w:ind w:left="0" w:right="0" w:firstLine="480" w:firstLineChars="200"/>
              <w:rPr>
                <w:rFonts w:hint="default" w:ascii="Times New Roman" w:hAnsi="Times New Roman" w:cs="Times New Roman"/>
                <w:b/>
                <w:bCs/>
                <w:color w:val="auto"/>
                <w:highlight w:val="none"/>
              </w:r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eastAsia="zh-CN"/>
              </w:rPr>
              <w:t>位于</w:t>
            </w:r>
            <w:r>
              <w:rPr>
                <w:rFonts w:hint="default" w:ascii="Times New Roman" w:hAnsi="Times New Roman" w:cs="Times New Roman"/>
                <w:color w:val="auto"/>
                <w:sz w:val="24"/>
                <w:highlight w:val="none"/>
                <w:lang w:val="en-US" w:eastAsia="zh-CN"/>
              </w:rPr>
              <w:t>韶关市乐昌市乐昌产业转移工业园</w:t>
            </w:r>
            <w:r>
              <w:rPr>
                <w:rFonts w:hint="eastAsia" w:cs="Times New Roman"/>
                <w:color w:val="auto"/>
                <w:sz w:val="24"/>
                <w:highlight w:val="none"/>
                <w:lang w:val="en-US" w:eastAsia="zh-CN"/>
              </w:rPr>
              <w:t>GL-02-04-02-03地块</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目前厂房仍未建设。</w:t>
            </w:r>
            <w:r>
              <w:rPr>
                <w:rFonts w:hint="default" w:ascii="Times New Roman" w:hAnsi="Times New Roman" w:cs="Times New Roman"/>
                <w:color w:val="auto"/>
                <w:highlight w:val="none"/>
              </w:rPr>
              <w:t>项目施工期间产生的污染物主要为：①施工过程中工地扬尘和施工车辆排放的尾气；②暴雨造成地表径流并携带了大量施工现场</w:t>
            </w:r>
            <w:r>
              <w:rPr>
                <w:rFonts w:hint="default" w:ascii="Times New Roman" w:hAnsi="Times New Roman" w:cs="Times New Roman"/>
                <w:color w:val="auto"/>
                <w:highlight w:val="none"/>
                <w:lang w:eastAsia="zh-CN"/>
              </w:rPr>
              <w:t>泥沙</w:t>
            </w:r>
            <w:r>
              <w:rPr>
                <w:rFonts w:hint="default" w:ascii="Times New Roman" w:hAnsi="Times New Roman" w:cs="Times New Roman"/>
                <w:color w:val="auto"/>
                <w:highlight w:val="none"/>
              </w:rPr>
              <w:t>而成的污水、开挖和钻孔产生的泥浆水、机械设备运转的冷却水和洗涤水、开挖基础时为降低地下水位的排水、车辆和设备</w:t>
            </w:r>
            <w:r>
              <w:rPr>
                <w:rFonts w:hint="eastAsia" w:cs="Times New Roman"/>
                <w:color w:val="auto"/>
                <w:highlight w:val="none"/>
                <w:lang w:eastAsia="zh-CN"/>
              </w:rPr>
              <w:t>洗料废水</w:t>
            </w:r>
            <w:r>
              <w:rPr>
                <w:rFonts w:hint="default" w:ascii="Times New Roman" w:hAnsi="Times New Roman" w:cs="Times New Roman"/>
                <w:color w:val="auto"/>
                <w:highlight w:val="none"/>
              </w:rPr>
              <w:t>等施工废水、施工人员的生活废水；③施工机械设备和车辆产生的噪声；④施工过程产生的建筑垃圾、生活垃圾。</w:t>
            </w:r>
          </w:p>
          <w:p w14:paraId="318A293E">
            <w:pPr>
              <w:keepNext w:val="0"/>
              <w:keepLines w:val="0"/>
              <w:suppressLineNumbers w:val="0"/>
              <w:spacing w:before="0" w:beforeAutospacing="0" w:after="0" w:afterAutospacing="0"/>
              <w:ind w:left="0" w:right="0" w:firstLine="480" w:firstLineChars="20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一、施工期废水环境影响和保护措施</w:t>
            </w:r>
          </w:p>
          <w:p w14:paraId="58DD1A40">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项目施工期间产生的废水主要来自三个方面。一是降雨和地下水渗出形成的地表径流，通常夹带着大量泥沙，同时伴有水泥、油类等污染物；二是施工机械、运输车辆的冷却水和冲洗水，主要含有大量的泥沙、石油类；三是现场施工人员的生活污水，现场施工人员依托</w:t>
            </w:r>
            <w:r>
              <w:rPr>
                <w:rFonts w:hint="default" w:ascii="Times New Roman" w:hAnsi="Times New Roman" w:cs="Times New Roman"/>
                <w:color w:val="auto"/>
                <w:sz w:val="24"/>
                <w:szCs w:val="24"/>
                <w:highlight w:val="none"/>
                <w:lang w:val="en-US" w:eastAsia="zh-CN"/>
              </w:rPr>
              <w:t>工业园区及</w:t>
            </w:r>
            <w:r>
              <w:rPr>
                <w:rFonts w:hint="default" w:ascii="Times New Roman" w:hAnsi="Times New Roman" w:cs="Times New Roman"/>
                <w:color w:val="auto"/>
                <w:sz w:val="24"/>
                <w:szCs w:val="24"/>
                <w:highlight w:val="none"/>
              </w:rPr>
              <w:t>周边村落现有生活设施，现场不产生生活污水。</w:t>
            </w:r>
          </w:p>
          <w:p w14:paraId="7E9FA3B3">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针对施工场地内各类废水、污水，建设单位、施工单位在施工过程中落实以下措施：</w:t>
            </w:r>
          </w:p>
          <w:p w14:paraId="08D43D7D">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en-US" w:eastAsia="zh-CN"/>
              </w:rPr>
              <w:t>1、</w:t>
            </w:r>
            <w:r>
              <w:rPr>
                <w:rFonts w:hint="default" w:ascii="Times New Roman" w:hAnsi="Times New Roman" w:cs="Times New Roman"/>
                <w:color w:val="auto"/>
                <w:sz w:val="24"/>
                <w:szCs w:val="24"/>
                <w:highlight w:val="none"/>
              </w:rPr>
              <w:t>施工区域内设置临时污水处理设施，包括但不限于沉淀池、沉砂池、隔油隔渣池等，施工废水经处理后全部回用，不对外排放。</w:t>
            </w:r>
          </w:p>
          <w:p w14:paraId="28AD3851">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根据当地降雨特征建立雨季排水应急响应机制，雨水经排水沟渠引流至沉砂池处理后再排放，避免降雨期间排水不畅而对周围地表水环境造成不良影响。</w:t>
            </w:r>
          </w:p>
          <w:p w14:paraId="57CB7FCA">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bCs/>
                <w:color w:val="auto"/>
                <w:spacing w:val="-10"/>
                <w:sz w:val="24"/>
                <w:szCs w:val="24"/>
                <w:highlight w:val="none"/>
              </w:rPr>
            </w:pPr>
            <w:r>
              <w:rPr>
                <w:rFonts w:hint="default" w:ascii="Times New Roman" w:hAnsi="Times New Roman" w:cs="Times New Roman"/>
                <w:color w:val="auto"/>
                <w:sz w:val="24"/>
                <w:szCs w:val="24"/>
                <w:highlight w:val="none"/>
                <w:lang w:val="en-US" w:eastAsia="zh-CN"/>
              </w:rPr>
              <w:t>3、</w:t>
            </w:r>
            <w:r>
              <w:rPr>
                <w:rFonts w:hint="default" w:ascii="Times New Roman" w:hAnsi="Times New Roman" w:cs="Times New Roman"/>
                <w:color w:val="auto"/>
                <w:sz w:val="24"/>
                <w:szCs w:val="24"/>
                <w:highlight w:val="none"/>
              </w:rPr>
              <w:t>基础开挖过程产生的高浓度泥浆水、废弃土石方等掺和后外运至规定</w:t>
            </w:r>
            <w:r>
              <w:rPr>
                <w:rFonts w:hint="default" w:ascii="Times New Roman" w:hAnsi="Times New Roman" w:cs="Times New Roman"/>
                <w:bCs/>
                <w:color w:val="auto"/>
                <w:spacing w:val="-10"/>
                <w:sz w:val="24"/>
                <w:szCs w:val="24"/>
                <w:highlight w:val="none"/>
              </w:rPr>
              <w:t>地点处置，不得弃置于现场和周围环境。</w:t>
            </w:r>
          </w:p>
          <w:p w14:paraId="4333515E">
            <w:pPr>
              <w:keepNext w:val="0"/>
              <w:keepLines w:val="0"/>
              <w:widowControl/>
              <w:suppressLineNumbers w:val="0"/>
              <w:spacing w:before="0" w:beforeAutospacing="0" w:after="0" w:afterAutospacing="0"/>
              <w:ind w:left="0" w:right="0" w:firstLine="440" w:firstLineChars="200"/>
              <w:jc w:val="left"/>
              <w:rPr>
                <w:rFonts w:hint="default" w:ascii="Times New Roman" w:hAnsi="Times New Roman" w:cs="Times New Roman"/>
                <w:bCs/>
                <w:color w:val="auto"/>
                <w:spacing w:val="-10"/>
                <w:sz w:val="24"/>
                <w:szCs w:val="24"/>
                <w:highlight w:val="none"/>
              </w:rPr>
            </w:pPr>
            <w:r>
              <w:rPr>
                <w:rFonts w:hint="default" w:ascii="Times New Roman" w:hAnsi="Times New Roman" w:cs="Times New Roman"/>
                <w:bCs/>
                <w:color w:val="auto"/>
                <w:spacing w:val="-10"/>
                <w:sz w:val="24"/>
                <w:szCs w:val="24"/>
                <w:highlight w:val="none"/>
                <w:lang w:val="en-US" w:eastAsia="zh-CN"/>
              </w:rPr>
              <w:t>4、</w:t>
            </w:r>
            <w:r>
              <w:rPr>
                <w:rFonts w:hint="default" w:ascii="Times New Roman" w:hAnsi="Times New Roman" w:cs="Times New Roman"/>
                <w:bCs/>
                <w:color w:val="auto"/>
                <w:spacing w:val="-10"/>
                <w:sz w:val="24"/>
                <w:szCs w:val="24"/>
                <w:highlight w:val="none"/>
              </w:rPr>
              <w:t>定时清洁去除施工机械表面不必要的油污，尽量减少机械设备与水体的直接接触；加强设备维修保养，避免设备配套的燃料油出现跑冒滴漏现象。</w:t>
            </w:r>
          </w:p>
          <w:p w14:paraId="0BECF88A">
            <w:pPr>
              <w:keepNext w:val="0"/>
              <w:keepLines w:val="0"/>
              <w:widowControl/>
              <w:suppressLineNumbers w:val="0"/>
              <w:spacing w:before="0" w:beforeAutospacing="0" w:after="0" w:afterAutospacing="0"/>
              <w:ind w:left="0" w:right="0" w:firstLine="440" w:firstLineChars="200"/>
              <w:jc w:val="left"/>
              <w:rPr>
                <w:rFonts w:hint="default" w:ascii="Times New Roman" w:hAnsi="Times New Roman" w:cs="Times New Roman"/>
                <w:bCs/>
                <w:color w:val="auto"/>
                <w:spacing w:val="-10"/>
                <w:sz w:val="24"/>
                <w:szCs w:val="24"/>
                <w:highlight w:val="none"/>
              </w:rPr>
            </w:pPr>
            <w:r>
              <w:rPr>
                <w:rFonts w:hint="default" w:ascii="Times New Roman" w:hAnsi="Times New Roman" w:cs="Times New Roman"/>
                <w:bCs/>
                <w:color w:val="auto"/>
                <w:spacing w:val="-10"/>
                <w:sz w:val="24"/>
                <w:szCs w:val="24"/>
                <w:highlight w:val="none"/>
                <w:lang w:val="en-US" w:eastAsia="zh-CN"/>
              </w:rPr>
              <w:t>5、</w:t>
            </w:r>
            <w:r>
              <w:rPr>
                <w:rFonts w:hint="default" w:ascii="Times New Roman" w:hAnsi="Times New Roman" w:cs="Times New Roman"/>
                <w:bCs/>
                <w:color w:val="auto"/>
                <w:spacing w:val="-10"/>
                <w:sz w:val="24"/>
                <w:szCs w:val="24"/>
                <w:highlight w:val="none"/>
              </w:rPr>
              <w:t>各类物料的现场贮存设施布置在远离周围地表水体的位置，落实防渗漏措施，防止跑冒滴漏污染水体。</w:t>
            </w:r>
          </w:p>
          <w:p w14:paraId="2BB61D71">
            <w:pPr>
              <w:keepNext w:val="0"/>
              <w:keepLines w:val="0"/>
              <w:widowControl/>
              <w:suppressLineNumbers w:val="0"/>
              <w:spacing w:before="0" w:beforeAutospacing="0" w:after="0" w:afterAutospacing="0"/>
              <w:ind w:left="0" w:right="0" w:firstLine="44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bCs/>
                <w:color w:val="auto"/>
                <w:spacing w:val="-10"/>
                <w:sz w:val="24"/>
                <w:szCs w:val="24"/>
                <w:highlight w:val="none"/>
              </w:rPr>
              <w:t>采取上述措施之后，施工期废水、污水不会对周围地表水环境造成不良影响。</w:t>
            </w:r>
          </w:p>
          <w:p w14:paraId="15BEFE67">
            <w:pPr>
              <w:keepNext w:val="0"/>
              <w:keepLines w:val="0"/>
              <w:numPr>
                <w:ilvl w:val="0"/>
                <w:numId w:val="0"/>
              </w:numPr>
              <w:suppressLineNumbers w:val="0"/>
              <w:spacing w:before="0" w:beforeAutospacing="0" w:after="0" w:afterAutospacing="0"/>
              <w:ind w:left="0" w:right="0" w:firstLine="480" w:firstLineChars="20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二、</w:t>
            </w:r>
            <w:r>
              <w:rPr>
                <w:rFonts w:hint="default" w:ascii="Times New Roman" w:hAnsi="Times New Roman" w:cs="Times New Roman"/>
                <w:b/>
                <w:bCs/>
                <w:color w:val="auto"/>
                <w:highlight w:val="none"/>
              </w:rPr>
              <w:t>施工期废气环境影响和保护措施</w:t>
            </w:r>
          </w:p>
          <w:p w14:paraId="71996F8A">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项目施工过程中造成大气污染的主要产生源有：建筑施工扬尘、物料堆场扬尘、运输车辆运输扬尘以及施工机械及运输车辆机动车尾气。</w:t>
            </w:r>
          </w:p>
          <w:p w14:paraId="30AB693A">
            <w:pPr>
              <w:keepNext w:val="0"/>
              <w:keepLines w:val="0"/>
              <w:suppressLineNumbers w:val="0"/>
              <w:spacing w:before="0" w:beforeAutospacing="0" w:after="0" w:afterAutospacing="0"/>
              <w:ind w:left="0" w:right="0" w:firstLine="480" w:firstLineChars="20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1、扬尘</w:t>
            </w:r>
          </w:p>
          <w:p w14:paraId="70DA00AD">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为使施工过程中产生的废气对周围环境空气的影响降低到最小程度，本项目建议采取以下防护措施：</w:t>
            </w:r>
          </w:p>
          <w:p w14:paraId="1B06839A">
            <w:pPr>
              <w:keepNext w:val="0"/>
              <w:keepLines w:val="0"/>
              <w:suppressLineNumbers w:val="0"/>
              <w:spacing w:before="0" w:beforeAutospacing="0" w:after="0" w:afterAutospacing="0"/>
              <w:ind w:left="0" w:right="0" w:firstLine="480" w:firstLineChars="20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（1）平整场地、开挖、钻孔等过程中，洒水使作业面保持一定的湿度；对施工场地内松散、干涸的地块，经常洒水防止扬尘。</w:t>
            </w:r>
          </w:p>
          <w:p w14:paraId="1289D110">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（2）设置物料、废料专用堆放场所，采用围蔽或防尘网覆盖堆放处理，不准乱堆乱放，不长时间堆积。</w:t>
            </w:r>
          </w:p>
          <w:p w14:paraId="5D598E86">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（3）施工范围进行围蔽</w:t>
            </w:r>
            <w:r>
              <w:rPr>
                <w:rFonts w:hint="default" w:ascii="Times New Roman" w:hAnsi="Times New Roman" w:cs="Times New Roman"/>
                <w:color w:val="auto"/>
                <w:highlight w:val="none"/>
                <w:lang w:eastAsia="zh-CN"/>
              </w:rPr>
              <w:t>，并在上方设置喷淋措施，</w:t>
            </w:r>
            <w:r>
              <w:rPr>
                <w:rFonts w:hint="default" w:ascii="Times New Roman" w:hAnsi="Times New Roman" w:cs="Times New Roman"/>
                <w:color w:val="auto"/>
                <w:highlight w:val="none"/>
              </w:rPr>
              <w:t>物料及废料运输车辆采取密闭运输方式、进出限速行驶并进行出场前冲洗</w:t>
            </w:r>
            <w:r>
              <w:rPr>
                <w:rFonts w:hint="default" w:ascii="Times New Roman" w:hAnsi="Times New Roman" w:cs="Times New Roman"/>
                <w:color w:val="auto"/>
                <w:highlight w:val="none"/>
                <w:lang w:eastAsia="zh-CN"/>
              </w:rPr>
              <w:t>，施工现场安装颗粒物、噪声监控设施</w:t>
            </w:r>
            <w:r>
              <w:rPr>
                <w:rFonts w:hint="default" w:ascii="Times New Roman" w:hAnsi="Times New Roman" w:cs="Times New Roman"/>
                <w:color w:val="auto"/>
                <w:highlight w:val="none"/>
              </w:rPr>
              <w:t>。</w:t>
            </w:r>
          </w:p>
          <w:p w14:paraId="5B557391">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（4）采取性能良好的施工机械，加强施工管理、规范施工作业方式。</w:t>
            </w:r>
          </w:p>
          <w:p w14:paraId="3DEC1027">
            <w:pPr>
              <w:keepNext w:val="0"/>
              <w:keepLines w:val="0"/>
              <w:suppressLineNumbers w:val="0"/>
              <w:adjustRightInd w:val="0"/>
              <w:snapToGrid w:val="0"/>
              <w:spacing w:before="0" w:beforeAutospacing="0" w:after="0" w:afterAutospacing="0"/>
              <w:ind w:left="0" w:right="0" w:firstLine="480" w:firstLineChars="20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（5）运输过程中散落在路面上的泥土要及时清扫，以减少运输过程中扬尘。</w:t>
            </w:r>
            <w:r>
              <w:rPr>
                <w:rFonts w:hint="default" w:ascii="Times New Roman" w:hAnsi="Times New Roman" w:cs="Times New Roman"/>
                <w:color w:val="auto"/>
                <w:highlight w:val="none"/>
                <w:lang w:eastAsia="zh-CN"/>
              </w:rPr>
              <w:t>施工现场要设置洗车槽、沉淀池等环保措施。</w:t>
            </w:r>
          </w:p>
          <w:p w14:paraId="6A05409F">
            <w:pPr>
              <w:keepNext w:val="0"/>
              <w:keepLines w:val="0"/>
              <w:suppressLineNumbers w:val="0"/>
              <w:snapToGrid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（6）使用商品混凝土。</w:t>
            </w:r>
          </w:p>
          <w:p w14:paraId="6124A112">
            <w:pPr>
              <w:keepNext w:val="0"/>
              <w:keepLines w:val="0"/>
              <w:suppressLineNumbers w:val="0"/>
              <w:adjustRightInd w:val="0"/>
              <w:snapToGrid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（7）落实建筑工地</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六个100%</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要求，即施工现场100%围蔽，</w:t>
            </w:r>
            <w:r>
              <w:rPr>
                <w:rFonts w:hint="default" w:ascii="Times New Roman" w:hAnsi="Times New Roman" w:cs="Times New Roman"/>
                <w:color w:val="auto"/>
                <w:highlight w:val="none"/>
                <w:lang w:eastAsia="zh-CN"/>
              </w:rPr>
              <w:t>物料</w:t>
            </w:r>
            <w:r>
              <w:rPr>
                <w:rFonts w:hint="default" w:ascii="Times New Roman" w:hAnsi="Times New Roman" w:cs="Times New Roman"/>
                <w:color w:val="auto"/>
                <w:highlight w:val="none"/>
              </w:rPr>
              <w:t>不用时100%覆盖，工地路面100%硬底化，</w:t>
            </w:r>
            <w:r>
              <w:rPr>
                <w:rFonts w:hint="default" w:ascii="Times New Roman" w:hAnsi="Times New Roman" w:cs="Times New Roman"/>
                <w:color w:val="auto"/>
                <w:highlight w:val="none"/>
                <w:lang w:eastAsia="zh-CN"/>
              </w:rPr>
              <w:t>施工作业</w:t>
            </w:r>
            <w:r>
              <w:rPr>
                <w:rFonts w:hint="default" w:ascii="Times New Roman" w:hAnsi="Times New Roman" w:cs="Times New Roman"/>
                <w:color w:val="auto"/>
                <w:highlight w:val="none"/>
              </w:rPr>
              <w:t>100%洒水压尘，驶出工地车辆100%冲净车轮车身，施工现场长期裸土100%覆盖或绿化。</w:t>
            </w:r>
          </w:p>
          <w:p w14:paraId="3538B160">
            <w:pPr>
              <w:keepNext w:val="0"/>
              <w:keepLines w:val="0"/>
              <w:suppressLineNumbers w:val="0"/>
              <w:snapToGrid w:val="0"/>
              <w:spacing w:before="0" w:beforeAutospacing="0" w:after="0" w:afterAutospacing="0"/>
              <w:ind w:left="0" w:right="0" w:firstLine="480" w:firstLineChars="20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2、施工机械及运输车辆机动车尾气</w:t>
            </w:r>
          </w:p>
          <w:p w14:paraId="449814C3">
            <w:pPr>
              <w:keepNext w:val="0"/>
              <w:keepLines w:val="0"/>
              <w:suppressLineNumbers w:val="0"/>
              <w:adjustRightInd w:val="0"/>
              <w:snapToGrid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施工机械一般使用柴油作动力，开动时会产生一些燃油废气；施工运输车辆一般是大型柴油车，产生机动车尾气。施工机械和运输车辆产生的废气污染物主要为CO、NO</w:t>
            </w:r>
            <w:r>
              <w:rPr>
                <w:rFonts w:hint="default" w:ascii="Times New Roman" w:hAnsi="Times New Roman" w:cs="Times New Roman"/>
                <w:color w:val="auto"/>
                <w:highlight w:val="none"/>
                <w:vertAlign w:val="subscript"/>
              </w:rPr>
              <w:t>x</w:t>
            </w:r>
            <w:r>
              <w:rPr>
                <w:rFonts w:hint="default" w:ascii="Times New Roman" w:hAnsi="Times New Roman" w:cs="Times New Roman"/>
                <w:color w:val="auto"/>
                <w:highlight w:val="none"/>
              </w:rPr>
              <w:t>、PM</w:t>
            </w:r>
            <w:r>
              <w:rPr>
                <w:rFonts w:hint="default" w:ascii="Times New Roman" w:hAnsi="Times New Roman" w:cs="Times New Roman"/>
                <w:color w:val="auto"/>
                <w:highlight w:val="none"/>
                <w:vertAlign w:val="subscript"/>
              </w:rPr>
              <w:t>10</w:t>
            </w:r>
            <w:r>
              <w:rPr>
                <w:rFonts w:hint="default" w:ascii="Times New Roman" w:hAnsi="Times New Roman" w:cs="Times New Roman"/>
                <w:color w:val="auto"/>
                <w:highlight w:val="none"/>
              </w:rPr>
              <w:t>。</w:t>
            </w:r>
          </w:p>
          <w:p w14:paraId="5CCB2E85">
            <w:pPr>
              <w:keepNext w:val="0"/>
              <w:keepLines w:val="0"/>
              <w:suppressLineNumbers w:val="0"/>
              <w:adjustRightInd w:val="0"/>
              <w:snapToGrid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针对施工机械和施工运输车辆机动车尾气，采取以下措施：建设单位应采用先进符合标准的机械，使用清洁能源（如轻质柴油），以减少尾气排放；同时施工车辆必须定期检查，破损的车厢应及时修补，注意车辆维修保养，以减少尾气排放。</w:t>
            </w:r>
          </w:p>
          <w:p w14:paraId="557C550F">
            <w:pPr>
              <w:keepNext w:val="0"/>
              <w:keepLines w:val="0"/>
              <w:suppressLineNumbers w:val="0"/>
              <w:adjustRightInd w:val="0"/>
              <w:snapToGrid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采取上述措施之后，施工期对</w:t>
            </w:r>
            <w:r>
              <w:rPr>
                <w:rFonts w:hint="default" w:ascii="Times New Roman" w:hAnsi="Times New Roman" w:cs="Times New Roman"/>
                <w:color w:val="auto"/>
                <w:highlight w:val="none"/>
                <w:lang w:val="en-US"/>
              </w:rPr>
              <w:t>周围环境</w:t>
            </w:r>
            <w:r>
              <w:rPr>
                <w:rFonts w:hint="default" w:ascii="Times New Roman" w:hAnsi="Times New Roman" w:cs="Times New Roman"/>
                <w:color w:val="auto"/>
                <w:highlight w:val="none"/>
              </w:rPr>
              <w:t>空气和大气保护目标拓美产业园公寓</w:t>
            </w:r>
            <w:r>
              <w:rPr>
                <w:rFonts w:hint="default" w:ascii="Times New Roman" w:hAnsi="Times New Roman" w:cs="Times New Roman"/>
                <w:color w:val="auto"/>
                <w:highlight w:val="none"/>
                <w:lang w:eastAsia="zh-CN"/>
              </w:rPr>
              <w:t>、猴牯岭居民区</w:t>
            </w:r>
            <w:r>
              <w:rPr>
                <w:rFonts w:hint="default" w:ascii="Times New Roman" w:hAnsi="Times New Roman" w:cs="Times New Roman"/>
                <w:color w:val="auto"/>
                <w:highlight w:val="none"/>
              </w:rPr>
              <w:t>的影响可以控制在可接受程度之内。</w:t>
            </w:r>
          </w:p>
          <w:p w14:paraId="2F5C4B62">
            <w:pPr>
              <w:keepNext w:val="0"/>
              <w:keepLines w:val="0"/>
              <w:numPr>
                <w:ilvl w:val="0"/>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b/>
                <w:bCs/>
                <w:color w:val="auto"/>
                <w:highlight w:val="none"/>
                <w:lang w:val="en-US" w:eastAsia="zh-CN"/>
              </w:rPr>
              <w:t>三、</w:t>
            </w:r>
            <w:r>
              <w:rPr>
                <w:rFonts w:hint="default" w:ascii="Times New Roman" w:hAnsi="Times New Roman" w:cs="Times New Roman"/>
                <w:b/>
                <w:bCs/>
                <w:color w:val="auto"/>
                <w:highlight w:val="none"/>
              </w:rPr>
              <w:t>施工期噪声环境影响和保护措施</w:t>
            </w:r>
          </w:p>
          <w:p w14:paraId="0E64F938">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施工期间所产生的噪声不可避免，施工机械和运输车辆的单体声级一般在70~85dB(A)，经过围蔽阻隔后，项目噪声对周边环境影响较小。根据施工期间的各种噪声污染源的特点，常用施工机械设备在作业期间的噪声值详见下表。</w:t>
            </w:r>
          </w:p>
          <w:p w14:paraId="75B47C81">
            <w:pPr>
              <w:keepNext w:val="0"/>
              <w:keepLines w:val="0"/>
              <w:numPr>
                <w:ilvl w:val="0"/>
                <w:numId w:val="0"/>
              </w:numPr>
              <w:suppressLineNumbers w:val="0"/>
              <w:tabs>
                <w:tab w:val="left" w:pos="0"/>
              </w:tabs>
              <w:spacing w:before="0" w:beforeAutospacing="0" w:after="0" w:afterAutospacing="0"/>
              <w:ind w:left="0" w:leftChars="0" w:right="0" w:rightChars="0" w:firstLine="40" w:firstLineChars="0"/>
              <w:jc w:val="center"/>
              <w:rPr>
                <w:rFonts w:hint="default" w:ascii="Times New Roman" w:hAnsi="Times New Roman" w:cs="Times New Roman"/>
                <w:b/>
                <w:color w:val="auto"/>
                <w:sz w:val="21"/>
                <w:szCs w:val="21"/>
                <w:highlight w:val="none"/>
              </w:rPr>
            </w:pPr>
            <w:r>
              <w:rPr>
                <w:rFonts w:hint="default" w:ascii="Times New Roman" w:hAnsi="Times New Roman" w:eastAsia="宋体" w:cs="Times New Roman"/>
                <w:b/>
                <w:color w:val="auto"/>
                <w:kern w:val="2"/>
                <w:sz w:val="21"/>
                <w:szCs w:val="21"/>
                <w:highlight w:val="none"/>
                <w:lang w:val="en-US" w:eastAsia="zh-CN" w:bidi="ar-SA"/>
              </w:rPr>
              <w:t>表4-1</w:t>
            </w:r>
            <w:r>
              <w:rPr>
                <w:rFonts w:hint="default" w:ascii="Times New Roman" w:hAnsi="Times New Roman" w:cs="Times New Roman"/>
                <w:b/>
                <w:color w:val="auto"/>
                <w:sz w:val="21"/>
                <w:szCs w:val="21"/>
                <w:highlight w:val="none"/>
              </w:rPr>
              <w:t>常用施工机械设备的噪声值一览表</w:t>
            </w:r>
          </w:p>
          <w:tbl>
            <w:tblPr>
              <w:tblStyle w:val="40"/>
              <w:tblW w:w="499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2280"/>
              <w:gridCol w:w="861"/>
              <w:gridCol w:w="1998"/>
              <w:gridCol w:w="1672"/>
              <w:gridCol w:w="2462"/>
            </w:tblGrid>
            <w:tr w14:paraId="5E39DF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29" w:type="pct"/>
                  <w:vAlign w:val="center"/>
                </w:tcPr>
                <w:p w14:paraId="493887D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施工阶段</w:t>
                  </w:r>
                </w:p>
              </w:tc>
              <w:tc>
                <w:tcPr>
                  <w:tcW w:w="464" w:type="pct"/>
                  <w:vAlign w:val="center"/>
                </w:tcPr>
                <w:p w14:paraId="2BA4970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序号</w:t>
                  </w:r>
                </w:p>
              </w:tc>
              <w:tc>
                <w:tcPr>
                  <w:tcW w:w="1077" w:type="pct"/>
                  <w:vAlign w:val="center"/>
                </w:tcPr>
                <w:p w14:paraId="208E79F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设备名称</w:t>
                  </w:r>
                </w:p>
              </w:tc>
              <w:tc>
                <w:tcPr>
                  <w:tcW w:w="901" w:type="pct"/>
                  <w:vAlign w:val="center"/>
                </w:tcPr>
                <w:p w14:paraId="3494668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距离（m）</w:t>
                  </w:r>
                </w:p>
              </w:tc>
              <w:tc>
                <w:tcPr>
                  <w:tcW w:w="1327" w:type="pct"/>
                  <w:vAlign w:val="center"/>
                </w:tcPr>
                <w:p w14:paraId="436BF0B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噪声值（dB(A)）</w:t>
                  </w:r>
                </w:p>
              </w:tc>
            </w:tr>
            <w:tr w14:paraId="73BC4C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29" w:type="pct"/>
                  <w:vMerge w:val="restart"/>
                  <w:vAlign w:val="center"/>
                </w:tcPr>
                <w:p w14:paraId="36FD0F6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土石方工程阶段</w:t>
                  </w:r>
                </w:p>
              </w:tc>
              <w:tc>
                <w:tcPr>
                  <w:tcW w:w="464" w:type="pct"/>
                  <w:vAlign w:val="center"/>
                </w:tcPr>
                <w:p w14:paraId="291A859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1</w:t>
                  </w:r>
                </w:p>
              </w:tc>
              <w:tc>
                <w:tcPr>
                  <w:tcW w:w="1077" w:type="pct"/>
                  <w:vAlign w:val="center"/>
                </w:tcPr>
                <w:p w14:paraId="6D16F35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推土机</w:t>
                  </w:r>
                </w:p>
              </w:tc>
              <w:tc>
                <w:tcPr>
                  <w:tcW w:w="901" w:type="pct"/>
                  <w:vAlign w:val="center"/>
                </w:tcPr>
                <w:p w14:paraId="7D8E316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5</w:t>
                  </w:r>
                </w:p>
              </w:tc>
              <w:tc>
                <w:tcPr>
                  <w:tcW w:w="1327" w:type="pct"/>
                  <w:vAlign w:val="center"/>
                </w:tcPr>
                <w:p w14:paraId="425131D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70~75</w:t>
                  </w:r>
                </w:p>
              </w:tc>
            </w:tr>
            <w:tr w14:paraId="0D5465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29" w:type="pct"/>
                  <w:vMerge w:val="continue"/>
                  <w:vAlign w:val="center"/>
                </w:tcPr>
                <w:p w14:paraId="58E3E7E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64" w:type="pct"/>
                  <w:vAlign w:val="center"/>
                </w:tcPr>
                <w:p w14:paraId="19C4921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2</w:t>
                  </w:r>
                </w:p>
              </w:tc>
              <w:tc>
                <w:tcPr>
                  <w:tcW w:w="1077" w:type="pct"/>
                  <w:vAlign w:val="center"/>
                </w:tcPr>
                <w:p w14:paraId="7F51557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液压挖掘车</w:t>
                  </w:r>
                </w:p>
              </w:tc>
              <w:tc>
                <w:tcPr>
                  <w:tcW w:w="901" w:type="pct"/>
                  <w:vAlign w:val="center"/>
                </w:tcPr>
                <w:p w14:paraId="2B7D7D7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5</w:t>
                  </w:r>
                </w:p>
              </w:tc>
              <w:tc>
                <w:tcPr>
                  <w:tcW w:w="1327" w:type="pct"/>
                  <w:vAlign w:val="center"/>
                </w:tcPr>
                <w:p w14:paraId="1E7F1CE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80~85</w:t>
                  </w:r>
                </w:p>
              </w:tc>
            </w:tr>
            <w:tr w14:paraId="672770B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29" w:type="pct"/>
                  <w:vMerge w:val="continue"/>
                  <w:vAlign w:val="center"/>
                </w:tcPr>
                <w:p w14:paraId="67BB0A0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64" w:type="pct"/>
                  <w:vAlign w:val="center"/>
                </w:tcPr>
                <w:p w14:paraId="6FE800D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3</w:t>
                  </w:r>
                </w:p>
              </w:tc>
              <w:tc>
                <w:tcPr>
                  <w:tcW w:w="1077" w:type="pct"/>
                  <w:vAlign w:val="center"/>
                </w:tcPr>
                <w:p w14:paraId="03EA07D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重型运输车</w:t>
                  </w:r>
                </w:p>
              </w:tc>
              <w:tc>
                <w:tcPr>
                  <w:tcW w:w="901" w:type="pct"/>
                  <w:vAlign w:val="center"/>
                </w:tcPr>
                <w:p w14:paraId="4E1E2B2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5</w:t>
                  </w:r>
                </w:p>
              </w:tc>
              <w:tc>
                <w:tcPr>
                  <w:tcW w:w="1327" w:type="pct"/>
                  <w:vAlign w:val="center"/>
                </w:tcPr>
                <w:p w14:paraId="503C4B2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70~80</w:t>
                  </w:r>
                </w:p>
              </w:tc>
            </w:tr>
            <w:tr w14:paraId="5E7813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29" w:type="pct"/>
                  <w:vMerge w:val="restart"/>
                  <w:vAlign w:val="center"/>
                </w:tcPr>
                <w:p w14:paraId="5DCF743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基础施工阶段</w:t>
                  </w:r>
                </w:p>
              </w:tc>
              <w:tc>
                <w:tcPr>
                  <w:tcW w:w="464" w:type="pct"/>
                  <w:vAlign w:val="center"/>
                </w:tcPr>
                <w:p w14:paraId="334962A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4</w:t>
                  </w:r>
                </w:p>
              </w:tc>
              <w:tc>
                <w:tcPr>
                  <w:tcW w:w="1077" w:type="pct"/>
                  <w:vAlign w:val="center"/>
                </w:tcPr>
                <w:p w14:paraId="0DAF510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静力压桩机</w:t>
                  </w:r>
                </w:p>
              </w:tc>
              <w:tc>
                <w:tcPr>
                  <w:tcW w:w="901" w:type="pct"/>
                  <w:vAlign w:val="center"/>
                </w:tcPr>
                <w:p w14:paraId="056FF36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5</w:t>
                  </w:r>
                </w:p>
              </w:tc>
              <w:tc>
                <w:tcPr>
                  <w:tcW w:w="1327" w:type="pct"/>
                  <w:vAlign w:val="center"/>
                </w:tcPr>
                <w:p w14:paraId="43675FD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80~85</w:t>
                  </w:r>
                </w:p>
              </w:tc>
            </w:tr>
            <w:tr w14:paraId="36E99A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29" w:type="pct"/>
                  <w:vMerge w:val="continue"/>
                  <w:vAlign w:val="center"/>
                </w:tcPr>
                <w:p w14:paraId="0BFCC02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64" w:type="pct"/>
                  <w:vAlign w:val="center"/>
                </w:tcPr>
                <w:p w14:paraId="424EFF3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5</w:t>
                  </w:r>
                </w:p>
              </w:tc>
              <w:tc>
                <w:tcPr>
                  <w:tcW w:w="1077" w:type="pct"/>
                  <w:vAlign w:val="center"/>
                </w:tcPr>
                <w:p w14:paraId="2B7C2F5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振动夯锤</w:t>
                  </w:r>
                </w:p>
              </w:tc>
              <w:tc>
                <w:tcPr>
                  <w:tcW w:w="901" w:type="pct"/>
                  <w:vAlign w:val="center"/>
                </w:tcPr>
                <w:p w14:paraId="75EC50F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5</w:t>
                  </w:r>
                </w:p>
              </w:tc>
              <w:tc>
                <w:tcPr>
                  <w:tcW w:w="1327" w:type="pct"/>
                  <w:vAlign w:val="center"/>
                </w:tcPr>
                <w:p w14:paraId="287B981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80~85</w:t>
                  </w:r>
                </w:p>
              </w:tc>
            </w:tr>
            <w:tr w14:paraId="38811D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29" w:type="pct"/>
                  <w:vMerge w:val="restart"/>
                  <w:vAlign w:val="center"/>
                </w:tcPr>
                <w:p w14:paraId="7A85E11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结构施工阶段</w:t>
                  </w:r>
                </w:p>
              </w:tc>
              <w:tc>
                <w:tcPr>
                  <w:tcW w:w="464" w:type="pct"/>
                  <w:vAlign w:val="center"/>
                </w:tcPr>
                <w:p w14:paraId="0A74AB3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6</w:t>
                  </w:r>
                </w:p>
              </w:tc>
              <w:tc>
                <w:tcPr>
                  <w:tcW w:w="1077" w:type="pct"/>
                  <w:vAlign w:val="center"/>
                </w:tcPr>
                <w:p w14:paraId="57A3772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混凝土振捣器</w:t>
                  </w:r>
                </w:p>
              </w:tc>
              <w:tc>
                <w:tcPr>
                  <w:tcW w:w="901" w:type="pct"/>
                  <w:vAlign w:val="center"/>
                </w:tcPr>
                <w:p w14:paraId="0684500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5</w:t>
                  </w:r>
                </w:p>
              </w:tc>
              <w:tc>
                <w:tcPr>
                  <w:tcW w:w="1327" w:type="pct"/>
                  <w:vAlign w:val="center"/>
                </w:tcPr>
                <w:p w14:paraId="2E43EA2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80~85</w:t>
                  </w:r>
                </w:p>
              </w:tc>
            </w:tr>
            <w:tr w14:paraId="1D3989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29" w:type="pct"/>
                  <w:vMerge w:val="continue"/>
                  <w:vAlign w:val="center"/>
                </w:tcPr>
                <w:p w14:paraId="49E9846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64" w:type="pct"/>
                  <w:vAlign w:val="center"/>
                </w:tcPr>
                <w:p w14:paraId="2B501CF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7</w:t>
                  </w:r>
                </w:p>
              </w:tc>
              <w:tc>
                <w:tcPr>
                  <w:tcW w:w="1077" w:type="pct"/>
                  <w:vAlign w:val="center"/>
                </w:tcPr>
                <w:p w14:paraId="24F85E7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混凝土搅拌车</w:t>
                  </w:r>
                </w:p>
              </w:tc>
              <w:tc>
                <w:tcPr>
                  <w:tcW w:w="901" w:type="pct"/>
                  <w:vAlign w:val="center"/>
                </w:tcPr>
                <w:p w14:paraId="4448168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5</w:t>
                  </w:r>
                </w:p>
              </w:tc>
              <w:tc>
                <w:tcPr>
                  <w:tcW w:w="1327" w:type="pct"/>
                  <w:vAlign w:val="center"/>
                </w:tcPr>
                <w:p w14:paraId="5FBE599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80~85</w:t>
                  </w:r>
                </w:p>
              </w:tc>
            </w:tr>
            <w:tr w14:paraId="1261B5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29" w:type="pct"/>
                  <w:vMerge w:val="continue"/>
                  <w:vAlign w:val="center"/>
                </w:tcPr>
                <w:p w14:paraId="2A42B97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64" w:type="pct"/>
                  <w:vAlign w:val="center"/>
                </w:tcPr>
                <w:p w14:paraId="7FC0CCD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8</w:t>
                  </w:r>
                </w:p>
              </w:tc>
              <w:tc>
                <w:tcPr>
                  <w:tcW w:w="1077" w:type="pct"/>
                  <w:vAlign w:val="center"/>
                </w:tcPr>
                <w:p w14:paraId="17EC7E3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auto"/>
                      <w:sz w:val="21"/>
                      <w:szCs w:val="21"/>
                      <w:highlight w:val="none"/>
                      <w:lang w:eastAsia="zh-CN"/>
                    </w:rPr>
                  </w:pPr>
                  <w:r>
                    <w:rPr>
                      <w:rFonts w:hint="default" w:ascii="Times New Roman" w:hAnsi="Times New Roman" w:cs="Times New Roman"/>
                      <w:bCs/>
                      <w:color w:val="auto"/>
                      <w:sz w:val="21"/>
                      <w:szCs w:val="21"/>
                      <w:highlight w:val="none"/>
                      <w:lang w:val="en-US" w:eastAsia="zh-CN"/>
                    </w:rPr>
                    <w:t>风镐</w:t>
                  </w:r>
                </w:p>
              </w:tc>
              <w:tc>
                <w:tcPr>
                  <w:tcW w:w="901" w:type="pct"/>
                  <w:vAlign w:val="center"/>
                </w:tcPr>
                <w:p w14:paraId="27F9881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5</w:t>
                  </w:r>
                </w:p>
              </w:tc>
              <w:tc>
                <w:tcPr>
                  <w:tcW w:w="1327" w:type="pct"/>
                  <w:vAlign w:val="center"/>
                </w:tcPr>
                <w:p w14:paraId="238E1FD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80~85</w:t>
                  </w:r>
                </w:p>
              </w:tc>
            </w:tr>
            <w:tr w14:paraId="613F13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29" w:type="pct"/>
                  <w:vAlign w:val="center"/>
                </w:tcPr>
                <w:p w14:paraId="494B189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装修阶段</w:t>
                  </w:r>
                </w:p>
              </w:tc>
              <w:tc>
                <w:tcPr>
                  <w:tcW w:w="464" w:type="pct"/>
                  <w:vAlign w:val="center"/>
                </w:tcPr>
                <w:p w14:paraId="159B3A8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9</w:t>
                  </w:r>
                </w:p>
              </w:tc>
              <w:tc>
                <w:tcPr>
                  <w:tcW w:w="1077" w:type="pct"/>
                  <w:vAlign w:val="center"/>
                </w:tcPr>
                <w:p w14:paraId="4CB5EB2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角磨机</w:t>
                  </w:r>
                </w:p>
              </w:tc>
              <w:tc>
                <w:tcPr>
                  <w:tcW w:w="901" w:type="pct"/>
                  <w:vAlign w:val="center"/>
                </w:tcPr>
                <w:p w14:paraId="3DA4A38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5</w:t>
                  </w:r>
                </w:p>
              </w:tc>
              <w:tc>
                <w:tcPr>
                  <w:tcW w:w="1327" w:type="pct"/>
                  <w:vAlign w:val="center"/>
                </w:tcPr>
                <w:p w14:paraId="560F1E3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80~85</w:t>
                  </w:r>
                </w:p>
              </w:tc>
            </w:tr>
          </w:tbl>
          <w:p w14:paraId="18841EE6">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针对施工期各类高噪声提出施工期噪声污染防治对策。建设单位应采取以下的措施来减轻其噪声的影响：</w:t>
            </w:r>
          </w:p>
          <w:p w14:paraId="5BCC2384">
            <w:pPr>
              <w:keepNext w:val="0"/>
              <w:keepLines w:val="0"/>
              <w:suppressLineNumbers w:val="0"/>
              <w:spacing w:before="0" w:beforeAutospacing="0" w:after="0" w:afterAutospacing="0"/>
              <w:ind w:left="480" w:leftChars="200" w:right="0"/>
              <w:rPr>
                <w:rFonts w:hint="default" w:ascii="Times New Roman" w:hAnsi="Times New Roman" w:cs="Times New Roman"/>
                <w:color w:val="auto"/>
                <w:highlight w:val="none"/>
              </w:rPr>
            </w:pPr>
            <w:r>
              <w:rPr>
                <w:rFonts w:hint="default" w:ascii="Times New Roman" w:hAnsi="Times New Roman" w:cs="Times New Roman"/>
                <w:color w:val="auto"/>
                <w:highlight w:val="none"/>
              </w:rPr>
              <w:t>（1）合理组织施工，施工前需张贴告示告知周围人群。</w:t>
            </w:r>
          </w:p>
          <w:p w14:paraId="7F958DFF">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（2）合理安排施工时间，严禁高噪声设备在作息时间中午（12</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00～14</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00）和夜间（22</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00～6</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00）期间自由作业，高噪声设备作业时间应避开企业员工休息时间。</w:t>
            </w:r>
          </w:p>
          <w:p w14:paraId="3067056F">
            <w:pPr>
              <w:keepNext w:val="0"/>
              <w:keepLines w:val="0"/>
              <w:suppressLineNumbers w:val="0"/>
              <w:tabs>
                <w:tab w:val="left" w:pos="8266"/>
              </w:tabs>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（3）合理安排现场作业，制定合理的分区域分时段作业计划，尽可能避免大量高噪声设备同时运行。</w:t>
            </w:r>
          </w:p>
          <w:p w14:paraId="6803B75B">
            <w:pPr>
              <w:keepNext w:val="0"/>
              <w:keepLines w:val="0"/>
              <w:suppressLineNumbers w:val="0"/>
              <w:tabs>
                <w:tab w:val="left" w:pos="8266"/>
              </w:tabs>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（4）对高噪声设备进行适当屏蔽，作临时隔声、消声和减振等综合治理。</w:t>
            </w:r>
          </w:p>
          <w:p w14:paraId="174A0C20">
            <w:pPr>
              <w:keepNext w:val="0"/>
              <w:keepLines w:val="0"/>
              <w:suppressLineNumbers w:val="0"/>
              <w:tabs>
                <w:tab w:val="left" w:pos="8266"/>
              </w:tabs>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（5）加强施工队伍的教育，提高职工的环保意识，不野蛮作业，坚持文明施工、科学施工，制定施工环境管理制度，降低人为噪声，施工现场装卸材料做到轻拿轻放，减少不必要的碰撞噪声。</w:t>
            </w:r>
          </w:p>
          <w:p w14:paraId="048F38AA">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（6）加强场内运输车辆管理，合理划定运输通道，路面保持平坦，严禁鸣笛，限速行驶，减少因道路颠簸引起的车辆噪声。</w:t>
            </w:r>
          </w:p>
          <w:p w14:paraId="35D2B31B">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综上所述，本项目在施工期间采取积极有效措施对施工噪声进行控制后，项目施工期噪声对周围环境影响较小。</w:t>
            </w:r>
          </w:p>
          <w:p w14:paraId="36009E1F">
            <w:pPr>
              <w:pStyle w:val="46"/>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highlight w:val="none"/>
              </w:rPr>
            </w:pPr>
            <w:r>
              <w:rPr>
                <w:rFonts w:hint="default" w:ascii="Times New Roman" w:hAnsi="Times New Roman" w:cs="Times New Roman"/>
                <w:b/>
                <w:bCs/>
                <w:color w:val="auto"/>
                <w:sz w:val="24"/>
                <w:highlight w:val="none"/>
              </w:rPr>
              <w:t>四、施工期固废环境影响和保护措施</w:t>
            </w:r>
          </w:p>
          <w:p w14:paraId="4C39E5D7">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bCs/>
                <w:color w:val="auto"/>
                <w:spacing w:val="-10"/>
                <w:highlight w:val="none"/>
              </w:rPr>
            </w:pPr>
            <w:r>
              <w:rPr>
                <w:rFonts w:hint="default" w:ascii="Times New Roman" w:hAnsi="Times New Roman" w:cs="Times New Roman"/>
                <w:color w:val="auto"/>
                <w:highlight w:val="none"/>
              </w:rPr>
              <w:t>本项目施工期产生的固废主要有厂房施工等过程产生的</w:t>
            </w:r>
            <w:r>
              <w:rPr>
                <w:rFonts w:hint="default" w:ascii="Times New Roman" w:hAnsi="Times New Roman" w:cs="Times New Roman"/>
                <w:color w:val="auto"/>
                <w:highlight w:val="none"/>
                <w:lang w:eastAsia="zh-CN"/>
              </w:rPr>
              <w:t>废弃土石方</w:t>
            </w:r>
            <w:r>
              <w:rPr>
                <w:rFonts w:hint="default" w:ascii="Times New Roman" w:hAnsi="Times New Roman" w:cs="Times New Roman"/>
                <w:color w:val="auto"/>
                <w:highlight w:val="none"/>
              </w:rPr>
              <w:t>、建筑垃圾、施工人员的生活垃圾等。其中建筑垃圾多为水泥、木材、砖石、包装材料等，具体产生量跟施工方式和选用材料有关，也与废弃材料的回用程度有关。</w:t>
            </w:r>
            <w:r>
              <w:rPr>
                <w:rFonts w:hint="default" w:ascii="Times New Roman" w:hAnsi="Times New Roman" w:cs="Times New Roman"/>
                <w:bCs/>
                <w:color w:val="auto"/>
                <w:spacing w:val="-10"/>
                <w:highlight w:val="none"/>
              </w:rPr>
              <w:t>本项目施工过程产生的土石方回填利用不外运，产生的固体废物主要为建筑垃圾、施工人员生活垃圾。</w:t>
            </w:r>
          </w:p>
          <w:p w14:paraId="4C05C958">
            <w:pPr>
              <w:keepNext w:val="0"/>
              <w:keepLines w:val="0"/>
              <w:widowControl/>
              <w:suppressLineNumbers w:val="0"/>
              <w:spacing w:before="0" w:beforeAutospacing="0" w:after="0" w:afterAutospacing="0"/>
              <w:ind w:left="0" w:right="0" w:firstLine="440" w:firstLineChars="200"/>
              <w:jc w:val="left"/>
              <w:rPr>
                <w:rFonts w:hint="default" w:ascii="Times New Roman" w:hAnsi="Times New Roman" w:cs="Times New Roman"/>
                <w:b/>
                <w:bCs w:val="0"/>
                <w:color w:val="auto"/>
                <w:spacing w:val="-10"/>
                <w:highlight w:val="none"/>
              </w:rPr>
            </w:pPr>
            <w:r>
              <w:rPr>
                <w:rFonts w:hint="default" w:ascii="Times New Roman" w:hAnsi="Times New Roman" w:cs="Times New Roman"/>
                <w:b/>
                <w:bCs w:val="0"/>
                <w:color w:val="auto"/>
                <w:spacing w:val="-10"/>
                <w:highlight w:val="none"/>
              </w:rPr>
              <w:t>（1）建筑垃圾</w:t>
            </w:r>
          </w:p>
          <w:p w14:paraId="41526D2E">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bCs/>
                <w:color w:val="auto"/>
                <w:spacing w:val="0"/>
                <w:sz w:val="24"/>
                <w:highlight w:val="none"/>
              </w:rPr>
            </w:pPr>
            <w:r>
              <w:rPr>
                <w:rFonts w:hint="default" w:ascii="Times New Roman" w:hAnsi="Times New Roman" w:cs="Times New Roman"/>
                <w:bCs/>
                <w:color w:val="auto"/>
                <w:spacing w:val="0"/>
                <w:sz w:val="24"/>
                <w:highlight w:val="none"/>
              </w:rPr>
              <w:t>项目采用钢结构构件厂房，产生的建筑废物主要成分有废铁丝和各种废钢配件、金属管线废料、散落的砂浆和混凝土等，施工固废产生量约为</w:t>
            </w:r>
            <w:r>
              <w:rPr>
                <w:rFonts w:hint="eastAsia" w:cs="Times New Roman"/>
                <w:bCs/>
                <w:color w:val="auto"/>
                <w:spacing w:val="0"/>
                <w:sz w:val="24"/>
                <w:highlight w:val="none"/>
                <w:lang w:val="en-US" w:eastAsia="zh-CN"/>
              </w:rPr>
              <w:t>4</w:t>
            </w:r>
            <w:r>
              <w:rPr>
                <w:rFonts w:hint="default" w:ascii="Times New Roman" w:hAnsi="Times New Roman" w:cs="Times New Roman"/>
                <w:bCs/>
                <w:color w:val="auto"/>
                <w:spacing w:val="0"/>
                <w:sz w:val="24"/>
                <w:highlight w:val="none"/>
              </w:rPr>
              <w:t>0t。建筑垃圾应按有关规定报地方建设主管部门，将建筑废弃物运送至建筑垃圾处置场处置。</w:t>
            </w:r>
          </w:p>
          <w:p w14:paraId="6C4D578D">
            <w:pPr>
              <w:keepNext w:val="0"/>
              <w:keepLines w:val="0"/>
              <w:widowControl/>
              <w:suppressLineNumbers w:val="0"/>
              <w:spacing w:before="0" w:beforeAutospacing="0" w:after="0" w:afterAutospacing="0"/>
              <w:ind w:left="0" w:right="0" w:firstLine="440" w:firstLineChars="200"/>
              <w:jc w:val="left"/>
              <w:rPr>
                <w:rFonts w:hint="default" w:ascii="Times New Roman" w:hAnsi="Times New Roman" w:cs="Times New Roman"/>
                <w:b/>
                <w:bCs w:val="0"/>
                <w:color w:val="auto"/>
                <w:spacing w:val="-10"/>
                <w:highlight w:val="none"/>
              </w:rPr>
            </w:pPr>
            <w:r>
              <w:rPr>
                <w:rFonts w:hint="default" w:ascii="Times New Roman" w:hAnsi="Times New Roman" w:cs="Times New Roman"/>
                <w:b/>
                <w:bCs w:val="0"/>
                <w:color w:val="auto"/>
                <w:spacing w:val="-10"/>
                <w:highlight w:val="none"/>
              </w:rPr>
              <w:t>（2）施工人员产生的生活垃圾</w:t>
            </w:r>
          </w:p>
          <w:p w14:paraId="3D64A2AE">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spacing w:val="0"/>
                <w:sz w:val="24"/>
                <w:highlight w:val="none"/>
              </w:rPr>
            </w:pPr>
            <w:r>
              <w:rPr>
                <w:rFonts w:hint="default" w:ascii="Times New Roman" w:hAnsi="Times New Roman" w:cs="Times New Roman"/>
                <w:bCs/>
                <w:color w:val="auto"/>
                <w:spacing w:val="0"/>
                <w:sz w:val="24"/>
                <w:highlight w:val="none"/>
              </w:rPr>
              <w:t>生活垃圾的主要成分有塑料饭盒和塑料袋、碎玻璃、果皮核屑等。预计该项目生活垃圾产生量约为15kg/d，施工期间产生量为1.</w:t>
            </w:r>
            <w:r>
              <w:rPr>
                <w:rFonts w:hint="eastAsia" w:cs="Times New Roman"/>
                <w:bCs/>
                <w:color w:val="auto"/>
                <w:spacing w:val="0"/>
                <w:sz w:val="24"/>
                <w:highlight w:val="none"/>
                <w:lang w:val="en-US" w:eastAsia="zh-CN"/>
              </w:rPr>
              <w:t>8</w:t>
            </w:r>
            <w:r>
              <w:rPr>
                <w:rFonts w:hint="default" w:ascii="Times New Roman" w:hAnsi="Times New Roman" w:cs="Times New Roman"/>
                <w:bCs/>
                <w:color w:val="auto"/>
                <w:spacing w:val="0"/>
                <w:sz w:val="24"/>
                <w:highlight w:val="none"/>
              </w:rPr>
              <w:t>t（按</w:t>
            </w:r>
            <w:r>
              <w:rPr>
                <w:rFonts w:hint="eastAsia" w:cs="Times New Roman"/>
                <w:bCs/>
                <w:color w:val="auto"/>
                <w:spacing w:val="0"/>
                <w:sz w:val="24"/>
                <w:highlight w:val="none"/>
                <w:lang w:val="en-US" w:eastAsia="zh-CN"/>
              </w:rPr>
              <w:t>12</w:t>
            </w:r>
            <w:r>
              <w:rPr>
                <w:rFonts w:hint="default" w:ascii="Times New Roman" w:hAnsi="Times New Roman" w:cs="Times New Roman"/>
                <w:bCs/>
                <w:color w:val="auto"/>
                <w:spacing w:val="0"/>
                <w:sz w:val="24"/>
                <w:highlight w:val="none"/>
              </w:rPr>
              <w:t>0天计），统一收集后交环卫部门清运。</w:t>
            </w:r>
          </w:p>
          <w:p w14:paraId="2506F39C">
            <w:pPr>
              <w:keepNext w:val="0"/>
              <w:keepLines w:val="0"/>
              <w:suppressLineNumbers w:val="0"/>
              <w:tabs>
                <w:tab w:val="left" w:pos="8266"/>
              </w:tabs>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针对施工期各类固体废物，建设单位、施工单位在施工过程中落实以下措施：</w:t>
            </w:r>
          </w:p>
          <w:p w14:paraId="1FDBDAAD">
            <w:pPr>
              <w:keepNext w:val="0"/>
              <w:keepLines w:val="0"/>
              <w:suppressLineNumbers w:val="0"/>
              <w:tabs>
                <w:tab w:val="left" w:pos="8266"/>
              </w:tabs>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①</w:t>
            </w:r>
            <w:r>
              <w:rPr>
                <w:rFonts w:hint="default" w:ascii="Times New Roman" w:hAnsi="Times New Roman" w:cs="Times New Roman"/>
                <w:color w:val="auto"/>
                <w:highlight w:val="none"/>
              </w:rPr>
              <w:t>施工期根据施工作业产生的土石方、建筑垃圾数量，设置容量足够，有围栏和覆盖设施的临时堆放场地，分类管理，可利用的土石方尽量在场地内周转，就地利用；对于实在无法回用的建筑垃圾，及时向余泥渣土管理部门提出申请，办理相关转移运输和排放手续，获得批准后运至</w:t>
            </w:r>
            <w:r>
              <w:rPr>
                <w:rFonts w:hint="default" w:ascii="Times New Roman" w:hAnsi="Times New Roman" w:cs="Times New Roman"/>
                <w:color w:val="auto"/>
                <w:highlight w:val="none"/>
                <w:lang w:val="en-US" w:eastAsia="zh-CN"/>
              </w:rPr>
              <w:t>指</w:t>
            </w:r>
            <w:r>
              <w:rPr>
                <w:rFonts w:hint="default" w:ascii="Times New Roman" w:hAnsi="Times New Roman" w:cs="Times New Roman"/>
                <w:color w:val="auto"/>
                <w:highlight w:val="none"/>
              </w:rPr>
              <w:t>定消纳场所处置。</w:t>
            </w:r>
          </w:p>
          <w:p w14:paraId="710A5EFC">
            <w:pPr>
              <w:keepNext w:val="0"/>
              <w:keepLines w:val="0"/>
              <w:suppressLineNumbers w:val="0"/>
              <w:tabs>
                <w:tab w:val="left" w:pos="8266"/>
              </w:tabs>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②</w:t>
            </w:r>
            <w:r>
              <w:rPr>
                <w:rFonts w:hint="default" w:ascii="Times New Roman" w:hAnsi="Times New Roman" w:cs="Times New Roman"/>
                <w:color w:val="auto"/>
                <w:highlight w:val="none"/>
              </w:rPr>
              <w:t>从事建筑垃圾运输的车辆必须保持外形完好、整洁装载物料时保持密闭，不得遗撒、泄漏，驶出场地时必须冲洗干净车轮、车身，并按照制定路线和有关规定行驶。</w:t>
            </w:r>
          </w:p>
          <w:p w14:paraId="32F99DFF">
            <w:pPr>
              <w:keepNext w:val="0"/>
              <w:keepLines w:val="0"/>
              <w:suppressLineNumbers w:val="0"/>
              <w:tabs>
                <w:tab w:val="left" w:pos="8266"/>
              </w:tabs>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③</w:t>
            </w:r>
            <w:r>
              <w:rPr>
                <w:rFonts w:hint="default" w:ascii="Times New Roman" w:hAnsi="Times New Roman" w:cs="Times New Roman"/>
                <w:color w:val="auto"/>
                <w:highlight w:val="none"/>
              </w:rPr>
              <w:t>建筑垃圾的运输委托具有相关资质的单位承担，运输时间和行驶路线报有关主管部门批准后再实施。</w:t>
            </w:r>
          </w:p>
          <w:p w14:paraId="56D11A8A">
            <w:pPr>
              <w:keepNext w:val="0"/>
              <w:keepLines w:val="0"/>
              <w:suppressLineNumbers w:val="0"/>
              <w:tabs>
                <w:tab w:val="left" w:pos="8266"/>
              </w:tabs>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④</w:t>
            </w:r>
            <w:r>
              <w:rPr>
                <w:rFonts w:hint="default" w:ascii="Times New Roman" w:hAnsi="Times New Roman" w:cs="Times New Roman"/>
                <w:color w:val="auto"/>
                <w:highlight w:val="none"/>
              </w:rPr>
              <w:t>施工场地的生活垃圾分类收集，交由环卫部门统一收运处置，不得将生活垃圾混入余泥渣土或建筑垃圾中。</w:t>
            </w:r>
          </w:p>
          <w:p w14:paraId="7B6AF64D">
            <w:pPr>
              <w:keepNext w:val="0"/>
              <w:keepLines w:val="0"/>
              <w:suppressLineNumbers w:val="0"/>
              <w:tabs>
                <w:tab w:val="left" w:pos="8266"/>
              </w:tabs>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⑤</w:t>
            </w:r>
            <w:r>
              <w:rPr>
                <w:rFonts w:hint="default" w:ascii="Times New Roman" w:hAnsi="Times New Roman" w:cs="Times New Roman"/>
                <w:color w:val="auto"/>
                <w:highlight w:val="none"/>
              </w:rPr>
              <w:t>工程竣工后，施工单位及时拆除各种临时施工设施，负责将工地剩余的余泥渣土、建筑垃圾处理干净。</w:t>
            </w:r>
          </w:p>
          <w:p w14:paraId="2784F11C">
            <w:pPr>
              <w:keepNext w:val="0"/>
              <w:keepLines w:val="0"/>
              <w:suppressLineNumbers w:val="0"/>
              <w:tabs>
                <w:tab w:val="left" w:pos="8266"/>
              </w:tabs>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落实上述措施后，施工期固体废物不会对周围环境造成不良影响。</w:t>
            </w:r>
          </w:p>
          <w:p w14:paraId="4EEE6646">
            <w:pPr>
              <w:keepNext w:val="0"/>
              <w:keepLines w:val="0"/>
              <w:suppressLineNumbers w:val="0"/>
              <w:spacing w:before="0" w:beforeAutospacing="0" w:after="0" w:afterAutospacing="0"/>
              <w:ind w:left="480" w:leftChars="200" w:right="0"/>
              <w:rPr>
                <w:rFonts w:hint="default" w:ascii="Times New Roman" w:hAnsi="Times New Roman" w:cs="Times New Roman"/>
                <w:color w:val="auto"/>
                <w:highlight w:val="none"/>
              </w:rPr>
            </w:pPr>
            <w:r>
              <w:rPr>
                <w:rFonts w:hint="default" w:ascii="Times New Roman" w:hAnsi="Times New Roman" w:cs="Times New Roman"/>
                <w:b/>
                <w:bCs/>
                <w:color w:val="auto"/>
                <w:highlight w:val="none"/>
              </w:rPr>
              <w:t>五、水土流失影响和保护措施</w:t>
            </w:r>
          </w:p>
          <w:p w14:paraId="65F15D41">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工程施工过程中，土方的开挖、回填、建筑材料及建筑废弃物的暂时堆放等因素，都将对地表造成扰动，改变原有的地形地貌及土壤的物理结构，破坏地表植被，使地表裸露，在降雨径流作用下，导致项目区的水土流失加剧，破坏项目原有的生态环境。建设单位应采取以下措施减少水土流失的影响：</w:t>
            </w:r>
          </w:p>
          <w:p w14:paraId="04307442">
            <w:pPr>
              <w:keepNext w:val="0"/>
              <w:keepLines w:val="0"/>
              <w:numPr>
                <w:ilvl w:val="255"/>
                <w:numId w:val="0"/>
              </w:numPr>
              <w:suppressLineNumbers w:val="0"/>
              <w:spacing w:before="0" w:beforeAutospacing="0" w:after="0" w:afterAutospacing="0"/>
              <w:ind w:left="0" w:right="0" w:firstLine="480" w:firstLineChars="20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（1）布设护坡、截排水工程</w:t>
            </w:r>
          </w:p>
          <w:p w14:paraId="6CF49190">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建议建设单位进行场地平整时应落实相关的措施，布设相关的护坡，截排水措施，改善区内的水土流失状况。</w:t>
            </w:r>
          </w:p>
          <w:p w14:paraId="56369A0A">
            <w:pPr>
              <w:keepNext w:val="0"/>
              <w:keepLines w:val="0"/>
              <w:suppressLineNumbers w:val="0"/>
              <w:spacing w:before="0" w:beforeAutospacing="0" w:after="0" w:afterAutospacing="0"/>
              <w:ind w:left="0" w:right="0" w:firstLine="480" w:firstLineChars="20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（2）采用先进的施工方法</w:t>
            </w:r>
          </w:p>
          <w:p w14:paraId="412D1B62">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项目土方开挖和回填应以机械化施工为主，在减少扰动面积的同时，缩短施工期，尤其要注意开挖土的临时防护问题，并且要及时对不再扰动区进行植被恢复，减少水土流失量和水土流失危害。</w:t>
            </w:r>
          </w:p>
          <w:p w14:paraId="76471A07">
            <w:pPr>
              <w:keepNext w:val="0"/>
              <w:keepLines w:val="0"/>
              <w:suppressLineNumbers w:val="0"/>
              <w:spacing w:before="0" w:beforeAutospacing="0" w:after="0" w:afterAutospacing="0"/>
              <w:ind w:left="0" w:right="0" w:firstLine="480" w:firstLineChars="20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（3）严格控制扰动地表</w:t>
            </w:r>
          </w:p>
          <w:p w14:paraId="5F699357">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为避免施工期对项目区外的地表造成扰动，需要加强对施工队伍的管理，</w:t>
            </w:r>
            <w:r>
              <w:rPr>
                <w:rFonts w:hint="eastAsia" w:cs="Times New Roman"/>
                <w:color w:val="auto"/>
                <w:highlight w:val="none"/>
                <w:lang w:eastAsia="zh-CN"/>
              </w:rPr>
              <w:t>增强</w:t>
            </w:r>
            <w:r>
              <w:rPr>
                <w:rFonts w:hint="default" w:ascii="Times New Roman" w:hAnsi="Times New Roman" w:cs="Times New Roman"/>
                <w:color w:val="auto"/>
                <w:highlight w:val="none"/>
              </w:rPr>
              <w:t>水土保持意识，将水土流失防治责任和工程建设放在同等重要的位置，列入施工合同中，作为项目建设质量和文明施工的考核指标之一。</w:t>
            </w:r>
          </w:p>
          <w:p w14:paraId="1574E785">
            <w:pPr>
              <w:keepNext w:val="0"/>
              <w:keepLines w:val="0"/>
              <w:suppressLineNumbers w:val="0"/>
              <w:spacing w:before="0" w:beforeAutospacing="0" w:after="0" w:afterAutospacing="0"/>
              <w:ind w:left="0" w:right="0" w:firstLine="480" w:firstLineChars="20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（4）合理安排施工时序</w:t>
            </w:r>
          </w:p>
          <w:p w14:paraId="2DAC7950">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首先实施填方边坡的临时拦挡和排水工程，再实施场地平整，场平结束后对不再扰动区实施工程和植物措施防护；建构筑物基础开挖、回填，必须在围墙内进行，</w:t>
            </w:r>
          </w:p>
          <w:p w14:paraId="75A98049">
            <w:pPr>
              <w:keepNext w:val="0"/>
              <w:keepLines w:val="0"/>
              <w:suppressLineNumbers w:val="0"/>
              <w:spacing w:before="0" w:beforeAutospacing="0" w:after="0" w:afterAutospacing="0"/>
              <w:ind w:left="0" w:right="0"/>
              <w:rPr>
                <w:rFonts w:hint="default" w:ascii="Times New Roman" w:hAnsi="Times New Roman" w:cs="Times New Roman"/>
                <w:color w:val="auto"/>
                <w:highlight w:val="none"/>
              </w:rPr>
            </w:pPr>
            <w:r>
              <w:rPr>
                <w:rFonts w:hint="default" w:ascii="Times New Roman" w:hAnsi="Times New Roman" w:cs="Times New Roman"/>
                <w:color w:val="auto"/>
                <w:highlight w:val="none"/>
              </w:rPr>
              <w:t>并实施必要的临时覆盖，以减少水土流失量。</w:t>
            </w:r>
          </w:p>
          <w:p w14:paraId="7A327484">
            <w:pPr>
              <w:keepNext w:val="0"/>
              <w:keepLines w:val="0"/>
              <w:suppressLineNumbers w:val="0"/>
              <w:spacing w:before="0" w:beforeAutospacing="0" w:after="0" w:afterAutospacing="0"/>
              <w:ind w:left="0" w:right="0" w:firstLine="480" w:firstLineChars="20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（5）施工要求</w:t>
            </w:r>
          </w:p>
          <w:p w14:paraId="08C89BAF">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1）加强挖填施工过程中的临时拦挡措施，减少施工过程中的水土流失；</w:t>
            </w:r>
          </w:p>
          <w:p w14:paraId="6EEB45D9">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2）土方开挖时，应尽量避免在雨天施工，如果雨天施工，注意采取防护措施，防止水土流失发生；</w:t>
            </w:r>
          </w:p>
          <w:p w14:paraId="573C4ECE">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3）明确防治责任范围，限定作业面，在容许的范围内施工，减少水土流失范围。</w:t>
            </w:r>
          </w:p>
          <w:p w14:paraId="7BEAA850">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施工过程中还应注意水土保持应急措施，主要包括下雨的时候彩条布覆盖裸露地表，覆盖松散土体，做好排水措施，避免场地积水，造成地基松软，影响稳定、安全。同时应避免流沙、流土流入雨水管网。</w:t>
            </w:r>
          </w:p>
          <w:p w14:paraId="2DB49A74">
            <w:pPr>
              <w:keepNext w:val="0"/>
              <w:keepLines w:val="0"/>
              <w:numPr>
                <w:ilvl w:val="0"/>
                <w:numId w:val="0"/>
              </w:numPr>
              <w:suppressLineNumbers w:val="0"/>
              <w:spacing w:before="0" w:beforeAutospacing="0" w:after="0" w:afterAutospacing="0"/>
              <w:ind w:left="0" w:right="0" w:firstLine="480" w:firstLineChars="20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eastAsia="zh-CN"/>
              </w:rPr>
              <w:t>（</w:t>
            </w:r>
            <w:r>
              <w:rPr>
                <w:rFonts w:hint="default" w:ascii="Times New Roman" w:hAnsi="Times New Roman" w:cs="Times New Roman"/>
                <w:b/>
                <w:bCs/>
                <w:color w:val="auto"/>
                <w:highlight w:val="none"/>
                <w:lang w:val="en-US" w:eastAsia="zh-CN"/>
              </w:rPr>
              <w:t>6</w:t>
            </w:r>
            <w:r>
              <w:rPr>
                <w:rFonts w:hint="default" w:ascii="Times New Roman" w:hAnsi="Times New Roman" w:cs="Times New Roman"/>
                <w:b/>
                <w:bCs/>
                <w:color w:val="auto"/>
                <w:highlight w:val="none"/>
                <w:lang w:eastAsia="zh-CN"/>
              </w:rPr>
              <w:t>）</w:t>
            </w:r>
            <w:r>
              <w:rPr>
                <w:rFonts w:hint="default" w:ascii="Times New Roman" w:hAnsi="Times New Roman" w:cs="Times New Roman"/>
                <w:b/>
                <w:bCs/>
                <w:color w:val="auto"/>
                <w:highlight w:val="none"/>
              </w:rPr>
              <w:t>水土保持防治措施</w:t>
            </w:r>
          </w:p>
          <w:p w14:paraId="554E8274">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1）植物措施</w:t>
            </w:r>
          </w:p>
          <w:p w14:paraId="140432E2">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植物措施具有工程措施没有的生态和景观效果，能够十分有效</w:t>
            </w:r>
            <w:r>
              <w:rPr>
                <w:rFonts w:hint="eastAsia" w:cs="Times New Roman"/>
                <w:color w:val="auto"/>
                <w:highlight w:val="none"/>
                <w:lang w:eastAsia="zh-CN"/>
              </w:rPr>
              <w:t>地</w:t>
            </w:r>
            <w:r>
              <w:rPr>
                <w:rFonts w:hint="default" w:ascii="Times New Roman" w:hAnsi="Times New Roman" w:cs="Times New Roman"/>
                <w:color w:val="auto"/>
                <w:highlight w:val="none"/>
              </w:rPr>
              <w:t>防治水土流失。而且，项目区大部分地区土壤和降雨条件能够满足造林种草需求。因此，植物措施是必要而且可行的。本项目主要施工工区的植被恢复，选择生长迅速、耐瘠薄的草种。</w:t>
            </w:r>
          </w:p>
          <w:p w14:paraId="0F4469D7">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2）主体工程区</w:t>
            </w:r>
          </w:p>
          <w:p w14:paraId="6FABF239">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工程施工前主体工程施工后期设置实行生态恢复，使临时占用的绿地恢复原有状态，在一定程度上有效防治由于土方开挖破坏的地表植被以及水土流失。</w:t>
            </w:r>
          </w:p>
          <w:p w14:paraId="74F90D84">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施工过程中还应注意水土保持应急措施，主要包括下雨的时候彩条布覆盖裸露地表，覆盖松散土体，做好排水措施，避免场地积水，造成地基松软，影响稳定、安全。同时应避免流沙、流土流入项目河涌。施工单位应派专人负责沉砂池排水沟的清淤工作，平时注意定期清淤，在下雨前和下雨过程中加大清淤力度，以免造成雨水管网堵塞。若施工过程中及时采取水保措施，如在现场低洼处构筑足够容量的临时沉淀池截留</w:t>
            </w:r>
            <w:r>
              <w:rPr>
                <w:rFonts w:hint="default" w:ascii="Times New Roman" w:hAnsi="Times New Roman" w:cs="Times New Roman"/>
                <w:color w:val="auto"/>
                <w:highlight w:val="none"/>
                <w:lang w:eastAsia="zh-CN"/>
              </w:rPr>
              <w:t>泥沙</w:t>
            </w:r>
            <w:r>
              <w:rPr>
                <w:rFonts w:hint="default" w:ascii="Times New Roman" w:hAnsi="Times New Roman" w:cs="Times New Roman"/>
                <w:color w:val="auto"/>
                <w:highlight w:val="none"/>
              </w:rPr>
              <w:t>、优化土石方的调配、合理安排施工进度、土方工程和排水工程同步进行等措施后，建设项目所在地施工期的水土流失量可有效降低。</w:t>
            </w:r>
          </w:p>
          <w:p w14:paraId="708ECC0A">
            <w:pPr>
              <w:pStyle w:val="12"/>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综上所述，施工期间的环境污染经采取相关措施后，不会对周围环境产生明显不良影响。随着施工期的结束，产生的环境影响也</w:t>
            </w:r>
            <w:r>
              <w:rPr>
                <w:rFonts w:hint="eastAsia" w:cs="Times New Roman"/>
                <w:color w:val="auto"/>
                <w:highlight w:val="none"/>
                <w:lang w:eastAsia="zh-CN"/>
              </w:rPr>
              <w:t>随之</w:t>
            </w:r>
            <w:r>
              <w:rPr>
                <w:rFonts w:hint="default" w:ascii="Times New Roman" w:hAnsi="Times New Roman" w:cs="Times New Roman"/>
                <w:color w:val="auto"/>
                <w:highlight w:val="none"/>
              </w:rPr>
              <w:t>消失</w:t>
            </w:r>
            <w:r>
              <w:rPr>
                <w:rFonts w:hint="default" w:ascii="Times New Roman" w:hAnsi="Times New Roman" w:cs="Times New Roman"/>
                <w:color w:val="auto"/>
                <w:highlight w:val="none"/>
                <w:lang w:eastAsia="zh-CN"/>
              </w:rPr>
              <w:t>。</w:t>
            </w:r>
          </w:p>
        </w:tc>
      </w:tr>
      <w:tr w14:paraId="29EFD5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92" w:hRule="atLeast"/>
        </w:trPr>
        <w:tc>
          <w:tcPr>
            <w:tcW w:w="224" w:type="pct"/>
            <w:vAlign w:val="center"/>
          </w:tcPr>
          <w:p w14:paraId="1556F329">
            <w:pPr>
              <w:keepNext/>
              <w:keepLines w:val="0"/>
              <w:pageBreakBefore w:val="0"/>
              <w:widowControl/>
              <w:numPr>
                <w:ilvl w:val="1"/>
                <w:numId w:val="0"/>
              </w:numPr>
              <w:suppressLineNumbers w:val="0"/>
              <w:tabs>
                <w:tab w:val="left" w:pos="420"/>
              </w:tabs>
              <w:kinsoku/>
              <w:wordWrap/>
              <w:overflowPunct/>
              <w:topLinePunct w:val="0"/>
              <w:autoSpaceDE/>
              <w:autoSpaceDN/>
              <w:bidi w:val="0"/>
              <w:adjustRightInd/>
              <w:snapToGrid/>
              <w:spacing w:before="0" w:beforeAutospacing="0" w:after="0" w:afterAutospacing="0"/>
              <w:ind w:left="0" w:right="0"/>
              <w:textAlignment w:val="auto"/>
              <w:outlineLvl w:val="9"/>
              <w:rPr>
                <w:rFonts w:hint="default" w:ascii="Times New Roman" w:hAnsi="Times New Roman" w:cs="Times New Roman"/>
                <w:color w:val="auto"/>
                <w:kern w:val="2"/>
                <w:highlight w:val="none"/>
              </w:rPr>
            </w:pPr>
            <w:bookmarkStart w:id="132" w:name="_Toc12228"/>
            <w:bookmarkStart w:id="133" w:name="_Toc8375"/>
            <w:bookmarkStart w:id="134" w:name="_Toc665"/>
            <w:bookmarkStart w:id="135" w:name="_Toc27971"/>
            <w:bookmarkStart w:id="136" w:name="_Toc297"/>
            <w:bookmarkStart w:id="137" w:name="_Toc14651"/>
            <w:bookmarkStart w:id="138" w:name="_Toc25969"/>
            <w:bookmarkStart w:id="139" w:name="_Toc31655"/>
            <w:bookmarkStart w:id="140" w:name="_Toc15885"/>
            <w:bookmarkStart w:id="141" w:name="_Toc15252"/>
            <w:bookmarkStart w:id="142" w:name="_Toc29600"/>
            <w:r>
              <w:rPr>
                <w:rFonts w:hint="default" w:ascii="Times New Roman" w:hAnsi="Times New Roman" w:cs="Times New Roman"/>
                <w:b/>
                <w:bCs/>
                <w:color w:val="auto"/>
                <w:kern w:val="2"/>
                <w:highlight w:val="none"/>
              </w:rPr>
              <w:t>运营期环境影响和保护措施</w:t>
            </w:r>
            <w:bookmarkEnd w:id="132"/>
            <w:bookmarkEnd w:id="133"/>
            <w:bookmarkEnd w:id="134"/>
            <w:bookmarkEnd w:id="135"/>
            <w:bookmarkEnd w:id="136"/>
            <w:bookmarkEnd w:id="137"/>
            <w:bookmarkEnd w:id="138"/>
            <w:bookmarkEnd w:id="139"/>
            <w:bookmarkEnd w:id="140"/>
            <w:bookmarkEnd w:id="141"/>
            <w:bookmarkEnd w:id="142"/>
          </w:p>
        </w:tc>
        <w:tc>
          <w:tcPr>
            <w:tcW w:w="4775" w:type="pct"/>
            <w:vAlign w:val="center"/>
          </w:tcPr>
          <w:p w14:paraId="6C58AA7E">
            <w:pPr>
              <w:pStyle w:val="5"/>
              <w:numPr>
                <w:ilvl w:val="3"/>
                <w:numId w:val="0"/>
              </w:numPr>
              <w:suppressLineNumbers w:val="0"/>
              <w:spacing w:before="0" w:beforeAutospacing="0" w:after="0" w:afterAutospacing="0"/>
              <w:ind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一、废气污染源</w:t>
            </w:r>
          </w:p>
          <w:p w14:paraId="73FD8335">
            <w:pPr>
              <w:pStyle w:val="5"/>
              <w:numPr>
                <w:ilvl w:val="3"/>
                <w:numId w:val="0"/>
              </w:numPr>
              <w:suppressLineNumbers w:val="0"/>
              <w:spacing w:before="0" w:beforeAutospacing="0" w:after="0" w:afterAutospacing="0"/>
              <w:ind w:right="0" w:firstLine="480" w:firstLineChars="200"/>
              <w:rPr>
                <w:rFonts w:hint="default" w:ascii="Times New Roman" w:hAnsi="Times New Roman" w:cs="Times New Roman"/>
                <w:color w:val="auto"/>
                <w:highlight w:val="none"/>
              </w:rPr>
            </w:pPr>
            <w:r>
              <w:rPr>
                <w:rFonts w:hint="default" w:ascii="Times New Roman" w:hAnsi="Times New Roman" w:cs="Times New Roman"/>
                <w:b w:val="0"/>
                <w:bCs w:val="0"/>
                <w:color w:val="auto"/>
                <w:szCs w:val="24"/>
                <w:highlight w:val="none"/>
              </w:rPr>
              <w:t>本项目营运期产生的废气主要为</w:t>
            </w:r>
            <w:r>
              <w:rPr>
                <w:rFonts w:hint="eastAsia" w:cs="Times New Roman"/>
                <w:b w:val="0"/>
                <w:bCs w:val="0"/>
                <w:color w:val="auto"/>
                <w:szCs w:val="24"/>
                <w:highlight w:val="none"/>
                <w:lang w:val="en-US" w:eastAsia="zh-CN"/>
              </w:rPr>
              <w:t>废塑料破碎</w:t>
            </w:r>
            <w:r>
              <w:rPr>
                <w:rFonts w:hint="default" w:ascii="Times New Roman" w:hAnsi="Times New Roman" w:cs="Times New Roman"/>
                <w:b w:val="0"/>
                <w:bCs w:val="0"/>
                <w:color w:val="auto"/>
                <w:szCs w:val="24"/>
                <w:highlight w:val="none"/>
              </w:rPr>
              <w:t>粉尘</w:t>
            </w:r>
            <w:r>
              <w:rPr>
                <w:rFonts w:hint="eastAsia" w:cs="Times New Roman"/>
                <w:b w:val="0"/>
                <w:bCs w:val="0"/>
                <w:color w:val="auto"/>
                <w:szCs w:val="24"/>
                <w:highlight w:val="none"/>
                <w:lang w:eastAsia="zh-CN"/>
              </w:rPr>
              <w:t>、</w:t>
            </w:r>
            <w:r>
              <w:rPr>
                <w:rFonts w:hint="default" w:ascii="Times New Roman" w:hAnsi="Times New Roman" w:cs="Times New Roman"/>
                <w:b w:val="0"/>
                <w:bCs w:val="0"/>
                <w:color w:val="auto"/>
                <w:szCs w:val="24"/>
                <w:highlight w:val="none"/>
                <w:lang w:val="en-US" w:eastAsia="zh-CN"/>
              </w:rPr>
              <w:t>废水处理设施恶臭</w:t>
            </w:r>
            <w:r>
              <w:rPr>
                <w:rFonts w:hint="default" w:ascii="Times New Roman" w:hAnsi="Times New Roman" w:cs="Times New Roman"/>
                <w:b w:val="0"/>
                <w:bCs w:val="0"/>
                <w:color w:val="auto"/>
                <w:szCs w:val="32"/>
                <w:highlight w:val="none"/>
              </w:rPr>
              <w:t>。</w:t>
            </w:r>
          </w:p>
          <w:p w14:paraId="48DBD1C7">
            <w:pPr>
              <w:keepNext w:val="0"/>
              <w:keepLines w:val="0"/>
              <w:suppressLineNumbers w:val="0"/>
              <w:spacing w:before="0" w:beforeAutospacing="0" w:after="0" w:afterAutospacing="0"/>
              <w:ind w:left="480" w:leftChars="200" w:right="0"/>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lang w:val="en-US" w:eastAsia="zh-CN"/>
              </w:rPr>
              <w:t>1、废气产排源强计算</w:t>
            </w:r>
          </w:p>
          <w:p w14:paraId="74DD8D12">
            <w:pPr>
              <w:keepNext w:val="0"/>
              <w:keepLines w:val="0"/>
              <w:numPr>
                <w:ilvl w:val="0"/>
                <w:numId w:val="0"/>
              </w:numPr>
              <w:suppressLineNumbers w:val="0"/>
              <w:tabs>
                <w:tab w:val="left" w:pos="0"/>
              </w:tabs>
              <w:spacing w:before="0" w:beforeAutospacing="0" w:after="0" w:afterAutospacing="0"/>
              <w:ind w:left="40" w:leftChars="0" w:right="0" w:firstLine="480" w:firstLineChars="200"/>
              <w:jc w:val="both"/>
              <w:rPr>
                <w:rFonts w:hint="eastAsia" w:cs="Times New Roman"/>
                <w:b w:val="0"/>
                <w:bCs w:val="0"/>
                <w:color w:val="auto"/>
                <w:sz w:val="24"/>
                <w:szCs w:val="24"/>
                <w:highlight w:val="none"/>
                <w:lang w:val="en-US" w:eastAsia="zh-CN"/>
              </w:rPr>
            </w:pPr>
            <w:r>
              <w:rPr>
                <w:rFonts w:hint="eastAsia" w:cs="Times New Roman"/>
                <w:b w:val="0"/>
                <w:bCs w:val="0"/>
                <w:color w:val="auto"/>
                <w:sz w:val="24"/>
                <w:szCs w:val="24"/>
                <w:highlight w:val="none"/>
                <w:lang w:val="en-US" w:eastAsia="zh-CN"/>
              </w:rPr>
              <w:t>（1）废塑料破碎粉尘</w:t>
            </w:r>
          </w:p>
          <w:p w14:paraId="7A8BDCBA">
            <w:pPr>
              <w:keepNext w:val="0"/>
              <w:keepLines w:val="0"/>
              <w:suppressLineNumbers w:val="0"/>
              <w:adjustRightInd w:val="0"/>
              <w:spacing w:before="0" w:beforeAutospacing="0" w:after="0" w:afterAutospacing="0" w:line="360" w:lineRule="auto"/>
              <w:ind w:left="0" w:right="0" w:firstLine="480" w:firstLineChars="200"/>
              <w:contextualSpacing/>
              <w:jc w:val="left"/>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本项目回收的废塑料</w:t>
            </w:r>
            <w:r>
              <w:rPr>
                <w:rFonts w:hint="default" w:ascii="Times New Roman" w:hAnsi="Times New Roman" w:eastAsia="宋体" w:cs="Times New Roman"/>
                <w:color w:val="auto"/>
                <w:sz w:val="24"/>
                <w:szCs w:val="24"/>
                <w:highlight w:val="none"/>
                <w:lang w:val="en-US" w:eastAsia="zh-CN"/>
              </w:rPr>
              <w:t>需要</w:t>
            </w:r>
            <w:r>
              <w:rPr>
                <w:rFonts w:hint="default" w:ascii="Times New Roman" w:hAnsi="Times New Roman" w:eastAsia="宋体" w:cs="Times New Roman"/>
                <w:color w:val="auto"/>
                <w:sz w:val="24"/>
                <w:szCs w:val="24"/>
                <w:highlight w:val="none"/>
                <w:lang w:eastAsia="zh-CN"/>
              </w:rPr>
              <w:t>进行</w:t>
            </w:r>
            <w:r>
              <w:rPr>
                <w:rFonts w:hint="default" w:ascii="Times New Roman" w:hAnsi="Times New Roman" w:eastAsia="宋体" w:cs="Times New Roman"/>
                <w:color w:val="auto"/>
                <w:sz w:val="24"/>
                <w:szCs w:val="24"/>
                <w:highlight w:val="none"/>
                <w:lang w:val="en-US" w:eastAsia="zh-CN"/>
              </w:rPr>
              <w:t>干法</w:t>
            </w:r>
            <w:r>
              <w:rPr>
                <w:rFonts w:hint="default" w:ascii="Times New Roman" w:hAnsi="Times New Roman" w:eastAsia="宋体" w:cs="Times New Roman"/>
                <w:color w:val="auto"/>
                <w:sz w:val="24"/>
                <w:szCs w:val="24"/>
                <w:highlight w:val="none"/>
                <w:lang w:eastAsia="zh-CN"/>
              </w:rPr>
              <w:t>破碎，此段工序会产生破碎粉尘废气，破碎过程产生的粉尘量参照《第二次全国污染源普查产排污核算系数手册》中的"4220 非金属废料和碎屑加工处理行业系数表-4220 非金属废料和碎屑加工处理行业系数表"进行计算。根据</w:t>
            </w:r>
            <w:r>
              <w:rPr>
                <w:rFonts w:hint="default" w:ascii="Times New Roman" w:hAnsi="Times New Roman" w:eastAsia="宋体" w:cs="Times New Roman"/>
                <w:color w:val="auto"/>
                <w:sz w:val="24"/>
                <w:szCs w:val="24"/>
                <w:highlight w:val="none"/>
                <w:lang w:val="en-US" w:eastAsia="zh-CN"/>
              </w:rPr>
              <w:t>建设单位提供资料，废塑料PP、ABS、PS需</w:t>
            </w:r>
            <w:r>
              <w:rPr>
                <w:rFonts w:hint="eastAsia" w:cs="Times New Roman"/>
                <w:color w:val="auto"/>
                <w:sz w:val="24"/>
                <w:szCs w:val="24"/>
                <w:highlight w:val="none"/>
                <w:lang w:val="en-US" w:eastAsia="zh-CN"/>
              </w:rPr>
              <w:t>干法</w:t>
            </w:r>
            <w:r>
              <w:rPr>
                <w:rFonts w:hint="default" w:ascii="Times New Roman" w:hAnsi="Times New Roman" w:eastAsia="宋体" w:cs="Times New Roman"/>
                <w:color w:val="auto"/>
                <w:sz w:val="24"/>
                <w:szCs w:val="24"/>
                <w:highlight w:val="none"/>
                <w:lang w:val="en-US" w:eastAsia="zh-CN"/>
              </w:rPr>
              <w:t>破碎的料占比约为1</w:t>
            </w:r>
            <w:r>
              <w:rPr>
                <w:rFonts w:hint="eastAsia" w:cs="Times New Roman"/>
                <w:color w:val="auto"/>
                <w:sz w:val="24"/>
                <w:szCs w:val="24"/>
                <w:highlight w:val="none"/>
                <w:lang w:val="en-US" w:eastAsia="zh-CN"/>
              </w:rPr>
              <w:t>0</w:t>
            </w:r>
            <w:r>
              <w:rPr>
                <w:rFonts w:hint="default"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，即7125吨/a</w:t>
            </w:r>
            <w:r>
              <w:rPr>
                <w:rFonts w:hint="default" w:ascii="Times New Roman" w:hAnsi="Times New Roman" w:eastAsia="宋体" w:cs="Times New Roman"/>
                <w:color w:val="auto"/>
                <w:sz w:val="24"/>
                <w:szCs w:val="24"/>
                <w:highlight w:val="none"/>
                <w:lang w:val="en-US" w:eastAsia="zh-CN"/>
              </w:rPr>
              <w:t>。故</w:t>
            </w:r>
            <w:r>
              <w:rPr>
                <w:rFonts w:hint="default" w:ascii="Times New Roman" w:hAnsi="Times New Roman" w:eastAsia="宋体" w:cs="Times New Roman"/>
                <w:color w:val="auto"/>
                <w:sz w:val="24"/>
                <w:szCs w:val="24"/>
                <w:highlight w:val="none"/>
                <w:lang w:eastAsia="zh-CN"/>
              </w:rPr>
              <w:t>破碎生产线的破碎粉尘产污系数详见表4-</w:t>
            </w:r>
            <w:r>
              <w:rPr>
                <w:rFonts w:hint="eastAsia"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eastAsia="zh-CN"/>
              </w:rPr>
              <w:t>。</w:t>
            </w:r>
          </w:p>
          <w:p w14:paraId="05583E84">
            <w:pPr>
              <w:keepNext w:val="0"/>
              <w:keepLines w:val="0"/>
              <w:suppressLineNumbers w:val="0"/>
              <w:adjustRightInd w:val="0"/>
              <w:spacing w:before="0" w:beforeAutospacing="0" w:after="0" w:afterAutospacing="0" w:line="360" w:lineRule="auto"/>
              <w:ind w:left="0" w:right="0" w:firstLine="480" w:firstLineChars="200"/>
              <w:contextualSpacing/>
              <w:jc w:val="left"/>
              <w:rPr>
                <w:rFonts w:hint="eastAsia"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项目配备1</w:t>
            </w:r>
            <w:r>
              <w:rPr>
                <w:rFonts w:hint="default" w:ascii="Times New Roman" w:hAnsi="Times New Roman" w:eastAsia="宋体" w:cs="Times New Roman"/>
                <w:color w:val="auto"/>
                <w:sz w:val="24"/>
                <w:szCs w:val="24"/>
                <w:highlight w:val="none"/>
                <w:lang w:val="en-US" w:eastAsia="zh-CN"/>
              </w:rPr>
              <w:t>台</w:t>
            </w:r>
            <w:r>
              <w:rPr>
                <w:rFonts w:hint="eastAsia" w:cs="Times New Roman"/>
                <w:color w:val="auto"/>
                <w:sz w:val="24"/>
                <w:szCs w:val="24"/>
                <w:highlight w:val="none"/>
                <w:lang w:val="en-US" w:eastAsia="zh-CN"/>
              </w:rPr>
              <w:t>干式</w:t>
            </w:r>
            <w:r>
              <w:rPr>
                <w:rFonts w:hint="default" w:ascii="Times New Roman" w:hAnsi="Times New Roman" w:eastAsia="宋体" w:cs="Times New Roman"/>
                <w:color w:val="auto"/>
                <w:sz w:val="24"/>
                <w:szCs w:val="24"/>
                <w:highlight w:val="none"/>
                <w:lang w:val="en-US" w:eastAsia="zh-CN"/>
              </w:rPr>
              <w:t>破碎机，</w:t>
            </w:r>
            <w:r>
              <w:rPr>
                <w:rFonts w:hint="eastAsia" w:ascii="Times New Roman" w:hAnsi="Times New Roman" w:eastAsia="宋体" w:cs="Times New Roman"/>
                <w:color w:val="auto"/>
                <w:sz w:val="24"/>
                <w:szCs w:val="24"/>
                <w:highlight w:val="none"/>
                <w:lang w:val="en-US" w:eastAsia="zh-CN"/>
              </w:rPr>
              <w:t>干法破碎工序在破碎机上方设置负压集气罩，</w:t>
            </w:r>
            <w:r>
              <w:rPr>
                <w:rFonts w:hint="default" w:ascii="Times New Roman" w:hAnsi="Times New Roman" w:eastAsia="宋体" w:cs="Times New Roman"/>
                <w:color w:val="auto"/>
                <w:sz w:val="24"/>
                <w:szCs w:val="24"/>
                <w:highlight w:val="none"/>
                <w:lang w:val="en-US" w:eastAsia="zh-CN"/>
              </w:rPr>
              <w:t>集气罩依据《排风罩的分类及技术条件》（GB/T16758）相关要求进行设计，采用</w:t>
            </w:r>
            <w:r>
              <w:rPr>
                <w:rFonts w:hint="eastAsia" w:ascii="Times New Roman" w:hAnsi="Times New Roman" w:eastAsia="宋体" w:cs="Times New Roman"/>
                <w:color w:val="auto"/>
                <w:sz w:val="24"/>
                <w:szCs w:val="24"/>
                <w:highlight w:val="none"/>
                <w:lang w:val="en-US" w:eastAsia="zh-CN"/>
              </w:rPr>
              <w:t>负压集气罩</w:t>
            </w:r>
            <w:r>
              <w:rPr>
                <w:rFonts w:hint="default" w:ascii="Times New Roman" w:hAnsi="Times New Roman" w:eastAsia="宋体" w:cs="Times New Roman"/>
                <w:color w:val="auto"/>
                <w:sz w:val="24"/>
                <w:szCs w:val="24"/>
                <w:highlight w:val="none"/>
                <w:lang w:val="en-US" w:eastAsia="zh-CN"/>
              </w:rPr>
              <w:t>配备合理吸风量风机，保证集气设施吸风口的负压大小与预期的捕集范围相匹配，不留吸风盲点，保证集气设施内各处负压均匀（集气罩最小风速控制≥1.0m/s）</w:t>
            </w:r>
            <w:r>
              <w:rPr>
                <w:rFonts w:hint="eastAsia" w:ascii="Times New Roman" w:hAnsi="Times New Roman" w:eastAsia="宋体" w:cs="Times New Roman"/>
                <w:color w:val="auto"/>
                <w:sz w:val="24"/>
                <w:szCs w:val="24"/>
                <w:highlight w:val="none"/>
                <w:lang w:val="en-US" w:eastAsia="zh-CN"/>
              </w:rPr>
              <w:t>。</w:t>
            </w:r>
          </w:p>
          <w:p w14:paraId="253872BD">
            <w:pPr>
              <w:keepNext w:val="0"/>
              <w:keepLines w:val="0"/>
              <w:suppressLineNumbers w:val="0"/>
              <w:adjustRightInd w:val="0"/>
              <w:spacing w:before="0" w:beforeAutospacing="0" w:after="0" w:afterAutospacing="0" w:line="360" w:lineRule="auto"/>
              <w:ind w:left="0" w:right="0" w:firstLine="480" w:firstLineChars="200"/>
              <w:contextualSpacing/>
              <w:jc w:val="left"/>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风量设计采用控制速度法，依据《简明通风设计手册》（第二版）及《工业通风》（孙一坚主编）中关于外部吸气罩的设计方法。根据该方法，集气罩排风量按公式：</w:t>
            </w:r>
          </w:p>
          <w:p w14:paraId="65FC8A5A">
            <w:pPr>
              <w:keepNext w:val="0"/>
              <w:keepLines w:val="0"/>
              <w:suppressLineNumbers w:val="0"/>
              <w:adjustRightInd w:val="0"/>
              <w:spacing w:before="0" w:beforeAutospacing="0" w:after="0" w:afterAutospacing="0" w:line="360" w:lineRule="auto"/>
              <w:ind w:left="0" w:right="0" w:firstLine="480" w:firstLineChars="200"/>
              <w:contextualSpacing/>
              <w:jc w:val="left"/>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Q</w:t>
            </w:r>
            <w:r>
              <w:rPr>
                <w:rFonts w:hint="default" w:ascii="Times New Roman" w:hAnsi="Times New Roman" w:eastAsia="宋体" w:cs="Times New Roman"/>
                <w:color w:val="auto"/>
                <w:sz w:val="24"/>
                <w:szCs w:val="24"/>
                <w:highlight w:val="none"/>
                <w:lang w:val="en-US" w:eastAsia="zh-CN"/>
              </w:rPr>
              <w:t>=Vx⋅F⋅3600(m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/h)</w:t>
            </w:r>
          </w:p>
          <w:p w14:paraId="4B377C09">
            <w:pPr>
              <w:keepNext w:val="0"/>
              <w:keepLines w:val="0"/>
              <w:suppressLineNumbers w:val="0"/>
              <w:adjustRightInd w:val="0"/>
              <w:spacing w:before="0" w:beforeAutospacing="0" w:after="0" w:afterAutospacing="0" w:line="360" w:lineRule="auto"/>
              <w:ind w:left="0" w:right="0" w:firstLine="480" w:firstLineChars="200"/>
              <w:contextualSpacing/>
              <w:jc w:val="left"/>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计算，其中有效吸气面积</w:t>
            </w:r>
            <w:r>
              <w:rPr>
                <w:rFonts w:hint="default" w:ascii="Times New Roman" w:hAnsi="Times New Roman" w:eastAsia="宋体" w:cs="Times New Roman"/>
                <w:color w:val="auto"/>
                <w:sz w:val="24"/>
                <w:szCs w:val="24"/>
                <w:highlight w:val="none"/>
                <w:lang w:val="en-US" w:eastAsia="zh-CN"/>
              </w:rPr>
              <w:t>F=A+10X</w:t>
            </w:r>
            <w:r>
              <w:rPr>
                <w:rFonts w:hint="default" w:ascii="Times New Roman" w:hAnsi="Times New Roman" w:eastAsia="宋体" w:cs="Times New Roman"/>
                <w:color w:val="auto"/>
                <w:sz w:val="24"/>
                <w:szCs w:val="24"/>
                <w:highlight w:val="none"/>
                <w:vertAlign w:val="superscript"/>
                <w:lang w:val="en-US" w:eastAsia="zh-CN"/>
              </w:rPr>
              <w:t>2</w:t>
            </w:r>
            <w:r>
              <w:rPr>
                <w:rFonts w:hint="eastAsia" w:ascii="Times New Roman" w:hAnsi="Times New Roman" w:eastAsia="宋体" w:cs="Times New Roman"/>
                <w:color w:val="auto"/>
                <w:sz w:val="24"/>
                <w:szCs w:val="24"/>
                <w:highlight w:val="none"/>
                <w:vertAlign w:val="superscript"/>
                <w:lang w:val="en-US" w:eastAsia="zh-CN"/>
              </w:rPr>
              <w:t xml:space="preserve"> </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A</w:t>
            </w:r>
            <w:r>
              <w:rPr>
                <w:rFonts w:hint="eastAsia" w:ascii="Times New Roman" w:hAnsi="Times New Roman" w:eastAsia="宋体" w:cs="Times New Roman"/>
                <w:color w:val="auto"/>
                <w:sz w:val="24"/>
                <w:szCs w:val="24"/>
                <w:highlight w:val="none"/>
                <w:lang w:val="en-US" w:eastAsia="zh-CN"/>
              </w:rPr>
              <w:t>为扬尘源开口面积，</w:t>
            </w:r>
            <w:r>
              <w:rPr>
                <w:rFonts w:hint="default" w:ascii="Times New Roman" w:hAnsi="Times New Roman" w:eastAsia="宋体" w:cs="Times New Roman"/>
                <w:color w:val="auto"/>
                <w:sz w:val="24"/>
                <w:szCs w:val="24"/>
                <w:highlight w:val="none"/>
                <w:lang w:val="en-US" w:eastAsia="zh-CN"/>
              </w:rPr>
              <w:t>X</w:t>
            </w:r>
            <w:r>
              <w:rPr>
                <w:rFonts w:hint="eastAsia" w:ascii="Times New Roman" w:hAnsi="Times New Roman" w:eastAsia="宋体" w:cs="Times New Roman"/>
                <w:color w:val="auto"/>
                <w:sz w:val="24"/>
                <w:szCs w:val="24"/>
                <w:highlight w:val="none"/>
                <w:lang w:val="en-US" w:eastAsia="zh-CN"/>
              </w:rPr>
              <w:t>为罩口至扬尘点距离）。本项目破碎机进料口尺寸为1.0 m × 0.8 m（即</w:t>
            </w:r>
            <w:r>
              <w:rPr>
                <w:rFonts w:hint="default" w:ascii="Times New Roman" w:hAnsi="Times New Roman" w:eastAsia="宋体" w:cs="Times New Roman"/>
                <w:color w:val="auto"/>
                <w:sz w:val="24"/>
                <w:szCs w:val="24"/>
                <w:highlight w:val="none"/>
                <w:lang w:val="en-US" w:eastAsia="zh-CN"/>
              </w:rPr>
              <w:t>A=0.8 m</w:t>
            </w:r>
            <w:r>
              <w:rPr>
                <w:rFonts w:hint="default" w:ascii="Times New Roman" w:hAnsi="Times New Roman" w:eastAsia="宋体" w:cs="Times New Roman"/>
                <w:color w:val="auto"/>
                <w:sz w:val="24"/>
                <w:szCs w:val="24"/>
                <w:highlight w:val="none"/>
                <w:vertAlign w:val="superscript"/>
                <w:lang w:val="en-US" w:eastAsia="zh-CN"/>
              </w:rPr>
              <w:t>2</w:t>
            </w:r>
            <w:r>
              <w:rPr>
                <w:rFonts w:hint="eastAsia" w:ascii="Times New Roman" w:hAnsi="Times New Roman" w:eastAsia="宋体" w:cs="Times New Roman"/>
                <w:color w:val="auto"/>
                <w:sz w:val="24"/>
                <w:szCs w:val="24"/>
                <w:highlight w:val="none"/>
                <w:lang w:val="en-US" w:eastAsia="zh-CN"/>
              </w:rPr>
              <w:t>），集气罩控制距离取</w:t>
            </w:r>
            <w:r>
              <w:rPr>
                <w:rFonts w:hint="default" w:ascii="Times New Roman" w:hAnsi="Times New Roman" w:eastAsia="宋体" w:cs="Times New Roman"/>
                <w:color w:val="auto"/>
                <w:sz w:val="24"/>
                <w:szCs w:val="24"/>
                <w:highlight w:val="none"/>
                <w:lang w:val="en-US" w:eastAsia="zh-CN"/>
              </w:rPr>
              <w:t>X=0.4 m</w:t>
            </w:r>
            <w:r>
              <w:rPr>
                <w:rFonts w:hint="eastAsia" w:ascii="Times New Roman" w:hAnsi="Times New Roman" w:eastAsia="宋体" w:cs="Times New Roman"/>
                <w:color w:val="auto"/>
                <w:sz w:val="24"/>
                <w:szCs w:val="24"/>
                <w:highlight w:val="none"/>
                <w:lang w:val="en-US" w:eastAsia="zh-CN"/>
              </w:rPr>
              <w:t>，控制风速参考手册中“中等扬尘强度”推荐值，取</w:t>
            </w:r>
            <w:r>
              <w:rPr>
                <w:rFonts w:hint="default" w:ascii="Times New Roman" w:hAnsi="Times New Roman" w:eastAsia="宋体" w:cs="Times New Roman"/>
                <w:color w:val="auto"/>
                <w:sz w:val="24"/>
                <w:szCs w:val="24"/>
                <w:highlight w:val="none"/>
                <w:lang w:val="en-US" w:eastAsia="zh-CN"/>
              </w:rPr>
              <w:t>Vx=0.8 m/s</w:t>
            </w:r>
            <w:r>
              <w:rPr>
                <w:rFonts w:hint="eastAsia" w:ascii="Times New Roman" w:hAnsi="Times New Roman" w:eastAsia="宋体" w:cs="Times New Roman"/>
                <w:color w:val="auto"/>
                <w:sz w:val="24"/>
                <w:szCs w:val="24"/>
                <w:highlight w:val="none"/>
                <w:lang w:val="en-US" w:eastAsia="zh-CN"/>
              </w:rPr>
              <w:t>（范围 0.6～1.0 m/s）。代入得：</w:t>
            </w:r>
          </w:p>
          <w:p w14:paraId="5226626B">
            <w:pPr>
              <w:keepNext w:val="0"/>
              <w:keepLines w:val="0"/>
              <w:suppressLineNumbers w:val="0"/>
              <w:adjustRightInd w:val="0"/>
              <w:spacing w:before="0" w:beforeAutospacing="0" w:after="0" w:afterAutospacing="0" w:line="360" w:lineRule="auto"/>
              <w:ind w:left="0" w:right="0" w:firstLine="480" w:firstLineChars="200"/>
              <w:contextualSpacing/>
              <w:jc w:val="left"/>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F=0.8+10×(0.4)</w:t>
            </w:r>
            <w:r>
              <w:rPr>
                <w:rFonts w:hint="default" w:ascii="Times New Roman" w:hAnsi="Times New Roman" w:eastAsia="宋体" w:cs="Times New Roman"/>
                <w:color w:val="auto"/>
                <w:sz w:val="24"/>
                <w:szCs w:val="24"/>
                <w:highlight w:val="none"/>
                <w:vertAlign w:val="superscript"/>
                <w:lang w:val="en-US" w:eastAsia="zh-CN"/>
              </w:rPr>
              <w:t>2</w:t>
            </w:r>
            <w:r>
              <w:rPr>
                <w:rFonts w:hint="default" w:ascii="Times New Roman" w:hAnsi="Times New Roman" w:eastAsia="宋体" w:cs="Times New Roman"/>
                <w:color w:val="auto"/>
                <w:sz w:val="24"/>
                <w:szCs w:val="24"/>
                <w:highlight w:val="none"/>
                <w:lang w:val="en-US" w:eastAsia="zh-CN"/>
              </w:rPr>
              <w:t>=2.4 m</w:t>
            </w:r>
            <w:r>
              <w:rPr>
                <w:rFonts w:hint="default" w:ascii="Times New Roman" w:hAnsi="Times New Roman" w:eastAsia="宋体" w:cs="Times New Roman"/>
                <w:color w:val="auto"/>
                <w:sz w:val="24"/>
                <w:szCs w:val="24"/>
                <w:highlight w:val="none"/>
                <w:vertAlign w:val="superscript"/>
                <w:lang w:val="en-US" w:eastAsia="zh-CN"/>
              </w:rPr>
              <w:t>2</w:t>
            </w:r>
          </w:p>
          <w:p w14:paraId="6566FBCC">
            <w:pPr>
              <w:keepNext w:val="0"/>
              <w:keepLines w:val="0"/>
              <w:suppressLineNumbers w:val="0"/>
              <w:adjustRightInd w:val="0"/>
              <w:spacing w:before="0" w:beforeAutospacing="0" w:after="0" w:afterAutospacing="0" w:line="360" w:lineRule="auto"/>
              <w:ind w:left="0" w:right="0" w:firstLine="480" w:firstLineChars="200"/>
              <w:contextualSpacing/>
              <w:jc w:val="left"/>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Q=0.8×2.4×3600=6912 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/h</w:t>
            </w:r>
          </w:p>
          <w:p w14:paraId="3D957FA9">
            <w:pPr>
              <w:keepNext w:val="0"/>
              <w:keepLines w:val="0"/>
              <w:suppressLineNumbers w:val="0"/>
              <w:adjustRightInd w:val="0"/>
              <w:spacing w:before="0" w:beforeAutospacing="0" w:after="0" w:afterAutospacing="0" w:line="360" w:lineRule="auto"/>
              <w:ind w:left="0" w:right="0" w:firstLine="480" w:firstLineChars="200"/>
              <w:contextualSpacing/>
              <w:jc w:val="left"/>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F=0.8+10×(0.4)</w:t>
            </w:r>
            <w:r>
              <w:rPr>
                <w:rFonts w:hint="default" w:ascii="Times New Roman" w:hAnsi="Times New Roman" w:eastAsia="宋体" w:cs="Times New Roman"/>
                <w:color w:val="auto"/>
                <w:sz w:val="24"/>
                <w:szCs w:val="24"/>
                <w:highlight w:val="none"/>
                <w:vertAlign w:val="superscript"/>
                <w:lang w:val="en-US" w:eastAsia="zh-CN"/>
              </w:rPr>
              <w:t>2</w:t>
            </w:r>
            <w:r>
              <w:rPr>
                <w:rFonts w:hint="default" w:ascii="Times New Roman" w:hAnsi="Times New Roman" w:eastAsia="宋体" w:cs="Times New Roman"/>
                <w:color w:val="auto"/>
                <w:sz w:val="24"/>
                <w:szCs w:val="24"/>
                <w:highlight w:val="none"/>
                <w:lang w:val="en-US" w:eastAsia="zh-CN"/>
              </w:rPr>
              <w:t>=2.4m</w:t>
            </w:r>
            <w:r>
              <w:rPr>
                <w:rFonts w:hint="default" w:ascii="Times New Roman" w:hAnsi="Times New Roman" w:eastAsia="宋体" w:cs="Times New Roman"/>
                <w:color w:val="auto"/>
                <w:sz w:val="24"/>
                <w:szCs w:val="24"/>
                <w:highlight w:val="none"/>
                <w:vertAlign w:val="superscript"/>
                <w:lang w:val="en-US" w:eastAsia="zh-CN"/>
              </w:rPr>
              <w:t>2</w:t>
            </w:r>
            <w:r>
              <w:rPr>
                <w:rFonts w:hint="default" w:ascii="Times New Roman" w:hAnsi="Times New Roman" w:eastAsia="宋体" w:cs="Times New Roman"/>
                <w:color w:val="auto"/>
                <w:sz w:val="24"/>
                <w:szCs w:val="24"/>
                <w:highlight w:val="none"/>
                <w:lang w:val="en-US" w:eastAsia="zh-CN"/>
              </w:rPr>
              <w:t>,Q=0.8×2.4×3600=6912m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/h</w:t>
            </w:r>
          </w:p>
          <w:p w14:paraId="6175C126">
            <w:pPr>
              <w:keepNext w:val="0"/>
              <w:keepLines w:val="0"/>
              <w:suppressLineNumbers w:val="0"/>
              <w:spacing w:before="0" w:beforeAutospacing="0" w:after="0" w:afterAutospacing="0"/>
              <w:ind w:left="0" w:right="0" w:firstLine="480" w:firstLineChars="200"/>
              <w:rPr>
                <w:rFonts w:hint="eastAsia"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val="en-US" w:eastAsia="zh-CN"/>
              </w:rPr>
              <w:t>考虑系统漏风及运行波动，增加15% 安全裕度，最终设计风量取 8000 m</w:t>
            </w:r>
            <w:r>
              <w:rPr>
                <w:rFonts w:hint="eastAsia"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lang w:val="en-US" w:eastAsia="zh-CN"/>
              </w:rPr>
              <w:t>/h。</w:t>
            </w:r>
          </w:p>
          <w:p w14:paraId="7863B9F4">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eastAsia="宋体" w:cs="Times New Roman"/>
                <w:color w:val="auto"/>
                <w:sz w:val="24"/>
                <w:highlight w:val="none"/>
              </w:rPr>
              <w:t>考虑在实际生产过程中，收集管路、处理设备风量损耗，</w:t>
            </w:r>
            <w:r>
              <w:rPr>
                <w:rFonts w:hint="eastAsia" w:cs="Times New Roman"/>
                <w:color w:val="auto"/>
                <w:sz w:val="24"/>
                <w:highlight w:val="none"/>
                <w:lang w:val="en-US" w:eastAsia="zh-CN"/>
              </w:rPr>
              <w:t>顶式集气罩相应工位所有粉尘逸散点控制风速不小于0.5m/s，参照《广东省工业源挥发性有机物减排量核算方法（试行）》，</w:t>
            </w:r>
            <w:r>
              <w:rPr>
                <w:rFonts w:hint="default" w:ascii="Times New Roman" w:hAnsi="Times New Roman" w:eastAsia="宋体" w:cs="Times New Roman"/>
                <w:color w:val="auto"/>
                <w:sz w:val="24"/>
                <w:highlight w:val="none"/>
              </w:rPr>
              <w:t>本</w:t>
            </w:r>
            <w:r>
              <w:rPr>
                <w:rFonts w:hint="default" w:ascii="Times New Roman" w:hAnsi="Times New Roman" w:eastAsia="宋体" w:cs="Times New Roman"/>
                <w:color w:val="auto"/>
                <w:sz w:val="24"/>
                <w:szCs w:val="24"/>
                <w:highlight w:val="none"/>
                <w:lang w:val="en-US" w:eastAsia="zh-CN"/>
              </w:rPr>
              <w:t>项目干法破碎粉尘的集气罩收集效率取值为</w:t>
            </w:r>
            <w:r>
              <w:rPr>
                <w:rFonts w:hint="eastAsia" w:cs="Times New Roman"/>
                <w:color w:val="auto"/>
                <w:sz w:val="24"/>
                <w:szCs w:val="24"/>
                <w:highlight w:val="none"/>
                <w:lang w:val="en-US" w:eastAsia="zh-CN"/>
              </w:rPr>
              <w:t>40</w:t>
            </w:r>
            <w:r>
              <w:rPr>
                <w:rFonts w:hint="default"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。参</w:t>
            </w:r>
            <w:r>
              <w:rPr>
                <w:rFonts w:hint="default" w:ascii="Times New Roman" w:hAnsi="Times New Roman" w:eastAsia="宋体" w:cs="Times New Roman"/>
                <w:color w:val="auto"/>
                <w:highlight w:val="none"/>
                <w:lang w:val="en-US" w:eastAsia="zh-CN"/>
              </w:rPr>
              <w:t>考《袋式除尘器技术要求》（</w:t>
            </w:r>
            <w:r>
              <w:rPr>
                <w:rFonts w:hint="eastAsia" w:cs="Times New Roman"/>
                <w:color w:val="auto"/>
                <w:highlight w:val="none"/>
                <w:lang w:val="en-US" w:eastAsia="zh-CN"/>
              </w:rPr>
              <w:t>GB</w:t>
            </w:r>
            <w:r>
              <w:rPr>
                <w:rFonts w:hint="default" w:ascii="Times New Roman" w:hAnsi="Times New Roman" w:eastAsia="宋体" w:cs="Times New Roman"/>
                <w:color w:val="auto"/>
                <w:highlight w:val="none"/>
                <w:lang w:val="en-US" w:eastAsia="zh-CN"/>
              </w:rPr>
              <w:t>／</w:t>
            </w:r>
            <w:r>
              <w:rPr>
                <w:rFonts w:hint="eastAsia" w:cs="Times New Roman"/>
                <w:color w:val="auto"/>
                <w:highlight w:val="none"/>
                <w:lang w:val="en-US" w:eastAsia="zh-CN"/>
              </w:rPr>
              <w:t>T6719-2009</w:t>
            </w:r>
            <w:r>
              <w:rPr>
                <w:rFonts w:hint="default" w:ascii="Times New Roman" w:hAnsi="Times New Roman" w:eastAsia="宋体" w:cs="Times New Roman"/>
                <w:color w:val="auto"/>
                <w:highlight w:val="none"/>
                <w:lang w:val="en-US" w:eastAsia="zh-CN"/>
              </w:rPr>
              <w:t>），滤料的除尘效率应达到99.</w:t>
            </w:r>
            <w:r>
              <w:rPr>
                <w:rFonts w:hint="eastAsia" w:cs="Times New Roman"/>
                <w:color w:val="auto"/>
                <w:highlight w:val="none"/>
                <w:lang w:val="en-US" w:eastAsia="zh-CN"/>
              </w:rPr>
              <w:t>3</w:t>
            </w:r>
            <w:r>
              <w:rPr>
                <w:rFonts w:hint="default" w:ascii="Times New Roman" w:hAnsi="Times New Roman" w:eastAsia="宋体" w:cs="Times New Roman"/>
                <w:color w:val="auto"/>
                <w:highlight w:val="none"/>
                <w:lang w:val="en-US" w:eastAsia="zh-CN"/>
              </w:rPr>
              <w:t>%以上，</w:t>
            </w:r>
            <w:r>
              <w:rPr>
                <w:rFonts w:hint="default" w:ascii="Times New Roman" w:hAnsi="Times New Roman" w:cs="Times New Roman"/>
                <w:color w:val="auto"/>
                <w:sz w:val="24"/>
                <w:szCs w:val="24"/>
                <w:highlight w:val="none"/>
              </w:rPr>
              <w:t>环评在核算时则按照9</w:t>
            </w:r>
            <w:r>
              <w:rPr>
                <w:rFonts w:hint="eastAsia" w:cs="Times New Roman"/>
                <w:color w:val="auto"/>
                <w:sz w:val="24"/>
                <w:szCs w:val="24"/>
                <w:highlight w:val="none"/>
                <w:lang w:val="en-US" w:eastAsia="zh-CN"/>
              </w:rPr>
              <w:t>5</w:t>
            </w:r>
            <w:r>
              <w:rPr>
                <w:rFonts w:hint="default" w:ascii="Times New Roman" w:hAnsi="Times New Roman" w:cs="Times New Roman"/>
                <w:color w:val="auto"/>
                <w:sz w:val="24"/>
                <w:szCs w:val="24"/>
                <w:highlight w:val="none"/>
              </w:rPr>
              <w:t>%去除效率来核算粉尘排放量</w:t>
            </w:r>
            <w:r>
              <w:rPr>
                <w:rFonts w:hint="default"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收集的粉尘经布袋除尘器处理后通过1</w:t>
            </w:r>
            <w:r>
              <w:rPr>
                <w:rFonts w:hint="eastAsia"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lang w:val="en-US" w:eastAsia="zh-CN"/>
              </w:rPr>
              <w:t>m排气筒（DA001）排放。</w:t>
            </w:r>
          </w:p>
          <w:p w14:paraId="1BA05B62">
            <w:pPr>
              <w:keepNext w:val="0"/>
              <w:keepLines w:val="0"/>
              <w:numPr>
                <w:ilvl w:val="0"/>
                <w:numId w:val="0"/>
              </w:numPr>
              <w:suppressLineNumbers w:val="0"/>
              <w:tabs>
                <w:tab w:val="left" w:pos="0"/>
              </w:tabs>
              <w:spacing w:before="0" w:beforeAutospacing="0" w:after="0" w:afterAutospacing="0"/>
              <w:ind w:left="0" w:leftChars="0" w:right="0" w:rightChars="0" w:firstLine="40" w:firstLineChars="0"/>
              <w:jc w:val="center"/>
              <w:rPr>
                <w:rFonts w:hint="default" w:ascii="Times New Roman" w:hAnsi="Times New Roman" w:cs="Times New Roman"/>
                <w:b/>
                <w:bCs/>
                <w:color w:val="auto"/>
                <w:sz w:val="21"/>
                <w:szCs w:val="21"/>
                <w:highlight w:val="none"/>
                <w:lang w:val="en-US" w:eastAsia="zh-CN"/>
              </w:rPr>
            </w:pPr>
            <w:bookmarkStart w:id="143" w:name="OLE_LINK43"/>
            <w:r>
              <w:rPr>
                <w:rFonts w:hint="default" w:ascii="Times New Roman" w:hAnsi="Times New Roman" w:eastAsia="宋体" w:cs="Times New Roman"/>
                <w:b/>
                <w:bCs/>
                <w:color w:val="auto"/>
                <w:kern w:val="2"/>
                <w:sz w:val="21"/>
                <w:szCs w:val="21"/>
                <w:highlight w:val="none"/>
                <w:lang w:val="en-US" w:eastAsia="zh-CN" w:bidi="ar-SA"/>
              </w:rPr>
              <w:t>表4-</w:t>
            </w:r>
            <w:r>
              <w:rPr>
                <w:rFonts w:hint="eastAsia" w:cs="Times New Roman"/>
                <w:b/>
                <w:bCs/>
                <w:color w:val="auto"/>
                <w:kern w:val="2"/>
                <w:sz w:val="21"/>
                <w:szCs w:val="21"/>
                <w:highlight w:val="none"/>
                <w:lang w:val="en-US" w:eastAsia="zh-CN" w:bidi="ar-SA"/>
              </w:rPr>
              <w:t>2</w:t>
            </w:r>
            <w:r>
              <w:rPr>
                <w:rFonts w:hint="default" w:ascii="Times New Roman" w:hAnsi="Times New Roman" w:cs="Times New Roman"/>
                <w:b/>
                <w:bCs/>
                <w:color w:val="auto"/>
                <w:sz w:val="21"/>
                <w:szCs w:val="21"/>
                <w:highlight w:val="none"/>
                <w:lang w:val="en-US" w:eastAsia="zh-CN"/>
              </w:rPr>
              <w:t>本项目</w:t>
            </w:r>
            <w:r>
              <w:rPr>
                <w:rFonts w:hint="eastAsia" w:cs="Times New Roman"/>
                <w:b/>
                <w:bCs/>
                <w:color w:val="auto"/>
                <w:sz w:val="21"/>
                <w:szCs w:val="21"/>
                <w:highlight w:val="none"/>
                <w:lang w:val="en-US" w:eastAsia="zh-CN"/>
              </w:rPr>
              <w:t>破碎</w:t>
            </w:r>
            <w:r>
              <w:rPr>
                <w:rFonts w:hint="default" w:ascii="Times New Roman" w:hAnsi="Times New Roman" w:cs="Times New Roman"/>
                <w:b/>
                <w:bCs/>
                <w:color w:val="auto"/>
                <w:sz w:val="21"/>
                <w:szCs w:val="21"/>
                <w:highlight w:val="none"/>
                <w:lang w:val="en-US" w:eastAsia="zh-CN"/>
              </w:rPr>
              <w:t>粉尘产生情况</w:t>
            </w:r>
          </w:p>
          <w:tbl>
            <w:tblPr>
              <w:tblStyle w:val="39"/>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50"/>
              <w:gridCol w:w="2537"/>
              <w:gridCol w:w="1367"/>
              <w:gridCol w:w="1367"/>
              <w:gridCol w:w="1395"/>
              <w:gridCol w:w="1467"/>
            </w:tblGrid>
            <w:tr w14:paraId="4C88A48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37" w:hRule="atLeast"/>
              </w:trPr>
              <w:tc>
                <w:tcPr>
                  <w:tcW w:w="1150" w:type="dxa"/>
                  <w:tcBorders>
                    <w:top w:val="single" w:color="000000" w:sz="12" w:space="0"/>
                    <w:left w:val="nil"/>
                    <w:bottom w:val="single" w:color="000000" w:sz="8" w:space="0"/>
                    <w:right w:val="single" w:color="000000" w:sz="8" w:space="0"/>
                  </w:tcBorders>
                  <w:shd w:val="clear" w:color="auto" w:fill="auto"/>
                  <w:vAlign w:val="center"/>
                </w:tcPr>
                <w:p w14:paraId="4989A62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rPr>
                    <w:t>工艺名称</w:t>
                  </w:r>
                </w:p>
              </w:tc>
              <w:tc>
                <w:tcPr>
                  <w:tcW w:w="2537" w:type="dxa"/>
                  <w:tcBorders>
                    <w:top w:val="single" w:color="000000" w:sz="12" w:space="0"/>
                    <w:left w:val="single" w:color="000000" w:sz="8" w:space="0"/>
                    <w:bottom w:val="single" w:color="000000" w:sz="8" w:space="0"/>
                    <w:right w:val="single" w:color="000000" w:sz="8" w:space="0"/>
                  </w:tcBorders>
                  <w:shd w:val="clear" w:color="auto" w:fill="auto"/>
                  <w:vAlign w:val="center"/>
                </w:tcPr>
                <w:p w14:paraId="3051EF8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rPr>
                    <w:t>原料名称</w:t>
                  </w:r>
                </w:p>
              </w:tc>
              <w:tc>
                <w:tcPr>
                  <w:tcW w:w="1367" w:type="dxa"/>
                  <w:tcBorders>
                    <w:top w:val="single" w:color="000000" w:sz="12" w:space="0"/>
                    <w:left w:val="single" w:color="000000" w:sz="8" w:space="0"/>
                    <w:bottom w:val="single" w:color="000000" w:sz="8" w:space="0"/>
                    <w:right w:val="single" w:color="000000" w:sz="8" w:space="0"/>
                  </w:tcBorders>
                  <w:shd w:val="clear" w:color="auto" w:fill="auto"/>
                  <w:vAlign w:val="center"/>
                </w:tcPr>
                <w:p w14:paraId="2A417EF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rPr>
                    <w:t>污染物指标</w:t>
                  </w:r>
                </w:p>
              </w:tc>
              <w:tc>
                <w:tcPr>
                  <w:tcW w:w="1367" w:type="dxa"/>
                  <w:tcBorders>
                    <w:top w:val="single" w:color="000000" w:sz="12" w:space="0"/>
                    <w:left w:val="single" w:color="000000" w:sz="8" w:space="0"/>
                    <w:bottom w:val="single" w:color="000000" w:sz="8" w:space="0"/>
                    <w:right w:val="single" w:color="000000" w:sz="8" w:space="0"/>
                  </w:tcBorders>
                  <w:shd w:val="clear" w:color="auto" w:fill="auto"/>
                  <w:vAlign w:val="center"/>
                </w:tcPr>
                <w:p w14:paraId="34E9E0F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rPr>
                    <w:t>单位</w:t>
                  </w:r>
                </w:p>
              </w:tc>
              <w:tc>
                <w:tcPr>
                  <w:tcW w:w="1395" w:type="dxa"/>
                  <w:tcBorders>
                    <w:top w:val="single" w:color="000000" w:sz="12" w:space="0"/>
                    <w:left w:val="single" w:color="000000" w:sz="8" w:space="0"/>
                    <w:bottom w:val="single" w:color="000000" w:sz="8" w:space="0"/>
                    <w:right w:val="single" w:color="000000" w:sz="8" w:space="0"/>
                  </w:tcBorders>
                  <w:shd w:val="clear" w:color="auto" w:fill="auto"/>
                  <w:vAlign w:val="center"/>
                </w:tcPr>
                <w:p w14:paraId="66794BC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rPr>
                    <w:t>产污系数</w:t>
                  </w:r>
                </w:p>
              </w:tc>
              <w:tc>
                <w:tcPr>
                  <w:tcW w:w="1467" w:type="dxa"/>
                  <w:tcBorders>
                    <w:top w:val="single" w:color="000000" w:sz="12" w:space="0"/>
                    <w:left w:val="single" w:color="000000" w:sz="8" w:space="0"/>
                    <w:bottom w:val="single" w:color="000000" w:sz="8" w:space="0"/>
                    <w:right w:val="nil"/>
                  </w:tcBorders>
                  <w:shd w:val="clear" w:color="auto" w:fill="auto"/>
                  <w:vAlign w:val="center"/>
                </w:tcPr>
                <w:p w14:paraId="6017187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rPr>
                    <w:t>产生量（</w:t>
                  </w:r>
                  <w:r>
                    <w:rPr>
                      <w:rFonts w:hint="default" w:ascii="Times New Roman" w:hAnsi="Times New Roman" w:eastAsia="宋体" w:cs="Times New Roman"/>
                      <w:b/>
                      <w:bCs/>
                      <w:i w:val="0"/>
                      <w:iCs w:val="0"/>
                      <w:color w:val="auto"/>
                      <w:kern w:val="0"/>
                      <w:sz w:val="21"/>
                      <w:szCs w:val="21"/>
                      <w:highlight w:val="none"/>
                      <w:u w:val="none"/>
                      <w:lang w:val="en-US" w:eastAsia="zh-CN"/>
                    </w:rPr>
                    <w:t>t/a</w:t>
                  </w:r>
                  <w:r>
                    <w:rPr>
                      <w:rFonts w:hint="eastAsia" w:ascii="宋体" w:hAnsi="宋体" w:eastAsia="宋体" w:cs="宋体"/>
                      <w:b/>
                      <w:bCs/>
                      <w:i w:val="0"/>
                      <w:iCs w:val="0"/>
                      <w:color w:val="auto"/>
                      <w:kern w:val="0"/>
                      <w:sz w:val="21"/>
                      <w:szCs w:val="21"/>
                      <w:highlight w:val="none"/>
                      <w:u w:val="none"/>
                      <w:lang w:val="en-US" w:eastAsia="zh-CN"/>
                    </w:rPr>
                    <w:t>）</w:t>
                  </w:r>
                </w:p>
              </w:tc>
            </w:tr>
            <w:tr w14:paraId="5A5DB2F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8" w:hRule="atLeast"/>
              </w:trPr>
              <w:tc>
                <w:tcPr>
                  <w:tcW w:w="1150" w:type="dxa"/>
                  <w:vMerge w:val="restart"/>
                  <w:tcBorders>
                    <w:top w:val="single" w:color="000000" w:sz="8" w:space="0"/>
                    <w:left w:val="nil"/>
                    <w:bottom w:val="single" w:color="auto" w:sz="4" w:space="0"/>
                    <w:right w:val="single" w:color="auto" w:sz="4" w:space="0"/>
                  </w:tcBorders>
                  <w:shd w:val="clear" w:color="auto" w:fill="auto"/>
                  <w:vAlign w:val="center"/>
                </w:tcPr>
                <w:p w14:paraId="0152018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rPr>
                    <w:t>干法破碎</w:t>
                  </w:r>
                </w:p>
              </w:tc>
              <w:tc>
                <w:tcPr>
                  <w:tcW w:w="2537" w:type="dxa"/>
                  <w:tcBorders>
                    <w:top w:val="single" w:color="000000" w:sz="8" w:space="0"/>
                    <w:left w:val="single" w:color="auto" w:sz="4" w:space="0"/>
                    <w:bottom w:val="single" w:color="auto" w:sz="4" w:space="0"/>
                    <w:right w:val="single" w:color="auto" w:sz="4" w:space="0"/>
                  </w:tcBorders>
                  <w:shd w:val="clear" w:color="auto" w:fill="auto"/>
                  <w:vAlign w:val="center"/>
                </w:tcPr>
                <w:p w14:paraId="4F74DFE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rPr>
                    <w:t>废塑料（</w:t>
                  </w:r>
                  <w:r>
                    <w:rPr>
                      <w:rFonts w:hint="default" w:ascii="Times New Roman" w:hAnsi="Times New Roman" w:eastAsia="宋体" w:cs="Times New Roman"/>
                      <w:i w:val="0"/>
                      <w:iCs w:val="0"/>
                      <w:color w:val="auto"/>
                      <w:kern w:val="0"/>
                      <w:sz w:val="21"/>
                      <w:szCs w:val="21"/>
                      <w:highlight w:val="none"/>
                      <w:u w:val="none"/>
                      <w:lang w:val="en-US" w:eastAsia="zh-CN"/>
                    </w:rPr>
                    <w:t>PP:2850t/a</w:t>
                  </w:r>
                  <w:r>
                    <w:rPr>
                      <w:rFonts w:hint="eastAsia" w:ascii="宋体" w:hAnsi="宋体" w:eastAsia="宋体" w:cs="宋体"/>
                      <w:i w:val="0"/>
                      <w:iCs w:val="0"/>
                      <w:color w:val="auto"/>
                      <w:kern w:val="0"/>
                      <w:sz w:val="21"/>
                      <w:szCs w:val="21"/>
                      <w:highlight w:val="none"/>
                      <w:u w:val="none"/>
                      <w:lang w:val="en-US" w:eastAsia="zh-CN"/>
                    </w:rPr>
                    <w:t>）</w:t>
                  </w:r>
                </w:p>
              </w:tc>
              <w:tc>
                <w:tcPr>
                  <w:tcW w:w="1367" w:type="dxa"/>
                  <w:tcBorders>
                    <w:top w:val="single" w:color="000000" w:sz="8" w:space="0"/>
                    <w:left w:val="single" w:color="auto" w:sz="4" w:space="0"/>
                    <w:bottom w:val="single" w:color="auto" w:sz="4" w:space="0"/>
                    <w:right w:val="single" w:color="auto" w:sz="4" w:space="0"/>
                  </w:tcBorders>
                  <w:shd w:val="clear" w:color="auto" w:fill="auto"/>
                  <w:vAlign w:val="center"/>
                </w:tcPr>
                <w:p w14:paraId="535396A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rPr>
                    <w:t>颗粒物</w:t>
                  </w:r>
                </w:p>
              </w:tc>
              <w:tc>
                <w:tcPr>
                  <w:tcW w:w="1367" w:type="dxa"/>
                  <w:tcBorders>
                    <w:top w:val="single" w:color="000000" w:sz="8" w:space="0"/>
                    <w:left w:val="single" w:color="auto" w:sz="4" w:space="0"/>
                    <w:bottom w:val="single" w:color="auto" w:sz="4" w:space="0"/>
                    <w:right w:val="single" w:color="auto" w:sz="4" w:space="0"/>
                  </w:tcBorders>
                  <w:shd w:val="clear" w:color="auto" w:fill="auto"/>
                  <w:vAlign w:val="center"/>
                </w:tcPr>
                <w:p w14:paraId="2A99D49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rPr>
                    <w:t>克</w:t>
                  </w:r>
                  <w:r>
                    <w:rPr>
                      <w:rFonts w:hint="default" w:ascii="Times New Roman" w:hAnsi="Times New Roman" w:eastAsia="宋体" w:cs="Times New Roman"/>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吨</w:t>
                  </w:r>
                  <w:r>
                    <w:rPr>
                      <w:rFonts w:hint="default" w:ascii="Times New Roman" w:hAnsi="Times New Roman" w:eastAsia="宋体" w:cs="Times New Roman"/>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原料</w:t>
                  </w:r>
                </w:p>
              </w:tc>
              <w:tc>
                <w:tcPr>
                  <w:tcW w:w="1395" w:type="dxa"/>
                  <w:tcBorders>
                    <w:top w:val="single" w:color="000000" w:sz="8" w:space="0"/>
                    <w:left w:val="single" w:color="auto" w:sz="4" w:space="0"/>
                    <w:bottom w:val="single" w:color="auto" w:sz="4" w:space="0"/>
                    <w:right w:val="single" w:color="auto" w:sz="4" w:space="0"/>
                  </w:tcBorders>
                  <w:shd w:val="clear" w:color="auto" w:fill="auto"/>
                  <w:vAlign w:val="center"/>
                </w:tcPr>
                <w:p w14:paraId="062CCD8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375</w:t>
                  </w:r>
                </w:p>
              </w:tc>
              <w:tc>
                <w:tcPr>
                  <w:tcW w:w="1467" w:type="dxa"/>
                  <w:tcBorders>
                    <w:top w:val="nil"/>
                    <w:left w:val="single" w:color="auto" w:sz="4" w:space="0"/>
                    <w:bottom w:val="single" w:color="auto" w:sz="4" w:space="0"/>
                    <w:right w:val="single" w:color="auto" w:sz="4" w:space="0"/>
                  </w:tcBorders>
                  <w:shd w:val="clear" w:color="auto" w:fill="auto"/>
                  <w:vAlign w:val="center"/>
                </w:tcPr>
                <w:p w14:paraId="04F224D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rPr>
                    <w:t>1.069</w:t>
                  </w:r>
                  <w:r>
                    <w:rPr>
                      <w:rFonts w:hint="default" w:ascii="Times New Roman" w:hAnsi="Times New Roman" w:eastAsia="宋体" w:cs="Times New Roman"/>
                      <w:i w:val="0"/>
                      <w:iCs w:val="0"/>
                      <w:color w:val="auto"/>
                      <w:kern w:val="0"/>
                      <w:sz w:val="21"/>
                      <w:szCs w:val="21"/>
                      <w:highlight w:val="none"/>
                      <w:u w:val="none"/>
                      <w:lang w:val="en-US" w:eastAsia="zh-CN"/>
                    </w:rPr>
                    <w:t xml:space="preserve"> </w:t>
                  </w:r>
                </w:p>
              </w:tc>
            </w:tr>
            <w:tr w14:paraId="09F0446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83" w:hRule="atLeast"/>
              </w:trPr>
              <w:tc>
                <w:tcPr>
                  <w:tcW w:w="1150" w:type="dxa"/>
                  <w:vMerge w:val="continue"/>
                  <w:tcBorders>
                    <w:top w:val="single" w:color="auto" w:sz="4" w:space="0"/>
                    <w:left w:val="nil"/>
                    <w:bottom w:val="single" w:color="auto" w:sz="4" w:space="0"/>
                    <w:right w:val="single" w:color="auto" w:sz="4" w:space="0"/>
                  </w:tcBorders>
                  <w:shd w:val="clear" w:color="auto" w:fill="auto"/>
                  <w:vAlign w:val="center"/>
                </w:tcPr>
                <w:p w14:paraId="39F388B1">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1"/>
                      <w:szCs w:val="21"/>
                      <w:highlight w:val="none"/>
                      <w:u w:val="none"/>
                    </w:rPr>
                  </w:pPr>
                </w:p>
              </w:tc>
              <w:tc>
                <w:tcPr>
                  <w:tcW w:w="2537" w:type="dxa"/>
                  <w:tcBorders>
                    <w:top w:val="single" w:color="auto" w:sz="4" w:space="0"/>
                    <w:left w:val="single" w:color="auto" w:sz="4" w:space="0"/>
                    <w:bottom w:val="single" w:color="auto" w:sz="4" w:space="0"/>
                    <w:right w:val="single" w:color="auto" w:sz="4" w:space="0"/>
                  </w:tcBorders>
                  <w:shd w:val="clear" w:color="auto" w:fill="auto"/>
                  <w:vAlign w:val="center"/>
                </w:tcPr>
                <w:p w14:paraId="07A253B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rPr>
                    <w:t>废塑料（</w:t>
                  </w:r>
                  <w:r>
                    <w:rPr>
                      <w:rFonts w:hint="default" w:ascii="Times New Roman" w:hAnsi="Times New Roman" w:eastAsia="宋体" w:cs="Times New Roman"/>
                      <w:i w:val="0"/>
                      <w:iCs w:val="0"/>
                      <w:color w:val="auto"/>
                      <w:kern w:val="0"/>
                      <w:sz w:val="21"/>
                      <w:szCs w:val="21"/>
                      <w:highlight w:val="none"/>
                      <w:u w:val="none"/>
                      <w:lang w:val="en-US" w:eastAsia="zh-CN"/>
                    </w:rPr>
                    <w:t>PS/ABS</w:t>
                  </w:r>
                  <w:r>
                    <w:rPr>
                      <w:rFonts w:hint="eastAsia" w:ascii="宋体" w:hAnsi="宋体" w:eastAsia="宋体" w:cs="宋体"/>
                      <w:i w:val="0"/>
                      <w:iCs w:val="0"/>
                      <w:color w:val="auto"/>
                      <w:kern w:val="0"/>
                      <w:sz w:val="21"/>
                      <w:szCs w:val="21"/>
                      <w:highlight w:val="none"/>
                      <w:u w:val="none"/>
                      <w:lang w:val="en-US" w:eastAsia="zh-CN"/>
                    </w:rPr>
                    <w:t>：</w:t>
                  </w:r>
                  <w:r>
                    <w:rPr>
                      <w:rFonts w:hint="default" w:ascii="Times New Roman" w:hAnsi="Times New Roman" w:eastAsia="宋体" w:cs="Times New Roman"/>
                      <w:i w:val="0"/>
                      <w:iCs w:val="0"/>
                      <w:color w:val="auto"/>
                      <w:kern w:val="0"/>
                      <w:sz w:val="21"/>
                      <w:szCs w:val="21"/>
                      <w:highlight w:val="none"/>
                      <w:u w:val="none"/>
                      <w:lang w:val="en-US" w:eastAsia="zh-CN"/>
                    </w:rPr>
                    <w:t>4275t/a</w:t>
                  </w:r>
                  <w:r>
                    <w:rPr>
                      <w:rFonts w:hint="eastAsia" w:ascii="宋体" w:hAnsi="宋体" w:eastAsia="宋体" w:cs="宋体"/>
                      <w:i w:val="0"/>
                      <w:iCs w:val="0"/>
                      <w:color w:val="auto"/>
                      <w:kern w:val="0"/>
                      <w:sz w:val="21"/>
                      <w:szCs w:val="21"/>
                      <w:highlight w:val="none"/>
                      <w:u w:val="none"/>
                      <w:lang w:val="en-US" w:eastAsia="zh-CN"/>
                    </w:rPr>
                    <w:t>）</w:t>
                  </w:r>
                </w:p>
              </w:tc>
              <w:tc>
                <w:tcPr>
                  <w:tcW w:w="1367" w:type="dxa"/>
                  <w:tcBorders>
                    <w:top w:val="single" w:color="auto" w:sz="4" w:space="0"/>
                    <w:left w:val="single" w:color="auto" w:sz="4" w:space="0"/>
                    <w:bottom w:val="single" w:color="auto" w:sz="4" w:space="0"/>
                    <w:right w:val="single" w:color="auto" w:sz="4" w:space="0"/>
                  </w:tcBorders>
                  <w:shd w:val="clear" w:color="auto" w:fill="auto"/>
                  <w:vAlign w:val="center"/>
                </w:tcPr>
                <w:p w14:paraId="126E475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rPr>
                    <w:t>颗粒物</w:t>
                  </w:r>
                </w:p>
              </w:tc>
              <w:tc>
                <w:tcPr>
                  <w:tcW w:w="1367" w:type="dxa"/>
                  <w:tcBorders>
                    <w:top w:val="single" w:color="auto" w:sz="4" w:space="0"/>
                    <w:left w:val="single" w:color="auto" w:sz="4" w:space="0"/>
                    <w:bottom w:val="single" w:color="auto" w:sz="4" w:space="0"/>
                    <w:right w:val="single" w:color="auto" w:sz="4" w:space="0"/>
                  </w:tcBorders>
                  <w:shd w:val="clear" w:color="auto" w:fill="auto"/>
                  <w:vAlign w:val="center"/>
                </w:tcPr>
                <w:p w14:paraId="65B4490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rPr>
                    <w:t>克</w:t>
                  </w:r>
                  <w:r>
                    <w:rPr>
                      <w:rFonts w:hint="default" w:ascii="Times New Roman" w:hAnsi="Times New Roman" w:eastAsia="宋体" w:cs="Times New Roman"/>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吨</w:t>
                  </w:r>
                  <w:r>
                    <w:rPr>
                      <w:rFonts w:hint="default" w:ascii="Times New Roman" w:hAnsi="Times New Roman" w:eastAsia="宋体" w:cs="Times New Roman"/>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原料</w:t>
                  </w:r>
                </w:p>
              </w:tc>
              <w:tc>
                <w:tcPr>
                  <w:tcW w:w="1395" w:type="dxa"/>
                  <w:tcBorders>
                    <w:top w:val="single" w:color="auto" w:sz="4" w:space="0"/>
                    <w:left w:val="single" w:color="auto" w:sz="4" w:space="0"/>
                    <w:bottom w:val="single" w:color="auto" w:sz="4" w:space="0"/>
                    <w:right w:val="single" w:color="auto" w:sz="4" w:space="0"/>
                  </w:tcBorders>
                  <w:shd w:val="clear" w:color="auto" w:fill="auto"/>
                  <w:vAlign w:val="center"/>
                </w:tcPr>
                <w:p w14:paraId="62BAC11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425</w:t>
                  </w:r>
                </w:p>
              </w:tc>
              <w:tc>
                <w:tcPr>
                  <w:tcW w:w="1467" w:type="dxa"/>
                  <w:tcBorders>
                    <w:top w:val="single" w:color="auto" w:sz="4" w:space="0"/>
                    <w:left w:val="single" w:color="auto" w:sz="4" w:space="0"/>
                    <w:bottom w:val="single" w:color="auto" w:sz="4" w:space="0"/>
                    <w:right w:val="single" w:color="auto" w:sz="4" w:space="0"/>
                  </w:tcBorders>
                  <w:shd w:val="clear" w:color="auto" w:fill="auto"/>
                  <w:vAlign w:val="center"/>
                </w:tcPr>
                <w:p w14:paraId="0AA19FD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 xml:space="preserve">1.817 </w:t>
                  </w:r>
                </w:p>
              </w:tc>
            </w:tr>
            <w:tr w14:paraId="4049F10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7816" w:type="dxa"/>
                  <w:gridSpan w:val="5"/>
                  <w:tcBorders>
                    <w:top w:val="single" w:color="auto" w:sz="4" w:space="0"/>
                    <w:left w:val="nil"/>
                    <w:bottom w:val="single" w:color="auto" w:sz="4" w:space="0"/>
                    <w:right w:val="single" w:color="auto" w:sz="4" w:space="0"/>
                  </w:tcBorders>
                  <w:shd w:val="clear" w:color="auto" w:fill="auto"/>
                  <w:noWrap/>
                  <w:vAlign w:val="center"/>
                </w:tcPr>
                <w:p w14:paraId="2EBCE5F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2"/>
                      <w:szCs w:val="22"/>
                      <w:highlight w:val="none"/>
                      <w:u w:val="none"/>
                    </w:rPr>
                  </w:pPr>
                  <w:r>
                    <w:rPr>
                      <w:rFonts w:hint="eastAsia" w:ascii="宋体" w:hAnsi="宋体" w:eastAsia="宋体" w:cs="宋体"/>
                      <w:i w:val="0"/>
                      <w:iCs w:val="0"/>
                      <w:color w:val="auto"/>
                      <w:kern w:val="0"/>
                      <w:sz w:val="22"/>
                      <w:szCs w:val="22"/>
                      <w:highlight w:val="none"/>
                      <w:u w:val="none"/>
                      <w:lang w:val="en-US" w:eastAsia="zh-CN"/>
                    </w:rPr>
                    <w:t>合计</w:t>
                  </w:r>
                </w:p>
              </w:tc>
              <w:tc>
                <w:tcPr>
                  <w:tcW w:w="14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EF80BE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2"/>
                      <w:szCs w:val="22"/>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rPr>
                    <w:t>2.</w:t>
                  </w:r>
                  <w:r>
                    <w:rPr>
                      <w:rFonts w:hint="eastAsia" w:cs="Times New Roman"/>
                      <w:i w:val="0"/>
                      <w:iCs w:val="0"/>
                      <w:color w:val="auto"/>
                      <w:kern w:val="0"/>
                      <w:sz w:val="21"/>
                      <w:szCs w:val="21"/>
                      <w:highlight w:val="none"/>
                      <w:u w:val="none"/>
                      <w:lang w:val="en-US" w:eastAsia="zh-CN"/>
                    </w:rPr>
                    <w:t>886</w:t>
                  </w:r>
                  <w:r>
                    <w:rPr>
                      <w:rFonts w:hint="default" w:ascii="Times New Roman" w:hAnsi="Times New Roman" w:eastAsia="宋体" w:cs="Times New Roman"/>
                      <w:i w:val="0"/>
                      <w:iCs w:val="0"/>
                      <w:color w:val="auto"/>
                      <w:kern w:val="0"/>
                      <w:sz w:val="21"/>
                      <w:szCs w:val="21"/>
                      <w:highlight w:val="none"/>
                      <w:u w:val="none"/>
                      <w:lang w:val="en-US" w:eastAsia="zh-CN"/>
                    </w:rPr>
                    <w:t xml:space="preserve"> </w:t>
                  </w:r>
                </w:p>
              </w:tc>
            </w:tr>
            <w:bookmarkEnd w:id="143"/>
          </w:tbl>
          <w:p w14:paraId="233FB134">
            <w:pPr>
              <w:keepNext w:val="0"/>
              <w:keepLines w:val="0"/>
              <w:numPr>
                <w:ilvl w:val="0"/>
                <w:numId w:val="0"/>
              </w:numPr>
              <w:suppressLineNumbers w:val="0"/>
              <w:tabs>
                <w:tab w:val="left" w:pos="0"/>
              </w:tabs>
              <w:spacing w:before="0" w:beforeAutospacing="0" w:after="0" w:afterAutospacing="0"/>
              <w:ind w:left="0" w:leftChars="0" w:right="0" w:rightChars="0" w:firstLine="40" w:firstLineChars="0"/>
              <w:jc w:val="center"/>
              <w:rPr>
                <w:rFonts w:hint="eastAsia" w:cs="Times New Roman"/>
                <w:b/>
                <w:bCs/>
                <w:color w:val="auto"/>
                <w:sz w:val="21"/>
                <w:szCs w:val="21"/>
                <w:highlight w:val="none"/>
                <w:lang w:val="en-US" w:eastAsia="zh-CN"/>
              </w:rPr>
            </w:pPr>
            <w:r>
              <w:rPr>
                <w:rFonts w:hint="default" w:ascii="Times New Roman" w:hAnsi="Times New Roman" w:eastAsia="宋体" w:cs="Times New Roman"/>
                <w:b/>
                <w:color w:val="auto"/>
                <w:kern w:val="2"/>
                <w:sz w:val="21"/>
                <w:szCs w:val="21"/>
                <w:highlight w:val="none"/>
                <w:lang w:val="en-US" w:eastAsia="zh-CN" w:bidi="ar-SA"/>
              </w:rPr>
              <w:t>表4-</w:t>
            </w:r>
            <w:r>
              <w:rPr>
                <w:rFonts w:hint="eastAsia" w:cs="Times New Roman"/>
                <w:b/>
                <w:color w:val="auto"/>
                <w:kern w:val="2"/>
                <w:sz w:val="21"/>
                <w:szCs w:val="21"/>
                <w:highlight w:val="none"/>
                <w:lang w:val="en-US" w:eastAsia="zh-CN" w:bidi="ar-SA"/>
              </w:rPr>
              <w:t>3</w:t>
            </w:r>
            <w:r>
              <w:rPr>
                <w:rFonts w:hint="default" w:ascii="Times New Roman" w:hAnsi="Times New Roman" w:cs="Times New Roman"/>
                <w:b/>
                <w:bCs/>
                <w:color w:val="auto"/>
                <w:sz w:val="21"/>
                <w:szCs w:val="21"/>
                <w:highlight w:val="none"/>
                <w:lang w:val="en-US" w:eastAsia="zh-CN"/>
              </w:rPr>
              <w:t>本项目</w:t>
            </w:r>
            <w:r>
              <w:rPr>
                <w:rFonts w:hint="eastAsia" w:cs="Times New Roman"/>
                <w:b/>
                <w:bCs/>
                <w:color w:val="auto"/>
                <w:sz w:val="21"/>
                <w:szCs w:val="21"/>
                <w:highlight w:val="none"/>
                <w:lang w:val="en-US" w:eastAsia="zh-CN"/>
              </w:rPr>
              <w:t>破碎粉尘</w:t>
            </w:r>
            <w:r>
              <w:rPr>
                <w:rFonts w:hint="default" w:ascii="Times New Roman" w:hAnsi="Times New Roman" w:cs="Times New Roman"/>
                <w:b/>
                <w:bCs/>
                <w:color w:val="auto"/>
                <w:sz w:val="21"/>
                <w:szCs w:val="21"/>
                <w:highlight w:val="none"/>
                <w:lang w:val="en-US" w:eastAsia="zh-CN"/>
              </w:rPr>
              <w:t>产生</w:t>
            </w:r>
            <w:r>
              <w:rPr>
                <w:rFonts w:hint="eastAsia" w:cs="Times New Roman"/>
                <w:b/>
                <w:bCs/>
                <w:color w:val="auto"/>
                <w:sz w:val="21"/>
                <w:szCs w:val="21"/>
                <w:highlight w:val="none"/>
                <w:lang w:val="en-US" w:eastAsia="zh-CN"/>
              </w:rPr>
              <w:t>排放情况</w:t>
            </w:r>
          </w:p>
          <w:tbl>
            <w:tblPr>
              <w:tblStyle w:val="39"/>
              <w:tblW w:w="4999"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2820"/>
              <w:gridCol w:w="2948"/>
              <w:gridCol w:w="3519"/>
            </w:tblGrid>
            <w:tr w14:paraId="792B8B6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3105" w:type="pct"/>
                  <w:gridSpan w:val="2"/>
                  <w:tcBorders>
                    <w:top w:val="single" w:color="000000" w:sz="8" w:space="0"/>
                    <w:left w:val="single" w:color="000000" w:sz="8" w:space="0"/>
                    <w:bottom w:val="single" w:color="000000" w:sz="8" w:space="0"/>
                    <w:right w:val="single" w:color="000000" w:sz="8" w:space="0"/>
                  </w:tcBorders>
                  <w:shd w:val="clear" w:color="auto" w:fill="auto"/>
                  <w:vAlign w:val="center"/>
                </w:tcPr>
                <w:p w14:paraId="2E27999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排气筒编号</w:t>
                  </w:r>
                </w:p>
              </w:tc>
              <w:tc>
                <w:tcPr>
                  <w:tcW w:w="1894" w:type="pct"/>
                  <w:tcBorders>
                    <w:top w:val="single" w:color="000000" w:sz="8" w:space="0"/>
                    <w:left w:val="nil"/>
                    <w:bottom w:val="single" w:color="000000" w:sz="8" w:space="0"/>
                    <w:right w:val="single" w:color="000000" w:sz="8" w:space="0"/>
                  </w:tcBorders>
                  <w:shd w:val="clear" w:color="auto" w:fill="auto"/>
                  <w:vAlign w:val="center"/>
                </w:tcPr>
                <w:p w14:paraId="6466A55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DA001</w:t>
                  </w:r>
                </w:p>
              </w:tc>
            </w:tr>
            <w:tr w14:paraId="2247081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3105" w:type="pct"/>
                  <w:gridSpan w:val="2"/>
                  <w:tcBorders>
                    <w:top w:val="nil"/>
                    <w:left w:val="single" w:color="000000" w:sz="8" w:space="0"/>
                    <w:bottom w:val="single" w:color="000000" w:sz="8" w:space="0"/>
                    <w:right w:val="single" w:color="000000" w:sz="8" w:space="0"/>
                  </w:tcBorders>
                  <w:shd w:val="clear" w:color="auto" w:fill="auto"/>
                  <w:vAlign w:val="center"/>
                </w:tcPr>
                <w:p w14:paraId="1C45147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工序</w:t>
                  </w:r>
                </w:p>
              </w:tc>
              <w:tc>
                <w:tcPr>
                  <w:tcW w:w="1894" w:type="pct"/>
                  <w:tcBorders>
                    <w:top w:val="nil"/>
                    <w:left w:val="nil"/>
                    <w:bottom w:val="single" w:color="000000" w:sz="8" w:space="0"/>
                    <w:right w:val="single" w:color="000000" w:sz="8" w:space="0"/>
                  </w:tcBorders>
                  <w:shd w:val="clear" w:color="auto" w:fill="auto"/>
                  <w:vAlign w:val="center"/>
                </w:tcPr>
                <w:p w14:paraId="3067142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干法破碎</w:t>
                  </w:r>
                </w:p>
              </w:tc>
            </w:tr>
            <w:tr w14:paraId="031FCB4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3105" w:type="pct"/>
                  <w:gridSpan w:val="2"/>
                  <w:tcBorders>
                    <w:top w:val="nil"/>
                    <w:left w:val="single" w:color="000000" w:sz="8" w:space="0"/>
                    <w:bottom w:val="single" w:color="000000" w:sz="8" w:space="0"/>
                    <w:right w:val="single" w:color="000000" w:sz="8" w:space="0"/>
                  </w:tcBorders>
                  <w:shd w:val="clear" w:color="auto" w:fill="auto"/>
                  <w:vAlign w:val="center"/>
                </w:tcPr>
                <w:p w14:paraId="34905F7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污染物</w:t>
                  </w:r>
                </w:p>
              </w:tc>
              <w:tc>
                <w:tcPr>
                  <w:tcW w:w="1894" w:type="pct"/>
                  <w:tcBorders>
                    <w:top w:val="nil"/>
                    <w:left w:val="nil"/>
                    <w:bottom w:val="single" w:color="000000" w:sz="8" w:space="0"/>
                    <w:right w:val="single" w:color="000000" w:sz="8" w:space="0"/>
                  </w:tcBorders>
                  <w:shd w:val="clear" w:color="auto" w:fill="auto"/>
                  <w:vAlign w:val="center"/>
                </w:tcPr>
                <w:p w14:paraId="10307BB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颗粒物</w:t>
                  </w:r>
                </w:p>
              </w:tc>
            </w:tr>
            <w:tr w14:paraId="0E412EB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3105" w:type="pct"/>
                  <w:gridSpan w:val="2"/>
                  <w:tcBorders>
                    <w:top w:val="nil"/>
                    <w:left w:val="single" w:color="000000" w:sz="8" w:space="0"/>
                    <w:bottom w:val="single" w:color="000000" w:sz="8" w:space="0"/>
                    <w:right w:val="single" w:color="000000" w:sz="8" w:space="0"/>
                  </w:tcBorders>
                  <w:shd w:val="clear" w:color="auto" w:fill="auto"/>
                  <w:vAlign w:val="center"/>
                </w:tcPr>
                <w:p w14:paraId="68163AF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生产时间（h）</w:t>
                  </w:r>
                </w:p>
              </w:tc>
              <w:tc>
                <w:tcPr>
                  <w:tcW w:w="3519" w:type="dxa"/>
                  <w:tcBorders>
                    <w:top w:val="nil"/>
                    <w:left w:val="nil"/>
                    <w:bottom w:val="single" w:color="000000" w:sz="8" w:space="0"/>
                    <w:right w:val="single" w:color="000000" w:sz="8" w:space="0"/>
                  </w:tcBorders>
                  <w:shd w:val="clear" w:color="auto" w:fill="auto"/>
                  <w:vAlign w:val="center"/>
                </w:tcPr>
                <w:p w14:paraId="3402F65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7920</w:t>
                  </w:r>
                </w:p>
              </w:tc>
            </w:tr>
            <w:tr w14:paraId="6FD165E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3105" w:type="pct"/>
                  <w:gridSpan w:val="2"/>
                  <w:tcBorders>
                    <w:top w:val="nil"/>
                    <w:left w:val="single" w:color="000000" w:sz="8" w:space="0"/>
                    <w:bottom w:val="single" w:color="000000" w:sz="8" w:space="0"/>
                    <w:right w:val="single" w:color="000000" w:sz="8" w:space="0"/>
                  </w:tcBorders>
                  <w:shd w:val="clear" w:color="auto" w:fill="auto"/>
                  <w:vAlign w:val="center"/>
                </w:tcPr>
                <w:p w14:paraId="44AD9DA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产生量（t/a）</w:t>
                  </w:r>
                </w:p>
              </w:tc>
              <w:tc>
                <w:tcPr>
                  <w:tcW w:w="3519" w:type="dxa"/>
                  <w:tcBorders>
                    <w:top w:val="nil"/>
                    <w:left w:val="nil"/>
                    <w:bottom w:val="single" w:color="000000" w:sz="8" w:space="0"/>
                    <w:right w:val="single" w:color="000000" w:sz="8" w:space="0"/>
                  </w:tcBorders>
                  <w:shd w:val="clear" w:color="auto" w:fill="auto"/>
                  <w:vAlign w:val="center"/>
                </w:tcPr>
                <w:p w14:paraId="497C5D5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rPr>
                    <w:t>2.886</w:t>
                  </w:r>
                </w:p>
              </w:tc>
            </w:tr>
            <w:tr w14:paraId="3C692EA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3105" w:type="pct"/>
                  <w:gridSpan w:val="2"/>
                  <w:tcBorders>
                    <w:top w:val="nil"/>
                    <w:left w:val="single" w:color="000000" w:sz="8" w:space="0"/>
                    <w:bottom w:val="single" w:color="000000" w:sz="8" w:space="0"/>
                    <w:right w:val="single" w:color="000000" w:sz="8" w:space="0"/>
                  </w:tcBorders>
                  <w:shd w:val="clear" w:color="auto" w:fill="auto"/>
                  <w:vAlign w:val="center"/>
                </w:tcPr>
                <w:p w14:paraId="0C0501F9">
                  <w:pPr>
                    <w:keepNext w:val="0"/>
                    <w:keepLines w:val="0"/>
                    <w:widowControl/>
                    <w:suppressLineNumbers w:val="0"/>
                    <w:spacing w:before="0" w:beforeAutospacing="0" w:after="0" w:afterAutospacing="0"/>
                    <w:ind w:left="0" w:right="0"/>
                    <w:jc w:val="center"/>
                    <w:textAlignment w:val="center"/>
                    <w:rPr>
                      <w:rFonts w:hint="eastAsia"/>
                      <w:color w:val="auto"/>
                      <w:highlight w:val="none"/>
                    </w:rPr>
                  </w:pPr>
                  <w:r>
                    <w:rPr>
                      <w:rFonts w:hint="default" w:ascii="Times New Roman" w:hAnsi="Times New Roman" w:eastAsia="宋体" w:cs="Times New Roman"/>
                      <w:b/>
                      <w:bCs/>
                      <w:i w:val="0"/>
                      <w:iCs w:val="0"/>
                      <w:color w:val="auto"/>
                      <w:kern w:val="0"/>
                      <w:sz w:val="21"/>
                      <w:szCs w:val="21"/>
                      <w:highlight w:val="none"/>
                      <w:u w:val="none"/>
                      <w:lang w:val="en-US" w:eastAsia="zh-CN"/>
                    </w:rPr>
                    <w:t>收集效率%</w:t>
                  </w:r>
                </w:p>
              </w:tc>
              <w:tc>
                <w:tcPr>
                  <w:tcW w:w="3519" w:type="dxa"/>
                  <w:tcBorders>
                    <w:top w:val="nil"/>
                    <w:left w:val="nil"/>
                    <w:bottom w:val="single" w:color="000000" w:sz="8" w:space="0"/>
                    <w:right w:val="single" w:color="000000" w:sz="8" w:space="0"/>
                  </w:tcBorders>
                  <w:shd w:val="clear" w:color="auto" w:fill="auto"/>
                  <w:vAlign w:val="center"/>
                </w:tcPr>
                <w:p w14:paraId="12BFE39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rPr>
                    <w:t>40</w:t>
                  </w:r>
                </w:p>
              </w:tc>
            </w:tr>
            <w:tr w14:paraId="259DC49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3105" w:type="pct"/>
                  <w:gridSpan w:val="2"/>
                  <w:tcBorders>
                    <w:top w:val="nil"/>
                    <w:left w:val="single" w:color="000000" w:sz="8" w:space="0"/>
                    <w:bottom w:val="single" w:color="000000" w:sz="8" w:space="0"/>
                    <w:right w:val="single" w:color="000000" w:sz="8" w:space="0"/>
                  </w:tcBorders>
                  <w:shd w:val="clear" w:color="auto" w:fill="auto"/>
                  <w:vAlign w:val="center"/>
                </w:tcPr>
                <w:p w14:paraId="0B9572F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设计废气量（m³/h）</w:t>
                  </w:r>
                </w:p>
              </w:tc>
              <w:tc>
                <w:tcPr>
                  <w:tcW w:w="3519" w:type="dxa"/>
                  <w:tcBorders>
                    <w:top w:val="nil"/>
                    <w:left w:val="nil"/>
                    <w:bottom w:val="single" w:color="000000" w:sz="8" w:space="0"/>
                    <w:right w:val="single" w:color="000000" w:sz="8" w:space="0"/>
                  </w:tcBorders>
                  <w:shd w:val="clear" w:color="auto" w:fill="auto"/>
                  <w:vAlign w:val="center"/>
                </w:tcPr>
                <w:p w14:paraId="3ED65C0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8</w:t>
                  </w:r>
                  <w:r>
                    <w:rPr>
                      <w:rFonts w:hint="eastAsia" w:cs="Times New Roman"/>
                      <w:i w:val="0"/>
                      <w:iCs w:val="0"/>
                      <w:color w:val="auto"/>
                      <w:kern w:val="0"/>
                      <w:sz w:val="21"/>
                      <w:szCs w:val="21"/>
                      <w:highlight w:val="none"/>
                      <w:u w:val="none"/>
                      <w:lang w:val="en-US" w:eastAsia="zh-CN"/>
                    </w:rPr>
                    <w:t>0</w:t>
                  </w:r>
                  <w:r>
                    <w:rPr>
                      <w:rFonts w:hint="default" w:ascii="Times New Roman" w:hAnsi="Times New Roman" w:eastAsia="宋体" w:cs="Times New Roman"/>
                      <w:i w:val="0"/>
                      <w:iCs w:val="0"/>
                      <w:color w:val="auto"/>
                      <w:kern w:val="0"/>
                      <w:sz w:val="21"/>
                      <w:szCs w:val="21"/>
                      <w:highlight w:val="none"/>
                      <w:u w:val="none"/>
                      <w:lang w:val="en-US" w:eastAsia="zh-CN"/>
                    </w:rPr>
                    <w:t>00</w:t>
                  </w:r>
                </w:p>
              </w:tc>
            </w:tr>
            <w:tr w14:paraId="119C221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518" w:type="pct"/>
                  <w:vMerge w:val="restart"/>
                  <w:tcBorders>
                    <w:top w:val="nil"/>
                    <w:left w:val="single" w:color="000000" w:sz="8" w:space="0"/>
                    <w:bottom w:val="single" w:color="000000" w:sz="8" w:space="0"/>
                    <w:right w:val="single" w:color="000000" w:sz="8" w:space="0"/>
                  </w:tcBorders>
                  <w:shd w:val="clear" w:color="auto" w:fill="auto"/>
                  <w:vAlign w:val="center"/>
                </w:tcPr>
                <w:p w14:paraId="5C7B198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有组织</w:t>
                  </w:r>
                </w:p>
              </w:tc>
              <w:tc>
                <w:tcPr>
                  <w:tcW w:w="1587" w:type="pct"/>
                  <w:tcBorders>
                    <w:top w:val="nil"/>
                    <w:left w:val="nil"/>
                    <w:bottom w:val="single" w:color="000000" w:sz="8" w:space="0"/>
                    <w:right w:val="single" w:color="000000" w:sz="8" w:space="0"/>
                  </w:tcBorders>
                  <w:shd w:val="clear" w:color="auto" w:fill="auto"/>
                  <w:vAlign w:val="center"/>
                </w:tcPr>
                <w:p w14:paraId="2A523D1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产生量（t/a）</w:t>
                  </w:r>
                </w:p>
              </w:tc>
              <w:tc>
                <w:tcPr>
                  <w:tcW w:w="3519" w:type="dxa"/>
                  <w:tcBorders>
                    <w:top w:val="nil"/>
                    <w:left w:val="nil"/>
                    <w:bottom w:val="single" w:color="000000" w:sz="8" w:space="0"/>
                    <w:right w:val="single" w:color="000000" w:sz="8" w:space="0"/>
                  </w:tcBorders>
                  <w:shd w:val="clear" w:color="auto" w:fill="auto"/>
                  <w:vAlign w:val="center"/>
                </w:tcPr>
                <w:p w14:paraId="54AB1E0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rPr>
                    <w:t>1.154</w:t>
                  </w:r>
                </w:p>
              </w:tc>
            </w:tr>
            <w:tr w14:paraId="723757A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518" w:type="pct"/>
                  <w:vMerge w:val="continue"/>
                  <w:tcBorders>
                    <w:top w:val="nil"/>
                    <w:left w:val="single" w:color="000000" w:sz="8" w:space="0"/>
                    <w:bottom w:val="single" w:color="000000" w:sz="8" w:space="0"/>
                    <w:right w:val="single" w:color="000000" w:sz="8" w:space="0"/>
                  </w:tcBorders>
                  <w:shd w:val="clear" w:color="auto" w:fill="auto"/>
                  <w:vAlign w:val="center"/>
                </w:tcPr>
                <w:p w14:paraId="25D5D703">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i w:val="0"/>
                      <w:iCs w:val="0"/>
                      <w:color w:val="auto"/>
                      <w:sz w:val="21"/>
                      <w:szCs w:val="21"/>
                      <w:highlight w:val="none"/>
                      <w:u w:val="none"/>
                    </w:rPr>
                  </w:pPr>
                </w:p>
              </w:tc>
              <w:tc>
                <w:tcPr>
                  <w:tcW w:w="1587" w:type="pct"/>
                  <w:tcBorders>
                    <w:top w:val="nil"/>
                    <w:left w:val="nil"/>
                    <w:bottom w:val="single" w:color="000000" w:sz="8" w:space="0"/>
                    <w:right w:val="single" w:color="000000" w:sz="8" w:space="0"/>
                  </w:tcBorders>
                  <w:shd w:val="clear" w:color="auto" w:fill="auto"/>
                  <w:vAlign w:val="center"/>
                </w:tcPr>
                <w:p w14:paraId="4D34A37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产生速率（kg/h）</w:t>
                  </w:r>
                </w:p>
              </w:tc>
              <w:tc>
                <w:tcPr>
                  <w:tcW w:w="3519" w:type="dxa"/>
                  <w:tcBorders>
                    <w:top w:val="nil"/>
                    <w:left w:val="nil"/>
                    <w:bottom w:val="single" w:color="000000" w:sz="8" w:space="0"/>
                    <w:right w:val="single" w:color="000000" w:sz="8" w:space="0"/>
                  </w:tcBorders>
                  <w:shd w:val="clear" w:color="auto" w:fill="auto"/>
                  <w:vAlign w:val="center"/>
                </w:tcPr>
                <w:p w14:paraId="7602CFA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rPr>
                    <w:t>0.</w:t>
                  </w:r>
                  <w:r>
                    <w:rPr>
                      <w:rFonts w:hint="eastAsia" w:cs="Times New Roman"/>
                      <w:i w:val="0"/>
                      <w:iCs w:val="0"/>
                      <w:color w:val="auto"/>
                      <w:kern w:val="0"/>
                      <w:sz w:val="21"/>
                      <w:szCs w:val="21"/>
                      <w:highlight w:val="none"/>
                      <w:u w:val="none"/>
                      <w:lang w:val="en-US" w:eastAsia="zh-CN"/>
                    </w:rPr>
                    <w:t>146</w:t>
                  </w:r>
                </w:p>
              </w:tc>
            </w:tr>
            <w:tr w14:paraId="4B5CDD1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518" w:type="pct"/>
                  <w:vMerge w:val="continue"/>
                  <w:tcBorders>
                    <w:top w:val="nil"/>
                    <w:left w:val="single" w:color="000000" w:sz="8" w:space="0"/>
                    <w:bottom w:val="single" w:color="000000" w:sz="8" w:space="0"/>
                    <w:right w:val="single" w:color="000000" w:sz="8" w:space="0"/>
                  </w:tcBorders>
                  <w:shd w:val="clear" w:color="auto" w:fill="auto"/>
                  <w:vAlign w:val="center"/>
                </w:tcPr>
                <w:p w14:paraId="586A2759">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i w:val="0"/>
                      <w:iCs w:val="0"/>
                      <w:color w:val="auto"/>
                      <w:sz w:val="21"/>
                      <w:szCs w:val="21"/>
                      <w:highlight w:val="none"/>
                      <w:u w:val="none"/>
                    </w:rPr>
                  </w:pPr>
                </w:p>
              </w:tc>
              <w:tc>
                <w:tcPr>
                  <w:tcW w:w="1587" w:type="pct"/>
                  <w:tcBorders>
                    <w:top w:val="nil"/>
                    <w:left w:val="nil"/>
                    <w:bottom w:val="single" w:color="000000" w:sz="8" w:space="0"/>
                    <w:right w:val="single" w:color="000000" w:sz="8" w:space="0"/>
                  </w:tcBorders>
                  <w:shd w:val="clear" w:color="auto" w:fill="auto"/>
                  <w:vAlign w:val="center"/>
                </w:tcPr>
                <w:p w14:paraId="652D149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产生浓度（mg/m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rPr>
                    <w:t>3</w:t>
                  </w:r>
                  <w:r>
                    <w:rPr>
                      <w:rFonts w:hint="default" w:ascii="Times New Roman" w:hAnsi="Times New Roman" w:eastAsia="宋体" w:cs="Times New Roman"/>
                      <w:b/>
                      <w:bCs/>
                      <w:i w:val="0"/>
                      <w:iCs w:val="0"/>
                      <w:color w:val="auto"/>
                      <w:kern w:val="0"/>
                      <w:sz w:val="21"/>
                      <w:szCs w:val="21"/>
                      <w:highlight w:val="none"/>
                      <w:u w:val="none"/>
                      <w:lang w:val="en-US" w:eastAsia="zh-CN"/>
                    </w:rPr>
                    <w:t>）</w:t>
                  </w:r>
                </w:p>
              </w:tc>
              <w:tc>
                <w:tcPr>
                  <w:tcW w:w="3519" w:type="dxa"/>
                  <w:tcBorders>
                    <w:top w:val="nil"/>
                    <w:left w:val="nil"/>
                    <w:bottom w:val="single" w:color="000000" w:sz="8" w:space="0"/>
                    <w:right w:val="single" w:color="000000" w:sz="8" w:space="0"/>
                  </w:tcBorders>
                  <w:shd w:val="clear" w:color="auto" w:fill="auto"/>
                  <w:vAlign w:val="center"/>
                </w:tcPr>
                <w:p w14:paraId="7C8ED62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rPr>
                    <w:t>18.2</w:t>
                  </w:r>
                </w:p>
              </w:tc>
            </w:tr>
            <w:tr w14:paraId="11676F5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518" w:type="pct"/>
                  <w:vMerge w:val="continue"/>
                  <w:tcBorders>
                    <w:top w:val="nil"/>
                    <w:left w:val="single" w:color="000000" w:sz="8" w:space="0"/>
                    <w:bottom w:val="single" w:color="000000" w:sz="8" w:space="0"/>
                    <w:right w:val="single" w:color="000000" w:sz="8" w:space="0"/>
                  </w:tcBorders>
                  <w:shd w:val="clear" w:color="auto" w:fill="auto"/>
                  <w:vAlign w:val="center"/>
                </w:tcPr>
                <w:p w14:paraId="2749DBD1">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i w:val="0"/>
                      <w:iCs w:val="0"/>
                      <w:color w:val="auto"/>
                      <w:sz w:val="21"/>
                      <w:szCs w:val="21"/>
                      <w:highlight w:val="none"/>
                      <w:u w:val="none"/>
                    </w:rPr>
                  </w:pPr>
                </w:p>
              </w:tc>
              <w:tc>
                <w:tcPr>
                  <w:tcW w:w="1587" w:type="pct"/>
                  <w:tcBorders>
                    <w:top w:val="nil"/>
                    <w:left w:val="nil"/>
                    <w:bottom w:val="single" w:color="000000" w:sz="8" w:space="0"/>
                    <w:right w:val="single" w:color="000000" w:sz="8" w:space="0"/>
                  </w:tcBorders>
                  <w:shd w:val="clear" w:color="auto" w:fill="auto"/>
                  <w:vAlign w:val="center"/>
                </w:tcPr>
                <w:p w14:paraId="4BF4BCE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处理工艺</w:t>
                  </w:r>
                </w:p>
              </w:tc>
              <w:tc>
                <w:tcPr>
                  <w:tcW w:w="3519" w:type="dxa"/>
                  <w:tcBorders>
                    <w:top w:val="nil"/>
                    <w:left w:val="nil"/>
                    <w:bottom w:val="single" w:color="000000" w:sz="8" w:space="0"/>
                    <w:right w:val="single" w:color="000000" w:sz="8" w:space="0"/>
                  </w:tcBorders>
                  <w:shd w:val="clear" w:color="auto" w:fill="auto"/>
                  <w:vAlign w:val="center"/>
                </w:tcPr>
                <w:p w14:paraId="3FAB355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布袋除尘器</w:t>
                  </w:r>
                </w:p>
              </w:tc>
            </w:tr>
            <w:tr w14:paraId="19F575E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518" w:type="pct"/>
                  <w:vMerge w:val="continue"/>
                  <w:tcBorders>
                    <w:top w:val="nil"/>
                    <w:left w:val="single" w:color="000000" w:sz="8" w:space="0"/>
                    <w:bottom w:val="single" w:color="000000" w:sz="8" w:space="0"/>
                    <w:right w:val="single" w:color="000000" w:sz="8" w:space="0"/>
                  </w:tcBorders>
                  <w:shd w:val="clear" w:color="auto" w:fill="auto"/>
                  <w:vAlign w:val="center"/>
                </w:tcPr>
                <w:p w14:paraId="3FD363A4">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i w:val="0"/>
                      <w:iCs w:val="0"/>
                      <w:color w:val="auto"/>
                      <w:sz w:val="21"/>
                      <w:szCs w:val="21"/>
                      <w:highlight w:val="none"/>
                      <w:u w:val="none"/>
                    </w:rPr>
                  </w:pPr>
                </w:p>
              </w:tc>
              <w:tc>
                <w:tcPr>
                  <w:tcW w:w="1587" w:type="pct"/>
                  <w:tcBorders>
                    <w:top w:val="nil"/>
                    <w:left w:val="nil"/>
                    <w:bottom w:val="single" w:color="000000" w:sz="8" w:space="0"/>
                    <w:right w:val="single" w:color="000000" w:sz="8" w:space="0"/>
                  </w:tcBorders>
                  <w:shd w:val="clear" w:color="auto" w:fill="auto"/>
                  <w:vAlign w:val="center"/>
                </w:tcPr>
                <w:p w14:paraId="00CAB78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处理效率%</w:t>
                  </w:r>
                </w:p>
              </w:tc>
              <w:tc>
                <w:tcPr>
                  <w:tcW w:w="3519" w:type="dxa"/>
                  <w:tcBorders>
                    <w:top w:val="nil"/>
                    <w:left w:val="nil"/>
                    <w:bottom w:val="single" w:color="000000" w:sz="8" w:space="0"/>
                    <w:right w:val="single" w:color="000000" w:sz="8" w:space="0"/>
                  </w:tcBorders>
                  <w:shd w:val="clear" w:color="auto" w:fill="auto"/>
                  <w:vAlign w:val="center"/>
                </w:tcPr>
                <w:p w14:paraId="4E54EC8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rPr>
                    <w:t>95</w:t>
                  </w:r>
                </w:p>
              </w:tc>
            </w:tr>
            <w:tr w14:paraId="2150981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518" w:type="pct"/>
                  <w:vMerge w:val="continue"/>
                  <w:tcBorders>
                    <w:top w:val="nil"/>
                    <w:left w:val="single" w:color="000000" w:sz="8" w:space="0"/>
                    <w:bottom w:val="single" w:color="000000" w:sz="8" w:space="0"/>
                    <w:right w:val="single" w:color="000000" w:sz="8" w:space="0"/>
                  </w:tcBorders>
                  <w:shd w:val="clear" w:color="auto" w:fill="auto"/>
                  <w:vAlign w:val="center"/>
                </w:tcPr>
                <w:p w14:paraId="68100E23">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i w:val="0"/>
                      <w:iCs w:val="0"/>
                      <w:color w:val="auto"/>
                      <w:sz w:val="21"/>
                      <w:szCs w:val="21"/>
                      <w:highlight w:val="none"/>
                      <w:u w:val="none"/>
                    </w:rPr>
                  </w:pPr>
                </w:p>
              </w:tc>
              <w:tc>
                <w:tcPr>
                  <w:tcW w:w="1587" w:type="pct"/>
                  <w:tcBorders>
                    <w:top w:val="nil"/>
                    <w:left w:val="nil"/>
                    <w:bottom w:val="single" w:color="000000" w:sz="8" w:space="0"/>
                    <w:right w:val="single" w:color="000000" w:sz="8" w:space="0"/>
                  </w:tcBorders>
                  <w:shd w:val="clear" w:color="auto" w:fill="auto"/>
                  <w:vAlign w:val="center"/>
                </w:tcPr>
                <w:p w14:paraId="646620F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废气量（m³/h）</w:t>
                  </w:r>
                </w:p>
              </w:tc>
              <w:tc>
                <w:tcPr>
                  <w:tcW w:w="3519" w:type="dxa"/>
                  <w:tcBorders>
                    <w:top w:val="nil"/>
                    <w:left w:val="nil"/>
                    <w:bottom w:val="single" w:color="000000" w:sz="8" w:space="0"/>
                    <w:right w:val="single" w:color="000000" w:sz="8" w:space="0"/>
                  </w:tcBorders>
                  <w:shd w:val="clear" w:color="auto" w:fill="auto"/>
                  <w:vAlign w:val="center"/>
                </w:tcPr>
                <w:p w14:paraId="37E108A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8</w:t>
                  </w:r>
                  <w:r>
                    <w:rPr>
                      <w:rFonts w:hint="eastAsia" w:cs="Times New Roman"/>
                      <w:i w:val="0"/>
                      <w:iCs w:val="0"/>
                      <w:color w:val="auto"/>
                      <w:kern w:val="0"/>
                      <w:sz w:val="21"/>
                      <w:szCs w:val="21"/>
                      <w:highlight w:val="none"/>
                      <w:u w:val="none"/>
                      <w:lang w:val="en-US" w:eastAsia="zh-CN"/>
                    </w:rPr>
                    <w:t>0</w:t>
                  </w:r>
                  <w:r>
                    <w:rPr>
                      <w:rFonts w:hint="default" w:ascii="Times New Roman" w:hAnsi="Times New Roman" w:eastAsia="宋体" w:cs="Times New Roman"/>
                      <w:i w:val="0"/>
                      <w:iCs w:val="0"/>
                      <w:color w:val="auto"/>
                      <w:kern w:val="0"/>
                      <w:sz w:val="21"/>
                      <w:szCs w:val="21"/>
                      <w:highlight w:val="none"/>
                      <w:u w:val="none"/>
                      <w:lang w:val="en-US" w:eastAsia="zh-CN"/>
                    </w:rPr>
                    <w:t>00</w:t>
                  </w:r>
                </w:p>
              </w:tc>
            </w:tr>
            <w:tr w14:paraId="3871A61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518" w:type="pct"/>
                  <w:vMerge w:val="continue"/>
                  <w:tcBorders>
                    <w:top w:val="nil"/>
                    <w:left w:val="single" w:color="000000" w:sz="8" w:space="0"/>
                    <w:bottom w:val="single" w:color="000000" w:sz="8" w:space="0"/>
                    <w:right w:val="single" w:color="000000" w:sz="8" w:space="0"/>
                  </w:tcBorders>
                  <w:shd w:val="clear" w:color="auto" w:fill="auto"/>
                  <w:vAlign w:val="center"/>
                </w:tcPr>
                <w:p w14:paraId="7ECD180F">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i w:val="0"/>
                      <w:iCs w:val="0"/>
                      <w:color w:val="auto"/>
                      <w:sz w:val="21"/>
                      <w:szCs w:val="21"/>
                      <w:highlight w:val="none"/>
                      <w:u w:val="none"/>
                    </w:rPr>
                  </w:pPr>
                </w:p>
              </w:tc>
              <w:tc>
                <w:tcPr>
                  <w:tcW w:w="1587" w:type="pct"/>
                  <w:tcBorders>
                    <w:top w:val="nil"/>
                    <w:left w:val="nil"/>
                    <w:bottom w:val="single" w:color="000000" w:sz="8" w:space="0"/>
                    <w:right w:val="single" w:color="000000" w:sz="8" w:space="0"/>
                  </w:tcBorders>
                  <w:shd w:val="clear" w:color="auto" w:fill="auto"/>
                  <w:vAlign w:val="center"/>
                </w:tcPr>
                <w:p w14:paraId="425965B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排放量（t/a）</w:t>
                  </w:r>
                </w:p>
              </w:tc>
              <w:tc>
                <w:tcPr>
                  <w:tcW w:w="3519" w:type="dxa"/>
                  <w:tcBorders>
                    <w:top w:val="nil"/>
                    <w:left w:val="nil"/>
                    <w:bottom w:val="single" w:color="000000" w:sz="8" w:space="0"/>
                    <w:right w:val="single" w:color="000000" w:sz="8" w:space="0"/>
                  </w:tcBorders>
                  <w:shd w:val="clear" w:color="auto" w:fill="auto"/>
                  <w:vAlign w:val="center"/>
                </w:tcPr>
                <w:p w14:paraId="117121C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 xml:space="preserve">0.058 </w:t>
                  </w:r>
                </w:p>
              </w:tc>
            </w:tr>
            <w:tr w14:paraId="2A225D7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518" w:type="pct"/>
                  <w:vMerge w:val="continue"/>
                  <w:tcBorders>
                    <w:top w:val="nil"/>
                    <w:left w:val="single" w:color="000000" w:sz="8" w:space="0"/>
                    <w:bottom w:val="single" w:color="000000" w:sz="8" w:space="0"/>
                    <w:right w:val="single" w:color="000000" w:sz="8" w:space="0"/>
                  </w:tcBorders>
                  <w:shd w:val="clear" w:color="auto" w:fill="auto"/>
                  <w:vAlign w:val="center"/>
                </w:tcPr>
                <w:p w14:paraId="108F3E5B">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i w:val="0"/>
                      <w:iCs w:val="0"/>
                      <w:color w:val="auto"/>
                      <w:sz w:val="21"/>
                      <w:szCs w:val="21"/>
                      <w:highlight w:val="none"/>
                      <w:u w:val="none"/>
                    </w:rPr>
                  </w:pPr>
                </w:p>
              </w:tc>
              <w:tc>
                <w:tcPr>
                  <w:tcW w:w="1587" w:type="pct"/>
                  <w:tcBorders>
                    <w:top w:val="nil"/>
                    <w:left w:val="nil"/>
                    <w:bottom w:val="single" w:color="000000" w:sz="8" w:space="0"/>
                    <w:right w:val="single" w:color="000000" w:sz="8" w:space="0"/>
                  </w:tcBorders>
                  <w:shd w:val="clear" w:color="auto" w:fill="auto"/>
                  <w:vAlign w:val="center"/>
                </w:tcPr>
                <w:p w14:paraId="17F9459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排放速率（kg/h）</w:t>
                  </w:r>
                </w:p>
              </w:tc>
              <w:tc>
                <w:tcPr>
                  <w:tcW w:w="3519" w:type="dxa"/>
                  <w:tcBorders>
                    <w:top w:val="nil"/>
                    <w:left w:val="nil"/>
                    <w:bottom w:val="single" w:color="000000" w:sz="8" w:space="0"/>
                    <w:right w:val="single" w:color="000000" w:sz="8" w:space="0"/>
                  </w:tcBorders>
                  <w:shd w:val="clear" w:color="auto" w:fill="auto"/>
                  <w:vAlign w:val="center"/>
                </w:tcPr>
                <w:p w14:paraId="5BFB7D4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rPr>
                    <w:t xml:space="preserve">0.007 </w:t>
                  </w:r>
                </w:p>
              </w:tc>
            </w:tr>
            <w:tr w14:paraId="1B21D2B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518" w:type="pct"/>
                  <w:vMerge w:val="continue"/>
                  <w:tcBorders>
                    <w:top w:val="nil"/>
                    <w:left w:val="single" w:color="000000" w:sz="8" w:space="0"/>
                    <w:bottom w:val="single" w:color="000000" w:sz="8" w:space="0"/>
                    <w:right w:val="single" w:color="000000" w:sz="8" w:space="0"/>
                  </w:tcBorders>
                  <w:shd w:val="clear" w:color="auto" w:fill="auto"/>
                  <w:vAlign w:val="center"/>
                </w:tcPr>
                <w:p w14:paraId="42D72FA7">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i w:val="0"/>
                      <w:iCs w:val="0"/>
                      <w:color w:val="auto"/>
                      <w:sz w:val="21"/>
                      <w:szCs w:val="21"/>
                      <w:highlight w:val="none"/>
                      <w:u w:val="none"/>
                    </w:rPr>
                  </w:pPr>
                </w:p>
              </w:tc>
              <w:tc>
                <w:tcPr>
                  <w:tcW w:w="1587" w:type="pct"/>
                  <w:tcBorders>
                    <w:top w:val="nil"/>
                    <w:left w:val="nil"/>
                    <w:bottom w:val="single" w:color="000000" w:sz="8" w:space="0"/>
                    <w:right w:val="single" w:color="000000" w:sz="8" w:space="0"/>
                  </w:tcBorders>
                  <w:shd w:val="clear" w:color="auto" w:fill="auto"/>
                  <w:vAlign w:val="center"/>
                </w:tcPr>
                <w:p w14:paraId="7AD5A80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排放浓度（mg/m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rPr>
                    <w:t>3</w:t>
                  </w:r>
                  <w:r>
                    <w:rPr>
                      <w:rFonts w:hint="default" w:ascii="Times New Roman" w:hAnsi="Times New Roman" w:eastAsia="宋体" w:cs="Times New Roman"/>
                      <w:b/>
                      <w:bCs/>
                      <w:i w:val="0"/>
                      <w:iCs w:val="0"/>
                      <w:color w:val="auto"/>
                      <w:kern w:val="0"/>
                      <w:sz w:val="21"/>
                      <w:szCs w:val="21"/>
                      <w:highlight w:val="none"/>
                      <w:u w:val="none"/>
                      <w:lang w:val="en-US" w:eastAsia="zh-CN"/>
                    </w:rPr>
                    <w:t>）</w:t>
                  </w:r>
                </w:p>
              </w:tc>
              <w:tc>
                <w:tcPr>
                  <w:tcW w:w="3519" w:type="dxa"/>
                  <w:tcBorders>
                    <w:top w:val="nil"/>
                    <w:left w:val="nil"/>
                    <w:bottom w:val="single" w:color="000000" w:sz="8" w:space="0"/>
                    <w:right w:val="single" w:color="000000" w:sz="8" w:space="0"/>
                  </w:tcBorders>
                  <w:shd w:val="clear" w:color="auto" w:fill="auto"/>
                  <w:vAlign w:val="center"/>
                </w:tcPr>
                <w:p w14:paraId="35D1E59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rPr>
                    <w:t xml:space="preserve">0.9 </w:t>
                  </w:r>
                </w:p>
              </w:tc>
            </w:tr>
            <w:tr w14:paraId="1779F3F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518" w:type="pct"/>
                  <w:vMerge w:val="restart"/>
                  <w:tcBorders>
                    <w:top w:val="nil"/>
                    <w:left w:val="single" w:color="000000" w:sz="8" w:space="0"/>
                    <w:bottom w:val="single" w:color="000000" w:sz="8" w:space="0"/>
                    <w:right w:val="single" w:color="000000" w:sz="8" w:space="0"/>
                  </w:tcBorders>
                  <w:shd w:val="clear" w:color="auto" w:fill="auto"/>
                  <w:vAlign w:val="center"/>
                </w:tcPr>
                <w:p w14:paraId="5C3996A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无组织</w:t>
                  </w:r>
                </w:p>
              </w:tc>
              <w:tc>
                <w:tcPr>
                  <w:tcW w:w="1587" w:type="pct"/>
                  <w:tcBorders>
                    <w:top w:val="nil"/>
                    <w:left w:val="nil"/>
                    <w:bottom w:val="single" w:color="000000" w:sz="8" w:space="0"/>
                    <w:right w:val="single" w:color="000000" w:sz="8" w:space="0"/>
                  </w:tcBorders>
                  <w:shd w:val="clear" w:color="auto" w:fill="auto"/>
                  <w:vAlign w:val="center"/>
                </w:tcPr>
                <w:p w14:paraId="442BBD1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排放量（t/a）</w:t>
                  </w:r>
                </w:p>
              </w:tc>
              <w:tc>
                <w:tcPr>
                  <w:tcW w:w="3519" w:type="dxa"/>
                  <w:tcBorders>
                    <w:top w:val="nil"/>
                    <w:left w:val="nil"/>
                    <w:bottom w:val="single" w:color="000000" w:sz="8" w:space="0"/>
                    <w:right w:val="single" w:color="000000" w:sz="8" w:space="0"/>
                  </w:tcBorders>
                  <w:shd w:val="clear" w:color="auto" w:fill="auto"/>
                  <w:vAlign w:val="center"/>
                </w:tcPr>
                <w:p w14:paraId="70DEF74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rPr>
                    <w:t xml:space="preserve">1.731 </w:t>
                  </w:r>
                </w:p>
              </w:tc>
            </w:tr>
            <w:tr w14:paraId="7839870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518" w:type="pct"/>
                  <w:vMerge w:val="continue"/>
                  <w:tcBorders>
                    <w:top w:val="nil"/>
                    <w:left w:val="single" w:color="000000" w:sz="8" w:space="0"/>
                    <w:bottom w:val="single" w:color="000000" w:sz="8" w:space="0"/>
                    <w:right w:val="single" w:color="000000" w:sz="8" w:space="0"/>
                  </w:tcBorders>
                  <w:shd w:val="clear" w:color="auto" w:fill="auto"/>
                  <w:vAlign w:val="center"/>
                </w:tcPr>
                <w:p w14:paraId="3D6E0BC4">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i w:val="0"/>
                      <w:iCs w:val="0"/>
                      <w:color w:val="auto"/>
                      <w:sz w:val="21"/>
                      <w:szCs w:val="21"/>
                      <w:highlight w:val="none"/>
                      <w:u w:val="none"/>
                    </w:rPr>
                  </w:pPr>
                </w:p>
              </w:tc>
              <w:tc>
                <w:tcPr>
                  <w:tcW w:w="1587" w:type="pct"/>
                  <w:tcBorders>
                    <w:top w:val="nil"/>
                    <w:left w:val="nil"/>
                    <w:bottom w:val="single" w:color="000000" w:sz="8" w:space="0"/>
                    <w:right w:val="single" w:color="000000" w:sz="8" w:space="0"/>
                  </w:tcBorders>
                  <w:shd w:val="clear" w:color="auto" w:fill="auto"/>
                  <w:vAlign w:val="center"/>
                </w:tcPr>
                <w:p w14:paraId="2684E08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排放速率（kg/h）</w:t>
                  </w:r>
                </w:p>
              </w:tc>
              <w:tc>
                <w:tcPr>
                  <w:tcW w:w="3519" w:type="dxa"/>
                  <w:tcBorders>
                    <w:top w:val="nil"/>
                    <w:left w:val="nil"/>
                    <w:bottom w:val="single" w:color="000000" w:sz="8" w:space="0"/>
                    <w:right w:val="single" w:color="000000" w:sz="8" w:space="0"/>
                  </w:tcBorders>
                  <w:shd w:val="clear" w:color="auto" w:fill="auto"/>
                  <w:vAlign w:val="center"/>
                </w:tcPr>
                <w:p w14:paraId="0EE4168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rPr>
                    <w:t xml:space="preserve">0.22 </w:t>
                  </w:r>
                </w:p>
              </w:tc>
            </w:tr>
            <w:tr w14:paraId="3FBBE8E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518" w:type="pct"/>
                  <w:tcBorders>
                    <w:top w:val="nil"/>
                    <w:left w:val="single" w:color="000000" w:sz="8" w:space="0"/>
                    <w:bottom w:val="single" w:color="000000" w:sz="8" w:space="0"/>
                    <w:right w:val="single" w:color="000000" w:sz="8" w:space="0"/>
                  </w:tcBorders>
                  <w:shd w:val="clear" w:color="auto" w:fill="auto"/>
                  <w:vAlign w:val="center"/>
                </w:tcPr>
                <w:p w14:paraId="1E2FFC6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有组织+无组织合计</w:t>
                  </w:r>
                </w:p>
              </w:tc>
              <w:tc>
                <w:tcPr>
                  <w:tcW w:w="1587" w:type="pct"/>
                  <w:tcBorders>
                    <w:top w:val="nil"/>
                    <w:left w:val="nil"/>
                    <w:bottom w:val="single" w:color="000000" w:sz="8" w:space="0"/>
                    <w:right w:val="single" w:color="000000" w:sz="8" w:space="0"/>
                  </w:tcBorders>
                  <w:shd w:val="clear" w:color="auto" w:fill="auto"/>
                  <w:vAlign w:val="center"/>
                </w:tcPr>
                <w:p w14:paraId="3ADE455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排放量（t/a）</w:t>
                  </w:r>
                </w:p>
              </w:tc>
              <w:tc>
                <w:tcPr>
                  <w:tcW w:w="3519" w:type="dxa"/>
                  <w:tcBorders>
                    <w:top w:val="nil"/>
                    <w:left w:val="nil"/>
                    <w:bottom w:val="single" w:color="000000" w:sz="8" w:space="0"/>
                    <w:right w:val="single" w:color="000000" w:sz="8" w:space="0"/>
                  </w:tcBorders>
                  <w:shd w:val="clear" w:color="auto" w:fill="auto"/>
                  <w:vAlign w:val="center"/>
                </w:tcPr>
                <w:p w14:paraId="0DD48E5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rPr>
                    <w:t xml:space="preserve">1.789 </w:t>
                  </w:r>
                </w:p>
              </w:tc>
            </w:tr>
            <w:tr w14:paraId="2EDCC49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3105" w:type="pct"/>
                  <w:gridSpan w:val="2"/>
                  <w:tcBorders>
                    <w:top w:val="nil"/>
                    <w:left w:val="single" w:color="000000" w:sz="8" w:space="0"/>
                    <w:bottom w:val="single" w:color="000000" w:sz="8" w:space="0"/>
                    <w:right w:val="single" w:color="000000" w:sz="8" w:space="0"/>
                  </w:tcBorders>
                  <w:shd w:val="clear" w:color="auto" w:fill="auto"/>
                  <w:vAlign w:val="center"/>
                </w:tcPr>
                <w:p w14:paraId="48B18DF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有组织排放高度/m</w:t>
                  </w:r>
                </w:p>
              </w:tc>
              <w:tc>
                <w:tcPr>
                  <w:tcW w:w="1894" w:type="pct"/>
                  <w:tcBorders>
                    <w:top w:val="nil"/>
                    <w:left w:val="nil"/>
                    <w:bottom w:val="single" w:color="000000" w:sz="8" w:space="0"/>
                    <w:right w:val="single" w:color="000000" w:sz="8" w:space="0"/>
                  </w:tcBorders>
                  <w:shd w:val="clear" w:color="auto" w:fill="auto"/>
                  <w:vAlign w:val="center"/>
                </w:tcPr>
                <w:p w14:paraId="423DF31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15m</w:t>
                  </w:r>
                </w:p>
              </w:tc>
            </w:tr>
          </w:tbl>
          <w:p w14:paraId="77E4E17F">
            <w:pPr>
              <w:pStyle w:val="110"/>
              <w:keepNext w:val="0"/>
              <w:keepLines w:val="0"/>
              <w:numPr>
                <w:ilvl w:val="0"/>
                <w:numId w:val="0"/>
              </w:numPr>
              <w:suppressLineNumbers w:val="0"/>
              <w:tabs>
                <w:tab w:val="left" w:pos="0"/>
              </w:tabs>
              <w:snapToGrid/>
              <w:spacing w:before="0" w:beforeAutospacing="0" w:after="0" w:afterAutospacing="0"/>
              <w:ind w:left="0" w:leftChars="0" w:right="0" w:rightChars="0" w:firstLine="4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pacing w:val="0"/>
                <w:kern w:val="2"/>
                <w:sz w:val="21"/>
                <w:szCs w:val="21"/>
                <w:highlight w:val="none"/>
                <w:lang w:val="en-US" w:eastAsia="zh-CN" w:bidi="ar-SA"/>
              </w:rPr>
              <w:t>表4-</w:t>
            </w:r>
            <w:r>
              <w:rPr>
                <w:rFonts w:hint="eastAsia" w:cs="Times New Roman"/>
                <w:b/>
                <w:bCs/>
                <w:color w:val="auto"/>
                <w:spacing w:val="0"/>
                <w:kern w:val="2"/>
                <w:sz w:val="21"/>
                <w:szCs w:val="21"/>
                <w:highlight w:val="none"/>
                <w:lang w:val="en-US" w:eastAsia="zh-CN" w:bidi="ar-SA"/>
              </w:rPr>
              <w:t xml:space="preserve">4 </w:t>
            </w:r>
            <w:r>
              <w:rPr>
                <w:rFonts w:hint="default" w:ascii="Times New Roman" w:hAnsi="Times New Roman" w:eastAsia="宋体" w:cs="Times New Roman"/>
                <w:b/>
                <w:bCs/>
                <w:color w:val="auto"/>
                <w:sz w:val="21"/>
                <w:szCs w:val="21"/>
                <w:highlight w:val="none"/>
                <w:lang w:val="en-US" w:eastAsia="zh-CN"/>
              </w:rPr>
              <w:t>大气污染物有组织排放量核算表</w:t>
            </w:r>
          </w:p>
          <w:tbl>
            <w:tblPr>
              <w:tblStyle w:val="39"/>
              <w:tblW w:w="4874"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319"/>
              <w:gridCol w:w="1324"/>
              <w:gridCol w:w="1632"/>
              <w:gridCol w:w="1632"/>
              <w:gridCol w:w="1639"/>
              <w:gridCol w:w="1509"/>
            </w:tblGrid>
            <w:tr w14:paraId="3BC65D9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4" w:hRule="atLeast"/>
              </w:trPr>
              <w:tc>
                <w:tcPr>
                  <w:tcW w:w="729" w:type="pct"/>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7CA3C9F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rPr>
                    <w:t>序号</w:t>
                  </w:r>
                </w:p>
              </w:tc>
              <w:tc>
                <w:tcPr>
                  <w:tcW w:w="730" w:type="pct"/>
                  <w:tcBorders>
                    <w:top w:val="single" w:color="000000" w:sz="8" w:space="0"/>
                    <w:left w:val="single" w:color="000000" w:sz="8" w:space="0"/>
                    <w:bottom w:val="nil"/>
                    <w:right w:val="single" w:color="000000" w:sz="8" w:space="0"/>
                  </w:tcBorders>
                  <w:shd w:val="clear" w:color="auto" w:fill="auto"/>
                  <w:vAlign w:val="center"/>
                </w:tcPr>
                <w:p w14:paraId="5E8EEBC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rPr>
                    <w:t>排放口</w:t>
                  </w:r>
                </w:p>
              </w:tc>
              <w:tc>
                <w:tcPr>
                  <w:tcW w:w="901" w:type="pct"/>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7CF5B98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rPr>
                    <w:t>污染物</w:t>
                  </w:r>
                </w:p>
              </w:tc>
              <w:tc>
                <w:tcPr>
                  <w:tcW w:w="901" w:type="pct"/>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16C939E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rPr>
                    <w:t>核算排放浓度</w:t>
                  </w:r>
                  <w:r>
                    <w:rPr>
                      <w:rFonts w:hint="default" w:ascii="Times New Roman" w:hAnsi="Times New Roman" w:eastAsia="宋体" w:cs="Times New Roman"/>
                      <w:b/>
                      <w:bCs/>
                      <w:i w:val="0"/>
                      <w:iCs w:val="0"/>
                      <w:color w:val="auto"/>
                      <w:kern w:val="0"/>
                      <w:sz w:val="21"/>
                      <w:szCs w:val="21"/>
                      <w:highlight w:val="none"/>
                      <w:u w:val="none"/>
                      <w:lang w:val="en-US" w:eastAsia="zh-CN"/>
                    </w:rPr>
                    <w:t>/</w:t>
                  </w:r>
                  <w:r>
                    <w:rPr>
                      <w:rFonts w:hint="eastAsia" w:ascii="宋体" w:hAnsi="宋体" w:eastAsia="宋体" w:cs="宋体"/>
                      <w:b/>
                      <w:bCs/>
                      <w:i w:val="0"/>
                      <w:iCs w:val="0"/>
                      <w:color w:val="auto"/>
                      <w:kern w:val="0"/>
                      <w:sz w:val="21"/>
                      <w:szCs w:val="21"/>
                      <w:highlight w:val="none"/>
                      <w:u w:val="none"/>
                      <w:lang w:val="en-US" w:eastAsia="zh-CN"/>
                    </w:rPr>
                    <w:t>（</w:t>
                  </w:r>
                  <w:r>
                    <w:rPr>
                      <w:rFonts w:hint="default" w:ascii="Times New Roman" w:hAnsi="Times New Roman" w:eastAsia="宋体" w:cs="Times New Roman"/>
                      <w:b/>
                      <w:bCs/>
                      <w:i w:val="0"/>
                      <w:iCs w:val="0"/>
                      <w:color w:val="auto"/>
                      <w:kern w:val="0"/>
                      <w:sz w:val="21"/>
                      <w:szCs w:val="21"/>
                      <w:highlight w:val="none"/>
                      <w:u w:val="none"/>
                      <w:lang w:val="en-US" w:eastAsia="zh-CN"/>
                    </w:rPr>
                    <w:t>mg/m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rPr>
                    <w:t>3</w:t>
                  </w:r>
                  <w:r>
                    <w:rPr>
                      <w:rFonts w:hint="eastAsia" w:ascii="宋体" w:hAnsi="宋体" w:eastAsia="宋体" w:cs="宋体"/>
                      <w:b/>
                      <w:bCs/>
                      <w:i w:val="0"/>
                      <w:iCs w:val="0"/>
                      <w:color w:val="auto"/>
                      <w:kern w:val="0"/>
                      <w:sz w:val="21"/>
                      <w:szCs w:val="21"/>
                      <w:highlight w:val="none"/>
                      <w:u w:val="none"/>
                      <w:lang w:val="en-US" w:eastAsia="zh-CN"/>
                    </w:rPr>
                    <w:t>）</w:t>
                  </w:r>
                </w:p>
              </w:tc>
              <w:tc>
                <w:tcPr>
                  <w:tcW w:w="904" w:type="pct"/>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6630A26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rPr>
                    <w:t>核算排放速率</w:t>
                  </w:r>
                  <w:r>
                    <w:rPr>
                      <w:rFonts w:hint="default" w:ascii="Times New Roman" w:hAnsi="Times New Roman" w:eastAsia="宋体" w:cs="Times New Roman"/>
                      <w:b/>
                      <w:bCs/>
                      <w:i w:val="0"/>
                      <w:iCs w:val="0"/>
                      <w:color w:val="auto"/>
                      <w:kern w:val="0"/>
                      <w:sz w:val="21"/>
                      <w:szCs w:val="21"/>
                      <w:highlight w:val="none"/>
                      <w:u w:val="none"/>
                      <w:lang w:val="en-US" w:eastAsia="zh-CN"/>
                    </w:rPr>
                    <w:t>/</w:t>
                  </w:r>
                  <w:r>
                    <w:rPr>
                      <w:rFonts w:hint="eastAsia" w:ascii="宋体" w:hAnsi="宋体" w:eastAsia="宋体" w:cs="宋体"/>
                      <w:b/>
                      <w:bCs/>
                      <w:i w:val="0"/>
                      <w:iCs w:val="0"/>
                      <w:color w:val="auto"/>
                      <w:kern w:val="0"/>
                      <w:sz w:val="21"/>
                      <w:szCs w:val="21"/>
                      <w:highlight w:val="none"/>
                      <w:u w:val="none"/>
                      <w:lang w:val="en-US" w:eastAsia="zh-CN"/>
                    </w:rPr>
                    <w:t>（</w:t>
                  </w:r>
                  <w:r>
                    <w:rPr>
                      <w:rFonts w:hint="default" w:ascii="Times New Roman" w:hAnsi="Times New Roman" w:eastAsia="宋体" w:cs="Times New Roman"/>
                      <w:b/>
                      <w:bCs/>
                      <w:i w:val="0"/>
                      <w:iCs w:val="0"/>
                      <w:color w:val="auto"/>
                      <w:kern w:val="0"/>
                      <w:sz w:val="21"/>
                      <w:szCs w:val="21"/>
                      <w:highlight w:val="none"/>
                      <w:u w:val="none"/>
                      <w:lang w:val="en-US" w:eastAsia="zh-CN"/>
                    </w:rPr>
                    <w:t>kg/h</w:t>
                  </w:r>
                  <w:r>
                    <w:rPr>
                      <w:rFonts w:hint="eastAsia" w:ascii="宋体" w:hAnsi="宋体" w:eastAsia="宋体" w:cs="宋体"/>
                      <w:b/>
                      <w:bCs/>
                      <w:i w:val="0"/>
                      <w:iCs w:val="0"/>
                      <w:color w:val="auto"/>
                      <w:kern w:val="0"/>
                      <w:sz w:val="21"/>
                      <w:szCs w:val="21"/>
                      <w:highlight w:val="none"/>
                      <w:u w:val="none"/>
                      <w:lang w:val="en-US" w:eastAsia="zh-CN"/>
                    </w:rPr>
                    <w:t>）</w:t>
                  </w:r>
                </w:p>
              </w:tc>
              <w:tc>
                <w:tcPr>
                  <w:tcW w:w="832" w:type="pct"/>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0D8D927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rPr>
                    <w:t>核算年排放量</w:t>
                  </w:r>
                  <w:r>
                    <w:rPr>
                      <w:rFonts w:hint="default" w:ascii="Times New Roman" w:hAnsi="Times New Roman" w:eastAsia="宋体" w:cs="Times New Roman"/>
                      <w:b/>
                      <w:bCs/>
                      <w:i w:val="0"/>
                      <w:iCs w:val="0"/>
                      <w:color w:val="auto"/>
                      <w:kern w:val="0"/>
                      <w:sz w:val="21"/>
                      <w:szCs w:val="21"/>
                      <w:highlight w:val="none"/>
                      <w:u w:val="none"/>
                      <w:lang w:val="en-US" w:eastAsia="zh-CN"/>
                    </w:rPr>
                    <w:t>/</w:t>
                  </w:r>
                  <w:r>
                    <w:rPr>
                      <w:rFonts w:hint="eastAsia" w:ascii="宋体" w:hAnsi="宋体" w:eastAsia="宋体" w:cs="宋体"/>
                      <w:b/>
                      <w:bCs/>
                      <w:i w:val="0"/>
                      <w:iCs w:val="0"/>
                      <w:color w:val="auto"/>
                      <w:kern w:val="0"/>
                      <w:sz w:val="21"/>
                      <w:szCs w:val="21"/>
                      <w:highlight w:val="none"/>
                      <w:u w:val="none"/>
                      <w:lang w:val="en-US" w:eastAsia="zh-CN"/>
                    </w:rPr>
                    <w:t>（</w:t>
                  </w:r>
                  <w:r>
                    <w:rPr>
                      <w:rFonts w:hint="default" w:ascii="Times New Roman" w:hAnsi="Times New Roman" w:eastAsia="宋体" w:cs="Times New Roman"/>
                      <w:b/>
                      <w:bCs/>
                      <w:i w:val="0"/>
                      <w:iCs w:val="0"/>
                      <w:color w:val="auto"/>
                      <w:kern w:val="0"/>
                      <w:sz w:val="21"/>
                      <w:szCs w:val="21"/>
                      <w:highlight w:val="none"/>
                      <w:u w:val="none"/>
                      <w:lang w:val="en-US" w:eastAsia="zh-CN"/>
                    </w:rPr>
                    <w:t>t/a</w:t>
                  </w:r>
                  <w:r>
                    <w:rPr>
                      <w:rFonts w:hint="eastAsia" w:ascii="宋体" w:hAnsi="宋体" w:eastAsia="宋体" w:cs="宋体"/>
                      <w:b/>
                      <w:bCs/>
                      <w:i w:val="0"/>
                      <w:iCs w:val="0"/>
                      <w:color w:val="auto"/>
                      <w:kern w:val="0"/>
                      <w:sz w:val="21"/>
                      <w:szCs w:val="21"/>
                      <w:highlight w:val="none"/>
                      <w:u w:val="none"/>
                      <w:lang w:val="en-US" w:eastAsia="zh-CN"/>
                    </w:rPr>
                    <w:t>）</w:t>
                  </w:r>
                </w:p>
              </w:tc>
            </w:tr>
            <w:tr w14:paraId="19BF36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4" w:hRule="atLeast"/>
              </w:trPr>
              <w:tc>
                <w:tcPr>
                  <w:tcW w:w="729"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238B7321">
                  <w:pPr>
                    <w:keepNext w:val="0"/>
                    <w:keepLines w:val="0"/>
                    <w:suppressLineNumbers w:val="0"/>
                    <w:spacing w:before="0" w:beforeAutospacing="0" w:after="0" w:afterAutospacing="0"/>
                    <w:ind w:left="0" w:right="0"/>
                    <w:jc w:val="center"/>
                    <w:rPr>
                      <w:rFonts w:hint="eastAsia" w:ascii="宋体" w:hAnsi="宋体" w:eastAsia="宋体" w:cs="宋体"/>
                      <w:b/>
                      <w:bCs/>
                      <w:i w:val="0"/>
                      <w:iCs w:val="0"/>
                      <w:color w:val="auto"/>
                      <w:sz w:val="21"/>
                      <w:szCs w:val="21"/>
                      <w:highlight w:val="none"/>
                      <w:u w:val="none"/>
                    </w:rPr>
                  </w:pPr>
                </w:p>
              </w:tc>
              <w:tc>
                <w:tcPr>
                  <w:tcW w:w="730" w:type="pct"/>
                  <w:tcBorders>
                    <w:top w:val="nil"/>
                    <w:left w:val="single" w:color="000000" w:sz="8" w:space="0"/>
                    <w:bottom w:val="single" w:color="000000" w:sz="8" w:space="0"/>
                    <w:right w:val="single" w:color="000000" w:sz="8" w:space="0"/>
                  </w:tcBorders>
                  <w:shd w:val="clear" w:color="auto" w:fill="auto"/>
                  <w:vAlign w:val="center"/>
                </w:tcPr>
                <w:p w14:paraId="3055D42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rPr>
                    <w:t>编号</w:t>
                  </w:r>
                </w:p>
              </w:tc>
              <w:tc>
                <w:tcPr>
                  <w:tcW w:w="901"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4AC1B116">
                  <w:pPr>
                    <w:keepNext w:val="0"/>
                    <w:keepLines w:val="0"/>
                    <w:suppressLineNumbers w:val="0"/>
                    <w:spacing w:before="0" w:beforeAutospacing="0" w:after="0" w:afterAutospacing="0"/>
                    <w:ind w:left="0" w:right="0"/>
                    <w:jc w:val="center"/>
                    <w:rPr>
                      <w:rFonts w:hint="eastAsia" w:ascii="宋体" w:hAnsi="宋体" w:eastAsia="宋体" w:cs="宋体"/>
                      <w:b/>
                      <w:bCs/>
                      <w:i w:val="0"/>
                      <w:iCs w:val="0"/>
                      <w:color w:val="auto"/>
                      <w:sz w:val="21"/>
                      <w:szCs w:val="21"/>
                      <w:highlight w:val="none"/>
                      <w:u w:val="none"/>
                    </w:rPr>
                  </w:pPr>
                </w:p>
              </w:tc>
              <w:tc>
                <w:tcPr>
                  <w:tcW w:w="901"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15D963BE">
                  <w:pPr>
                    <w:keepNext w:val="0"/>
                    <w:keepLines w:val="0"/>
                    <w:suppressLineNumbers w:val="0"/>
                    <w:spacing w:before="0" w:beforeAutospacing="0" w:after="0" w:afterAutospacing="0"/>
                    <w:ind w:left="0" w:right="0"/>
                    <w:jc w:val="center"/>
                    <w:rPr>
                      <w:rFonts w:hint="eastAsia" w:ascii="宋体" w:hAnsi="宋体" w:eastAsia="宋体" w:cs="宋体"/>
                      <w:b/>
                      <w:bCs/>
                      <w:i w:val="0"/>
                      <w:iCs w:val="0"/>
                      <w:color w:val="auto"/>
                      <w:sz w:val="21"/>
                      <w:szCs w:val="21"/>
                      <w:highlight w:val="none"/>
                      <w:u w:val="none"/>
                    </w:rPr>
                  </w:pPr>
                </w:p>
              </w:tc>
              <w:tc>
                <w:tcPr>
                  <w:tcW w:w="904"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1AEFF2DE">
                  <w:pPr>
                    <w:keepNext w:val="0"/>
                    <w:keepLines w:val="0"/>
                    <w:suppressLineNumbers w:val="0"/>
                    <w:spacing w:before="0" w:beforeAutospacing="0" w:after="0" w:afterAutospacing="0"/>
                    <w:ind w:left="0" w:right="0"/>
                    <w:jc w:val="center"/>
                    <w:rPr>
                      <w:rFonts w:hint="eastAsia" w:ascii="宋体" w:hAnsi="宋体" w:eastAsia="宋体" w:cs="宋体"/>
                      <w:b/>
                      <w:bCs/>
                      <w:i w:val="0"/>
                      <w:iCs w:val="0"/>
                      <w:color w:val="auto"/>
                      <w:sz w:val="21"/>
                      <w:szCs w:val="21"/>
                      <w:highlight w:val="none"/>
                      <w:u w:val="none"/>
                    </w:rPr>
                  </w:pPr>
                </w:p>
              </w:tc>
              <w:tc>
                <w:tcPr>
                  <w:tcW w:w="832"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4541A91F">
                  <w:pPr>
                    <w:keepNext w:val="0"/>
                    <w:keepLines w:val="0"/>
                    <w:suppressLineNumbers w:val="0"/>
                    <w:spacing w:before="0" w:beforeAutospacing="0" w:after="0" w:afterAutospacing="0"/>
                    <w:ind w:left="0" w:right="0"/>
                    <w:jc w:val="center"/>
                    <w:rPr>
                      <w:rFonts w:hint="eastAsia" w:ascii="宋体" w:hAnsi="宋体" w:eastAsia="宋体" w:cs="宋体"/>
                      <w:b/>
                      <w:bCs/>
                      <w:i w:val="0"/>
                      <w:iCs w:val="0"/>
                      <w:color w:val="auto"/>
                      <w:sz w:val="21"/>
                      <w:szCs w:val="21"/>
                      <w:highlight w:val="none"/>
                      <w:u w:val="none"/>
                    </w:rPr>
                  </w:pPr>
                </w:p>
              </w:tc>
            </w:tr>
            <w:tr w14:paraId="38B740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4" w:hRule="atLeast"/>
              </w:trPr>
              <w:tc>
                <w:tcPr>
                  <w:tcW w:w="5000" w:type="pct"/>
                  <w:gridSpan w:val="6"/>
                  <w:tcBorders>
                    <w:top w:val="nil"/>
                    <w:left w:val="single" w:color="000000" w:sz="8" w:space="0"/>
                    <w:bottom w:val="single" w:color="000000" w:sz="8" w:space="0"/>
                    <w:right w:val="single" w:color="000000" w:sz="8" w:space="0"/>
                  </w:tcBorders>
                  <w:shd w:val="clear" w:color="auto" w:fill="auto"/>
                  <w:vAlign w:val="center"/>
                </w:tcPr>
                <w:p w14:paraId="28A7715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rPr>
                    <w:t>一般排放口</w:t>
                  </w:r>
                </w:p>
              </w:tc>
            </w:tr>
            <w:tr w14:paraId="432737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4" w:hRule="atLeast"/>
              </w:trPr>
              <w:tc>
                <w:tcPr>
                  <w:tcW w:w="729" w:type="pct"/>
                  <w:tcBorders>
                    <w:top w:val="nil"/>
                    <w:left w:val="single" w:color="000000" w:sz="8" w:space="0"/>
                    <w:bottom w:val="single" w:color="000000" w:sz="8" w:space="0"/>
                    <w:right w:val="single" w:color="000000" w:sz="8" w:space="0"/>
                  </w:tcBorders>
                  <w:shd w:val="clear" w:color="auto" w:fill="auto"/>
                  <w:vAlign w:val="center"/>
                </w:tcPr>
                <w:p w14:paraId="6A9B46C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1</w:t>
                  </w:r>
                </w:p>
              </w:tc>
              <w:tc>
                <w:tcPr>
                  <w:tcW w:w="730" w:type="pct"/>
                  <w:tcBorders>
                    <w:top w:val="single" w:color="000000" w:sz="8" w:space="0"/>
                    <w:left w:val="single" w:color="000000" w:sz="8" w:space="0"/>
                    <w:bottom w:val="single" w:color="000000" w:sz="8" w:space="0"/>
                    <w:right w:val="single" w:color="000000" w:sz="8" w:space="0"/>
                  </w:tcBorders>
                  <w:shd w:val="clear" w:color="auto" w:fill="auto"/>
                  <w:vAlign w:val="center"/>
                </w:tcPr>
                <w:p w14:paraId="27D2F02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DA001</w:t>
                  </w:r>
                </w:p>
              </w:tc>
              <w:tc>
                <w:tcPr>
                  <w:tcW w:w="901" w:type="pct"/>
                  <w:tcBorders>
                    <w:top w:val="nil"/>
                    <w:left w:val="single" w:color="000000" w:sz="8" w:space="0"/>
                    <w:bottom w:val="single" w:color="000000" w:sz="8" w:space="0"/>
                    <w:right w:val="single" w:color="000000" w:sz="8" w:space="0"/>
                  </w:tcBorders>
                  <w:shd w:val="clear" w:color="auto" w:fill="auto"/>
                  <w:vAlign w:val="center"/>
                </w:tcPr>
                <w:p w14:paraId="444D31A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rPr>
                    <w:t>颗粒物</w:t>
                  </w:r>
                </w:p>
              </w:tc>
              <w:tc>
                <w:tcPr>
                  <w:tcW w:w="1632" w:type="dxa"/>
                  <w:tcBorders>
                    <w:top w:val="nil"/>
                    <w:left w:val="single" w:color="000000" w:sz="8" w:space="0"/>
                    <w:bottom w:val="single" w:color="000000" w:sz="8" w:space="0"/>
                    <w:right w:val="single" w:color="000000" w:sz="8" w:space="0"/>
                  </w:tcBorders>
                  <w:shd w:val="clear" w:color="auto" w:fill="auto"/>
                  <w:vAlign w:val="center"/>
                </w:tcPr>
                <w:p w14:paraId="0CBE7A7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rPr>
                    <w:t>0.9</w:t>
                  </w:r>
                </w:p>
              </w:tc>
              <w:tc>
                <w:tcPr>
                  <w:tcW w:w="1639" w:type="dxa"/>
                  <w:tcBorders>
                    <w:top w:val="nil"/>
                    <w:left w:val="single" w:color="000000" w:sz="8" w:space="0"/>
                    <w:bottom w:val="single" w:color="000000" w:sz="8" w:space="0"/>
                    <w:right w:val="single" w:color="000000" w:sz="8" w:space="0"/>
                  </w:tcBorders>
                  <w:shd w:val="clear" w:color="auto" w:fill="auto"/>
                  <w:vAlign w:val="center"/>
                </w:tcPr>
                <w:p w14:paraId="4C1A5FD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0.0</w:t>
                  </w:r>
                  <w:r>
                    <w:rPr>
                      <w:rFonts w:hint="eastAsia" w:cs="Times New Roman"/>
                      <w:i w:val="0"/>
                      <w:iCs w:val="0"/>
                      <w:color w:val="auto"/>
                      <w:kern w:val="0"/>
                      <w:sz w:val="21"/>
                      <w:szCs w:val="21"/>
                      <w:highlight w:val="none"/>
                      <w:u w:val="none"/>
                      <w:lang w:val="en-US" w:eastAsia="zh-CN"/>
                    </w:rPr>
                    <w:t>07</w:t>
                  </w:r>
                  <w:r>
                    <w:rPr>
                      <w:rFonts w:hint="default" w:ascii="Times New Roman" w:hAnsi="Times New Roman" w:eastAsia="宋体" w:cs="Times New Roman"/>
                      <w:i w:val="0"/>
                      <w:iCs w:val="0"/>
                      <w:color w:val="auto"/>
                      <w:kern w:val="0"/>
                      <w:sz w:val="21"/>
                      <w:szCs w:val="21"/>
                      <w:highlight w:val="none"/>
                      <w:u w:val="none"/>
                      <w:lang w:val="en-US" w:eastAsia="zh-CN"/>
                    </w:rPr>
                    <w:t xml:space="preserve"> </w:t>
                  </w:r>
                </w:p>
              </w:tc>
              <w:tc>
                <w:tcPr>
                  <w:tcW w:w="1509" w:type="dxa"/>
                  <w:tcBorders>
                    <w:top w:val="nil"/>
                    <w:left w:val="single" w:color="000000" w:sz="8" w:space="0"/>
                    <w:bottom w:val="single" w:color="000000" w:sz="8" w:space="0"/>
                    <w:right w:val="single" w:color="000000" w:sz="8" w:space="0"/>
                  </w:tcBorders>
                  <w:shd w:val="clear" w:color="auto" w:fill="auto"/>
                  <w:vAlign w:val="center"/>
                </w:tcPr>
                <w:p w14:paraId="6F074FE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rPr>
                    <w:t>0.058</w:t>
                  </w:r>
                </w:p>
              </w:tc>
            </w:tr>
            <w:tr w14:paraId="7D6C7E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4" w:hRule="atLeast"/>
              </w:trPr>
              <w:tc>
                <w:tcPr>
                  <w:tcW w:w="1460" w:type="pct"/>
                  <w:gridSpan w:val="2"/>
                  <w:tcBorders>
                    <w:top w:val="nil"/>
                    <w:left w:val="single" w:color="000000" w:sz="8" w:space="0"/>
                    <w:bottom w:val="single" w:color="000000" w:sz="8" w:space="0"/>
                    <w:right w:val="single" w:color="000000" w:sz="8" w:space="0"/>
                  </w:tcBorders>
                  <w:shd w:val="clear" w:color="auto" w:fill="auto"/>
                  <w:vAlign w:val="center"/>
                </w:tcPr>
                <w:p w14:paraId="0F86C78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rPr>
                    <w:t>一般排放口总计</w:t>
                  </w:r>
                </w:p>
              </w:tc>
              <w:tc>
                <w:tcPr>
                  <w:tcW w:w="2707" w:type="pct"/>
                  <w:gridSpan w:val="3"/>
                  <w:tcBorders>
                    <w:top w:val="nil"/>
                    <w:left w:val="single" w:color="000000" w:sz="8" w:space="0"/>
                    <w:bottom w:val="single" w:color="000000" w:sz="8" w:space="0"/>
                    <w:right w:val="single" w:color="000000" w:sz="8" w:space="0"/>
                  </w:tcBorders>
                  <w:shd w:val="clear" w:color="auto" w:fill="auto"/>
                  <w:vAlign w:val="center"/>
                </w:tcPr>
                <w:p w14:paraId="38DF4AF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rPr>
                    <w:t>颗粒物</w:t>
                  </w:r>
                </w:p>
              </w:tc>
              <w:tc>
                <w:tcPr>
                  <w:tcW w:w="832" w:type="pct"/>
                  <w:tcBorders>
                    <w:top w:val="nil"/>
                    <w:left w:val="single" w:color="000000" w:sz="8" w:space="0"/>
                    <w:bottom w:val="single" w:color="000000" w:sz="8" w:space="0"/>
                    <w:right w:val="single" w:color="000000" w:sz="8" w:space="0"/>
                  </w:tcBorders>
                  <w:shd w:val="clear" w:color="auto" w:fill="auto"/>
                  <w:vAlign w:val="center"/>
                </w:tcPr>
                <w:p w14:paraId="5C0781B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rPr>
                    <w:t>0.058</w:t>
                  </w:r>
                </w:p>
              </w:tc>
            </w:tr>
            <w:tr w14:paraId="51236F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4" w:hRule="atLeast"/>
              </w:trPr>
              <w:tc>
                <w:tcPr>
                  <w:tcW w:w="5000" w:type="pct"/>
                  <w:gridSpan w:val="6"/>
                  <w:tcBorders>
                    <w:top w:val="nil"/>
                    <w:left w:val="single" w:color="000000" w:sz="8" w:space="0"/>
                    <w:bottom w:val="single" w:color="000000" w:sz="8" w:space="0"/>
                    <w:right w:val="single" w:color="000000" w:sz="8" w:space="0"/>
                  </w:tcBorders>
                  <w:shd w:val="clear" w:color="auto" w:fill="auto"/>
                  <w:vAlign w:val="center"/>
                </w:tcPr>
                <w:p w14:paraId="76BF4F8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rPr>
                    <w:t>有组织排放总计</w:t>
                  </w:r>
                </w:p>
              </w:tc>
            </w:tr>
            <w:tr w14:paraId="2C3E44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3" w:hRule="atLeast"/>
              </w:trPr>
              <w:tc>
                <w:tcPr>
                  <w:tcW w:w="1460" w:type="pct"/>
                  <w:gridSpan w:val="2"/>
                  <w:tcBorders>
                    <w:top w:val="nil"/>
                    <w:left w:val="single" w:color="000000" w:sz="8" w:space="0"/>
                    <w:bottom w:val="single" w:color="000000" w:sz="8" w:space="0"/>
                    <w:right w:val="single" w:color="000000" w:sz="8" w:space="0"/>
                  </w:tcBorders>
                  <w:shd w:val="clear" w:color="auto" w:fill="auto"/>
                  <w:vAlign w:val="center"/>
                </w:tcPr>
                <w:p w14:paraId="24FD113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rPr>
                    <w:t>有组织排放总计</w:t>
                  </w:r>
                </w:p>
              </w:tc>
              <w:tc>
                <w:tcPr>
                  <w:tcW w:w="2707" w:type="pct"/>
                  <w:gridSpan w:val="3"/>
                  <w:tcBorders>
                    <w:top w:val="nil"/>
                    <w:left w:val="single" w:color="000000" w:sz="8" w:space="0"/>
                    <w:bottom w:val="single" w:color="000000" w:sz="8" w:space="0"/>
                    <w:right w:val="single" w:color="000000" w:sz="8" w:space="0"/>
                  </w:tcBorders>
                  <w:shd w:val="clear" w:color="auto" w:fill="auto"/>
                  <w:vAlign w:val="center"/>
                </w:tcPr>
                <w:p w14:paraId="1E0C7E5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rPr>
                    <w:t>颗粒物</w:t>
                  </w:r>
                </w:p>
              </w:tc>
              <w:tc>
                <w:tcPr>
                  <w:tcW w:w="832" w:type="pct"/>
                  <w:tcBorders>
                    <w:top w:val="nil"/>
                    <w:left w:val="single" w:color="000000" w:sz="8" w:space="0"/>
                    <w:bottom w:val="single" w:color="000000" w:sz="8" w:space="0"/>
                    <w:right w:val="single" w:color="000000" w:sz="8" w:space="0"/>
                  </w:tcBorders>
                  <w:shd w:val="clear" w:color="auto" w:fill="auto"/>
                  <w:vAlign w:val="center"/>
                </w:tcPr>
                <w:p w14:paraId="16FC054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rPr>
                    <w:t>0.058</w:t>
                  </w:r>
                </w:p>
              </w:tc>
            </w:tr>
          </w:tbl>
          <w:p w14:paraId="2869C56C">
            <w:pPr>
              <w:pStyle w:val="110"/>
              <w:keepNext w:val="0"/>
              <w:keepLines w:val="0"/>
              <w:numPr>
                <w:ilvl w:val="0"/>
                <w:numId w:val="0"/>
              </w:numPr>
              <w:suppressLineNumbers w:val="0"/>
              <w:tabs>
                <w:tab w:val="left" w:pos="0"/>
              </w:tabs>
              <w:snapToGrid/>
              <w:spacing w:before="0" w:beforeAutospacing="0" w:after="0" w:afterAutospacing="0"/>
              <w:ind w:left="0" w:leftChars="0" w:right="0" w:rightChars="0" w:firstLine="4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pacing w:val="0"/>
                <w:kern w:val="2"/>
                <w:sz w:val="21"/>
                <w:szCs w:val="21"/>
                <w:highlight w:val="none"/>
                <w:lang w:val="en-US" w:eastAsia="zh-CN" w:bidi="ar-SA"/>
              </w:rPr>
              <w:t>表4-</w:t>
            </w:r>
            <w:r>
              <w:rPr>
                <w:rFonts w:hint="eastAsia" w:cs="Times New Roman"/>
                <w:b/>
                <w:bCs/>
                <w:color w:val="auto"/>
                <w:spacing w:val="0"/>
                <w:kern w:val="2"/>
                <w:sz w:val="21"/>
                <w:szCs w:val="21"/>
                <w:highlight w:val="none"/>
                <w:lang w:val="en-US" w:eastAsia="zh-CN" w:bidi="ar-SA"/>
              </w:rPr>
              <w:t>5</w:t>
            </w:r>
            <w:r>
              <w:rPr>
                <w:rFonts w:hint="default" w:ascii="Times New Roman" w:hAnsi="Times New Roman" w:eastAsia="宋体" w:cs="Times New Roman"/>
                <w:b/>
                <w:bCs/>
                <w:color w:val="auto"/>
                <w:sz w:val="21"/>
                <w:szCs w:val="21"/>
                <w:highlight w:val="none"/>
                <w:lang w:val="en-US" w:eastAsia="zh-CN"/>
              </w:rPr>
              <w:t>大气污染物</w:t>
            </w:r>
            <w:r>
              <w:rPr>
                <w:rFonts w:hint="eastAsia" w:cs="Times New Roman"/>
                <w:b/>
                <w:bCs/>
                <w:color w:val="auto"/>
                <w:sz w:val="21"/>
                <w:szCs w:val="21"/>
                <w:highlight w:val="none"/>
                <w:lang w:val="en-US" w:eastAsia="zh-CN"/>
              </w:rPr>
              <w:t>无</w:t>
            </w:r>
            <w:r>
              <w:rPr>
                <w:rFonts w:hint="default" w:ascii="Times New Roman" w:hAnsi="Times New Roman" w:eastAsia="宋体" w:cs="Times New Roman"/>
                <w:b/>
                <w:bCs/>
                <w:color w:val="auto"/>
                <w:sz w:val="21"/>
                <w:szCs w:val="21"/>
                <w:highlight w:val="none"/>
                <w:lang w:val="en-US" w:eastAsia="zh-CN"/>
              </w:rPr>
              <w:t>组织排放量核算表</w:t>
            </w:r>
          </w:p>
          <w:tbl>
            <w:tblPr>
              <w:tblStyle w:val="39"/>
              <w:tblW w:w="9117" w:type="dxa"/>
              <w:tblInd w:w="-25"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70"/>
              <w:gridCol w:w="770"/>
              <w:gridCol w:w="927"/>
              <w:gridCol w:w="888"/>
              <w:gridCol w:w="173"/>
              <w:gridCol w:w="1127"/>
              <w:gridCol w:w="2276"/>
              <w:gridCol w:w="1219"/>
              <w:gridCol w:w="967"/>
            </w:tblGrid>
            <w:tr w14:paraId="4FE1710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7" w:hRule="atLeast"/>
              </w:trPr>
              <w:tc>
                <w:tcPr>
                  <w:tcW w:w="77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7D34651B">
                  <w:pPr>
                    <w:keepNext w:val="0"/>
                    <w:keepLines w:val="0"/>
                    <w:widowControl/>
                    <w:suppressLineNumbers w:val="0"/>
                    <w:spacing w:before="0" w:beforeAutospacing="0" w:after="0" w:afterAutospacing="0" w:line="240" w:lineRule="auto"/>
                    <w:ind w:left="0" w:right="0"/>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rPr>
                    <w:t>序号</w:t>
                  </w:r>
                </w:p>
              </w:tc>
              <w:tc>
                <w:tcPr>
                  <w:tcW w:w="77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6BA7C144">
                  <w:pPr>
                    <w:keepNext w:val="0"/>
                    <w:keepLines w:val="0"/>
                    <w:widowControl/>
                    <w:suppressLineNumbers w:val="0"/>
                    <w:spacing w:before="0" w:beforeAutospacing="0" w:after="0" w:afterAutospacing="0" w:line="240" w:lineRule="auto"/>
                    <w:ind w:left="0" w:right="0"/>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rPr>
                    <w:t>排放口编号</w:t>
                  </w:r>
                </w:p>
              </w:tc>
              <w:tc>
                <w:tcPr>
                  <w:tcW w:w="927"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05AAA65A">
                  <w:pPr>
                    <w:keepNext w:val="0"/>
                    <w:keepLines w:val="0"/>
                    <w:widowControl/>
                    <w:suppressLineNumbers w:val="0"/>
                    <w:spacing w:before="0" w:beforeAutospacing="0" w:after="0" w:afterAutospacing="0" w:line="240" w:lineRule="auto"/>
                    <w:ind w:left="0" w:right="0"/>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rPr>
                    <w:t>产污环节</w:t>
                  </w:r>
                </w:p>
              </w:tc>
              <w:tc>
                <w:tcPr>
                  <w:tcW w:w="1061" w:type="dxa"/>
                  <w:gridSpan w:val="2"/>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3CE5FBF5">
                  <w:pPr>
                    <w:keepNext w:val="0"/>
                    <w:keepLines w:val="0"/>
                    <w:widowControl/>
                    <w:suppressLineNumbers w:val="0"/>
                    <w:spacing w:before="0" w:beforeAutospacing="0" w:after="0" w:afterAutospacing="0" w:line="240" w:lineRule="auto"/>
                    <w:ind w:left="0" w:right="0"/>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rPr>
                    <w:t>污染物</w:t>
                  </w:r>
                </w:p>
              </w:tc>
              <w:tc>
                <w:tcPr>
                  <w:tcW w:w="1127"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4023318D">
                  <w:pPr>
                    <w:keepNext w:val="0"/>
                    <w:keepLines w:val="0"/>
                    <w:widowControl/>
                    <w:suppressLineNumbers w:val="0"/>
                    <w:spacing w:before="0" w:beforeAutospacing="0" w:after="0" w:afterAutospacing="0" w:line="240" w:lineRule="auto"/>
                    <w:ind w:left="0" w:right="0"/>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rPr>
                    <w:t>主要污染防治措施</w:t>
                  </w:r>
                </w:p>
              </w:tc>
              <w:tc>
                <w:tcPr>
                  <w:tcW w:w="3495" w:type="dxa"/>
                  <w:gridSpan w:val="2"/>
                  <w:tcBorders>
                    <w:top w:val="single" w:color="000000" w:sz="8" w:space="0"/>
                    <w:left w:val="single" w:color="000000" w:sz="8" w:space="0"/>
                    <w:bottom w:val="single" w:color="000000" w:sz="8" w:space="0"/>
                    <w:right w:val="single" w:color="000000" w:sz="8" w:space="0"/>
                  </w:tcBorders>
                  <w:shd w:val="clear" w:color="auto" w:fill="auto"/>
                  <w:vAlign w:val="center"/>
                </w:tcPr>
                <w:p w14:paraId="034CC04C">
                  <w:pPr>
                    <w:keepNext w:val="0"/>
                    <w:keepLines w:val="0"/>
                    <w:widowControl/>
                    <w:suppressLineNumbers w:val="0"/>
                    <w:spacing w:before="0" w:beforeAutospacing="0" w:after="0" w:afterAutospacing="0" w:line="240" w:lineRule="auto"/>
                    <w:ind w:left="0" w:right="0"/>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rPr>
                    <w:t>国家或地方污染物排放标准</w:t>
                  </w:r>
                </w:p>
              </w:tc>
              <w:tc>
                <w:tcPr>
                  <w:tcW w:w="967"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7A7B6BE6">
                  <w:pPr>
                    <w:keepNext w:val="0"/>
                    <w:keepLines w:val="0"/>
                    <w:widowControl/>
                    <w:suppressLineNumbers w:val="0"/>
                    <w:spacing w:before="0" w:beforeAutospacing="0" w:after="0" w:afterAutospacing="0" w:line="240" w:lineRule="auto"/>
                    <w:ind w:left="0" w:right="0"/>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rPr>
                    <w:t>年排放量</w:t>
                  </w:r>
                  <w:r>
                    <w:rPr>
                      <w:rFonts w:hint="default" w:ascii="Times New Roman" w:hAnsi="Times New Roman" w:eastAsia="宋体" w:cs="Times New Roman"/>
                      <w:b/>
                      <w:bCs/>
                      <w:i w:val="0"/>
                      <w:iCs w:val="0"/>
                      <w:color w:val="auto"/>
                      <w:kern w:val="0"/>
                      <w:sz w:val="21"/>
                      <w:szCs w:val="21"/>
                      <w:highlight w:val="none"/>
                      <w:u w:val="none"/>
                      <w:lang w:val="en-US" w:eastAsia="zh-CN"/>
                    </w:rPr>
                    <w:t>/</w:t>
                  </w:r>
                  <w:r>
                    <w:rPr>
                      <w:rFonts w:hint="eastAsia" w:ascii="宋体" w:hAnsi="宋体" w:eastAsia="宋体" w:cs="宋体"/>
                      <w:b/>
                      <w:bCs/>
                      <w:i w:val="0"/>
                      <w:iCs w:val="0"/>
                      <w:color w:val="auto"/>
                      <w:kern w:val="0"/>
                      <w:sz w:val="21"/>
                      <w:szCs w:val="21"/>
                      <w:highlight w:val="none"/>
                      <w:u w:val="none"/>
                      <w:lang w:val="en-US" w:eastAsia="zh-CN"/>
                    </w:rPr>
                    <w:t>（</w:t>
                  </w:r>
                  <w:r>
                    <w:rPr>
                      <w:rFonts w:hint="default" w:ascii="Times New Roman" w:hAnsi="Times New Roman" w:eastAsia="宋体" w:cs="Times New Roman"/>
                      <w:b/>
                      <w:bCs/>
                      <w:i w:val="0"/>
                      <w:iCs w:val="0"/>
                      <w:color w:val="auto"/>
                      <w:kern w:val="0"/>
                      <w:sz w:val="21"/>
                      <w:szCs w:val="21"/>
                      <w:highlight w:val="none"/>
                      <w:u w:val="none"/>
                      <w:lang w:val="en-US" w:eastAsia="zh-CN"/>
                    </w:rPr>
                    <w:t>t/a</w:t>
                  </w:r>
                  <w:r>
                    <w:rPr>
                      <w:rFonts w:hint="eastAsia" w:ascii="宋体" w:hAnsi="宋体" w:eastAsia="宋体" w:cs="宋体"/>
                      <w:b/>
                      <w:bCs/>
                      <w:i w:val="0"/>
                      <w:iCs w:val="0"/>
                      <w:color w:val="auto"/>
                      <w:kern w:val="0"/>
                      <w:sz w:val="21"/>
                      <w:szCs w:val="21"/>
                      <w:highlight w:val="none"/>
                      <w:u w:val="none"/>
                      <w:lang w:val="en-US" w:eastAsia="zh-CN"/>
                    </w:rPr>
                    <w:t>）</w:t>
                  </w:r>
                </w:p>
              </w:tc>
            </w:tr>
            <w:tr w14:paraId="096636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2" w:hRule="atLeast"/>
              </w:trPr>
              <w:tc>
                <w:tcPr>
                  <w:tcW w:w="77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544E6056">
                  <w:pPr>
                    <w:keepNext w:val="0"/>
                    <w:keepLines w:val="0"/>
                    <w:suppressLineNumbers w:val="0"/>
                    <w:spacing w:before="0" w:beforeAutospacing="0" w:after="0" w:afterAutospacing="0" w:line="240" w:lineRule="auto"/>
                    <w:ind w:left="0" w:right="0"/>
                    <w:jc w:val="center"/>
                    <w:rPr>
                      <w:rFonts w:hint="eastAsia" w:ascii="宋体" w:hAnsi="宋体" w:eastAsia="宋体" w:cs="宋体"/>
                      <w:b/>
                      <w:bCs/>
                      <w:i w:val="0"/>
                      <w:iCs w:val="0"/>
                      <w:color w:val="auto"/>
                      <w:sz w:val="21"/>
                      <w:szCs w:val="21"/>
                      <w:highlight w:val="none"/>
                      <w:u w:val="none"/>
                    </w:rPr>
                  </w:pPr>
                </w:p>
              </w:tc>
              <w:tc>
                <w:tcPr>
                  <w:tcW w:w="77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5DB1CD40">
                  <w:pPr>
                    <w:keepNext w:val="0"/>
                    <w:keepLines w:val="0"/>
                    <w:suppressLineNumbers w:val="0"/>
                    <w:spacing w:before="0" w:beforeAutospacing="0" w:after="0" w:afterAutospacing="0" w:line="240" w:lineRule="auto"/>
                    <w:ind w:left="0" w:right="0"/>
                    <w:jc w:val="center"/>
                    <w:rPr>
                      <w:rFonts w:hint="eastAsia" w:ascii="宋体" w:hAnsi="宋体" w:eastAsia="宋体" w:cs="宋体"/>
                      <w:b/>
                      <w:bCs/>
                      <w:i w:val="0"/>
                      <w:iCs w:val="0"/>
                      <w:color w:val="auto"/>
                      <w:sz w:val="21"/>
                      <w:szCs w:val="21"/>
                      <w:highlight w:val="none"/>
                      <w:u w:val="none"/>
                    </w:rPr>
                  </w:pPr>
                </w:p>
              </w:tc>
              <w:tc>
                <w:tcPr>
                  <w:tcW w:w="927"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0E9B1D3B">
                  <w:pPr>
                    <w:keepNext w:val="0"/>
                    <w:keepLines w:val="0"/>
                    <w:suppressLineNumbers w:val="0"/>
                    <w:spacing w:before="0" w:beforeAutospacing="0" w:after="0" w:afterAutospacing="0" w:line="240" w:lineRule="auto"/>
                    <w:ind w:left="0" w:right="0"/>
                    <w:jc w:val="center"/>
                    <w:rPr>
                      <w:rFonts w:hint="eastAsia" w:ascii="宋体" w:hAnsi="宋体" w:eastAsia="宋体" w:cs="宋体"/>
                      <w:b/>
                      <w:bCs/>
                      <w:i w:val="0"/>
                      <w:iCs w:val="0"/>
                      <w:color w:val="auto"/>
                      <w:sz w:val="21"/>
                      <w:szCs w:val="21"/>
                      <w:highlight w:val="none"/>
                      <w:u w:val="none"/>
                    </w:rPr>
                  </w:pPr>
                </w:p>
              </w:tc>
              <w:tc>
                <w:tcPr>
                  <w:tcW w:w="1061" w:type="dxa"/>
                  <w:gridSpan w:val="2"/>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6E507563">
                  <w:pPr>
                    <w:keepNext w:val="0"/>
                    <w:keepLines w:val="0"/>
                    <w:suppressLineNumbers w:val="0"/>
                    <w:spacing w:before="0" w:beforeAutospacing="0" w:after="0" w:afterAutospacing="0" w:line="240" w:lineRule="auto"/>
                    <w:ind w:left="0" w:right="0"/>
                    <w:jc w:val="center"/>
                    <w:rPr>
                      <w:rFonts w:hint="eastAsia" w:ascii="宋体" w:hAnsi="宋体" w:eastAsia="宋体" w:cs="宋体"/>
                      <w:b/>
                      <w:bCs/>
                      <w:i w:val="0"/>
                      <w:iCs w:val="0"/>
                      <w:color w:val="auto"/>
                      <w:sz w:val="21"/>
                      <w:szCs w:val="21"/>
                      <w:highlight w:val="none"/>
                      <w:u w:val="none"/>
                    </w:rPr>
                  </w:pPr>
                </w:p>
              </w:tc>
              <w:tc>
                <w:tcPr>
                  <w:tcW w:w="1127"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155BFF9A">
                  <w:pPr>
                    <w:keepNext w:val="0"/>
                    <w:keepLines w:val="0"/>
                    <w:suppressLineNumbers w:val="0"/>
                    <w:spacing w:before="0" w:beforeAutospacing="0" w:after="0" w:afterAutospacing="0" w:line="240" w:lineRule="auto"/>
                    <w:ind w:left="0" w:right="0"/>
                    <w:jc w:val="center"/>
                    <w:rPr>
                      <w:rFonts w:hint="eastAsia" w:ascii="宋体" w:hAnsi="宋体" w:eastAsia="宋体" w:cs="宋体"/>
                      <w:b/>
                      <w:bCs/>
                      <w:i w:val="0"/>
                      <w:iCs w:val="0"/>
                      <w:color w:val="auto"/>
                      <w:sz w:val="21"/>
                      <w:szCs w:val="21"/>
                      <w:highlight w:val="none"/>
                      <w:u w:val="none"/>
                    </w:rPr>
                  </w:pPr>
                </w:p>
              </w:tc>
              <w:tc>
                <w:tcPr>
                  <w:tcW w:w="2276" w:type="dxa"/>
                  <w:tcBorders>
                    <w:top w:val="nil"/>
                    <w:left w:val="single" w:color="000000" w:sz="8" w:space="0"/>
                    <w:bottom w:val="single" w:color="000000" w:sz="8" w:space="0"/>
                    <w:right w:val="single" w:color="000000" w:sz="8" w:space="0"/>
                  </w:tcBorders>
                  <w:shd w:val="clear" w:color="auto" w:fill="auto"/>
                  <w:vAlign w:val="center"/>
                </w:tcPr>
                <w:p w14:paraId="5F0A453E">
                  <w:pPr>
                    <w:keepNext w:val="0"/>
                    <w:keepLines w:val="0"/>
                    <w:widowControl/>
                    <w:suppressLineNumbers w:val="0"/>
                    <w:spacing w:before="0" w:beforeAutospacing="0" w:after="0" w:afterAutospacing="0" w:line="240" w:lineRule="auto"/>
                    <w:ind w:left="0" w:right="0"/>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rPr>
                    <w:t>标准名称</w:t>
                  </w:r>
                </w:p>
              </w:tc>
              <w:tc>
                <w:tcPr>
                  <w:tcW w:w="1219" w:type="dxa"/>
                  <w:tcBorders>
                    <w:top w:val="nil"/>
                    <w:left w:val="single" w:color="000000" w:sz="8" w:space="0"/>
                    <w:bottom w:val="single" w:color="000000" w:sz="8" w:space="0"/>
                    <w:right w:val="single" w:color="000000" w:sz="8" w:space="0"/>
                  </w:tcBorders>
                  <w:shd w:val="clear" w:color="auto" w:fill="auto"/>
                  <w:vAlign w:val="center"/>
                </w:tcPr>
                <w:p w14:paraId="5F4C5D6C">
                  <w:pPr>
                    <w:keepNext w:val="0"/>
                    <w:keepLines w:val="0"/>
                    <w:widowControl/>
                    <w:suppressLineNumbers w:val="0"/>
                    <w:spacing w:before="0" w:beforeAutospacing="0" w:after="0" w:afterAutospacing="0" w:line="240" w:lineRule="auto"/>
                    <w:ind w:left="0" w:right="0"/>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rPr>
                    <w:t>浓度限值（</w:t>
                  </w:r>
                  <w:r>
                    <w:rPr>
                      <w:rFonts w:hint="default" w:ascii="Times New Roman" w:hAnsi="Times New Roman" w:eastAsia="宋体" w:cs="Times New Roman"/>
                      <w:b/>
                      <w:bCs/>
                      <w:i w:val="0"/>
                      <w:iCs w:val="0"/>
                      <w:color w:val="auto"/>
                      <w:kern w:val="0"/>
                      <w:sz w:val="21"/>
                      <w:szCs w:val="21"/>
                      <w:highlight w:val="none"/>
                      <w:u w:val="none"/>
                      <w:lang w:val="en-US" w:eastAsia="zh-CN"/>
                    </w:rPr>
                    <w:t>mg/m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rPr>
                    <w:t>3</w:t>
                  </w:r>
                  <w:r>
                    <w:rPr>
                      <w:rFonts w:hint="eastAsia" w:ascii="宋体" w:hAnsi="宋体" w:eastAsia="宋体" w:cs="宋体"/>
                      <w:b/>
                      <w:bCs/>
                      <w:i w:val="0"/>
                      <w:iCs w:val="0"/>
                      <w:color w:val="auto"/>
                      <w:kern w:val="0"/>
                      <w:sz w:val="21"/>
                      <w:szCs w:val="21"/>
                      <w:highlight w:val="none"/>
                      <w:u w:val="none"/>
                      <w:lang w:val="en-US" w:eastAsia="zh-CN"/>
                    </w:rPr>
                    <w:t>）</w:t>
                  </w:r>
                </w:p>
              </w:tc>
              <w:tc>
                <w:tcPr>
                  <w:tcW w:w="967"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7E492515">
                  <w:pPr>
                    <w:keepNext w:val="0"/>
                    <w:keepLines w:val="0"/>
                    <w:suppressLineNumbers w:val="0"/>
                    <w:spacing w:before="0" w:beforeAutospacing="0" w:after="0" w:afterAutospacing="0"/>
                    <w:ind w:left="0" w:right="0"/>
                    <w:jc w:val="center"/>
                    <w:rPr>
                      <w:rFonts w:hint="eastAsia" w:ascii="宋体" w:hAnsi="宋体" w:eastAsia="宋体" w:cs="宋体"/>
                      <w:b/>
                      <w:bCs/>
                      <w:i w:val="0"/>
                      <w:iCs w:val="0"/>
                      <w:color w:val="auto"/>
                      <w:sz w:val="21"/>
                      <w:szCs w:val="21"/>
                      <w:highlight w:val="none"/>
                      <w:u w:val="none"/>
                    </w:rPr>
                  </w:pPr>
                </w:p>
              </w:tc>
            </w:tr>
            <w:tr w14:paraId="1F51BD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02" w:hRule="atLeast"/>
              </w:trPr>
              <w:tc>
                <w:tcPr>
                  <w:tcW w:w="770" w:type="dxa"/>
                  <w:tcBorders>
                    <w:top w:val="nil"/>
                    <w:left w:val="single" w:color="000000" w:sz="8" w:space="0"/>
                    <w:bottom w:val="single" w:color="000000" w:sz="8" w:space="0"/>
                    <w:right w:val="single" w:color="000000" w:sz="8" w:space="0"/>
                  </w:tcBorders>
                  <w:shd w:val="clear" w:color="auto" w:fill="auto"/>
                  <w:vAlign w:val="center"/>
                </w:tcPr>
                <w:p w14:paraId="22CEF11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rPr>
                    <w:t>1</w:t>
                  </w:r>
                </w:p>
              </w:tc>
              <w:tc>
                <w:tcPr>
                  <w:tcW w:w="770" w:type="dxa"/>
                  <w:tcBorders>
                    <w:top w:val="nil"/>
                    <w:left w:val="single" w:color="000000" w:sz="8" w:space="0"/>
                    <w:bottom w:val="single" w:color="000000" w:sz="8" w:space="0"/>
                    <w:right w:val="single" w:color="000000" w:sz="8" w:space="0"/>
                  </w:tcBorders>
                  <w:shd w:val="clear" w:color="auto" w:fill="auto"/>
                  <w:vAlign w:val="center"/>
                </w:tcPr>
                <w:p w14:paraId="73DEAF4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rPr>
                    <w:t>厂界</w:t>
                  </w:r>
                </w:p>
              </w:tc>
              <w:tc>
                <w:tcPr>
                  <w:tcW w:w="927" w:type="dxa"/>
                  <w:tcBorders>
                    <w:top w:val="nil"/>
                    <w:left w:val="single" w:color="000000" w:sz="8" w:space="0"/>
                    <w:bottom w:val="single" w:color="000000" w:sz="8" w:space="0"/>
                    <w:right w:val="single" w:color="000000" w:sz="8" w:space="0"/>
                  </w:tcBorders>
                  <w:shd w:val="clear" w:color="auto" w:fill="auto"/>
                  <w:vAlign w:val="center"/>
                </w:tcPr>
                <w:p w14:paraId="1D32B3E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rPr>
                    <w:t>/</w:t>
                  </w:r>
                </w:p>
              </w:tc>
              <w:tc>
                <w:tcPr>
                  <w:tcW w:w="1061" w:type="dxa"/>
                  <w:gridSpan w:val="2"/>
                  <w:tcBorders>
                    <w:top w:val="nil"/>
                    <w:left w:val="single" w:color="000000" w:sz="8" w:space="0"/>
                    <w:bottom w:val="single" w:color="000000" w:sz="8" w:space="0"/>
                    <w:right w:val="single" w:color="000000" w:sz="8" w:space="0"/>
                  </w:tcBorders>
                  <w:shd w:val="clear" w:color="auto" w:fill="auto"/>
                  <w:vAlign w:val="center"/>
                </w:tcPr>
                <w:p w14:paraId="65D7194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rPr>
                    <w:t>颗粒物</w:t>
                  </w:r>
                </w:p>
              </w:tc>
              <w:tc>
                <w:tcPr>
                  <w:tcW w:w="1127" w:type="dxa"/>
                  <w:tcBorders>
                    <w:top w:val="nil"/>
                    <w:left w:val="single" w:color="000000" w:sz="8" w:space="0"/>
                    <w:bottom w:val="single" w:color="000000" w:sz="8" w:space="0"/>
                    <w:right w:val="single" w:color="000000" w:sz="8" w:space="0"/>
                  </w:tcBorders>
                  <w:shd w:val="clear" w:color="auto" w:fill="auto"/>
                  <w:vAlign w:val="center"/>
                </w:tcPr>
                <w:p w14:paraId="7EC5814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rPr>
                    <w:t>加强收集、厂房密闭</w:t>
                  </w:r>
                </w:p>
              </w:tc>
              <w:tc>
                <w:tcPr>
                  <w:tcW w:w="2276" w:type="dxa"/>
                  <w:tcBorders>
                    <w:top w:val="nil"/>
                    <w:left w:val="single" w:color="000000" w:sz="8" w:space="0"/>
                    <w:bottom w:val="single" w:color="000000" w:sz="8" w:space="0"/>
                    <w:right w:val="single" w:color="000000" w:sz="8" w:space="0"/>
                  </w:tcBorders>
                  <w:shd w:val="clear" w:color="auto" w:fill="auto"/>
                  <w:vAlign w:val="center"/>
                </w:tcPr>
                <w:p w14:paraId="7F7E4371">
                  <w:pPr>
                    <w:keepNext w:val="0"/>
                    <w:keepLines w:val="0"/>
                    <w:widowControl/>
                    <w:suppressLineNumbers w:val="0"/>
                    <w:spacing w:before="0" w:beforeAutospacing="0" w:after="0" w:afterAutospacing="0" w:line="240" w:lineRule="auto"/>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rPr>
                    <w:t>《大气污染物排放标准限值》</w:t>
                  </w:r>
                  <w:r>
                    <w:rPr>
                      <w:rFonts w:hint="default" w:ascii="Times New Roman" w:hAnsi="Times New Roman" w:eastAsia="宋体" w:cs="Times New Roman"/>
                      <w:i w:val="0"/>
                      <w:iCs w:val="0"/>
                      <w:color w:val="auto"/>
                      <w:kern w:val="0"/>
                      <w:sz w:val="21"/>
                      <w:szCs w:val="21"/>
                      <w:highlight w:val="none"/>
                      <w:u w:val="none"/>
                      <w:lang w:val="en-US" w:eastAsia="zh-CN"/>
                    </w:rPr>
                    <w:t>(DB44/27-2001)</w:t>
                  </w:r>
                  <w:r>
                    <w:rPr>
                      <w:rFonts w:hint="eastAsia" w:ascii="宋体" w:hAnsi="宋体" w:eastAsia="宋体" w:cs="宋体"/>
                      <w:i w:val="0"/>
                      <w:iCs w:val="0"/>
                      <w:color w:val="auto"/>
                      <w:kern w:val="0"/>
                      <w:sz w:val="21"/>
                      <w:szCs w:val="21"/>
                      <w:highlight w:val="none"/>
                      <w:u w:val="none"/>
                      <w:lang w:val="en-US" w:eastAsia="zh-CN"/>
                    </w:rPr>
                    <w:t>第二时段无组织排放监控浓度限值、合成树脂工业污染物排放标准》</w:t>
                  </w:r>
                  <w:r>
                    <w:rPr>
                      <w:rFonts w:hint="default" w:ascii="Times New Roman" w:hAnsi="Times New Roman" w:eastAsia="宋体" w:cs="Times New Roman"/>
                      <w:i w:val="0"/>
                      <w:iCs w:val="0"/>
                      <w:color w:val="auto"/>
                      <w:kern w:val="0"/>
                      <w:sz w:val="21"/>
                      <w:szCs w:val="21"/>
                      <w:highlight w:val="none"/>
                      <w:u w:val="none"/>
                      <w:lang w:val="en-US" w:eastAsia="zh-CN"/>
                    </w:rPr>
                    <w:t>(GB31572-2015</w:t>
                  </w:r>
                  <w:r>
                    <w:rPr>
                      <w:rFonts w:hint="eastAsia" w:ascii="宋体" w:hAnsi="宋体" w:eastAsia="宋体" w:cs="宋体"/>
                      <w:i w:val="0"/>
                      <w:iCs w:val="0"/>
                      <w:color w:val="auto"/>
                      <w:kern w:val="0"/>
                      <w:sz w:val="21"/>
                      <w:szCs w:val="21"/>
                      <w:highlight w:val="none"/>
                      <w:u w:val="none"/>
                      <w:lang w:val="en-US" w:eastAsia="zh-CN"/>
                    </w:rPr>
                    <w:t>，含</w:t>
                  </w:r>
                  <w:r>
                    <w:rPr>
                      <w:rFonts w:hint="default" w:ascii="Times New Roman" w:hAnsi="Times New Roman" w:eastAsia="宋体" w:cs="Times New Roman"/>
                      <w:i w:val="0"/>
                      <w:iCs w:val="0"/>
                      <w:color w:val="auto"/>
                      <w:kern w:val="0"/>
                      <w:sz w:val="21"/>
                      <w:szCs w:val="21"/>
                      <w:highlight w:val="none"/>
                      <w:u w:val="none"/>
                      <w:lang w:val="en-US" w:eastAsia="zh-CN"/>
                    </w:rPr>
                    <w:t>2024</w:t>
                  </w:r>
                  <w:r>
                    <w:rPr>
                      <w:rFonts w:hint="eastAsia" w:ascii="宋体" w:hAnsi="宋体" w:eastAsia="宋体" w:cs="宋体"/>
                      <w:i w:val="0"/>
                      <w:iCs w:val="0"/>
                      <w:color w:val="auto"/>
                      <w:kern w:val="0"/>
                      <w:sz w:val="21"/>
                      <w:szCs w:val="21"/>
                      <w:highlight w:val="none"/>
                      <w:u w:val="none"/>
                      <w:lang w:val="en-US" w:eastAsia="zh-CN"/>
                    </w:rPr>
                    <w:t>年修改单</w:t>
                  </w:r>
                  <w:r>
                    <w:rPr>
                      <w:rFonts w:hint="default" w:ascii="Times New Roman" w:hAnsi="Times New Roman" w:eastAsia="宋体" w:cs="Times New Roman"/>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 xml:space="preserve">中表 </w:t>
                  </w:r>
                  <w:r>
                    <w:rPr>
                      <w:rFonts w:hint="default" w:ascii="Times New Roman" w:hAnsi="Times New Roman" w:eastAsia="宋体" w:cs="Times New Roman"/>
                      <w:i w:val="0"/>
                      <w:iCs w:val="0"/>
                      <w:color w:val="auto"/>
                      <w:kern w:val="0"/>
                      <w:sz w:val="21"/>
                      <w:szCs w:val="21"/>
                      <w:highlight w:val="none"/>
                      <w:u w:val="none"/>
                      <w:lang w:val="en-US" w:eastAsia="zh-CN"/>
                    </w:rPr>
                    <w:t xml:space="preserve">9 </w:t>
                  </w:r>
                  <w:r>
                    <w:rPr>
                      <w:rFonts w:hint="eastAsia" w:ascii="宋体" w:hAnsi="宋体" w:eastAsia="宋体" w:cs="宋体"/>
                      <w:i w:val="0"/>
                      <w:iCs w:val="0"/>
                      <w:color w:val="auto"/>
                      <w:kern w:val="0"/>
                      <w:sz w:val="21"/>
                      <w:szCs w:val="21"/>
                      <w:highlight w:val="none"/>
                      <w:u w:val="none"/>
                      <w:lang w:val="en-US" w:eastAsia="zh-CN"/>
                    </w:rPr>
                    <w:t>企业边界大气污染物浓度限值中的较严值</w:t>
                  </w:r>
                </w:p>
              </w:tc>
              <w:tc>
                <w:tcPr>
                  <w:tcW w:w="1219" w:type="dxa"/>
                  <w:tcBorders>
                    <w:top w:val="nil"/>
                    <w:left w:val="single" w:color="000000" w:sz="8" w:space="0"/>
                    <w:bottom w:val="single" w:color="000000" w:sz="8" w:space="0"/>
                    <w:right w:val="single" w:color="000000" w:sz="8" w:space="0"/>
                  </w:tcBorders>
                  <w:shd w:val="clear" w:color="auto" w:fill="auto"/>
                  <w:vAlign w:val="center"/>
                </w:tcPr>
                <w:p w14:paraId="377DADF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1</w:t>
                  </w:r>
                </w:p>
              </w:tc>
              <w:tc>
                <w:tcPr>
                  <w:tcW w:w="967" w:type="dxa"/>
                  <w:tcBorders>
                    <w:top w:val="nil"/>
                    <w:left w:val="single" w:color="000000" w:sz="8" w:space="0"/>
                    <w:bottom w:val="single" w:color="000000" w:sz="8" w:space="0"/>
                    <w:right w:val="single" w:color="000000" w:sz="8" w:space="0"/>
                  </w:tcBorders>
                  <w:shd w:val="clear" w:color="auto" w:fill="auto"/>
                  <w:vAlign w:val="center"/>
                </w:tcPr>
                <w:p w14:paraId="27431FA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rPr>
                    <w:t>1.731</w:t>
                  </w:r>
                </w:p>
              </w:tc>
            </w:tr>
            <w:tr w14:paraId="62C5590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7" w:hRule="atLeast"/>
              </w:trPr>
              <w:tc>
                <w:tcPr>
                  <w:tcW w:w="9117" w:type="dxa"/>
                  <w:gridSpan w:val="9"/>
                  <w:tcBorders>
                    <w:top w:val="nil"/>
                    <w:left w:val="single" w:color="000000" w:sz="8" w:space="0"/>
                    <w:bottom w:val="single" w:color="000000" w:sz="8" w:space="0"/>
                    <w:right w:val="single" w:color="000000" w:sz="8" w:space="0"/>
                  </w:tcBorders>
                  <w:shd w:val="clear" w:color="auto" w:fill="auto"/>
                  <w:vAlign w:val="center"/>
                </w:tcPr>
                <w:p w14:paraId="272D437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rPr>
                    <w:t>无组织排放总计</w:t>
                  </w:r>
                </w:p>
              </w:tc>
            </w:tr>
            <w:tr w14:paraId="6F5A90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7" w:hRule="atLeast"/>
              </w:trPr>
              <w:tc>
                <w:tcPr>
                  <w:tcW w:w="3355" w:type="dxa"/>
                  <w:gridSpan w:val="4"/>
                  <w:tcBorders>
                    <w:top w:val="nil"/>
                    <w:left w:val="single" w:color="000000" w:sz="8" w:space="0"/>
                    <w:bottom w:val="single" w:color="000000" w:sz="8" w:space="0"/>
                    <w:right w:val="single" w:color="000000" w:sz="8" w:space="0"/>
                  </w:tcBorders>
                  <w:shd w:val="clear" w:color="auto" w:fill="auto"/>
                  <w:vAlign w:val="center"/>
                </w:tcPr>
                <w:p w14:paraId="0409D1A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rPr>
                    <w:t>无组织排放总计</w:t>
                  </w:r>
                </w:p>
              </w:tc>
              <w:tc>
                <w:tcPr>
                  <w:tcW w:w="1300" w:type="dxa"/>
                  <w:gridSpan w:val="2"/>
                  <w:tcBorders>
                    <w:top w:val="single" w:color="000000" w:sz="8" w:space="0"/>
                    <w:left w:val="single" w:color="000000" w:sz="8" w:space="0"/>
                    <w:bottom w:val="single" w:color="000000" w:sz="8" w:space="0"/>
                    <w:right w:val="single" w:color="000000" w:sz="8" w:space="0"/>
                  </w:tcBorders>
                  <w:shd w:val="clear" w:color="auto" w:fill="auto"/>
                  <w:vAlign w:val="center"/>
                </w:tcPr>
                <w:p w14:paraId="2F68E12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rPr>
                    <w:t>颗粒物</w:t>
                  </w:r>
                </w:p>
              </w:tc>
              <w:tc>
                <w:tcPr>
                  <w:tcW w:w="4462" w:type="dxa"/>
                  <w:gridSpan w:val="3"/>
                  <w:tcBorders>
                    <w:top w:val="single" w:color="000000" w:sz="8" w:space="0"/>
                    <w:left w:val="single" w:color="000000" w:sz="8" w:space="0"/>
                    <w:bottom w:val="single" w:color="000000" w:sz="8" w:space="0"/>
                    <w:right w:val="single" w:color="000000" w:sz="8" w:space="0"/>
                  </w:tcBorders>
                  <w:shd w:val="clear" w:color="auto" w:fill="auto"/>
                  <w:vAlign w:val="center"/>
                </w:tcPr>
                <w:p w14:paraId="4EDF1C0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rPr>
                    <w:t>1.731</w:t>
                  </w:r>
                </w:p>
              </w:tc>
            </w:tr>
          </w:tbl>
          <w:p w14:paraId="1B134321">
            <w:pPr>
              <w:pStyle w:val="110"/>
              <w:keepNext w:val="0"/>
              <w:keepLines w:val="0"/>
              <w:numPr>
                <w:ilvl w:val="0"/>
                <w:numId w:val="0"/>
              </w:numPr>
              <w:suppressLineNumbers w:val="0"/>
              <w:tabs>
                <w:tab w:val="left" w:pos="0"/>
              </w:tabs>
              <w:snapToGrid/>
              <w:spacing w:before="0" w:beforeAutospacing="0" w:after="0" w:afterAutospacing="0"/>
              <w:ind w:left="0" w:leftChars="0" w:right="0" w:rightChars="0" w:firstLine="4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pacing w:val="0"/>
                <w:kern w:val="2"/>
                <w:sz w:val="21"/>
                <w:szCs w:val="21"/>
                <w:highlight w:val="none"/>
                <w:lang w:val="en-US" w:eastAsia="zh-CN" w:bidi="ar-SA"/>
              </w:rPr>
              <w:t>表4-</w:t>
            </w:r>
            <w:r>
              <w:rPr>
                <w:rFonts w:hint="eastAsia" w:cs="Times New Roman"/>
                <w:b/>
                <w:bCs/>
                <w:color w:val="auto"/>
                <w:spacing w:val="0"/>
                <w:kern w:val="2"/>
                <w:sz w:val="21"/>
                <w:szCs w:val="21"/>
                <w:highlight w:val="none"/>
                <w:lang w:val="en-US" w:eastAsia="zh-CN" w:bidi="ar-SA"/>
              </w:rPr>
              <w:t xml:space="preserve">6 </w:t>
            </w:r>
            <w:r>
              <w:rPr>
                <w:rFonts w:hint="default" w:ascii="Times New Roman" w:hAnsi="Times New Roman" w:eastAsia="宋体" w:cs="Times New Roman"/>
                <w:b/>
                <w:bCs/>
                <w:color w:val="auto"/>
                <w:sz w:val="21"/>
                <w:szCs w:val="21"/>
                <w:highlight w:val="none"/>
                <w:lang w:val="en-US" w:eastAsia="zh-CN"/>
              </w:rPr>
              <w:t>大气污染物排放量核算表</w:t>
            </w:r>
          </w:p>
          <w:tbl>
            <w:tblPr>
              <w:tblStyle w:val="39"/>
              <w:tblW w:w="492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2828"/>
              <w:gridCol w:w="2829"/>
              <w:gridCol w:w="3500"/>
            </w:tblGrid>
            <w:tr w14:paraId="0DB7CE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544" w:type="pct"/>
                  <w:tcBorders>
                    <w:top w:val="single" w:color="000000" w:sz="8" w:space="0"/>
                    <w:left w:val="single" w:color="000000" w:sz="8" w:space="0"/>
                    <w:bottom w:val="single" w:color="000000" w:sz="8" w:space="0"/>
                    <w:right w:val="single" w:color="000000" w:sz="8" w:space="0"/>
                  </w:tcBorders>
                  <w:shd w:val="clear" w:color="auto" w:fill="auto"/>
                  <w:vAlign w:val="center"/>
                </w:tcPr>
                <w:p w14:paraId="0CC8E47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rPr>
                    <w:t>序号</w:t>
                  </w:r>
                </w:p>
              </w:tc>
              <w:tc>
                <w:tcPr>
                  <w:tcW w:w="1544" w:type="pct"/>
                  <w:tcBorders>
                    <w:top w:val="single" w:color="000000" w:sz="8" w:space="0"/>
                    <w:left w:val="single" w:color="000000" w:sz="8" w:space="0"/>
                    <w:bottom w:val="single" w:color="000000" w:sz="8" w:space="0"/>
                    <w:right w:val="single" w:color="000000" w:sz="8" w:space="0"/>
                  </w:tcBorders>
                  <w:shd w:val="clear" w:color="auto" w:fill="auto"/>
                  <w:vAlign w:val="center"/>
                </w:tcPr>
                <w:p w14:paraId="190EEBD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rPr>
                    <w:t>污染物</w:t>
                  </w:r>
                </w:p>
              </w:tc>
              <w:tc>
                <w:tcPr>
                  <w:tcW w:w="1910" w:type="pct"/>
                  <w:tcBorders>
                    <w:top w:val="single" w:color="000000" w:sz="8" w:space="0"/>
                    <w:left w:val="single" w:color="000000" w:sz="8" w:space="0"/>
                    <w:bottom w:val="single" w:color="000000" w:sz="8" w:space="0"/>
                    <w:right w:val="single" w:color="000000" w:sz="8" w:space="0"/>
                  </w:tcBorders>
                  <w:shd w:val="clear" w:color="auto" w:fill="auto"/>
                  <w:vAlign w:val="center"/>
                </w:tcPr>
                <w:p w14:paraId="29F16C9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rPr>
                    <w:t>年排放量</w:t>
                  </w:r>
                  <w:r>
                    <w:rPr>
                      <w:rFonts w:hint="default" w:ascii="Times New Roman" w:hAnsi="Times New Roman" w:eastAsia="宋体" w:cs="Times New Roman"/>
                      <w:b/>
                      <w:bCs/>
                      <w:i w:val="0"/>
                      <w:iCs w:val="0"/>
                      <w:color w:val="auto"/>
                      <w:kern w:val="0"/>
                      <w:sz w:val="21"/>
                      <w:szCs w:val="21"/>
                      <w:highlight w:val="none"/>
                      <w:u w:val="none"/>
                      <w:lang w:val="en-US" w:eastAsia="zh-CN"/>
                    </w:rPr>
                    <w:t>/</w:t>
                  </w:r>
                  <w:r>
                    <w:rPr>
                      <w:rFonts w:hint="eastAsia" w:ascii="宋体" w:hAnsi="宋体" w:eastAsia="宋体" w:cs="宋体"/>
                      <w:b/>
                      <w:bCs/>
                      <w:i w:val="0"/>
                      <w:iCs w:val="0"/>
                      <w:color w:val="auto"/>
                      <w:kern w:val="0"/>
                      <w:sz w:val="21"/>
                      <w:szCs w:val="21"/>
                      <w:highlight w:val="none"/>
                      <w:u w:val="none"/>
                      <w:lang w:val="en-US" w:eastAsia="zh-CN"/>
                    </w:rPr>
                    <w:t>（</w:t>
                  </w:r>
                  <w:r>
                    <w:rPr>
                      <w:rFonts w:hint="default" w:ascii="Times New Roman" w:hAnsi="Times New Roman" w:eastAsia="宋体" w:cs="Times New Roman"/>
                      <w:b/>
                      <w:bCs/>
                      <w:i w:val="0"/>
                      <w:iCs w:val="0"/>
                      <w:color w:val="auto"/>
                      <w:kern w:val="0"/>
                      <w:sz w:val="21"/>
                      <w:szCs w:val="21"/>
                      <w:highlight w:val="none"/>
                      <w:u w:val="none"/>
                      <w:lang w:val="en-US" w:eastAsia="zh-CN"/>
                    </w:rPr>
                    <w:t>t/a</w:t>
                  </w:r>
                  <w:r>
                    <w:rPr>
                      <w:rFonts w:hint="eastAsia" w:ascii="宋体" w:hAnsi="宋体" w:eastAsia="宋体" w:cs="宋体"/>
                      <w:b/>
                      <w:bCs/>
                      <w:i w:val="0"/>
                      <w:iCs w:val="0"/>
                      <w:color w:val="auto"/>
                      <w:kern w:val="0"/>
                      <w:sz w:val="21"/>
                      <w:szCs w:val="21"/>
                      <w:highlight w:val="none"/>
                      <w:u w:val="none"/>
                      <w:lang w:val="en-US" w:eastAsia="zh-CN"/>
                    </w:rPr>
                    <w:t>）</w:t>
                  </w:r>
                </w:p>
              </w:tc>
            </w:tr>
            <w:tr w14:paraId="349B39E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94" w:hRule="atLeast"/>
              </w:trPr>
              <w:tc>
                <w:tcPr>
                  <w:tcW w:w="1544" w:type="pct"/>
                  <w:tcBorders>
                    <w:top w:val="nil"/>
                    <w:left w:val="single" w:color="000000" w:sz="8" w:space="0"/>
                    <w:bottom w:val="single" w:color="000000" w:sz="8" w:space="0"/>
                    <w:right w:val="single" w:color="000000" w:sz="8" w:space="0"/>
                  </w:tcBorders>
                  <w:shd w:val="clear" w:color="auto" w:fill="auto"/>
                  <w:vAlign w:val="center"/>
                </w:tcPr>
                <w:p w14:paraId="75A12E0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rPr>
                    <w:t>1</w:t>
                  </w:r>
                </w:p>
              </w:tc>
              <w:tc>
                <w:tcPr>
                  <w:tcW w:w="1544" w:type="pct"/>
                  <w:tcBorders>
                    <w:top w:val="nil"/>
                    <w:left w:val="single" w:color="000000" w:sz="8" w:space="0"/>
                    <w:bottom w:val="single" w:color="000000" w:sz="8" w:space="0"/>
                    <w:right w:val="single" w:color="000000" w:sz="8" w:space="0"/>
                  </w:tcBorders>
                  <w:shd w:val="clear" w:color="auto" w:fill="auto"/>
                  <w:vAlign w:val="center"/>
                </w:tcPr>
                <w:p w14:paraId="3DAF210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rPr>
                    <w:t>颗粒物</w:t>
                  </w:r>
                </w:p>
              </w:tc>
              <w:tc>
                <w:tcPr>
                  <w:tcW w:w="1910" w:type="pct"/>
                  <w:tcBorders>
                    <w:top w:val="nil"/>
                    <w:left w:val="single" w:color="000000" w:sz="8" w:space="0"/>
                    <w:bottom w:val="single" w:color="000000" w:sz="8" w:space="0"/>
                    <w:right w:val="single" w:color="000000" w:sz="8" w:space="0"/>
                  </w:tcBorders>
                  <w:shd w:val="clear" w:color="auto" w:fill="auto"/>
                  <w:vAlign w:val="center"/>
                </w:tcPr>
                <w:p w14:paraId="17CAAAD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rPr>
                    <w:t>1.789</w:t>
                  </w:r>
                </w:p>
              </w:tc>
            </w:tr>
          </w:tbl>
          <w:p w14:paraId="4C0AAC7D">
            <w:pPr>
              <w:keepNext w:val="0"/>
              <w:keepLines w:val="0"/>
              <w:suppressLineNumbers w:val="0"/>
              <w:spacing w:before="0" w:beforeAutospacing="0" w:after="0" w:afterAutospacing="0"/>
              <w:ind w:left="0" w:right="0" w:firstLine="480" w:firstLineChars="20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w:t>
            </w:r>
            <w:r>
              <w:rPr>
                <w:rFonts w:hint="eastAsia" w:cs="Times New Roman"/>
                <w:b/>
                <w:bCs/>
                <w:color w:val="auto"/>
                <w:highlight w:val="none"/>
                <w:lang w:val="en-US" w:eastAsia="zh-CN"/>
              </w:rPr>
              <w:t>2</w:t>
            </w:r>
            <w:r>
              <w:rPr>
                <w:rFonts w:hint="default" w:ascii="Times New Roman" w:hAnsi="Times New Roman" w:cs="Times New Roman"/>
                <w:b/>
                <w:bCs/>
                <w:color w:val="auto"/>
                <w:highlight w:val="none"/>
                <w:lang w:val="en-US" w:eastAsia="zh-CN"/>
              </w:rPr>
              <w:t>）污水处理站恶臭</w:t>
            </w:r>
          </w:p>
          <w:p w14:paraId="46753327">
            <w:pPr>
              <w:pStyle w:val="110"/>
              <w:keepNext w:val="0"/>
              <w:keepLines w:val="0"/>
              <w:suppressLineNumbers w:val="0"/>
              <w:snapToGrid/>
              <w:spacing w:before="0" w:beforeAutospacing="0" w:after="0" w:afterAutospacing="0"/>
              <w:ind w:left="0" w:right="0" w:firstLine="480"/>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污水处理站废水处理产生的废气主要为硫化氢、氨、臭气浓度</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其中酸雾来源于</w:t>
            </w:r>
            <w:r>
              <w:rPr>
                <w:rFonts w:hint="default" w:ascii="Times New Roman" w:hAnsi="Times New Roman" w:cs="Times New Roman"/>
                <w:color w:val="auto"/>
                <w:highlight w:val="none"/>
                <w:lang w:val="en-US" w:eastAsia="zh-CN"/>
              </w:rPr>
              <w:t>pH调整剂（70%硫酸）</w:t>
            </w:r>
            <w:r>
              <w:rPr>
                <w:rFonts w:hint="eastAsia" w:cs="Times New Roman"/>
                <w:color w:val="auto"/>
                <w:highlight w:val="none"/>
                <w:lang w:val="en-US" w:eastAsia="zh-CN"/>
              </w:rPr>
              <w:t>的使用，由于其</w:t>
            </w:r>
            <w:r>
              <w:rPr>
                <w:rFonts w:hint="default" w:ascii="Times New Roman" w:hAnsi="Times New Roman" w:cs="Times New Roman"/>
                <w:color w:val="auto"/>
                <w:highlight w:val="none"/>
                <w:lang w:val="en-US" w:eastAsia="zh-CN"/>
              </w:rPr>
              <w:t>储存于密闭的容器中，非取用状态时加盖、封口，保持密闭，项目仅为调节废水</w:t>
            </w:r>
            <w:r>
              <w:rPr>
                <w:rFonts w:hint="eastAsia" w:cs="Times New Roman"/>
                <w:color w:val="auto"/>
                <w:highlight w:val="none"/>
                <w:lang w:val="en-US" w:eastAsia="zh-CN"/>
              </w:rPr>
              <w:t>p</w:t>
            </w:r>
            <w:r>
              <w:rPr>
                <w:rFonts w:hint="default" w:ascii="Times New Roman" w:hAnsi="Times New Roman" w:cs="Times New Roman"/>
                <w:color w:val="auto"/>
                <w:highlight w:val="none"/>
                <w:lang w:val="en-US" w:eastAsia="zh-CN"/>
              </w:rPr>
              <w:t>H，不存在酸洗等过程，常温下只会有极少酸雾随着水汽蒸发而挥发出来，本项目忽略不计</w:t>
            </w:r>
            <w:r>
              <w:rPr>
                <w:rFonts w:hint="eastAsia" w:cs="Times New Roman"/>
                <w:color w:val="auto"/>
                <w:highlight w:val="none"/>
                <w:lang w:val="en-US" w:eastAsia="zh-CN"/>
              </w:rPr>
              <w:t>；</w:t>
            </w:r>
            <w:r>
              <w:rPr>
                <w:rFonts w:hint="default" w:ascii="Times New Roman" w:hAnsi="Times New Roman" w:cs="Times New Roman"/>
                <w:color w:val="auto"/>
                <w:highlight w:val="none"/>
              </w:rPr>
              <w:t>硫化氢、氨、臭气浓度由于产生量少，本次评价不作定量分析，污水处理站采取加盖密闭、加强通风措施后无组织排放，经处理后预计能够满足《恶臭污染物排放标准》（GB14554-1993）表1恶臭污染物新扩改建厂界标准值二级标准，生产异味对周边环境的影响不大。</w:t>
            </w:r>
          </w:p>
          <w:p w14:paraId="168F0AD7">
            <w:pPr>
              <w:keepNext w:val="0"/>
              <w:keepLines w:val="0"/>
              <w:numPr>
                <w:ilvl w:val="0"/>
                <w:numId w:val="0"/>
              </w:numPr>
              <w:suppressLineNumbers w:val="0"/>
              <w:adjustRightInd w:val="0"/>
              <w:snapToGrid w:val="0"/>
              <w:spacing w:before="0" w:beforeAutospacing="0" w:after="0" w:afterAutospacing="0"/>
              <w:ind w:left="0" w:right="0" w:firstLine="480" w:firstLineChars="200"/>
              <w:jc w:val="both"/>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w:t>
            </w:r>
            <w:r>
              <w:rPr>
                <w:rFonts w:hint="eastAsia" w:ascii="Times New Roman" w:hAnsi="Times New Roman" w:cs="Times New Roman"/>
                <w:b/>
                <w:bCs/>
                <w:color w:val="auto"/>
                <w:highlight w:val="none"/>
                <w:lang w:val="en-US" w:eastAsia="zh-CN"/>
              </w:rPr>
              <w:t>3</w:t>
            </w:r>
            <w:r>
              <w:rPr>
                <w:rFonts w:hint="default" w:ascii="Times New Roman" w:hAnsi="Times New Roman" w:cs="Times New Roman"/>
                <w:b/>
                <w:bCs/>
                <w:color w:val="auto"/>
                <w:highlight w:val="none"/>
                <w:lang w:val="en-US" w:eastAsia="zh-CN"/>
              </w:rPr>
              <w:t>）食堂油烟</w:t>
            </w:r>
          </w:p>
          <w:p w14:paraId="57B86500">
            <w:pPr>
              <w:pStyle w:val="110"/>
              <w:keepNext w:val="0"/>
              <w:keepLines w:val="0"/>
              <w:suppressLineNumbers w:val="0"/>
              <w:snapToGrid/>
              <w:spacing w:before="0" w:beforeAutospacing="0" w:after="0" w:afterAutospacing="0"/>
              <w:ind w:left="0" w:right="0" w:firstLine="480"/>
              <w:outlineLvl w:val="9"/>
              <w:rPr>
                <w:rFonts w:hint="default" w:ascii="Times New Roman" w:hAnsi="Times New Roman" w:cs="Times New Roman"/>
                <w:color w:val="auto"/>
                <w:highlight w:val="none"/>
              </w:rPr>
            </w:pPr>
            <w:r>
              <w:rPr>
                <w:rFonts w:hint="default" w:ascii="Times New Roman" w:hAnsi="Times New Roman" w:eastAsia="宋体" w:cs="Times New Roman"/>
                <w:color w:val="auto"/>
                <w:sz w:val="24"/>
                <w:szCs w:val="24"/>
                <w:highlight w:val="none"/>
              </w:rPr>
              <w:t>本项目拟雇佣员工1</w:t>
            </w:r>
            <w:r>
              <w:rPr>
                <w:rFonts w:hint="eastAsia" w:ascii="Times New Roman" w:hAnsi="Times New Roman" w:eastAsia="宋体" w:cs="Times New Roman"/>
                <w:color w:val="auto"/>
                <w:sz w:val="24"/>
                <w:szCs w:val="24"/>
                <w:highlight w:val="none"/>
                <w:lang w:val="en-US" w:eastAsia="zh-CN"/>
              </w:rPr>
              <w:t>0</w:t>
            </w:r>
            <w:r>
              <w:rPr>
                <w:rFonts w:hint="default" w:ascii="Times New Roman" w:hAnsi="Times New Roman" w:eastAsia="宋体" w:cs="Times New Roman"/>
                <w:color w:val="auto"/>
                <w:sz w:val="24"/>
                <w:szCs w:val="24"/>
                <w:highlight w:val="none"/>
              </w:rPr>
              <w:t>0人，均在厂区内就餐。食堂在烹饪、加工过程中会挥发出油脂、有机质及热分解产物，从而产生油烟废气。根据饮食业油烟浓度经验数据，目前居民人均食用油日用量约30g/人·d，一般油烟挥发量占总耗油量的2~4%，本项目取3%，油烟的产生量为0.045t/a，开炉时间按</w:t>
            </w:r>
            <w:r>
              <w:rPr>
                <w:rFonts w:hint="eastAsia" w:ascii="Times New Roman" w:hAnsi="Times New Roman" w:eastAsia="宋体" w:cs="Times New Roman"/>
                <w:color w:val="auto"/>
                <w:sz w:val="24"/>
                <w:szCs w:val="24"/>
                <w:highlight w:val="none"/>
                <w:lang w:val="en-US" w:eastAsia="zh-CN"/>
              </w:rPr>
              <w:t>6</w:t>
            </w:r>
            <w:r>
              <w:rPr>
                <w:rFonts w:hint="default" w:ascii="Times New Roman" w:hAnsi="Times New Roman" w:eastAsia="宋体" w:cs="Times New Roman"/>
                <w:color w:val="auto"/>
                <w:sz w:val="24"/>
                <w:szCs w:val="24"/>
                <w:highlight w:val="none"/>
              </w:rPr>
              <w:t>h/d计，拟设置</w:t>
            </w:r>
            <w:r>
              <w:rPr>
                <w:rFonts w:hint="eastAsia"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个灶头，单个灶头风量为2000m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/h，油烟经集气装置（收集效率为70%）收集后经1套静电油烟净化装置（处理效率为</w:t>
            </w:r>
            <w:r>
              <w:rPr>
                <w:rFonts w:hint="eastAsia" w:ascii="Times New Roman" w:hAnsi="Times New Roman" w:eastAsia="宋体"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rPr>
              <w:t>5%）处理后由专用的排烟管道引至楼顶排放，则油烟排放量为有组织排放量为0.00</w:t>
            </w:r>
            <w:r>
              <w:rPr>
                <w:rFonts w:hint="eastAsia" w:ascii="Times New Roman" w:hAnsi="Times New Roman" w:eastAsia="宋体" w:cs="Times New Roman"/>
                <w:color w:val="auto"/>
                <w:sz w:val="24"/>
                <w:szCs w:val="24"/>
                <w:highlight w:val="none"/>
                <w:lang w:val="en-US" w:eastAsia="zh-CN"/>
              </w:rPr>
              <w:t>78</w:t>
            </w:r>
            <w:r>
              <w:rPr>
                <w:rFonts w:hint="default" w:ascii="Times New Roman" w:hAnsi="Times New Roman" w:eastAsia="宋体" w:cs="Times New Roman"/>
                <w:color w:val="auto"/>
                <w:sz w:val="24"/>
                <w:szCs w:val="24"/>
                <w:highlight w:val="none"/>
              </w:rPr>
              <w:t>‬t/a，排放速率为0.003</w:t>
            </w:r>
            <w:r>
              <w:rPr>
                <w:rFonts w:hint="eastAsia" w:ascii="Times New Roman" w:hAnsi="Times New Roman" w:eastAsia="宋体" w:cs="Times New Roman"/>
                <w:color w:val="auto"/>
                <w:sz w:val="24"/>
                <w:szCs w:val="24"/>
                <w:highlight w:val="none"/>
                <w:lang w:val="en-US" w:eastAsia="zh-CN"/>
              </w:rPr>
              <w:t>9</w:t>
            </w:r>
            <w:r>
              <w:rPr>
                <w:rFonts w:hint="default" w:ascii="Times New Roman" w:hAnsi="Times New Roman" w:eastAsia="宋体" w:cs="Times New Roman"/>
                <w:color w:val="auto"/>
                <w:sz w:val="24"/>
                <w:szCs w:val="24"/>
                <w:highlight w:val="none"/>
              </w:rPr>
              <w:t>kg/h，排放浓度为0.</w:t>
            </w:r>
            <w:r>
              <w:rPr>
                <w:rFonts w:hint="eastAsia"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mg/m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，油烟无组织排放量为0.01</w:t>
            </w:r>
            <w:r>
              <w:rPr>
                <w:rFonts w:hint="eastAsia"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t/a，排放速率为0.0</w:t>
            </w:r>
            <w:r>
              <w:rPr>
                <w:rFonts w:hint="eastAsia" w:ascii="Times New Roman" w:hAnsi="Times New Roman" w:eastAsia="宋体" w:cs="Times New Roman"/>
                <w:color w:val="auto"/>
                <w:sz w:val="24"/>
                <w:szCs w:val="24"/>
                <w:highlight w:val="none"/>
                <w:lang w:val="en-US" w:eastAsia="zh-CN"/>
              </w:rPr>
              <w:t>068</w:t>
            </w:r>
            <w:r>
              <w:rPr>
                <w:rFonts w:hint="default" w:ascii="Times New Roman" w:hAnsi="Times New Roman" w:eastAsia="宋体" w:cs="Times New Roman"/>
                <w:color w:val="auto"/>
                <w:sz w:val="24"/>
                <w:szCs w:val="24"/>
                <w:highlight w:val="none"/>
              </w:rPr>
              <w:t>kg/h。</w:t>
            </w:r>
          </w:p>
          <w:p w14:paraId="3192ECDF">
            <w:pPr>
              <w:keepNext/>
              <w:keepLines/>
              <w:suppressLineNumbers w:val="0"/>
              <w:tabs>
                <w:tab w:val="left" w:pos="0"/>
              </w:tabs>
              <w:spacing w:before="0" w:beforeAutospacing="0" w:after="0" w:afterAutospacing="0"/>
              <w:ind w:left="0" w:right="0" w:firstLine="480" w:firstLineChars="200"/>
              <w:outlineLvl w:val="3"/>
              <w:rPr>
                <w:rFonts w:hint="default" w:ascii="Times New Roman" w:hAnsi="Times New Roman"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2、废气治理系统可行性分析</w:t>
            </w:r>
          </w:p>
          <w:p w14:paraId="4D0BE51E">
            <w:pPr>
              <w:keepNext/>
              <w:keepLines/>
              <w:suppressLineNumbers w:val="0"/>
              <w:tabs>
                <w:tab w:val="left" w:pos="0"/>
              </w:tabs>
              <w:spacing w:before="0" w:beforeAutospacing="0" w:after="0" w:afterAutospacing="0"/>
              <w:ind w:left="0" w:right="0" w:firstLine="480" w:firstLineChars="200"/>
              <w:outlineLvl w:val="3"/>
              <w:rPr>
                <w:rFonts w:hint="default" w:ascii="Times New Roman" w:hAnsi="Times New Roman" w:cs="Times New Roman"/>
                <w:b w:val="0"/>
                <w:bCs w:val="0"/>
                <w:i w:val="0"/>
                <w:iCs w:val="0"/>
                <w:color w:val="auto"/>
                <w:kern w:val="0"/>
                <w:sz w:val="24"/>
                <w:szCs w:val="24"/>
                <w:highlight w:val="none"/>
                <w:u w:val="none"/>
                <w:lang w:val="en-US" w:eastAsia="zh-CN"/>
              </w:rPr>
            </w:pPr>
            <w:r>
              <w:rPr>
                <w:rFonts w:hint="default" w:ascii="Times New Roman" w:hAnsi="Times New Roman" w:cs="Times New Roman"/>
                <w:b w:val="0"/>
                <w:bCs w:val="0"/>
                <w:i w:val="0"/>
                <w:iCs w:val="0"/>
                <w:color w:val="auto"/>
                <w:kern w:val="0"/>
                <w:sz w:val="24"/>
                <w:szCs w:val="24"/>
                <w:highlight w:val="none"/>
                <w:u w:val="none"/>
                <w:lang w:val="en-US" w:eastAsia="zh-CN"/>
              </w:rPr>
              <w:t>本项目采用</w:t>
            </w:r>
            <w:r>
              <w:rPr>
                <w:rFonts w:hint="eastAsia" w:cs="Times New Roman"/>
                <w:color w:val="auto"/>
                <w:highlight w:val="none"/>
                <w:lang w:eastAsia="zh-CN"/>
              </w:rPr>
              <w:t>布袋除尘器</w:t>
            </w:r>
            <w:r>
              <w:rPr>
                <w:rFonts w:hint="default" w:ascii="Times New Roman" w:hAnsi="Times New Roman" w:cs="Times New Roman"/>
                <w:b w:val="0"/>
                <w:bCs w:val="0"/>
                <w:i w:val="0"/>
                <w:iCs w:val="0"/>
                <w:color w:val="auto"/>
                <w:kern w:val="0"/>
                <w:sz w:val="24"/>
                <w:szCs w:val="24"/>
                <w:highlight w:val="none"/>
                <w:u w:val="none"/>
                <w:lang w:val="en-US" w:eastAsia="zh-CN"/>
              </w:rPr>
              <w:t>处理</w:t>
            </w:r>
            <w:r>
              <w:rPr>
                <w:rFonts w:hint="eastAsia" w:cs="Times New Roman"/>
                <w:b w:val="0"/>
                <w:bCs w:val="0"/>
                <w:i w:val="0"/>
                <w:iCs w:val="0"/>
                <w:color w:val="auto"/>
                <w:kern w:val="0"/>
                <w:sz w:val="24"/>
                <w:szCs w:val="24"/>
                <w:highlight w:val="none"/>
                <w:u w:val="none"/>
                <w:lang w:val="en-US" w:eastAsia="zh-CN"/>
              </w:rPr>
              <w:t>破碎</w:t>
            </w:r>
            <w:r>
              <w:rPr>
                <w:rFonts w:hint="default" w:ascii="Times New Roman" w:hAnsi="Times New Roman" w:cs="Times New Roman"/>
                <w:b w:val="0"/>
                <w:bCs w:val="0"/>
                <w:i w:val="0"/>
                <w:iCs w:val="0"/>
                <w:color w:val="auto"/>
                <w:kern w:val="0"/>
                <w:sz w:val="24"/>
                <w:szCs w:val="24"/>
                <w:highlight w:val="none"/>
                <w:u w:val="none"/>
                <w:lang w:val="en-US" w:eastAsia="zh-CN"/>
              </w:rPr>
              <w:t>粉尘，参照《排污许可证申请与核发技术规范 废弃资源加工工业》（</w:t>
            </w:r>
            <w:r>
              <w:rPr>
                <w:rFonts w:hint="eastAsia" w:cs="Times New Roman"/>
                <w:b w:val="0"/>
                <w:bCs w:val="0"/>
                <w:i w:val="0"/>
                <w:iCs w:val="0"/>
                <w:color w:val="auto"/>
                <w:kern w:val="0"/>
                <w:sz w:val="24"/>
                <w:szCs w:val="24"/>
                <w:highlight w:val="none"/>
                <w:u w:val="none"/>
                <w:lang w:val="en-US" w:eastAsia="zh-CN"/>
              </w:rPr>
              <w:t>HJ</w:t>
            </w:r>
            <w:r>
              <w:rPr>
                <w:rFonts w:hint="default" w:ascii="Times New Roman" w:hAnsi="Times New Roman" w:cs="Times New Roman"/>
                <w:b w:val="0"/>
                <w:bCs w:val="0"/>
                <w:i w:val="0"/>
                <w:iCs w:val="0"/>
                <w:color w:val="auto"/>
                <w:kern w:val="0"/>
                <w:sz w:val="24"/>
                <w:szCs w:val="24"/>
                <w:highlight w:val="none"/>
                <w:u w:val="none"/>
                <w:lang w:val="en-US" w:eastAsia="zh-CN"/>
              </w:rPr>
              <w:t>1034—2019），</w:t>
            </w:r>
            <w:r>
              <w:rPr>
                <w:rFonts w:hint="eastAsia" w:cs="Times New Roman"/>
                <w:color w:val="auto"/>
                <w:highlight w:val="none"/>
                <w:lang w:eastAsia="zh-CN"/>
              </w:rPr>
              <w:t>布袋除尘器</w:t>
            </w:r>
            <w:r>
              <w:rPr>
                <w:rFonts w:hint="default" w:ascii="Times New Roman" w:hAnsi="Times New Roman" w:cs="Times New Roman"/>
                <w:color w:val="auto"/>
                <w:highlight w:val="none"/>
                <w:lang w:val="en-US" w:eastAsia="zh-CN"/>
              </w:rPr>
              <w:t>属</w:t>
            </w:r>
            <w:r>
              <w:rPr>
                <w:rFonts w:hint="default" w:ascii="Times New Roman" w:hAnsi="Times New Roman" w:cs="Times New Roman"/>
                <w:b w:val="0"/>
                <w:bCs w:val="0"/>
                <w:i w:val="0"/>
                <w:iCs w:val="0"/>
                <w:color w:val="auto"/>
                <w:kern w:val="0"/>
                <w:sz w:val="24"/>
                <w:szCs w:val="24"/>
                <w:highlight w:val="none"/>
                <w:u w:val="none"/>
                <w:lang w:val="en-US" w:eastAsia="zh-CN"/>
              </w:rPr>
              <w:t>于排污许可技术规范中的可行技术，因此本项目使用该治理设施是可行的。</w:t>
            </w:r>
          </w:p>
          <w:p w14:paraId="53F6CA1E">
            <w:pPr>
              <w:pStyle w:val="114"/>
              <w:keepNext w:val="0"/>
              <w:keepLines w:val="0"/>
              <w:suppressLineNumbers w:val="0"/>
              <w:bidi w:val="0"/>
              <w:spacing w:before="0" w:beforeAutospacing="0" w:after="0" w:afterAutospacing="0"/>
              <w:ind w:left="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表</w:t>
            </w:r>
            <w:r>
              <w:rPr>
                <w:rFonts w:hint="default" w:ascii="Times New Roman" w:hAnsi="Times New Roman" w:eastAsia="宋体" w:cs="Times New Roman"/>
                <w:color w:val="auto"/>
                <w:highlight w:val="none"/>
                <w:lang w:val="en-US" w:eastAsia="zh-CN"/>
              </w:rPr>
              <w:t>4</w:t>
            </w:r>
            <w:r>
              <w:rPr>
                <w:rFonts w:hint="eastAsia" w:cs="Times New Roman"/>
                <w:color w:val="auto"/>
                <w:highlight w:val="none"/>
                <w:lang w:val="en-US" w:eastAsia="zh-CN"/>
              </w:rPr>
              <w:t>-7</w:t>
            </w:r>
            <w:r>
              <w:rPr>
                <w:rFonts w:hint="default"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lang w:eastAsia="zh-CN"/>
              </w:rPr>
              <w:t>本项目拟采取废气防治措施一览表</w:t>
            </w:r>
          </w:p>
          <w:tbl>
            <w:tblPr>
              <w:tblStyle w:val="39"/>
              <w:tblW w:w="4857"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57" w:type="dxa"/>
                <w:bottom w:w="0" w:type="dxa"/>
                <w:right w:w="57" w:type="dxa"/>
              </w:tblCellMar>
            </w:tblPr>
            <w:tblGrid>
              <w:gridCol w:w="1072"/>
              <w:gridCol w:w="1672"/>
              <w:gridCol w:w="4235"/>
              <w:gridCol w:w="2044"/>
            </w:tblGrid>
            <w:tr w14:paraId="38A6EB9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7" w:type="dxa"/>
                  <w:bottom w:w="0" w:type="dxa"/>
                  <w:right w:w="57" w:type="dxa"/>
                </w:tblCellMar>
              </w:tblPrEx>
              <w:trPr>
                <w:trHeight w:val="380" w:hRule="atLeast"/>
                <w:jc w:val="center"/>
              </w:trPr>
              <w:tc>
                <w:tcPr>
                  <w:tcW w:w="594" w:type="pct"/>
                  <w:tcBorders>
                    <w:tl2br w:val="nil"/>
                    <w:tr2bl w:val="nil"/>
                  </w:tcBorders>
                  <w:tcMar>
                    <w:left w:w="57" w:type="dxa"/>
                    <w:right w:w="57" w:type="dxa"/>
                  </w:tcMar>
                  <w:vAlign w:val="center"/>
                </w:tcPr>
                <w:p w14:paraId="2D6461DF">
                  <w:pPr>
                    <w:pStyle w:val="93"/>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highlight w:val="none"/>
                      <w:lang w:eastAsia="zh-CN"/>
                    </w:rPr>
                  </w:pPr>
                  <w:r>
                    <w:rPr>
                      <w:rFonts w:hint="default" w:ascii="Times New Roman" w:hAnsi="Times New Roman" w:eastAsia="宋体" w:cs="Times New Roman"/>
                      <w:b w:val="0"/>
                      <w:bCs/>
                      <w:color w:val="auto"/>
                      <w:highlight w:val="none"/>
                      <w:lang w:eastAsia="zh-CN"/>
                    </w:rPr>
                    <w:t>污染源</w:t>
                  </w:r>
                </w:p>
              </w:tc>
              <w:tc>
                <w:tcPr>
                  <w:tcW w:w="926" w:type="pct"/>
                  <w:tcBorders>
                    <w:tl2br w:val="nil"/>
                    <w:tr2bl w:val="nil"/>
                  </w:tcBorders>
                  <w:vAlign w:val="center"/>
                </w:tcPr>
                <w:p w14:paraId="6C0ACE0F">
                  <w:pPr>
                    <w:pStyle w:val="93"/>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highlight w:val="none"/>
                      <w:lang w:eastAsia="zh-CN"/>
                    </w:rPr>
                  </w:pPr>
                  <w:r>
                    <w:rPr>
                      <w:rFonts w:hint="default" w:ascii="Times New Roman" w:hAnsi="Times New Roman" w:eastAsia="宋体" w:cs="Times New Roman"/>
                      <w:b w:val="0"/>
                      <w:bCs/>
                      <w:color w:val="auto"/>
                      <w:highlight w:val="none"/>
                      <w:lang w:eastAsia="zh-CN"/>
                    </w:rPr>
                    <w:t>治理措施</w:t>
                  </w:r>
                </w:p>
              </w:tc>
              <w:tc>
                <w:tcPr>
                  <w:tcW w:w="2346" w:type="pct"/>
                  <w:tcBorders>
                    <w:tl2br w:val="nil"/>
                    <w:tr2bl w:val="nil"/>
                  </w:tcBorders>
                  <w:vAlign w:val="center"/>
                </w:tcPr>
                <w:p w14:paraId="60D7071E">
                  <w:pPr>
                    <w:pStyle w:val="93"/>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highlight w:val="none"/>
                      <w:lang w:eastAsia="zh-CN"/>
                    </w:rPr>
                  </w:pPr>
                  <w:r>
                    <w:rPr>
                      <w:rFonts w:hint="default" w:ascii="Times New Roman" w:hAnsi="Times New Roman" w:eastAsia="宋体" w:cs="Times New Roman"/>
                      <w:b w:val="0"/>
                      <w:bCs/>
                      <w:color w:val="auto"/>
                      <w:highlight w:val="none"/>
                      <w:lang w:eastAsia="zh-CN"/>
                    </w:rPr>
                    <w:t>是否可行技术</w:t>
                  </w:r>
                </w:p>
              </w:tc>
              <w:tc>
                <w:tcPr>
                  <w:tcW w:w="1132" w:type="pct"/>
                  <w:tcBorders>
                    <w:tl2br w:val="nil"/>
                    <w:tr2bl w:val="nil"/>
                  </w:tcBorders>
                  <w:vAlign w:val="center"/>
                </w:tcPr>
                <w:p w14:paraId="3F4ED3BC">
                  <w:pPr>
                    <w:pStyle w:val="93"/>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highlight w:val="none"/>
                      <w:lang w:eastAsia="zh-CN"/>
                    </w:rPr>
                  </w:pPr>
                  <w:r>
                    <w:rPr>
                      <w:rFonts w:hint="default" w:ascii="Times New Roman" w:hAnsi="Times New Roman" w:eastAsia="宋体" w:cs="Times New Roman"/>
                      <w:b w:val="0"/>
                      <w:bCs/>
                      <w:color w:val="auto"/>
                      <w:highlight w:val="none"/>
                      <w:lang w:val="en-US" w:eastAsia="zh-CN"/>
                    </w:rPr>
                    <w:t>本项目</w:t>
                  </w:r>
                </w:p>
              </w:tc>
            </w:tr>
            <w:tr w14:paraId="0F083C0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7" w:type="dxa"/>
                  <w:bottom w:w="0" w:type="dxa"/>
                  <w:right w:w="57" w:type="dxa"/>
                </w:tblCellMar>
              </w:tblPrEx>
              <w:trPr>
                <w:trHeight w:val="1296" w:hRule="atLeast"/>
                <w:jc w:val="center"/>
              </w:trPr>
              <w:tc>
                <w:tcPr>
                  <w:tcW w:w="594" w:type="pct"/>
                  <w:tcBorders>
                    <w:tl2br w:val="nil"/>
                    <w:tr2bl w:val="nil"/>
                  </w:tcBorders>
                  <w:tcMar>
                    <w:left w:w="57" w:type="dxa"/>
                    <w:right w:w="57" w:type="dxa"/>
                  </w:tcMar>
                  <w:vAlign w:val="center"/>
                </w:tcPr>
                <w:p w14:paraId="256E913B">
                  <w:pPr>
                    <w:pStyle w:val="93"/>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highlight w:val="none"/>
                      <w:lang w:eastAsia="zh-CN"/>
                    </w:rPr>
                  </w:pPr>
                  <w:r>
                    <w:rPr>
                      <w:rFonts w:hint="default" w:ascii="Times New Roman" w:hAnsi="Times New Roman" w:eastAsia="宋体" w:cs="Times New Roman"/>
                      <w:b w:val="0"/>
                      <w:bCs/>
                      <w:color w:val="auto"/>
                      <w:highlight w:val="none"/>
                      <w:lang w:val="en-US" w:eastAsia="zh-CN"/>
                    </w:rPr>
                    <w:t>干法</w:t>
                  </w:r>
                  <w:r>
                    <w:rPr>
                      <w:rFonts w:hint="default" w:ascii="Times New Roman" w:hAnsi="Times New Roman" w:eastAsia="宋体" w:cs="Times New Roman"/>
                      <w:b w:val="0"/>
                      <w:bCs/>
                      <w:color w:val="auto"/>
                      <w:highlight w:val="none"/>
                      <w:lang w:eastAsia="zh-CN"/>
                    </w:rPr>
                    <w:t>破碎粉尘</w:t>
                  </w:r>
                </w:p>
              </w:tc>
              <w:tc>
                <w:tcPr>
                  <w:tcW w:w="926" w:type="pct"/>
                  <w:tcBorders>
                    <w:tl2br w:val="nil"/>
                    <w:tr2bl w:val="nil"/>
                  </w:tcBorders>
                  <w:vAlign w:val="center"/>
                </w:tcPr>
                <w:p w14:paraId="77CA4BF8">
                  <w:pPr>
                    <w:pStyle w:val="93"/>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highlight w:val="none"/>
                      <w:lang w:val="en-US" w:eastAsia="zh-CN"/>
                    </w:rPr>
                  </w:pPr>
                  <w:r>
                    <w:rPr>
                      <w:rFonts w:hint="default" w:ascii="Times New Roman" w:hAnsi="Times New Roman" w:eastAsia="宋体" w:cs="Times New Roman"/>
                      <w:b w:val="0"/>
                      <w:bCs/>
                      <w:color w:val="auto"/>
                      <w:highlight w:val="none"/>
                      <w:lang w:val="en-US" w:eastAsia="zh-CN"/>
                    </w:rPr>
                    <w:t>布袋除尘</w:t>
                  </w:r>
                </w:p>
              </w:tc>
              <w:tc>
                <w:tcPr>
                  <w:tcW w:w="2346" w:type="pct"/>
                  <w:tcBorders>
                    <w:tl2br w:val="nil"/>
                    <w:tr2bl w:val="nil"/>
                  </w:tcBorders>
                  <w:vAlign w:val="center"/>
                </w:tcPr>
                <w:p w14:paraId="5739628B">
                  <w:pPr>
                    <w:pStyle w:val="93"/>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highlight w:val="none"/>
                      <w:lang w:val="en-US" w:eastAsia="zh-CN"/>
                    </w:rPr>
                  </w:pPr>
                  <w:r>
                    <w:rPr>
                      <w:rFonts w:hint="default" w:ascii="Times New Roman" w:hAnsi="Times New Roman" w:eastAsia="宋体" w:cs="Times New Roman"/>
                      <w:b w:val="0"/>
                      <w:bCs/>
                      <w:color w:val="auto"/>
                      <w:highlight w:val="none"/>
                      <w:lang w:val="en-US" w:eastAsia="zh-CN"/>
                    </w:rPr>
                    <w:t>是。</w:t>
                  </w:r>
                </w:p>
                <w:p w14:paraId="32DA2C6B">
                  <w:pPr>
                    <w:pStyle w:val="93"/>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highlight w:val="none"/>
                      <w:lang w:val="en-US" w:eastAsia="zh-CN"/>
                    </w:rPr>
                  </w:pPr>
                  <w:r>
                    <w:rPr>
                      <w:rFonts w:hint="default" w:ascii="Times New Roman" w:hAnsi="Times New Roman" w:eastAsia="宋体" w:cs="Times New Roman"/>
                      <w:b w:val="0"/>
                      <w:bCs/>
                      <w:color w:val="auto"/>
                      <w:highlight w:val="none"/>
                      <w:lang w:val="en-US" w:eastAsia="zh-CN"/>
                    </w:rPr>
                    <w:t>根据《排污许可证申请与核发技术规范 弃资源加工工业（HJ1034-2019）》中附录A 表A.1，废塑料破碎工艺产生的颗粒物推荐处理工艺为喷淋降尘、布袋除尘。</w:t>
                  </w:r>
                </w:p>
              </w:tc>
              <w:tc>
                <w:tcPr>
                  <w:tcW w:w="1132" w:type="pct"/>
                  <w:tcBorders>
                    <w:tl2br w:val="nil"/>
                    <w:tr2bl w:val="nil"/>
                  </w:tcBorders>
                  <w:vAlign w:val="center"/>
                </w:tcPr>
                <w:p w14:paraId="7A5B6691">
                  <w:pPr>
                    <w:pStyle w:val="93"/>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highlight w:val="none"/>
                      <w:lang w:val="en-US" w:eastAsia="zh-CN"/>
                    </w:rPr>
                  </w:pPr>
                  <w:r>
                    <w:rPr>
                      <w:rFonts w:hint="default" w:ascii="Times New Roman" w:hAnsi="Times New Roman" w:eastAsia="宋体" w:cs="Times New Roman"/>
                      <w:b w:val="0"/>
                      <w:bCs/>
                      <w:color w:val="auto"/>
                      <w:highlight w:val="none"/>
                      <w:lang w:val="en-US" w:eastAsia="zh-CN"/>
                    </w:rPr>
                    <w:t>采取布袋除尘，可行。</w:t>
                  </w:r>
                </w:p>
              </w:tc>
            </w:tr>
            <w:tr w14:paraId="0709288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7" w:type="dxa"/>
                  <w:bottom w:w="0" w:type="dxa"/>
                  <w:right w:w="57" w:type="dxa"/>
                </w:tblCellMar>
              </w:tblPrEx>
              <w:trPr>
                <w:trHeight w:val="1296" w:hRule="atLeast"/>
                <w:jc w:val="center"/>
              </w:trPr>
              <w:tc>
                <w:tcPr>
                  <w:tcW w:w="594" w:type="pct"/>
                  <w:tcBorders>
                    <w:tl2br w:val="nil"/>
                    <w:tr2bl w:val="nil"/>
                  </w:tcBorders>
                  <w:tcMar>
                    <w:left w:w="57" w:type="dxa"/>
                    <w:right w:w="57" w:type="dxa"/>
                  </w:tcMar>
                  <w:vAlign w:val="center"/>
                </w:tcPr>
                <w:p w14:paraId="2BF1A4E8">
                  <w:pPr>
                    <w:pStyle w:val="93"/>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highlight w:val="none"/>
                      <w:lang w:val="en-US" w:eastAsia="zh-CN"/>
                    </w:rPr>
                  </w:pPr>
                  <w:r>
                    <w:rPr>
                      <w:rFonts w:hint="eastAsia" w:eastAsia="宋体" w:cs="Times New Roman"/>
                      <w:b w:val="0"/>
                      <w:bCs/>
                      <w:color w:val="auto"/>
                      <w:highlight w:val="none"/>
                      <w:lang w:val="en-US" w:eastAsia="zh-CN"/>
                    </w:rPr>
                    <w:t>油烟</w:t>
                  </w:r>
                </w:p>
              </w:tc>
              <w:tc>
                <w:tcPr>
                  <w:tcW w:w="926" w:type="pct"/>
                  <w:tcBorders>
                    <w:tl2br w:val="nil"/>
                    <w:tr2bl w:val="nil"/>
                  </w:tcBorders>
                  <w:vAlign w:val="center"/>
                </w:tcPr>
                <w:p w14:paraId="52EB0286">
                  <w:pPr>
                    <w:pStyle w:val="93"/>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highlight w:val="none"/>
                      <w:lang w:val="en-US" w:eastAsia="zh-CN"/>
                    </w:rPr>
                  </w:pPr>
                  <w:r>
                    <w:rPr>
                      <w:rFonts w:hint="eastAsia" w:eastAsia="宋体" w:cs="Times New Roman"/>
                      <w:b w:val="0"/>
                      <w:bCs/>
                      <w:color w:val="auto"/>
                      <w:highlight w:val="none"/>
                      <w:lang w:val="en-US" w:eastAsia="zh-CN"/>
                    </w:rPr>
                    <w:t>油烟净化器</w:t>
                  </w:r>
                </w:p>
              </w:tc>
              <w:tc>
                <w:tcPr>
                  <w:tcW w:w="2346" w:type="pct"/>
                  <w:tcBorders>
                    <w:tl2br w:val="nil"/>
                    <w:tr2bl w:val="nil"/>
                  </w:tcBorders>
                  <w:vAlign w:val="center"/>
                </w:tcPr>
                <w:p w14:paraId="1C4E26A7">
                  <w:pPr>
                    <w:pStyle w:val="93"/>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highlight w:val="none"/>
                      <w:lang w:val="en-US" w:eastAsia="zh-CN"/>
                    </w:rPr>
                  </w:pPr>
                  <w:r>
                    <w:rPr>
                      <w:rFonts w:hint="eastAsia" w:ascii="Times New Roman" w:hAnsi="Times New Roman" w:eastAsia="宋体" w:cs="Times New Roman"/>
                      <w:b w:val="0"/>
                      <w:bCs/>
                      <w:color w:val="auto"/>
                      <w:highlight w:val="none"/>
                      <w:lang w:val="en-US" w:eastAsia="zh-CN"/>
                    </w:rPr>
                    <w:t>是。</w:t>
                  </w:r>
                  <w:r>
                    <w:rPr>
                      <w:rFonts w:hint="default" w:ascii="Times New Roman" w:hAnsi="Times New Roman" w:eastAsia="宋体" w:cs="Times New Roman"/>
                      <w:b w:val="0"/>
                      <w:bCs/>
                      <w:color w:val="auto"/>
                      <w:highlight w:val="none"/>
                      <w:lang w:val="en-US" w:eastAsia="zh-CN"/>
                    </w:rPr>
                    <w:t>《饮食业油烟排放标准》（GB 18483–2001）</w:t>
                  </w:r>
                  <w:r>
                    <w:rPr>
                      <w:rFonts w:hint="eastAsia" w:eastAsia="宋体" w:cs="Times New Roman"/>
                      <w:b w:val="0"/>
                      <w:bCs/>
                      <w:color w:val="auto"/>
                      <w:highlight w:val="none"/>
                      <w:lang w:val="en-US" w:eastAsia="zh-CN"/>
                    </w:rPr>
                    <w:t>净化效率≥75%</w:t>
                  </w:r>
                </w:p>
              </w:tc>
              <w:tc>
                <w:tcPr>
                  <w:tcW w:w="1132" w:type="pct"/>
                  <w:tcBorders>
                    <w:tl2br w:val="nil"/>
                    <w:tr2bl w:val="nil"/>
                  </w:tcBorders>
                  <w:vAlign w:val="center"/>
                </w:tcPr>
                <w:p w14:paraId="33F708DF">
                  <w:pPr>
                    <w:pStyle w:val="93"/>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highlight w:val="none"/>
                      <w:lang w:val="en-US" w:eastAsia="zh-CN"/>
                    </w:rPr>
                  </w:pPr>
                  <w:r>
                    <w:rPr>
                      <w:rFonts w:hint="eastAsia" w:eastAsia="宋体" w:cs="Times New Roman"/>
                      <w:b w:val="0"/>
                      <w:bCs/>
                      <w:color w:val="auto"/>
                      <w:highlight w:val="none"/>
                      <w:lang w:val="en-US" w:eastAsia="zh-CN"/>
                    </w:rPr>
                    <w:t>可行</w:t>
                  </w:r>
                </w:p>
              </w:tc>
            </w:tr>
          </w:tbl>
          <w:p w14:paraId="5E1698C1">
            <w:pPr>
              <w:keepNext w:val="0"/>
              <w:keepLines w:val="0"/>
              <w:suppressLineNumbers w:val="0"/>
              <w:adjustRightInd w:val="0"/>
              <w:spacing w:before="0" w:beforeAutospacing="0" w:after="0" w:afterAutospacing="0" w:line="360" w:lineRule="auto"/>
              <w:ind w:left="0" w:right="0" w:firstLine="480" w:firstLineChars="200"/>
              <w:contextualSpacing/>
              <w:jc w:val="left"/>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（3）无组织排放控制要求</w:t>
            </w:r>
          </w:p>
          <w:p w14:paraId="610B35BE">
            <w:pPr>
              <w:keepNext w:val="0"/>
              <w:keepLines w:val="0"/>
              <w:suppressLineNumbers w:val="0"/>
              <w:adjustRightInd w:val="0"/>
              <w:spacing w:before="0" w:beforeAutospacing="0" w:after="0" w:afterAutospacing="0" w:line="360" w:lineRule="auto"/>
              <w:ind w:left="0" w:right="0" w:firstLine="480" w:firstLineChars="200"/>
              <w:contextualSpacing/>
              <w:jc w:val="left"/>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根据《排污许可证申请与核发技术规范 废弃资源加工工业》（HJ 034—2019）的要求，建议对本项目无组织排放废气控制提出以下要求∶</w:t>
            </w:r>
          </w:p>
          <w:p w14:paraId="76033721">
            <w:pPr>
              <w:keepNext w:val="0"/>
              <w:keepLines w:val="0"/>
              <w:suppressLineNumbers w:val="0"/>
              <w:adjustRightInd w:val="0"/>
              <w:spacing w:before="0" w:beforeAutospacing="0" w:after="0" w:afterAutospacing="0" w:line="360" w:lineRule="auto"/>
              <w:ind w:left="0" w:right="0" w:firstLine="480" w:firstLineChars="200"/>
              <w:contextualSpacing/>
              <w:jc w:val="left"/>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a）干法破碎等工序加强设备的密闭性，配备粉尘收集和处理设施（布袋除尘器）。</w:t>
            </w:r>
          </w:p>
          <w:p w14:paraId="346EF094">
            <w:pPr>
              <w:keepNext w:val="0"/>
              <w:keepLines w:val="0"/>
              <w:suppressLineNumbers w:val="0"/>
              <w:adjustRightInd w:val="0"/>
              <w:spacing w:before="0" w:beforeAutospacing="0" w:after="0" w:afterAutospacing="0" w:line="360" w:lineRule="auto"/>
              <w:ind w:left="0" w:right="0" w:firstLine="480" w:firstLineChars="200"/>
              <w:contextualSpacing/>
              <w:jc w:val="left"/>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b）优化生产周期，减少原辅料、产品等的转运次数和周转量。延长装置连续运行时间，减少停产检修次数。</w:t>
            </w:r>
          </w:p>
          <w:p w14:paraId="415CE46B">
            <w:pPr>
              <w:keepNext w:val="0"/>
              <w:keepLines w:val="0"/>
              <w:suppressLineNumbers w:val="0"/>
              <w:adjustRightInd w:val="0"/>
              <w:spacing w:before="0" w:beforeAutospacing="0" w:after="0" w:afterAutospacing="0" w:line="360" w:lineRule="auto"/>
              <w:ind w:left="0" w:right="0" w:firstLine="480" w:firstLineChars="200"/>
              <w:contextualSpacing/>
              <w:jc w:val="left"/>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通过上述无组织排放控制措施后，项目的无组织排放的粉尘、非甲烷总烃和恶臭气体对外环境的影响较小。</w:t>
            </w:r>
          </w:p>
          <w:p w14:paraId="789EA011">
            <w:pPr>
              <w:keepNext/>
              <w:keepLines/>
              <w:suppressLineNumbers w:val="0"/>
              <w:tabs>
                <w:tab w:val="left" w:pos="0"/>
              </w:tabs>
              <w:spacing w:before="0" w:beforeAutospacing="0" w:after="0" w:afterAutospacing="0"/>
              <w:ind w:left="0" w:right="0" w:firstLine="480" w:firstLineChars="200"/>
              <w:outlineLvl w:val="3"/>
              <w:rPr>
                <w:rFonts w:hint="default" w:ascii="Times New Roman" w:hAnsi="Times New Roman" w:cs="Times New Roman"/>
                <w:b/>
                <w:bCs/>
                <w:color w:val="auto"/>
                <w:szCs w:val="28"/>
                <w:highlight w:val="none"/>
              </w:rPr>
            </w:pPr>
            <w:r>
              <w:rPr>
                <w:rFonts w:hint="default" w:ascii="Times New Roman" w:hAnsi="Times New Roman" w:cs="Times New Roman"/>
                <w:b/>
                <w:bCs/>
                <w:color w:val="auto"/>
                <w:szCs w:val="28"/>
                <w:highlight w:val="none"/>
                <w:lang w:val="en-US" w:eastAsia="zh-CN"/>
              </w:rPr>
              <w:t>3</w:t>
            </w:r>
            <w:r>
              <w:rPr>
                <w:rFonts w:hint="default" w:ascii="Times New Roman" w:hAnsi="Times New Roman" w:cs="Times New Roman"/>
                <w:b/>
                <w:bCs/>
                <w:color w:val="auto"/>
                <w:szCs w:val="28"/>
                <w:highlight w:val="none"/>
              </w:rPr>
              <w:t>、达标情况分析</w:t>
            </w:r>
          </w:p>
          <w:p w14:paraId="0E85F875">
            <w:pPr>
              <w:pStyle w:val="6"/>
              <w:widowControl/>
              <w:numPr>
                <w:ilvl w:val="4"/>
                <w:numId w:val="0"/>
              </w:numPr>
              <w:suppressLineNumbers w:val="0"/>
              <w:spacing w:before="0" w:beforeAutospacing="0" w:after="0" w:afterAutospacing="0"/>
              <w:ind w:left="48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（1）</w:t>
            </w:r>
            <w:r>
              <w:rPr>
                <w:rFonts w:hint="eastAsia" w:cs="Times New Roman"/>
                <w:color w:val="auto"/>
                <w:kern w:val="2"/>
                <w:highlight w:val="none"/>
                <w:lang w:val="en-US" w:eastAsia="zh-CN"/>
              </w:rPr>
              <w:t>破碎</w:t>
            </w:r>
            <w:r>
              <w:rPr>
                <w:rFonts w:hint="default" w:ascii="Times New Roman" w:hAnsi="Times New Roman" w:cs="Times New Roman"/>
                <w:color w:val="auto"/>
                <w:kern w:val="2"/>
                <w:highlight w:val="none"/>
              </w:rPr>
              <w:t>粉尘</w:t>
            </w:r>
          </w:p>
          <w:p w14:paraId="387BE8E4">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eastAsia" w:cs="Times New Roman"/>
                <w:color w:val="auto"/>
                <w:highlight w:val="none"/>
                <w:lang w:val="en-US" w:eastAsia="zh-CN"/>
              </w:rPr>
              <w:t>破碎</w:t>
            </w:r>
            <w:r>
              <w:rPr>
                <w:rFonts w:hint="default" w:ascii="Times New Roman" w:hAnsi="Times New Roman" w:cs="Times New Roman"/>
                <w:color w:val="auto"/>
                <w:highlight w:val="none"/>
              </w:rPr>
              <w:t>粉尘</w:t>
            </w:r>
            <w:r>
              <w:rPr>
                <w:rFonts w:hint="default" w:ascii="Times New Roman" w:hAnsi="Times New Roman" w:cs="Times New Roman"/>
                <w:color w:val="auto"/>
                <w:kern w:val="0"/>
                <w:highlight w:val="none"/>
              </w:rPr>
              <w:t>以颗粒物表征，</w:t>
            </w:r>
            <w:r>
              <w:rPr>
                <w:rFonts w:hint="default" w:ascii="Times New Roman" w:hAnsi="Times New Roman" w:cs="Times New Roman"/>
                <w:color w:val="auto"/>
                <w:highlight w:val="none"/>
              </w:rPr>
              <w:t>经</w:t>
            </w:r>
            <w:r>
              <w:rPr>
                <w:rFonts w:hint="eastAsia" w:cs="Times New Roman"/>
                <w:color w:val="auto"/>
                <w:highlight w:val="none"/>
                <w:lang w:val="en-US" w:eastAsia="zh-CN"/>
              </w:rPr>
              <w:t>布袋除尘器</w:t>
            </w:r>
            <w:r>
              <w:rPr>
                <w:rFonts w:hint="default" w:ascii="Times New Roman" w:hAnsi="Times New Roman" w:cs="Times New Roman"/>
                <w:color w:val="auto"/>
                <w:highlight w:val="none"/>
              </w:rPr>
              <w:t>处理后</w:t>
            </w:r>
            <w:r>
              <w:rPr>
                <w:rFonts w:hint="eastAsia" w:cs="Times New Roman"/>
                <w:color w:val="auto"/>
                <w:highlight w:val="none"/>
                <w:lang w:val="en-US" w:eastAsia="zh-CN"/>
              </w:rPr>
              <w:t>经引风机引至15m高排气筒DA001</w:t>
            </w:r>
            <w:r>
              <w:rPr>
                <w:rFonts w:hint="default" w:ascii="Times New Roman" w:hAnsi="Times New Roman" w:cs="Times New Roman"/>
                <w:color w:val="auto"/>
                <w:highlight w:val="none"/>
                <w:lang w:val="en-US" w:eastAsia="zh-CN"/>
              </w:rPr>
              <w:t>排放</w:t>
            </w:r>
            <w:r>
              <w:rPr>
                <w:rFonts w:hint="default" w:ascii="Times New Roman" w:hAnsi="Times New Roman" w:cs="Times New Roman"/>
                <w:color w:val="auto"/>
                <w:highlight w:val="none"/>
              </w:rPr>
              <w:t>，处理后颗粒物排放满足</w:t>
            </w:r>
            <w:r>
              <w:rPr>
                <w:rFonts w:hint="eastAsia" w:cs="Times New Roman"/>
                <w:b w:val="0"/>
                <w:bCs w:val="0"/>
                <w:color w:val="auto"/>
                <w:highlight w:val="none"/>
                <w:lang w:val="en-US" w:eastAsia="zh-CN"/>
              </w:rPr>
              <w:t>《合成树脂工业污染物排放标准》(GB31572-2015) 及其 2024 年修改单中表 5 大气污染物特别排放限值和表9企业边界大气污染物浓度限值</w:t>
            </w:r>
            <w:r>
              <w:rPr>
                <w:rFonts w:hint="default" w:ascii="Times New Roman" w:hAnsi="Times New Roman" w:cs="Times New Roman"/>
                <w:color w:val="auto"/>
                <w:highlight w:val="none"/>
              </w:rPr>
              <w:t>。</w:t>
            </w:r>
          </w:p>
          <w:p w14:paraId="4FE6F020">
            <w:pPr>
              <w:pStyle w:val="5"/>
              <w:pageBreakBefore w:val="0"/>
              <w:numPr>
                <w:ilvl w:val="3"/>
                <w:numId w:val="0"/>
              </w:numPr>
              <w:suppressLineNumbers w:val="0"/>
              <w:kinsoku/>
              <w:wordWrap/>
              <w:overflowPunct/>
              <w:topLinePunct w:val="0"/>
              <w:autoSpaceDN/>
              <w:bidi w:val="0"/>
              <w:snapToGrid/>
              <w:spacing w:before="0" w:beforeAutospacing="0" w:after="0" w:afterAutospacing="0"/>
              <w:ind w:right="0" w:firstLine="480" w:firstLineChars="200"/>
              <w:textAlignment w:val="auto"/>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eastAsia="zh-CN"/>
              </w:rPr>
              <w:t>（</w:t>
            </w:r>
            <w:r>
              <w:rPr>
                <w:rFonts w:hint="eastAsia" w:cs="Times New Roman"/>
                <w:b/>
                <w:bCs/>
                <w:color w:val="auto"/>
                <w:highlight w:val="none"/>
                <w:lang w:val="en-US" w:eastAsia="zh-CN"/>
              </w:rPr>
              <w:t>2</w:t>
            </w:r>
            <w:r>
              <w:rPr>
                <w:rFonts w:hint="default" w:ascii="Times New Roman" w:hAnsi="Times New Roman" w:cs="Times New Roman"/>
                <w:b/>
                <w:bCs/>
                <w:color w:val="auto"/>
                <w:highlight w:val="none"/>
                <w:lang w:eastAsia="zh-CN"/>
              </w:rPr>
              <w:t>）</w:t>
            </w:r>
            <w:r>
              <w:rPr>
                <w:rFonts w:hint="default" w:ascii="Times New Roman" w:hAnsi="Times New Roman" w:cs="Times New Roman"/>
                <w:b/>
                <w:bCs/>
                <w:color w:val="auto"/>
                <w:highlight w:val="none"/>
                <w:lang w:val="en-US" w:eastAsia="zh-CN"/>
              </w:rPr>
              <w:t>污水站恶臭</w:t>
            </w:r>
          </w:p>
          <w:p w14:paraId="11549DF2">
            <w:pPr>
              <w:keepNext w:val="0"/>
              <w:keepLines w:val="0"/>
              <w:pageBreakBefore w:val="0"/>
              <w:widowControl/>
              <w:suppressLineNumbers w:val="0"/>
              <w:kinsoku/>
              <w:wordWrap/>
              <w:overflowPunct/>
              <w:topLinePunct w:val="0"/>
              <w:autoSpaceDE w:val="0"/>
              <w:autoSpaceDN/>
              <w:bidi w:val="0"/>
              <w:adjustRightInd w:val="0"/>
              <w:snapToGrid/>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b w:val="0"/>
                <w:bCs w:val="0"/>
                <w:color w:val="auto"/>
                <w:kern w:val="0"/>
                <w:sz w:val="24"/>
                <w:szCs w:val="24"/>
                <w:highlight w:val="none"/>
                <w:lang w:val="en-US" w:eastAsia="zh-CN"/>
              </w:rPr>
            </w:pPr>
            <w:r>
              <w:rPr>
                <w:rFonts w:hint="default" w:ascii="Times New Roman" w:hAnsi="Times New Roman" w:eastAsia="宋体" w:cs="Times New Roman"/>
                <w:b w:val="0"/>
                <w:bCs w:val="0"/>
                <w:color w:val="auto"/>
                <w:kern w:val="0"/>
                <w:sz w:val="24"/>
                <w:szCs w:val="24"/>
                <w:highlight w:val="none"/>
                <w:lang w:val="en-US" w:eastAsia="zh-CN"/>
              </w:rPr>
              <w:t>本项目通过对污水处理设施</w:t>
            </w:r>
            <w:r>
              <w:rPr>
                <w:rFonts w:hint="default" w:ascii="Times New Roman" w:hAnsi="Times New Roman" w:cs="Times New Roman"/>
                <w:color w:val="auto"/>
                <w:highlight w:val="none"/>
              </w:rPr>
              <w:t>采取加盖密闭、加强通风措施后</w:t>
            </w:r>
            <w:r>
              <w:rPr>
                <w:rFonts w:hint="default" w:ascii="Times New Roman" w:hAnsi="Times New Roman" w:eastAsia="宋体" w:cs="Times New Roman"/>
                <w:b w:val="0"/>
                <w:bCs w:val="0"/>
                <w:color w:val="auto"/>
                <w:kern w:val="0"/>
                <w:sz w:val="24"/>
                <w:szCs w:val="24"/>
                <w:highlight w:val="none"/>
                <w:lang w:val="en-US" w:eastAsia="zh-CN"/>
              </w:rPr>
              <w:t>，</w:t>
            </w:r>
            <w:r>
              <w:rPr>
                <w:rFonts w:hint="default" w:ascii="Times New Roman" w:hAnsi="Times New Roman" w:eastAsia="宋体" w:cs="Times New Roman"/>
                <w:b w:val="0"/>
                <w:bCs w:val="0"/>
                <w:color w:val="auto"/>
                <w:kern w:val="2"/>
                <w:sz w:val="24"/>
                <w:szCs w:val="24"/>
                <w:highlight w:val="none"/>
                <w:lang w:val="en-US" w:eastAsia="zh-CN"/>
              </w:rPr>
              <w:t>臭气浓度可满足</w:t>
            </w:r>
            <w:r>
              <w:rPr>
                <w:rFonts w:hint="default" w:ascii="Times New Roman" w:hAnsi="Times New Roman" w:eastAsia="宋体" w:cs="Times New Roman"/>
                <w:b w:val="0"/>
                <w:bCs w:val="0"/>
                <w:color w:val="auto"/>
                <w:kern w:val="0"/>
                <w:sz w:val="24"/>
                <w:szCs w:val="24"/>
                <w:highlight w:val="none"/>
                <w:lang w:val="en-US" w:eastAsia="zh-CN"/>
              </w:rPr>
              <w:t>《恶臭污染物排放标准》(GB14554-93)表1二级标准中“新改扩建”限值要求。</w:t>
            </w:r>
          </w:p>
          <w:p w14:paraId="0149D800">
            <w:pPr>
              <w:keepNext w:val="0"/>
              <w:keepLines w:val="0"/>
              <w:suppressLineNumbers w:val="0"/>
              <w:spacing w:before="0" w:beforeAutospacing="0" w:after="0" w:afterAutospacing="0"/>
              <w:ind w:left="0" w:right="0" w:firstLine="480" w:firstLineChars="200"/>
              <w:rPr>
                <w:rFonts w:hint="eastAsia" w:ascii="Times New Roman" w:hAnsi="Times New Roman" w:eastAsia="宋体" w:cs="Times New Roman"/>
                <w:b w:val="0"/>
                <w:bCs w:val="0"/>
                <w:color w:val="auto"/>
                <w:highlight w:val="none"/>
                <w:lang w:val="en-US" w:eastAsia="zh-CN"/>
              </w:rPr>
            </w:pPr>
            <w:r>
              <w:rPr>
                <w:rFonts w:hint="eastAsia" w:ascii="Times New Roman" w:hAnsi="Times New Roman" w:eastAsia="宋体" w:cs="Times New Roman"/>
                <w:b w:val="0"/>
                <w:bCs w:val="0"/>
                <w:color w:val="auto"/>
                <w:highlight w:val="none"/>
                <w:lang w:val="en-US" w:eastAsia="zh-CN"/>
              </w:rPr>
              <w:t>（3）油烟</w:t>
            </w:r>
          </w:p>
          <w:p w14:paraId="4D6C3E2B">
            <w:pPr>
              <w:keepNext w:val="0"/>
              <w:keepLines w:val="0"/>
              <w:suppressLineNumbers w:val="0"/>
              <w:spacing w:before="0" w:beforeAutospacing="0" w:after="0" w:afterAutospacing="0"/>
              <w:ind w:left="0" w:right="0" w:firstLine="480" w:firstLineChars="200"/>
              <w:rPr>
                <w:rFonts w:hint="default" w:ascii="Times New Roman" w:hAnsi="Times New Roman" w:eastAsia="宋体" w:cs="Times New Roman"/>
                <w:b w:val="0"/>
                <w:bCs w:val="0"/>
                <w:color w:val="auto"/>
                <w:highlight w:val="none"/>
                <w:lang w:val="en-US" w:eastAsia="zh-CN"/>
              </w:rPr>
            </w:pPr>
            <w:r>
              <w:rPr>
                <w:rFonts w:hint="eastAsia" w:ascii="Times New Roman" w:hAnsi="Times New Roman" w:eastAsia="宋体" w:cs="Times New Roman"/>
                <w:b w:val="0"/>
                <w:bCs w:val="0"/>
                <w:color w:val="auto"/>
                <w:highlight w:val="none"/>
                <w:lang w:val="en-US" w:eastAsia="zh-CN"/>
              </w:rPr>
              <w:t>项目食堂油烟经油烟净化器处理后，满足《饮食业油烟排放标准》（GB 18483–2001）中型要求（处理效率≥75%）。</w:t>
            </w:r>
          </w:p>
          <w:p w14:paraId="6F89597F">
            <w:pPr>
              <w:pStyle w:val="5"/>
              <w:numPr>
                <w:ilvl w:val="3"/>
                <w:numId w:val="0"/>
              </w:numPr>
              <w:suppressLineNumbers w:val="0"/>
              <w:spacing w:before="0" w:beforeAutospacing="0" w:after="0" w:afterAutospacing="0"/>
              <w:ind w:right="0" w:firstLine="480" w:firstLineChars="200"/>
              <w:rPr>
                <w:rFonts w:hint="default" w:ascii="Times New Roman" w:hAnsi="Times New Roman" w:cs="Times New Roman"/>
                <w:b w:val="0"/>
                <w:bCs w:val="0"/>
                <w:color w:val="auto"/>
                <w:highlight w:val="none"/>
              </w:rPr>
            </w:pPr>
            <w:r>
              <w:rPr>
                <w:rFonts w:hint="default" w:ascii="Times New Roman" w:hAnsi="Times New Roman" w:cs="Times New Roman"/>
                <w:b w:val="0"/>
                <w:bCs w:val="0"/>
                <w:color w:val="auto"/>
                <w:highlight w:val="none"/>
              </w:rPr>
              <w:t>综上所述，本项目运营期产生的废气采取上述处理措施处理后均能达标排放，不会对本项目所在区域的大气环境产生不利影响。</w:t>
            </w:r>
          </w:p>
          <w:p w14:paraId="6D8BFC70">
            <w:pPr>
              <w:pStyle w:val="5"/>
              <w:numPr>
                <w:ilvl w:val="3"/>
                <w:numId w:val="0"/>
              </w:numPr>
              <w:suppressLineNumbers w:val="0"/>
              <w:spacing w:before="0" w:beforeAutospacing="0" w:after="0" w:afterAutospacing="0"/>
              <w:ind w:right="0" w:firstLine="480" w:firstLineChars="200"/>
              <w:rPr>
                <w:rFonts w:hint="default" w:ascii="Times New Roman" w:hAnsi="Times New Roman" w:eastAsia="宋体" w:cs="Times New Roman"/>
                <w:b/>
                <w:bCs/>
                <w:color w:val="auto"/>
                <w:sz w:val="24"/>
                <w:szCs w:val="24"/>
                <w:highlight w:val="none"/>
                <w:lang w:val="en-US" w:eastAsia="zh-CN"/>
              </w:rPr>
            </w:pPr>
            <w:r>
              <w:rPr>
                <w:rFonts w:hint="eastAsia" w:cs="Times New Roman"/>
                <w:b/>
                <w:bCs/>
                <w:color w:val="auto"/>
                <w:highlight w:val="none"/>
                <w:lang w:eastAsia="zh-CN"/>
              </w:rPr>
              <w:t>（</w:t>
            </w:r>
            <w:r>
              <w:rPr>
                <w:rFonts w:hint="eastAsia" w:cs="Times New Roman"/>
                <w:b/>
                <w:bCs/>
                <w:color w:val="auto"/>
                <w:highlight w:val="none"/>
                <w:lang w:val="en-US" w:eastAsia="zh-CN"/>
              </w:rPr>
              <w:t>3</w:t>
            </w:r>
            <w:r>
              <w:rPr>
                <w:rFonts w:hint="eastAsia" w:cs="Times New Roman"/>
                <w:b/>
                <w:bCs/>
                <w:color w:val="auto"/>
                <w:highlight w:val="none"/>
                <w:lang w:eastAsia="zh-CN"/>
              </w:rPr>
              <w:t>）</w:t>
            </w:r>
            <w:r>
              <w:rPr>
                <w:rFonts w:hint="default" w:ascii="Times New Roman" w:hAnsi="Times New Roman" w:eastAsia="宋体" w:cs="Times New Roman"/>
                <w:b/>
                <w:bCs/>
                <w:color w:val="auto"/>
                <w:sz w:val="24"/>
                <w:szCs w:val="24"/>
                <w:highlight w:val="none"/>
                <w:lang w:val="en-US" w:eastAsia="zh-CN"/>
              </w:rPr>
              <w:t>非正常排放源核算</w:t>
            </w:r>
          </w:p>
          <w:p w14:paraId="229E2185">
            <w:pPr>
              <w:keepNext w:val="0"/>
              <w:keepLines w:val="0"/>
              <w:suppressLineNumbers w:val="0"/>
              <w:adjustRightInd w:val="0"/>
              <w:spacing w:before="0" w:beforeAutospacing="0" w:after="0" w:afterAutospacing="0" w:line="360" w:lineRule="auto"/>
              <w:ind w:left="0" w:right="0" w:firstLine="480" w:firstLineChars="200"/>
              <w:contextualSpacing/>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非正常排放情况考虑</w:t>
            </w:r>
            <w:r>
              <w:rPr>
                <w:rFonts w:hint="default" w:ascii="Times New Roman" w:hAnsi="Times New Roman" w:eastAsia="宋体" w:cs="Times New Roman"/>
                <w:color w:val="auto"/>
                <w:sz w:val="24"/>
                <w:szCs w:val="24"/>
                <w:highlight w:val="none"/>
                <w:lang w:eastAsia="zh-CN"/>
              </w:rPr>
              <w:t>布袋除尘器</w:t>
            </w:r>
            <w:r>
              <w:rPr>
                <w:rFonts w:hint="default" w:ascii="Times New Roman" w:hAnsi="Times New Roman" w:eastAsia="宋体" w:cs="Times New Roman"/>
                <w:color w:val="auto"/>
                <w:sz w:val="24"/>
                <w:szCs w:val="24"/>
                <w:highlight w:val="none"/>
              </w:rPr>
              <w:t>设施发生故障，</w:t>
            </w:r>
            <w:r>
              <w:rPr>
                <w:rFonts w:hint="default" w:ascii="Times New Roman" w:hAnsi="Times New Roman" w:eastAsia="宋体" w:cs="Times New Roman"/>
                <w:color w:val="auto"/>
                <w:sz w:val="24"/>
                <w:szCs w:val="24"/>
                <w:highlight w:val="none"/>
                <w:lang w:eastAsia="zh-CN"/>
              </w:rPr>
              <w:t>非正常情况下布袋除尘器部分滤袋破碎，处理效率仅为</w:t>
            </w:r>
            <w:r>
              <w:rPr>
                <w:rFonts w:hint="default" w:ascii="Times New Roman" w:hAnsi="Times New Roman" w:eastAsia="宋体" w:cs="Times New Roman"/>
                <w:color w:val="auto"/>
                <w:sz w:val="24"/>
                <w:szCs w:val="24"/>
                <w:highlight w:val="none"/>
                <w:lang w:val="en-US" w:eastAsia="zh-CN"/>
              </w:rPr>
              <w:t>75%。</w:t>
            </w:r>
            <w:r>
              <w:rPr>
                <w:rFonts w:hint="default" w:ascii="Times New Roman" w:hAnsi="Times New Roman" w:eastAsia="宋体" w:cs="Times New Roman"/>
                <w:color w:val="auto"/>
                <w:sz w:val="24"/>
                <w:szCs w:val="24"/>
                <w:highlight w:val="none"/>
              </w:rPr>
              <w:t>非正常排放时间按1h计算，非正常排放量核算见表4-</w:t>
            </w:r>
            <w:r>
              <w:rPr>
                <w:rFonts w:hint="eastAsia" w:cs="Times New Roman"/>
                <w:color w:val="auto"/>
                <w:sz w:val="24"/>
                <w:szCs w:val="24"/>
                <w:highlight w:val="none"/>
                <w:lang w:val="en-US" w:eastAsia="zh-CN"/>
              </w:rPr>
              <w:t>8</w:t>
            </w:r>
            <w:r>
              <w:rPr>
                <w:rFonts w:hint="default" w:ascii="Times New Roman" w:hAnsi="Times New Roman" w:eastAsia="宋体" w:cs="Times New Roman"/>
                <w:color w:val="auto"/>
                <w:sz w:val="24"/>
                <w:szCs w:val="24"/>
                <w:highlight w:val="none"/>
              </w:rPr>
              <w:t>。</w:t>
            </w:r>
          </w:p>
          <w:p w14:paraId="7C67CDC8">
            <w:pPr>
              <w:pStyle w:val="114"/>
              <w:keepNext w:val="0"/>
              <w:keepLines w:val="0"/>
              <w:suppressLineNumbers w:val="0"/>
              <w:bidi w:val="0"/>
              <w:spacing w:before="0" w:beforeAutospacing="0" w:after="0" w:afterAutospacing="0"/>
              <w:ind w:lef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表4-</w:t>
            </w:r>
            <w:r>
              <w:rPr>
                <w:rFonts w:hint="eastAsia" w:cs="Times New Roman"/>
                <w:color w:val="auto"/>
                <w:highlight w:val="none"/>
                <w:lang w:val="en-US" w:eastAsia="zh-CN"/>
              </w:rPr>
              <w:t xml:space="preserve">8 </w:t>
            </w:r>
            <w:r>
              <w:rPr>
                <w:rFonts w:hint="default" w:ascii="Times New Roman" w:hAnsi="Times New Roman" w:eastAsia="宋体" w:cs="Times New Roman"/>
                <w:color w:val="auto"/>
                <w:highlight w:val="none"/>
              </w:rPr>
              <w:t>项目废气污染物非正常排放核算表</w:t>
            </w:r>
          </w:p>
          <w:tbl>
            <w:tblPr>
              <w:tblStyle w:val="39"/>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16"/>
              <w:gridCol w:w="713"/>
              <w:gridCol w:w="1186"/>
              <w:gridCol w:w="742"/>
              <w:gridCol w:w="1314"/>
              <w:gridCol w:w="1217"/>
              <w:gridCol w:w="879"/>
              <w:gridCol w:w="1169"/>
              <w:gridCol w:w="838"/>
              <w:gridCol w:w="708"/>
            </w:tblGrid>
            <w:tr w14:paraId="290FA7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0" w:type="pct"/>
                  <w:tcBorders>
                    <w:tl2br w:val="nil"/>
                    <w:tr2bl w:val="nil"/>
                  </w:tcBorders>
                  <w:vAlign w:val="center"/>
                </w:tcPr>
                <w:p w14:paraId="5B361443">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lang w:eastAsia="zh-CN"/>
                    </w:rPr>
                  </w:pPr>
                  <w:r>
                    <w:rPr>
                      <w:rFonts w:hint="default" w:ascii="Times New Roman" w:hAnsi="Times New Roman" w:eastAsia="宋体" w:cs="Times New Roman"/>
                      <w:b w:val="0"/>
                      <w:bCs/>
                      <w:color w:val="auto"/>
                      <w:highlight w:val="none"/>
                      <w:lang w:eastAsia="zh-CN"/>
                    </w:rPr>
                    <w:t>序号</w:t>
                  </w:r>
                </w:p>
              </w:tc>
              <w:tc>
                <w:tcPr>
                  <w:tcW w:w="396" w:type="pct"/>
                  <w:tcBorders>
                    <w:tl2br w:val="nil"/>
                    <w:tr2bl w:val="nil"/>
                  </w:tcBorders>
                  <w:vAlign w:val="center"/>
                </w:tcPr>
                <w:p w14:paraId="64FAF717">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lang w:eastAsia="zh-CN"/>
                    </w:rPr>
                  </w:pPr>
                  <w:r>
                    <w:rPr>
                      <w:rFonts w:hint="default" w:ascii="Times New Roman" w:hAnsi="Times New Roman" w:eastAsia="宋体" w:cs="Times New Roman"/>
                      <w:b w:val="0"/>
                      <w:bCs/>
                      <w:color w:val="auto"/>
                      <w:highlight w:val="none"/>
                      <w:lang w:eastAsia="zh-CN"/>
                    </w:rPr>
                    <w:t>污染源</w:t>
                  </w:r>
                </w:p>
              </w:tc>
              <w:tc>
                <w:tcPr>
                  <w:tcW w:w="651" w:type="pct"/>
                  <w:tcBorders>
                    <w:tl2br w:val="nil"/>
                    <w:tr2bl w:val="nil"/>
                  </w:tcBorders>
                  <w:vAlign w:val="center"/>
                </w:tcPr>
                <w:p w14:paraId="7313122E">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lang w:eastAsia="zh-CN"/>
                    </w:rPr>
                  </w:pPr>
                  <w:r>
                    <w:rPr>
                      <w:rFonts w:hint="default" w:ascii="Times New Roman" w:hAnsi="Times New Roman" w:eastAsia="宋体" w:cs="Times New Roman"/>
                      <w:b w:val="0"/>
                      <w:bCs/>
                      <w:color w:val="auto"/>
                      <w:highlight w:val="none"/>
                      <w:lang w:eastAsia="zh-CN"/>
                    </w:rPr>
                    <w:t>非正常排放原因</w:t>
                  </w:r>
                </w:p>
              </w:tc>
              <w:tc>
                <w:tcPr>
                  <w:tcW w:w="411" w:type="pct"/>
                  <w:tcBorders>
                    <w:tl2br w:val="nil"/>
                    <w:tr2bl w:val="nil"/>
                  </w:tcBorders>
                  <w:vAlign w:val="center"/>
                </w:tcPr>
                <w:p w14:paraId="68ACCAAE">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lang w:eastAsia="zh-CN"/>
                    </w:rPr>
                  </w:pPr>
                  <w:r>
                    <w:rPr>
                      <w:rFonts w:hint="default" w:ascii="Times New Roman" w:hAnsi="Times New Roman" w:eastAsia="宋体" w:cs="Times New Roman"/>
                      <w:b w:val="0"/>
                      <w:bCs/>
                      <w:color w:val="auto"/>
                      <w:highlight w:val="none"/>
                      <w:lang w:eastAsia="zh-CN"/>
                    </w:rPr>
                    <w:t>污染物</w:t>
                  </w:r>
                </w:p>
              </w:tc>
              <w:tc>
                <w:tcPr>
                  <w:tcW w:w="719" w:type="pct"/>
                  <w:tcBorders>
                    <w:tl2br w:val="nil"/>
                    <w:tr2bl w:val="nil"/>
                  </w:tcBorders>
                  <w:vAlign w:val="center"/>
                </w:tcPr>
                <w:p w14:paraId="2E0228C1">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lang w:eastAsia="zh-CN"/>
                    </w:rPr>
                  </w:pPr>
                  <w:r>
                    <w:rPr>
                      <w:rFonts w:hint="default" w:ascii="Times New Roman" w:hAnsi="Times New Roman" w:eastAsia="宋体" w:cs="Times New Roman"/>
                      <w:b w:val="0"/>
                      <w:bCs/>
                      <w:color w:val="auto"/>
                      <w:highlight w:val="none"/>
                      <w:lang w:eastAsia="zh-CN"/>
                    </w:rPr>
                    <w:t>非正常排放浓度/（mg/m</w:t>
                  </w:r>
                  <w:r>
                    <w:rPr>
                      <w:rFonts w:hint="default" w:ascii="Times New Roman" w:hAnsi="Times New Roman" w:eastAsia="宋体" w:cs="Times New Roman"/>
                      <w:b w:val="0"/>
                      <w:bCs/>
                      <w:color w:val="auto"/>
                      <w:highlight w:val="none"/>
                      <w:vertAlign w:val="superscript"/>
                      <w:lang w:eastAsia="zh-CN"/>
                    </w:rPr>
                    <w:t>3</w:t>
                  </w:r>
                  <w:r>
                    <w:rPr>
                      <w:rFonts w:hint="default" w:ascii="Times New Roman" w:hAnsi="Times New Roman" w:eastAsia="宋体" w:cs="Times New Roman"/>
                      <w:b w:val="0"/>
                      <w:bCs/>
                      <w:color w:val="auto"/>
                      <w:highlight w:val="none"/>
                      <w:lang w:eastAsia="zh-CN"/>
                    </w:rPr>
                    <w:t>）</w:t>
                  </w:r>
                </w:p>
              </w:tc>
              <w:tc>
                <w:tcPr>
                  <w:tcW w:w="667" w:type="pct"/>
                  <w:tcBorders>
                    <w:tl2br w:val="nil"/>
                    <w:tr2bl w:val="nil"/>
                  </w:tcBorders>
                  <w:vAlign w:val="center"/>
                </w:tcPr>
                <w:p w14:paraId="7F1AD052">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lang w:eastAsia="zh-CN"/>
                    </w:rPr>
                  </w:pPr>
                  <w:r>
                    <w:rPr>
                      <w:rFonts w:hint="default" w:ascii="Times New Roman" w:hAnsi="Times New Roman" w:eastAsia="宋体" w:cs="Times New Roman"/>
                      <w:b w:val="0"/>
                      <w:bCs/>
                      <w:color w:val="auto"/>
                      <w:highlight w:val="none"/>
                      <w:lang w:eastAsia="zh-CN"/>
                    </w:rPr>
                    <w:t>非正常</w:t>
                  </w:r>
                  <w:r>
                    <w:rPr>
                      <w:rFonts w:hint="default" w:ascii="Times New Roman" w:hAnsi="Times New Roman" w:eastAsia="宋体" w:cs="Times New Roman"/>
                      <w:b w:val="0"/>
                      <w:bCs/>
                      <w:color w:val="auto"/>
                      <w:highlight w:val="none"/>
                    </w:rPr>
                    <w:t>排放速率</w:t>
                  </w:r>
                  <w:r>
                    <w:rPr>
                      <w:rFonts w:hint="default" w:ascii="Times New Roman" w:hAnsi="Times New Roman" w:eastAsia="宋体" w:cs="Times New Roman"/>
                      <w:b w:val="0"/>
                      <w:bCs/>
                      <w:color w:val="auto"/>
                      <w:highlight w:val="none"/>
                      <w:lang w:eastAsia="zh-CN"/>
                    </w:rPr>
                    <w:t>/（</w:t>
                  </w:r>
                  <w:r>
                    <w:rPr>
                      <w:rFonts w:hint="default" w:ascii="Times New Roman" w:hAnsi="Times New Roman" w:eastAsia="宋体" w:cs="Times New Roman"/>
                      <w:b w:val="0"/>
                      <w:bCs/>
                      <w:color w:val="auto"/>
                      <w:highlight w:val="none"/>
                    </w:rPr>
                    <w:t>kg/h</w:t>
                  </w:r>
                  <w:r>
                    <w:rPr>
                      <w:rFonts w:hint="default" w:ascii="Times New Roman" w:hAnsi="Times New Roman" w:eastAsia="宋体" w:cs="Times New Roman"/>
                      <w:b w:val="0"/>
                      <w:bCs/>
                      <w:color w:val="auto"/>
                      <w:highlight w:val="none"/>
                      <w:lang w:eastAsia="zh-CN"/>
                    </w:rPr>
                    <w:t>）</w:t>
                  </w:r>
                </w:p>
              </w:tc>
              <w:tc>
                <w:tcPr>
                  <w:tcW w:w="485" w:type="pct"/>
                  <w:tcBorders>
                    <w:tl2br w:val="nil"/>
                    <w:tr2bl w:val="nil"/>
                  </w:tcBorders>
                  <w:vAlign w:val="center"/>
                </w:tcPr>
                <w:p w14:paraId="2415304F">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lang w:eastAsia="zh-CN"/>
                    </w:rPr>
                  </w:pPr>
                  <w:r>
                    <w:rPr>
                      <w:rFonts w:hint="default" w:ascii="Times New Roman" w:hAnsi="Times New Roman" w:eastAsia="宋体" w:cs="Times New Roman"/>
                      <w:b w:val="0"/>
                      <w:bCs/>
                      <w:color w:val="auto"/>
                      <w:highlight w:val="none"/>
                      <w:lang w:eastAsia="zh-CN"/>
                    </w:rPr>
                    <w:t>单次持续时间/h</w:t>
                  </w:r>
                </w:p>
              </w:tc>
              <w:tc>
                <w:tcPr>
                  <w:tcW w:w="521" w:type="pct"/>
                  <w:tcBorders>
                    <w:tl2br w:val="nil"/>
                    <w:tr2bl w:val="nil"/>
                  </w:tcBorders>
                  <w:vAlign w:val="center"/>
                </w:tcPr>
                <w:p w14:paraId="64CA9BEC">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rPr>
                  </w:pPr>
                  <w:r>
                    <w:rPr>
                      <w:rFonts w:hint="default" w:ascii="Times New Roman" w:hAnsi="Times New Roman" w:eastAsia="宋体" w:cs="Times New Roman"/>
                      <w:b w:val="0"/>
                      <w:bCs/>
                      <w:color w:val="auto"/>
                      <w:highlight w:val="none"/>
                    </w:rPr>
                    <w:t>排放量/</w:t>
                  </w:r>
                </w:p>
                <w:p w14:paraId="1C246E7C">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lang w:eastAsia="zh-CN"/>
                    </w:rPr>
                  </w:pPr>
                  <w:r>
                    <w:rPr>
                      <w:rFonts w:hint="default" w:ascii="Times New Roman" w:hAnsi="Times New Roman" w:eastAsia="宋体" w:cs="Times New Roman"/>
                      <w:b w:val="0"/>
                      <w:bCs/>
                      <w:color w:val="auto"/>
                      <w:highlight w:val="none"/>
                      <w:lang w:eastAsia="zh-CN"/>
                    </w:rPr>
                    <w:t>（kg）</w:t>
                  </w:r>
                </w:p>
              </w:tc>
              <w:tc>
                <w:tcPr>
                  <w:tcW w:w="463" w:type="pct"/>
                  <w:tcBorders>
                    <w:tl2br w:val="nil"/>
                    <w:tr2bl w:val="nil"/>
                  </w:tcBorders>
                  <w:vAlign w:val="center"/>
                </w:tcPr>
                <w:p w14:paraId="65B86E97">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lang w:eastAsia="zh-CN"/>
                    </w:rPr>
                  </w:pPr>
                  <w:r>
                    <w:rPr>
                      <w:rFonts w:hint="default" w:ascii="Times New Roman" w:hAnsi="Times New Roman" w:eastAsia="宋体" w:cs="Times New Roman"/>
                      <w:b w:val="0"/>
                      <w:bCs/>
                      <w:color w:val="auto"/>
                      <w:highlight w:val="none"/>
                      <w:lang w:eastAsia="zh-CN"/>
                    </w:rPr>
                    <w:t>年发生频次/次</w:t>
                  </w:r>
                </w:p>
              </w:tc>
              <w:tc>
                <w:tcPr>
                  <w:tcW w:w="393" w:type="pct"/>
                  <w:tcBorders>
                    <w:tl2br w:val="nil"/>
                    <w:tr2bl w:val="nil"/>
                  </w:tcBorders>
                  <w:vAlign w:val="center"/>
                </w:tcPr>
                <w:p w14:paraId="4FFEF2C5">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lang w:eastAsia="zh-CN"/>
                    </w:rPr>
                  </w:pPr>
                  <w:r>
                    <w:rPr>
                      <w:rFonts w:hint="default" w:ascii="Times New Roman" w:hAnsi="Times New Roman" w:eastAsia="宋体" w:cs="Times New Roman"/>
                      <w:b w:val="0"/>
                      <w:bCs/>
                      <w:color w:val="auto"/>
                      <w:highlight w:val="none"/>
                      <w:lang w:eastAsia="zh-CN"/>
                    </w:rPr>
                    <w:t>应对措施</w:t>
                  </w:r>
                </w:p>
              </w:tc>
            </w:tr>
            <w:tr w14:paraId="6144DA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0" w:type="pct"/>
                  <w:tcBorders>
                    <w:tl2br w:val="nil"/>
                    <w:tr2bl w:val="nil"/>
                  </w:tcBorders>
                  <w:vAlign w:val="center"/>
                </w:tcPr>
                <w:p w14:paraId="53BC6B28">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lang w:val="en-US" w:eastAsia="zh-CN"/>
                    </w:rPr>
                  </w:pPr>
                  <w:r>
                    <w:rPr>
                      <w:rFonts w:hint="default" w:ascii="Times New Roman" w:hAnsi="Times New Roman" w:eastAsia="宋体" w:cs="Times New Roman"/>
                      <w:b w:val="0"/>
                      <w:bCs/>
                      <w:color w:val="auto"/>
                      <w:highlight w:val="none"/>
                      <w:lang w:val="en-US" w:eastAsia="zh-CN"/>
                    </w:rPr>
                    <w:t>1</w:t>
                  </w:r>
                </w:p>
              </w:tc>
              <w:tc>
                <w:tcPr>
                  <w:tcW w:w="396" w:type="pct"/>
                  <w:tcBorders>
                    <w:tl2br w:val="nil"/>
                    <w:tr2bl w:val="nil"/>
                  </w:tcBorders>
                  <w:vAlign w:val="center"/>
                </w:tcPr>
                <w:p w14:paraId="231A71B7">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lang w:eastAsia="zh-CN"/>
                    </w:rPr>
                  </w:pPr>
                  <w:r>
                    <w:rPr>
                      <w:rFonts w:hint="default" w:ascii="Times New Roman" w:hAnsi="Times New Roman" w:eastAsia="宋体" w:cs="Times New Roman"/>
                      <w:b w:val="0"/>
                      <w:bCs/>
                      <w:color w:val="auto"/>
                      <w:highlight w:val="none"/>
                      <w:lang w:eastAsia="zh-CN"/>
                    </w:rPr>
                    <w:t>塑料破碎</w:t>
                  </w:r>
                </w:p>
              </w:tc>
              <w:tc>
                <w:tcPr>
                  <w:tcW w:w="651" w:type="pct"/>
                  <w:tcBorders>
                    <w:tl2br w:val="nil"/>
                    <w:tr2bl w:val="nil"/>
                  </w:tcBorders>
                  <w:vAlign w:val="center"/>
                </w:tcPr>
                <w:p w14:paraId="0B504E54">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lang w:eastAsia="zh-CN"/>
                    </w:rPr>
                  </w:pPr>
                  <w:r>
                    <w:rPr>
                      <w:rFonts w:hint="default" w:ascii="Times New Roman" w:hAnsi="Times New Roman" w:eastAsia="宋体" w:cs="Times New Roman"/>
                      <w:b w:val="0"/>
                      <w:bCs/>
                      <w:color w:val="auto"/>
                      <w:highlight w:val="none"/>
                      <w:lang w:eastAsia="zh-CN"/>
                    </w:rPr>
                    <w:t>布袋除尘器坏损</w:t>
                  </w:r>
                </w:p>
              </w:tc>
              <w:tc>
                <w:tcPr>
                  <w:tcW w:w="411" w:type="pct"/>
                  <w:tcBorders>
                    <w:tl2br w:val="nil"/>
                    <w:tr2bl w:val="nil"/>
                  </w:tcBorders>
                  <w:vAlign w:val="center"/>
                </w:tcPr>
                <w:p w14:paraId="5A31AEA7">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lang w:eastAsia="zh-CN"/>
                    </w:rPr>
                  </w:pPr>
                  <w:r>
                    <w:rPr>
                      <w:rFonts w:hint="default" w:ascii="Times New Roman" w:hAnsi="Times New Roman" w:eastAsia="宋体" w:cs="Times New Roman"/>
                      <w:b w:val="0"/>
                      <w:bCs/>
                      <w:color w:val="auto"/>
                      <w:highlight w:val="none"/>
                      <w:lang w:eastAsia="zh-CN"/>
                    </w:rPr>
                    <w:t>颗粒物</w:t>
                  </w:r>
                </w:p>
              </w:tc>
              <w:tc>
                <w:tcPr>
                  <w:tcW w:w="1336" w:type="dxa"/>
                  <w:tcBorders>
                    <w:tl2br w:val="nil"/>
                    <w:tr2bl w:val="nil"/>
                  </w:tcBorders>
                  <w:vAlign w:val="center"/>
                </w:tcPr>
                <w:p w14:paraId="79D6222A">
                  <w:pPr>
                    <w:keepNext w:val="0"/>
                    <w:keepLines w:val="0"/>
                    <w:suppressLineNumbers w:val="0"/>
                    <w:spacing w:before="0" w:beforeAutospacing="0" w:after="0" w:afterAutospacing="0"/>
                    <w:ind w:left="0" w:right="0" w:firstLine="420" w:firstLineChars="200"/>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4.4</w:t>
                  </w:r>
                </w:p>
              </w:tc>
              <w:tc>
                <w:tcPr>
                  <w:tcW w:w="1239" w:type="dxa"/>
                  <w:tcBorders>
                    <w:tl2br w:val="nil"/>
                    <w:tr2bl w:val="nil"/>
                  </w:tcBorders>
                  <w:vAlign w:val="center"/>
                </w:tcPr>
                <w:p w14:paraId="2B2F494A">
                  <w:pPr>
                    <w:keepNext w:val="0"/>
                    <w:keepLines w:val="0"/>
                    <w:suppressLineNumbers w:val="0"/>
                    <w:spacing w:before="0" w:beforeAutospacing="0" w:after="0" w:afterAutospacing="0"/>
                    <w:ind w:left="0" w:right="0" w:firstLine="420" w:firstLineChars="200"/>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0.0</w:t>
                  </w:r>
                  <w:r>
                    <w:rPr>
                      <w:rFonts w:hint="eastAsia" w:cs="Times New Roman"/>
                      <w:b w:val="0"/>
                      <w:bCs w:val="0"/>
                      <w:color w:val="auto"/>
                      <w:sz w:val="21"/>
                      <w:szCs w:val="21"/>
                      <w:highlight w:val="none"/>
                      <w:lang w:val="en-US" w:eastAsia="zh-CN"/>
                    </w:rPr>
                    <w:t>36</w:t>
                  </w:r>
                  <w:r>
                    <w:rPr>
                      <w:rFonts w:hint="default" w:ascii="Times New Roman" w:hAnsi="Times New Roman" w:eastAsia="宋体" w:cs="Times New Roman"/>
                      <w:b w:val="0"/>
                      <w:bCs w:val="0"/>
                      <w:color w:val="auto"/>
                      <w:sz w:val="21"/>
                      <w:szCs w:val="21"/>
                      <w:highlight w:val="none"/>
                      <w:lang w:val="en-US" w:eastAsia="zh-CN"/>
                    </w:rPr>
                    <w:t xml:space="preserve"> </w:t>
                  </w:r>
                </w:p>
              </w:tc>
              <w:tc>
                <w:tcPr>
                  <w:tcW w:w="901" w:type="dxa"/>
                  <w:tcBorders>
                    <w:tl2br w:val="nil"/>
                    <w:tr2bl w:val="nil"/>
                  </w:tcBorders>
                  <w:vAlign w:val="center"/>
                </w:tcPr>
                <w:p w14:paraId="47DCA2C1">
                  <w:pPr>
                    <w:keepNext w:val="0"/>
                    <w:keepLines w:val="0"/>
                    <w:suppressLineNumbers w:val="0"/>
                    <w:spacing w:before="0" w:beforeAutospacing="0" w:after="0" w:afterAutospacing="0"/>
                    <w:ind w:left="0" w:right="0" w:firstLine="420" w:firstLineChars="200"/>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w:t>
                  </w:r>
                </w:p>
              </w:tc>
              <w:tc>
                <w:tcPr>
                  <w:tcW w:w="968" w:type="dxa"/>
                  <w:tcBorders>
                    <w:tl2br w:val="nil"/>
                    <w:tr2bl w:val="nil"/>
                  </w:tcBorders>
                  <w:vAlign w:val="center"/>
                </w:tcPr>
                <w:p w14:paraId="01BB5B2A">
                  <w:pPr>
                    <w:keepNext w:val="0"/>
                    <w:keepLines w:val="0"/>
                    <w:suppressLineNumbers w:val="0"/>
                    <w:spacing w:before="0" w:beforeAutospacing="0" w:after="0" w:afterAutospacing="0"/>
                    <w:ind w:left="0" w:right="0" w:firstLine="420" w:firstLineChars="200"/>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0.0</w:t>
                  </w:r>
                  <w:r>
                    <w:rPr>
                      <w:rFonts w:hint="eastAsia" w:cs="Times New Roman"/>
                      <w:b w:val="0"/>
                      <w:bCs w:val="0"/>
                      <w:color w:val="auto"/>
                      <w:sz w:val="21"/>
                      <w:szCs w:val="21"/>
                      <w:highlight w:val="none"/>
                      <w:lang w:val="en-US" w:eastAsia="zh-CN"/>
                    </w:rPr>
                    <w:t>36</w:t>
                  </w:r>
                  <w:r>
                    <w:rPr>
                      <w:rFonts w:hint="default" w:ascii="Times New Roman" w:hAnsi="Times New Roman" w:eastAsia="宋体" w:cs="Times New Roman"/>
                      <w:b w:val="0"/>
                      <w:bCs w:val="0"/>
                      <w:color w:val="auto"/>
                      <w:sz w:val="21"/>
                      <w:szCs w:val="21"/>
                      <w:highlight w:val="none"/>
                      <w:lang w:val="en-US" w:eastAsia="zh-CN"/>
                    </w:rPr>
                    <w:t xml:space="preserve"> </w:t>
                  </w:r>
                </w:p>
              </w:tc>
              <w:tc>
                <w:tcPr>
                  <w:tcW w:w="860" w:type="dxa"/>
                  <w:tcBorders>
                    <w:tl2br w:val="nil"/>
                    <w:tr2bl w:val="nil"/>
                  </w:tcBorders>
                  <w:vAlign w:val="center"/>
                </w:tcPr>
                <w:p w14:paraId="2BCCAD9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highlight w:val="none"/>
                      <w:lang w:val="en-US" w:eastAsia="zh-CN"/>
                    </w:rPr>
                  </w:pPr>
                  <w:r>
                    <w:rPr>
                      <w:rFonts w:hint="eastAsia" w:cs="Times New Roman"/>
                      <w:i w:val="0"/>
                      <w:iCs w:val="0"/>
                      <w:color w:val="auto"/>
                      <w:kern w:val="0"/>
                      <w:sz w:val="21"/>
                      <w:szCs w:val="21"/>
                      <w:highlight w:val="none"/>
                      <w:u w:val="none"/>
                      <w:lang w:val="en-US" w:eastAsia="zh-CN"/>
                    </w:rPr>
                    <w:t>1</w:t>
                  </w:r>
                </w:p>
              </w:tc>
              <w:tc>
                <w:tcPr>
                  <w:tcW w:w="393" w:type="pct"/>
                  <w:tcBorders>
                    <w:tl2br w:val="nil"/>
                    <w:tr2bl w:val="nil"/>
                  </w:tcBorders>
                  <w:vAlign w:val="center"/>
                </w:tcPr>
                <w:p w14:paraId="36906870">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lang w:eastAsia="zh-CN"/>
                    </w:rPr>
                  </w:pPr>
                  <w:r>
                    <w:rPr>
                      <w:rFonts w:hint="default" w:ascii="Times New Roman" w:hAnsi="Times New Roman" w:eastAsia="宋体" w:cs="Times New Roman"/>
                      <w:b w:val="0"/>
                      <w:bCs/>
                      <w:color w:val="auto"/>
                      <w:highlight w:val="none"/>
                      <w:lang w:eastAsia="zh-CN"/>
                    </w:rPr>
                    <w:t>立即停止作业</w:t>
                  </w:r>
                </w:p>
              </w:tc>
            </w:tr>
          </w:tbl>
          <w:p w14:paraId="18186AD6">
            <w:pPr>
              <w:keepNext w:val="0"/>
              <w:keepLines w:val="0"/>
              <w:pageBreakBefore w:val="0"/>
              <w:widowControl/>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480" w:leftChars="200" w:right="0" w:rightChars="0"/>
              <w:jc w:val="left"/>
              <w:textAlignment w:val="auto"/>
              <w:rPr>
                <w:rFonts w:hint="default" w:ascii="Times New Roman" w:hAnsi="Times New Roman" w:cs="Times New Roman"/>
                <w:b w:val="0"/>
                <w:bCs w:val="0"/>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本项目大气污染物的治理、排放情况见表4-</w:t>
            </w:r>
            <w:r>
              <w:rPr>
                <w:rFonts w:hint="eastAsia" w:cs="Times New Roman"/>
                <w:color w:val="auto"/>
                <w:sz w:val="24"/>
                <w:szCs w:val="24"/>
                <w:highlight w:val="none"/>
                <w:lang w:val="en-US" w:eastAsia="zh-CN"/>
              </w:rPr>
              <w:t>9</w:t>
            </w:r>
            <w:r>
              <w:rPr>
                <w:rFonts w:hint="eastAsia" w:ascii="Times New Roman" w:hAnsi="Times New Roman" w:cs="Times New Roman"/>
                <w:color w:val="auto"/>
                <w:sz w:val="24"/>
                <w:szCs w:val="24"/>
                <w:highlight w:val="none"/>
                <w:lang w:val="en-US" w:eastAsia="zh-CN"/>
              </w:rPr>
              <w:t>至</w:t>
            </w:r>
            <w:r>
              <w:rPr>
                <w:rFonts w:hint="default" w:ascii="Times New Roman" w:hAnsi="Times New Roman" w:cs="Times New Roman"/>
                <w:color w:val="auto"/>
                <w:sz w:val="24"/>
                <w:szCs w:val="24"/>
                <w:highlight w:val="none"/>
                <w:lang w:val="en-US" w:eastAsia="zh-CN"/>
              </w:rPr>
              <w:t>表4-1</w:t>
            </w:r>
            <w:r>
              <w:rPr>
                <w:rFonts w:hint="eastAsia" w:cs="Times New Roman"/>
                <w:color w:val="auto"/>
                <w:sz w:val="24"/>
                <w:szCs w:val="24"/>
                <w:highlight w:val="none"/>
                <w:lang w:val="en-US" w:eastAsia="zh-CN"/>
              </w:rPr>
              <w:t>1</w:t>
            </w:r>
            <w:r>
              <w:rPr>
                <w:rFonts w:hint="default" w:ascii="Times New Roman" w:hAnsi="Times New Roman" w:cs="Times New Roman"/>
                <w:color w:val="auto"/>
                <w:sz w:val="24"/>
                <w:szCs w:val="24"/>
                <w:highlight w:val="none"/>
                <w:lang w:val="en-US" w:eastAsia="zh-CN"/>
              </w:rPr>
              <w:t>。</w:t>
            </w:r>
          </w:p>
        </w:tc>
      </w:tr>
    </w:tbl>
    <w:p w14:paraId="52CC5C57">
      <w:pPr>
        <w:keepNext/>
        <w:keepLines/>
        <w:tabs>
          <w:tab w:val="left" w:pos="0"/>
        </w:tabs>
        <w:rPr>
          <w:color w:val="auto"/>
          <w:highlight w:val="none"/>
        </w:rPr>
      </w:pPr>
    </w:p>
    <w:p w14:paraId="0A013F53">
      <w:pPr>
        <w:pStyle w:val="2"/>
        <w:numPr>
          <w:ilvl w:val="0"/>
          <w:numId w:val="0"/>
        </w:numPr>
        <w:rPr>
          <w:rFonts w:cs="Times New Roman"/>
          <w:color w:val="auto"/>
          <w:highlight w:val="none"/>
        </w:rPr>
        <w:sectPr>
          <w:pgSz w:w="11906" w:h="16838"/>
          <w:pgMar w:top="1440" w:right="1080" w:bottom="1440" w:left="1080" w:header="851" w:footer="680" w:gutter="0"/>
          <w:pgBorders>
            <w:top w:val="none" w:sz="0" w:space="0"/>
            <w:left w:val="none" w:sz="0" w:space="0"/>
            <w:bottom w:val="none" w:sz="0" w:space="0"/>
            <w:right w:val="none" w:sz="0" w:space="0"/>
          </w:pgBorders>
          <w:pgNumType w:fmt="numberInDash"/>
          <w:cols w:space="720" w:num="1"/>
          <w:docGrid w:type="linesAndChars" w:linePitch="312" w:charSpace="0"/>
        </w:sectPr>
      </w:pPr>
    </w:p>
    <w:tbl>
      <w:tblPr>
        <w:tblStyle w:val="40"/>
        <w:tblW w:w="0" w:type="auto"/>
        <w:tblInd w:w="8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8"/>
        <w:gridCol w:w="13552"/>
      </w:tblGrid>
      <w:tr w14:paraId="362424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48" w:hRule="atLeast"/>
        </w:trPr>
        <w:tc>
          <w:tcPr>
            <w:tcW w:w="448" w:type="dxa"/>
            <w:vAlign w:val="center"/>
          </w:tcPr>
          <w:p w14:paraId="307331AE">
            <w:pPr>
              <w:keepNext w:val="0"/>
              <w:keepLines w:val="0"/>
              <w:suppressLineNumbers w:val="0"/>
              <w:spacing w:before="0" w:beforeAutospacing="0" w:after="0" w:afterAutospacing="0"/>
              <w:ind w:left="0" w:right="0"/>
              <w:jc w:val="center"/>
              <w:rPr>
                <w:rFonts w:hint="eastAsia"/>
                <w:color w:val="auto"/>
                <w:highlight w:val="none"/>
              </w:rPr>
            </w:pPr>
            <w:r>
              <w:rPr>
                <w:rFonts w:hint="eastAsia"/>
                <w:b/>
                <w:bCs/>
                <w:color w:val="auto"/>
                <w:highlight w:val="none"/>
              </w:rPr>
              <w:t>运营期环境影响和保护措施</w:t>
            </w:r>
          </w:p>
        </w:tc>
        <w:tc>
          <w:tcPr>
            <w:tcW w:w="13552" w:type="dxa"/>
          </w:tcPr>
          <w:p w14:paraId="405EF9F9">
            <w:pPr>
              <w:pStyle w:val="46"/>
              <w:keepNext w:val="0"/>
              <w:keepLines w:val="0"/>
              <w:numPr>
                <w:ilvl w:val="0"/>
                <w:numId w:val="0"/>
              </w:numPr>
              <w:suppressLineNumbers w:val="0"/>
              <w:tabs>
                <w:tab w:val="left" w:pos="0"/>
              </w:tabs>
              <w:spacing w:before="0" w:beforeAutospacing="0" w:after="0" w:afterAutospacing="0"/>
              <w:ind w:left="0" w:leftChars="0" w:right="0" w:rightChars="0" w:firstLine="40" w:firstLineChars="0"/>
              <w:jc w:val="center"/>
              <w:rPr>
                <w:rFonts w:hint="eastAsia" w:ascii="Times New Roman" w:cs="Times New Roman"/>
                <w:b/>
                <w:bCs/>
                <w:color w:val="auto"/>
                <w:sz w:val="21"/>
                <w:szCs w:val="21"/>
                <w:highlight w:val="none"/>
              </w:rPr>
            </w:pPr>
            <w:r>
              <w:rPr>
                <w:rFonts w:hint="default" w:ascii="Times New Roman" w:hAnsi="Times New Roman" w:eastAsia="宋体" w:cs="Times New Roman"/>
                <w:b/>
                <w:bCs/>
                <w:color w:val="auto"/>
                <w:kern w:val="2"/>
                <w:sz w:val="21"/>
                <w:szCs w:val="21"/>
                <w:highlight w:val="none"/>
                <w:lang w:val="en-US" w:eastAsia="zh-CN" w:bidi="ar-SA"/>
              </w:rPr>
              <w:t>表4-</w:t>
            </w:r>
            <w:r>
              <w:rPr>
                <w:rFonts w:hint="eastAsia" w:ascii="Times New Roman" w:cs="Times New Roman"/>
                <w:b/>
                <w:bCs/>
                <w:color w:val="auto"/>
                <w:kern w:val="2"/>
                <w:sz w:val="21"/>
                <w:szCs w:val="21"/>
                <w:highlight w:val="none"/>
                <w:lang w:val="en-US" w:eastAsia="zh-CN" w:bidi="ar-SA"/>
              </w:rPr>
              <w:t xml:space="preserve">9 </w:t>
            </w:r>
            <w:r>
              <w:rPr>
                <w:rFonts w:hint="eastAsia" w:ascii="Times New Roman" w:cs="Times New Roman"/>
                <w:b/>
                <w:bCs/>
                <w:color w:val="auto"/>
                <w:sz w:val="21"/>
                <w:szCs w:val="21"/>
                <w:highlight w:val="none"/>
              </w:rPr>
              <w:t>项目废气产排污节点、污染物及污染治理设施情况一览表</w:t>
            </w:r>
          </w:p>
          <w:tbl>
            <w:tblPr>
              <w:tblStyle w:val="40"/>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08"/>
              <w:gridCol w:w="1252"/>
              <w:gridCol w:w="629"/>
              <w:gridCol w:w="799"/>
              <w:gridCol w:w="514"/>
              <w:gridCol w:w="1156"/>
              <w:gridCol w:w="1351"/>
              <w:gridCol w:w="895"/>
              <w:gridCol w:w="802"/>
              <w:gridCol w:w="866"/>
              <w:gridCol w:w="903"/>
              <w:gridCol w:w="946"/>
              <w:gridCol w:w="666"/>
              <w:gridCol w:w="746"/>
              <w:gridCol w:w="1380"/>
            </w:tblGrid>
            <w:tr w14:paraId="443AAC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53" w:type="pct"/>
                  <w:vMerge w:val="restart"/>
                  <w:vAlign w:val="center"/>
                </w:tcPr>
                <w:p w14:paraId="078D4FC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序号</w:t>
                  </w:r>
                </w:p>
              </w:tc>
              <w:tc>
                <w:tcPr>
                  <w:tcW w:w="470" w:type="pct"/>
                  <w:vMerge w:val="restart"/>
                  <w:vAlign w:val="center"/>
                </w:tcPr>
                <w:p w14:paraId="02A0FB2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位置</w:t>
                  </w:r>
                </w:p>
              </w:tc>
              <w:tc>
                <w:tcPr>
                  <w:tcW w:w="236" w:type="pct"/>
                  <w:vMerge w:val="restart"/>
                  <w:vAlign w:val="center"/>
                </w:tcPr>
                <w:p w14:paraId="27271A1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产污环节</w:t>
                  </w:r>
                </w:p>
              </w:tc>
              <w:tc>
                <w:tcPr>
                  <w:tcW w:w="300" w:type="pct"/>
                  <w:vMerge w:val="restart"/>
                  <w:vAlign w:val="center"/>
                </w:tcPr>
                <w:p w14:paraId="145913A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污染物种类</w:t>
                  </w:r>
                </w:p>
              </w:tc>
              <w:tc>
                <w:tcPr>
                  <w:tcW w:w="193" w:type="pct"/>
                  <w:vMerge w:val="restart"/>
                  <w:vAlign w:val="center"/>
                </w:tcPr>
                <w:p w14:paraId="630A2C5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排放形式</w:t>
                  </w:r>
                </w:p>
              </w:tc>
              <w:tc>
                <w:tcPr>
                  <w:tcW w:w="1904" w:type="pct"/>
                  <w:gridSpan w:val="5"/>
                  <w:vAlign w:val="center"/>
                </w:tcPr>
                <w:p w14:paraId="796F772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污染防治设施</w:t>
                  </w:r>
                </w:p>
              </w:tc>
              <w:tc>
                <w:tcPr>
                  <w:tcW w:w="339" w:type="pct"/>
                  <w:vMerge w:val="restart"/>
                  <w:vAlign w:val="center"/>
                </w:tcPr>
                <w:p w14:paraId="6861047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有组织排放编号</w:t>
                  </w:r>
                </w:p>
              </w:tc>
              <w:tc>
                <w:tcPr>
                  <w:tcW w:w="355" w:type="pct"/>
                  <w:vMerge w:val="restart"/>
                  <w:vAlign w:val="center"/>
                </w:tcPr>
                <w:p w14:paraId="2E69823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有组织排放口名称</w:t>
                  </w:r>
                </w:p>
              </w:tc>
              <w:tc>
                <w:tcPr>
                  <w:tcW w:w="250" w:type="pct"/>
                  <w:vMerge w:val="restart"/>
                  <w:vAlign w:val="center"/>
                </w:tcPr>
                <w:p w14:paraId="6B0DD72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排放口设置是否符合要求</w:t>
                  </w:r>
                </w:p>
              </w:tc>
              <w:tc>
                <w:tcPr>
                  <w:tcW w:w="280" w:type="pct"/>
                  <w:vMerge w:val="restart"/>
                  <w:vAlign w:val="center"/>
                </w:tcPr>
                <w:p w14:paraId="3FC3132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排放口类型</w:t>
                  </w:r>
                </w:p>
              </w:tc>
              <w:tc>
                <w:tcPr>
                  <w:tcW w:w="518" w:type="pct"/>
                  <w:vMerge w:val="restart"/>
                  <w:vAlign w:val="center"/>
                </w:tcPr>
                <w:p w14:paraId="00162FA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其他信息</w:t>
                  </w:r>
                </w:p>
              </w:tc>
            </w:tr>
            <w:tr w14:paraId="23A9DB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53" w:type="pct"/>
                  <w:vMerge w:val="continue"/>
                  <w:vAlign w:val="center"/>
                </w:tcPr>
                <w:p w14:paraId="2C264CF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p>
              </w:tc>
              <w:tc>
                <w:tcPr>
                  <w:tcW w:w="470" w:type="pct"/>
                  <w:vMerge w:val="continue"/>
                  <w:vAlign w:val="center"/>
                </w:tcPr>
                <w:p w14:paraId="4C91CBE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p>
              </w:tc>
              <w:tc>
                <w:tcPr>
                  <w:tcW w:w="236" w:type="pct"/>
                  <w:vMerge w:val="continue"/>
                  <w:vAlign w:val="center"/>
                </w:tcPr>
                <w:p w14:paraId="702521B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p>
              </w:tc>
              <w:tc>
                <w:tcPr>
                  <w:tcW w:w="300" w:type="pct"/>
                  <w:vMerge w:val="continue"/>
                  <w:vAlign w:val="center"/>
                </w:tcPr>
                <w:p w14:paraId="765737A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p>
              </w:tc>
              <w:tc>
                <w:tcPr>
                  <w:tcW w:w="193" w:type="pct"/>
                  <w:vMerge w:val="continue"/>
                  <w:vAlign w:val="center"/>
                </w:tcPr>
                <w:p w14:paraId="196E290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p>
              </w:tc>
              <w:tc>
                <w:tcPr>
                  <w:tcW w:w="434" w:type="pct"/>
                  <w:vAlign w:val="center"/>
                </w:tcPr>
                <w:p w14:paraId="6FE8D36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污染防治设施编号</w:t>
                  </w:r>
                </w:p>
              </w:tc>
              <w:tc>
                <w:tcPr>
                  <w:tcW w:w="507" w:type="pct"/>
                  <w:vAlign w:val="center"/>
                </w:tcPr>
                <w:p w14:paraId="47F7C7C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污染防治设施名称</w:t>
                  </w:r>
                </w:p>
              </w:tc>
              <w:tc>
                <w:tcPr>
                  <w:tcW w:w="336" w:type="pct"/>
                  <w:vAlign w:val="center"/>
                </w:tcPr>
                <w:p w14:paraId="5CC7AEC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污染防治设施工艺</w:t>
                  </w:r>
                </w:p>
              </w:tc>
              <w:tc>
                <w:tcPr>
                  <w:tcW w:w="301" w:type="pct"/>
                  <w:vAlign w:val="center"/>
                </w:tcPr>
                <w:p w14:paraId="32C712D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是否为可行性技术</w:t>
                  </w:r>
                </w:p>
              </w:tc>
              <w:tc>
                <w:tcPr>
                  <w:tcW w:w="325" w:type="pct"/>
                  <w:vAlign w:val="center"/>
                </w:tcPr>
                <w:p w14:paraId="3711FAF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污染防治设施其他信息</w:t>
                  </w:r>
                </w:p>
              </w:tc>
              <w:tc>
                <w:tcPr>
                  <w:tcW w:w="339" w:type="pct"/>
                  <w:vMerge w:val="continue"/>
                  <w:vAlign w:val="center"/>
                </w:tcPr>
                <w:p w14:paraId="64DACDF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p>
              </w:tc>
              <w:tc>
                <w:tcPr>
                  <w:tcW w:w="355" w:type="pct"/>
                  <w:vMerge w:val="continue"/>
                  <w:vAlign w:val="center"/>
                </w:tcPr>
                <w:p w14:paraId="47F8DEF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p>
              </w:tc>
              <w:tc>
                <w:tcPr>
                  <w:tcW w:w="250" w:type="pct"/>
                  <w:vMerge w:val="continue"/>
                  <w:vAlign w:val="center"/>
                </w:tcPr>
                <w:p w14:paraId="0C94BA6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p>
              </w:tc>
              <w:tc>
                <w:tcPr>
                  <w:tcW w:w="280" w:type="pct"/>
                  <w:vMerge w:val="continue"/>
                  <w:vAlign w:val="center"/>
                </w:tcPr>
                <w:p w14:paraId="237FAC6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p>
              </w:tc>
              <w:tc>
                <w:tcPr>
                  <w:tcW w:w="518" w:type="pct"/>
                  <w:vMerge w:val="continue"/>
                  <w:vAlign w:val="center"/>
                </w:tcPr>
                <w:p w14:paraId="0DEBB75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p>
              </w:tc>
            </w:tr>
            <w:tr w14:paraId="52F486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53" w:type="pct"/>
                  <w:vAlign w:val="center"/>
                </w:tcPr>
                <w:p w14:paraId="1BF62D5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470" w:type="pct"/>
                  <w:vAlign w:val="center"/>
                </w:tcPr>
                <w:p w14:paraId="0701A95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干法破碎机区</w:t>
                  </w:r>
                </w:p>
              </w:tc>
              <w:tc>
                <w:tcPr>
                  <w:tcW w:w="236" w:type="pct"/>
                  <w:vAlign w:val="center"/>
                </w:tcPr>
                <w:p w14:paraId="0337E23B">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破碎</w:t>
                  </w:r>
                </w:p>
              </w:tc>
              <w:tc>
                <w:tcPr>
                  <w:tcW w:w="300" w:type="pct"/>
                  <w:vAlign w:val="center"/>
                </w:tcPr>
                <w:p w14:paraId="0859762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颗粒物</w:t>
                  </w:r>
                </w:p>
              </w:tc>
              <w:tc>
                <w:tcPr>
                  <w:tcW w:w="193" w:type="pct"/>
                  <w:vAlign w:val="center"/>
                </w:tcPr>
                <w:p w14:paraId="4F18A85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有</w:t>
                  </w:r>
                  <w:r>
                    <w:rPr>
                      <w:rFonts w:hint="default" w:ascii="Times New Roman" w:hAnsi="Times New Roman" w:cs="Times New Roman"/>
                      <w:color w:val="auto"/>
                      <w:sz w:val="21"/>
                      <w:szCs w:val="21"/>
                      <w:highlight w:val="none"/>
                    </w:rPr>
                    <w:t>组织</w:t>
                  </w:r>
                </w:p>
              </w:tc>
              <w:tc>
                <w:tcPr>
                  <w:tcW w:w="434" w:type="pct"/>
                  <w:vAlign w:val="center"/>
                </w:tcPr>
                <w:p w14:paraId="5F3CB66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TA001</w:t>
                  </w:r>
                </w:p>
              </w:tc>
              <w:tc>
                <w:tcPr>
                  <w:tcW w:w="507" w:type="pct"/>
                  <w:vAlign w:val="center"/>
                </w:tcPr>
                <w:p w14:paraId="35B8D8A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布袋除尘</w:t>
                  </w:r>
                  <w:r>
                    <w:rPr>
                      <w:rFonts w:hint="default" w:ascii="Times New Roman" w:hAnsi="Times New Roman" w:cs="Times New Roman"/>
                      <w:color w:val="auto"/>
                      <w:sz w:val="21"/>
                      <w:szCs w:val="21"/>
                      <w:highlight w:val="none"/>
                    </w:rPr>
                    <w:t>器</w:t>
                  </w:r>
                </w:p>
              </w:tc>
              <w:tc>
                <w:tcPr>
                  <w:tcW w:w="336" w:type="pct"/>
                  <w:vAlign w:val="center"/>
                </w:tcPr>
                <w:p w14:paraId="7B73946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布袋</w:t>
                  </w:r>
                  <w:r>
                    <w:rPr>
                      <w:rFonts w:hint="default" w:ascii="Times New Roman" w:hAnsi="Times New Roman" w:cs="Times New Roman"/>
                      <w:color w:val="auto"/>
                      <w:sz w:val="21"/>
                      <w:szCs w:val="21"/>
                      <w:highlight w:val="none"/>
                    </w:rPr>
                    <w:t>除尘</w:t>
                  </w:r>
                </w:p>
              </w:tc>
              <w:tc>
                <w:tcPr>
                  <w:tcW w:w="301" w:type="pct"/>
                  <w:vAlign w:val="center"/>
                </w:tcPr>
                <w:p w14:paraId="37CEB1D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是</w:t>
                  </w:r>
                </w:p>
              </w:tc>
              <w:tc>
                <w:tcPr>
                  <w:tcW w:w="325" w:type="pct"/>
                  <w:vAlign w:val="center"/>
                </w:tcPr>
                <w:p w14:paraId="6BEC4EE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339" w:type="pct"/>
                  <w:vAlign w:val="center"/>
                </w:tcPr>
                <w:p w14:paraId="1F7347A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DA001</w:t>
                  </w:r>
                </w:p>
              </w:tc>
              <w:tc>
                <w:tcPr>
                  <w:tcW w:w="355" w:type="pct"/>
                  <w:shd w:val="clear" w:color="auto" w:fill="auto"/>
                  <w:vAlign w:val="center"/>
                </w:tcPr>
                <w:p w14:paraId="454DFAC4">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粉尘废气排放口</w:t>
                  </w:r>
                </w:p>
              </w:tc>
              <w:tc>
                <w:tcPr>
                  <w:tcW w:w="250" w:type="pct"/>
                  <w:shd w:val="clear" w:color="auto" w:fill="auto"/>
                  <w:vAlign w:val="center"/>
                </w:tcPr>
                <w:p w14:paraId="4BCD6950">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是</w:t>
                  </w:r>
                </w:p>
              </w:tc>
              <w:tc>
                <w:tcPr>
                  <w:tcW w:w="280" w:type="pct"/>
                  <w:shd w:val="clear" w:color="auto" w:fill="auto"/>
                  <w:vAlign w:val="center"/>
                </w:tcPr>
                <w:p w14:paraId="11E544D3">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一般排放口</w:t>
                  </w:r>
                </w:p>
              </w:tc>
              <w:tc>
                <w:tcPr>
                  <w:tcW w:w="518" w:type="pct"/>
                  <w:shd w:val="clear" w:color="auto" w:fill="auto"/>
                  <w:vAlign w:val="center"/>
                </w:tcPr>
                <w:p w14:paraId="38FBBDAB">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排气筒高</w:t>
                  </w:r>
                  <w:r>
                    <w:rPr>
                      <w:rFonts w:hint="eastAsia" w:ascii="Times New Roman" w:hAnsi="Times New Roman" w:cs="Times New Roman"/>
                      <w:color w:val="auto"/>
                      <w:sz w:val="21"/>
                      <w:szCs w:val="22"/>
                      <w:highlight w:val="none"/>
                      <w:lang w:val="en-US" w:eastAsia="zh-CN"/>
                    </w:rPr>
                    <w:t>15</w:t>
                  </w:r>
                  <w:r>
                    <w:rPr>
                      <w:rFonts w:hint="default" w:ascii="Times New Roman" w:hAnsi="Times New Roman" w:cs="Times New Roman"/>
                      <w:color w:val="auto"/>
                      <w:sz w:val="21"/>
                      <w:szCs w:val="22"/>
                      <w:highlight w:val="none"/>
                    </w:rPr>
                    <w:t>m</w:t>
                  </w:r>
                  <w:r>
                    <w:rPr>
                      <w:rFonts w:hint="default" w:ascii="Times New Roman" w:hAnsi="Times New Roman" w:cs="Times New Roman"/>
                      <w:color w:val="auto"/>
                      <w:sz w:val="21"/>
                      <w:szCs w:val="21"/>
                      <w:highlight w:val="none"/>
                    </w:rPr>
                    <w:t>，内径</w:t>
                  </w:r>
                  <w:r>
                    <w:rPr>
                      <w:rFonts w:hint="eastAsia" w:cs="Times New Roman"/>
                      <w:color w:val="auto"/>
                      <w:sz w:val="21"/>
                      <w:szCs w:val="21"/>
                      <w:highlight w:val="none"/>
                      <w:lang w:val="en-US" w:eastAsia="zh-CN"/>
                    </w:rPr>
                    <w:t>0.45</w:t>
                  </w:r>
                  <w:r>
                    <w:rPr>
                      <w:rFonts w:hint="default" w:ascii="Times New Roman" w:hAnsi="Times New Roman" w:cs="Times New Roman"/>
                      <w:color w:val="auto"/>
                      <w:sz w:val="21"/>
                      <w:szCs w:val="21"/>
                      <w:highlight w:val="none"/>
                    </w:rPr>
                    <w:t>m</w:t>
                  </w:r>
                </w:p>
              </w:tc>
            </w:tr>
            <w:tr w14:paraId="3195DE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53" w:type="pct"/>
                  <w:vAlign w:val="center"/>
                </w:tcPr>
                <w:p w14:paraId="7E0C7A3E">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w:t>
                  </w:r>
                </w:p>
              </w:tc>
              <w:tc>
                <w:tcPr>
                  <w:tcW w:w="470" w:type="pct"/>
                  <w:shd w:val="clear" w:color="auto" w:fill="auto"/>
                  <w:vAlign w:val="center"/>
                </w:tcPr>
                <w:p w14:paraId="0E8CD2CE">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食堂</w:t>
                  </w:r>
                </w:p>
              </w:tc>
              <w:tc>
                <w:tcPr>
                  <w:tcW w:w="236" w:type="pct"/>
                  <w:shd w:val="clear" w:color="auto" w:fill="auto"/>
                  <w:vAlign w:val="center"/>
                </w:tcPr>
                <w:p w14:paraId="39257ABD">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烹饪</w:t>
                  </w:r>
                </w:p>
              </w:tc>
              <w:tc>
                <w:tcPr>
                  <w:tcW w:w="300" w:type="pct"/>
                  <w:shd w:val="clear" w:color="auto" w:fill="auto"/>
                  <w:vAlign w:val="center"/>
                </w:tcPr>
                <w:p w14:paraId="4DC48387">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油烟</w:t>
                  </w:r>
                </w:p>
              </w:tc>
              <w:tc>
                <w:tcPr>
                  <w:tcW w:w="193" w:type="pct"/>
                  <w:shd w:val="clear" w:color="auto" w:fill="auto"/>
                  <w:vAlign w:val="center"/>
                </w:tcPr>
                <w:p w14:paraId="4F981D76">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有组织</w:t>
                  </w:r>
                </w:p>
              </w:tc>
              <w:tc>
                <w:tcPr>
                  <w:tcW w:w="434" w:type="pct"/>
                  <w:shd w:val="clear" w:color="auto" w:fill="auto"/>
                  <w:vAlign w:val="center"/>
                </w:tcPr>
                <w:p w14:paraId="474022D0">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TA002</w:t>
                  </w:r>
                </w:p>
              </w:tc>
              <w:tc>
                <w:tcPr>
                  <w:tcW w:w="507" w:type="pct"/>
                  <w:shd w:val="clear" w:color="auto" w:fill="auto"/>
                  <w:vAlign w:val="center"/>
                </w:tcPr>
                <w:p w14:paraId="4EB14090">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静电油烟净化器</w:t>
                  </w:r>
                </w:p>
              </w:tc>
              <w:tc>
                <w:tcPr>
                  <w:tcW w:w="336" w:type="pct"/>
                  <w:shd w:val="clear" w:color="auto" w:fill="auto"/>
                  <w:vAlign w:val="center"/>
                </w:tcPr>
                <w:p w14:paraId="4113A97C">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静电除油</w:t>
                  </w:r>
                </w:p>
              </w:tc>
              <w:tc>
                <w:tcPr>
                  <w:tcW w:w="301" w:type="pct"/>
                  <w:shd w:val="clear" w:color="auto" w:fill="auto"/>
                  <w:vAlign w:val="center"/>
                </w:tcPr>
                <w:p w14:paraId="0EA1DC49">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是</w:t>
                  </w:r>
                </w:p>
              </w:tc>
              <w:tc>
                <w:tcPr>
                  <w:tcW w:w="325" w:type="pct"/>
                  <w:shd w:val="clear" w:color="auto" w:fill="auto"/>
                  <w:vAlign w:val="center"/>
                </w:tcPr>
                <w:p w14:paraId="758F749A">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w:t>
                  </w:r>
                </w:p>
              </w:tc>
              <w:tc>
                <w:tcPr>
                  <w:tcW w:w="339" w:type="pct"/>
                  <w:shd w:val="clear" w:color="auto" w:fill="auto"/>
                  <w:vAlign w:val="center"/>
                </w:tcPr>
                <w:p w14:paraId="4A7B2FC3">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DA002</w:t>
                  </w:r>
                </w:p>
              </w:tc>
              <w:tc>
                <w:tcPr>
                  <w:tcW w:w="355" w:type="pct"/>
                  <w:shd w:val="clear" w:color="auto" w:fill="auto"/>
                  <w:vAlign w:val="center"/>
                </w:tcPr>
                <w:p w14:paraId="7EA3C2A0">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食堂油烟废气排放口</w:t>
                  </w:r>
                </w:p>
              </w:tc>
              <w:tc>
                <w:tcPr>
                  <w:tcW w:w="250" w:type="pct"/>
                  <w:shd w:val="clear" w:color="auto" w:fill="auto"/>
                  <w:vAlign w:val="center"/>
                </w:tcPr>
                <w:p w14:paraId="31D021B2">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是</w:t>
                  </w:r>
                </w:p>
              </w:tc>
              <w:tc>
                <w:tcPr>
                  <w:tcW w:w="280" w:type="pct"/>
                  <w:shd w:val="clear" w:color="auto" w:fill="auto"/>
                  <w:vAlign w:val="center"/>
                </w:tcPr>
                <w:p w14:paraId="7264FF21">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一般排放口</w:t>
                  </w:r>
                </w:p>
              </w:tc>
              <w:tc>
                <w:tcPr>
                  <w:tcW w:w="518" w:type="pct"/>
                  <w:shd w:val="clear" w:color="auto" w:fill="auto"/>
                  <w:vAlign w:val="center"/>
                </w:tcPr>
                <w:p w14:paraId="75796692">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排气筒高15m，内径0.5m</w:t>
                  </w:r>
                </w:p>
              </w:tc>
            </w:tr>
          </w:tbl>
          <w:p w14:paraId="72C26A55">
            <w:pPr>
              <w:pStyle w:val="20"/>
              <w:keepNext w:val="0"/>
              <w:keepLines w:val="0"/>
              <w:numPr>
                <w:ilvl w:val="0"/>
                <w:numId w:val="0"/>
              </w:numPr>
              <w:suppressLineNumbers w:val="0"/>
              <w:tabs>
                <w:tab w:val="center" w:pos="10467"/>
                <w:tab w:val="left" w:pos="13095"/>
              </w:tabs>
              <w:spacing w:before="0" w:beforeAutospacing="0" w:after="0" w:afterAutospacing="0" w:line="240" w:lineRule="auto"/>
              <w:ind w:left="0" w:leftChars="0" w:right="0" w:rightChars="0" w:firstLine="40" w:firstLineChars="0"/>
              <w:jc w:val="center"/>
              <w:rPr>
                <w:rFonts w:hint="eastAsia" w:ascii="Times New Roman" w:hAnsi="Times New Roman" w:eastAsia="宋体"/>
                <w:b/>
                <w:bCs/>
                <w:color w:val="auto"/>
                <w:szCs w:val="21"/>
                <w:highlight w:val="none"/>
                <w:vertAlign w:val="baseline"/>
              </w:rPr>
            </w:pPr>
            <w:r>
              <w:rPr>
                <w:rFonts w:hint="default" w:ascii="Times New Roman" w:hAnsi="Times New Roman" w:eastAsia="宋体" w:cs="Times New Roman"/>
                <w:b/>
                <w:bCs/>
                <w:color w:val="auto"/>
                <w:kern w:val="2"/>
                <w:sz w:val="21"/>
                <w:szCs w:val="21"/>
                <w:highlight w:val="none"/>
                <w:vertAlign w:val="baseline"/>
                <w:lang w:val="en-US" w:eastAsia="zh-CN" w:bidi="ar-SA"/>
              </w:rPr>
              <w:t>表4-1</w:t>
            </w:r>
            <w:r>
              <w:rPr>
                <w:rFonts w:hint="eastAsia" w:cs="Times New Roman"/>
                <w:b/>
                <w:bCs/>
                <w:color w:val="auto"/>
                <w:kern w:val="2"/>
                <w:sz w:val="21"/>
                <w:szCs w:val="21"/>
                <w:highlight w:val="none"/>
                <w:vertAlign w:val="baseline"/>
                <w:lang w:val="en-US" w:eastAsia="zh-CN" w:bidi="ar-SA"/>
              </w:rPr>
              <w:t xml:space="preserve">0 </w:t>
            </w:r>
            <w:r>
              <w:rPr>
                <w:rFonts w:hint="eastAsia" w:ascii="Times New Roman" w:hAnsi="Times New Roman" w:eastAsia="宋体"/>
                <w:b/>
                <w:bCs/>
                <w:color w:val="auto"/>
                <w:szCs w:val="21"/>
                <w:highlight w:val="none"/>
              </w:rPr>
              <w:t>废气排放口基本情况表</w:t>
            </w:r>
          </w:p>
          <w:tbl>
            <w:tblPr>
              <w:tblStyle w:val="39"/>
              <w:tblW w:w="13336"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2543"/>
              <w:gridCol w:w="1446"/>
              <w:gridCol w:w="2061"/>
              <w:gridCol w:w="1059"/>
              <w:gridCol w:w="1681"/>
              <w:gridCol w:w="749"/>
              <w:gridCol w:w="3797"/>
            </w:tblGrid>
            <w:tr w14:paraId="7D8F49A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254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E436D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编号及名称</w:t>
                  </w:r>
                </w:p>
              </w:tc>
              <w:tc>
                <w:tcPr>
                  <w:tcW w:w="10793" w:type="dxa"/>
                  <w:gridSpan w:val="6"/>
                  <w:tcBorders>
                    <w:top w:val="single" w:color="000000" w:sz="4" w:space="0"/>
                    <w:left w:val="single" w:color="000000" w:sz="4" w:space="0"/>
                    <w:bottom w:val="single" w:color="000000" w:sz="4" w:space="0"/>
                    <w:right w:val="single" w:color="000000" w:sz="4" w:space="0"/>
                  </w:tcBorders>
                  <w:shd w:val="clear" w:color="auto" w:fill="auto"/>
                  <w:vAlign w:val="center"/>
                </w:tcPr>
                <w:p w14:paraId="5FDF2C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基本情况</w:t>
                  </w:r>
                </w:p>
              </w:tc>
            </w:tr>
            <w:tr w14:paraId="40554F0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254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1C205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14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C147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高度（m）</w:t>
                  </w:r>
                </w:p>
              </w:tc>
              <w:tc>
                <w:tcPr>
                  <w:tcW w:w="20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4649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排气筒内径（m）</w:t>
                  </w:r>
                </w:p>
              </w:tc>
              <w:tc>
                <w:tcPr>
                  <w:tcW w:w="10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50C5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温度/℃</w:t>
                  </w:r>
                </w:p>
              </w:tc>
              <w:tc>
                <w:tcPr>
                  <w:tcW w:w="168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E0E8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出口流速(m/s)</w:t>
                  </w:r>
                </w:p>
              </w:tc>
              <w:tc>
                <w:tcPr>
                  <w:tcW w:w="7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1105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类型</w:t>
                  </w:r>
                </w:p>
              </w:tc>
              <w:tc>
                <w:tcPr>
                  <w:tcW w:w="37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7C4C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地理坐标</w:t>
                  </w:r>
                </w:p>
              </w:tc>
            </w:tr>
            <w:tr w14:paraId="30E3B7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25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CE5D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rPr>
                    <w:t>破碎</w:t>
                  </w:r>
                  <w:r>
                    <w:rPr>
                      <w:rFonts w:hint="default" w:ascii="Times New Roman" w:hAnsi="Times New Roman" w:eastAsia="宋体" w:cs="Times New Roman"/>
                      <w:i w:val="0"/>
                      <w:iCs w:val="0"/>
                      <w:color w:val="auto"/>
                      <w:kern w:val="0"/>
                      <w:sz w:val="21"/>
                      <w:szCs w:val="21"/>
                      <w:highlight w:val="none"/>
                      <w:u w:val="none"/>
                      <w:lang w:val="en-US" w:eastAsia="zh-CN"/>
                    </w:rPr>
                    <w:t>废气排放口DA001</w:t>
                  </w:r>
                </w:p>
              </w:tc>
              <w:tc>
                <w:tcPr>
                  <w:tcW w:w="14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4CA2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15</w:t>
                  </w:r>
                </w:p>
              </w:tc>
              <w:tc>
                <w:tcPr>
                  <w:tcW w:w="20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0A41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rPr>
                    <w:t>0.45</w:t>
                  </w:r>
                </w:p>
              </w:tc>
              <w:tc>
                <w:tcPr>
                  <w:tcW w:w="10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E99C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rPr>
                    <w:t>25</w:t>
                  </w:r>
                </w:p>
              </w:tc>
              <w:tc>
                <w:tcPr>
                  <w:tcW w:w="1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51E1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rPr>
                    <w:t>14</w:t>
                  </w:r>
                </w:p>
              </w:tc>
              <w:tc>
                <w:tcPr>
                  <w:tcW w:w="7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A6F3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点源</w:t>
                  </w:r>
                </w:p>
              </w:tc>
              <w:tc>
                <w:tcPr>
                  <w:tcW w:w="37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B6F4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rPr>
                    <w:t>E113°24′20.378″,N25°9′9.517″</w:t>
                  </w:r>
                </w:p>
              </w:tc>
            </w:tr>
            <w:tr w14:paraId="16E6A2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254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1DC2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eastAsia"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shd w:val="clear" w:color="auto" w:fill="auto"/>
                      <w:lang w:val="en-US" w:eastAsia="zh-CN"/>
                    </w:rPr>
                    <w:t>食堂油烟废气排放口DA002</w:t>
                  </w:r>
                </w:p>
              </w:tc>
              <w:tc>
                <w:tcPr>
                  <w:tcW w:w="14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6863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shd w:val="clear" w:color="auto" w:fill="auto"/>
                      <w:lang w:val="en-US" w:eastAsia="zh-CN"/>
                    </w:rPr>
                    <w:t>20</w:t>
                  </w:r>
                </w:p>
              </w:tc>
              <w:tc>
                <w:tcPr>
                  <w:tcW w:w="20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84F2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eastAsia"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shd w:val="clear" w:color="auto" w:fill="auto"/>
                      <w:lang w:val="en-US" w:eastAsia="zh-CN"/>
                    </w:rPr>
                    <w:t>0.5</w:t>
                  </w:r>
                </w:p>
              </w:tc>
              <w:tc>
                <w:tcPr>
                  <w:tcW w:w="10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CA5E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eastAsia"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shd w:val="clear" w:color="auto" w:fill="auto"/>
                      <w:lang w:val="en-US" w:eastAsia="zh-CN"/>
                    </w:rPr>
                    <w:t>60</w:t>
                  </w:r>
                </w:p>
              </w:tc>
              <w:tc>
                <w:tcPr>
                  <w:tcW w:w="1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AD85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shd w:val="clear" w:color="auto" w:fill="auto"/>
                      <w:lang w:val="en-US" w:eastAsia="zh-CN"/>
                    </w:rPr>
                    <w:t>11.3</w:t>
                  </w:r>
                </w:p>
              </w:tc>
              <w:tc>
                <w:tcPr>
                  <w:tcW w:w="7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3EB8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点源</w:t>
                  </w:r>
                </w:p>
              </w:tc>
              <w:tc>
                <w:tcPr>
                  <w:tcW w:w="37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AE5E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center"/>
                    <w:rPr>
                      <w:rFonts w:hint="eastAsia"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E113°24′30.884″,N25°9′10.521″</w:t>
                  </w:r>
                </w:p>
              </w:tc>
            </w:tr>
            <w:tr w14:paraId="1B2D798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3336" w:type="dxa"/>
                  <w:gridSpan w:val="7"/>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50CD2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left"/>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注：根据《大气污染物治理工程技术导则》（HJ2000-2010），排气筒的出口直径应根据出口流速确定，流速宜取15m/s左右。因此，本项目排气筒规格的设置均符合要求。</w:t>
                  </w:r>
                </w:p>
              </w:tc>
            </w:tr>
            <w:tr w14:paraId="4656BE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3336" w:type="dxa"/>
                  <w:gridSpan w:val="7"/>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E1478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r>
          </w:tbl>
          <w:p w14:paraId="050C82F5">
            <w:pPr>
              <w:pStyle w:val="46"/>
              <w:keepNext w:val="0"/>
              <w:keepLines w:val="0"/>
              <w:numPr>
                <w:ilvl w:val="0"/>
                <w:numId w:val="0"/>
              </w:numPr>
              <w:suppressLineNumbers w:val="0"/>
              <w:tabs>
                <w:tab w:val="left" w:pos="0"/>
              </w:tabs>
              <w:spacing w:before="0" w:beforeAutospacing="0" w:after="0" w:afterAutospacing="0"/>
              <w:ind w:left="0" w:leftChars="0" w:right="0" w:rightChars="0" w:firstLine="40" w:firstLineChars="0"/>
              <w:jc w:val="center"/>
              <w:rPr>
                <w:rFonts w:hint="eastAsia" w:ascii="Times New Roman" w:cs="Times New Roman"/>
                <w:b/>
                <w:bCs/>
                <w:color w:val="auto"/>
                <w:sz w:val="21"/>
                <w:szCs w:val="21"/>
                <w:highlight w:val="none"/>
              </w:rPr>
            </w:pPr>
            <w:r>
              <w:rPr>
                <w:rFonts w:hint="default" w:ascii="Times New Roman" w:hAnsi="Times New Roman" w:eastAsia="宋体" w:cs="Times New Roman"/>
                <w:b/>
                <w:bCs/>
                <w:color w:val="auto"/>
                <w:kern w:val="2"/>
                <w:sz w:val="21"/>
                <w:szCs w:val="21"/>
                <w:highlight w:val="none"/>
                <w:lang w:val="en-US" w:eastAsia="zh-CN" w:bidi="ar-SA"/>
              </w:rPr>
              <w:t>表4-1</w:t>
            </w:r>
            <w:r>
              <w:rPr>
                <w:rFonts w:hint="eastAsia" w:ascii="Times New Roman" w:cs="Times New Roman"/>
                <w:b/>
                <w:bCs/>
                <w:color w:val="auto"/>
                <w:kern w:val="2"/>
                <w:sz w:val="21"/>
                <w:szCs w:val="21"/>
                <w:highlight w:val="none"/>
                <w:lang w:val="en-US" w:eastAsia="zh-CN" w:bidi="ar-SA"/>
              </w:rPr>
              <w:t xml:space="preserve">1 </w:t>
            </w:r>
            <w:r>
              <w:rPr>
                <w:rFonts w:hint="eastAsia" w:ascii="Times New Roman" w:cs="Times New Roman"/>
                <w:b/>
                <w:bCs/>
                <w:color w:val="auto"/>
                <w:sz w:val="21"/>
                <w:szCs w:val="21"/>
                <w:highlight w:val="none"/>
              </w:rPr>
              <w:t>项目废气</w:t>
            </w:r>
            <w:r>
              <w:rPr>
                <w:rFonts w:hint="eastAsia" w:ascii="Times New Roman" w:cs="Times New Roman"/>
                <w:b/>
                <w:bCs/>
                <w:color w:val="auto"/>
                <w:sz w:val="21"/>
                <w:szCs w:val="21"/>
                <w:highlight w:val="none"/>
                <w:lang w:val="en-US" w:eastAsia="zh-CN"/>
              </w:rPr>
              <w:t>年</w:t>
            </w:r>
            <w:r>
              <w:rPr>
                <w:rFonts w:hint="eastAsia" w:ascii="Times New Roman" w:cs="Times New Roman"/>
                <w:b/>
                <w:bCs/>
                <w:color w:val="auto"/>
                <w:sz w:val="21"/>
                <w:szCs w:val="21"/>
                <w:highlight w:val="none"/>
              </w:rPr>
              <w:t>产排</w:t>
            </w:r>
            <w:r>
              <w:rPr>
                <w:rFonts w:hint="eastAsia" w:ascii="Times New Roman" w:cs="Times New Roman"/>
                <w:b/>
                <w:bCs/>
                <w:color w:val="auto"/>
                <w:sz w:val="21"/>
                <w:szCs w:val="21"/>
                <w:highlight w:val="none"/>
                <w:lang w:val="en-US" w:eastAsia="zh-CN"/>
              </w:rPr>
              <w:t>量</w:t>
            </w:r>
            <w:r>
              <w:rPr>
                <w:rFonts w:hint="eastAsia" w:ascii="Times New Roman" w:cs="Times New Roman"/>
                <w:b/>
                <w:bCs/>
                <w:color w:val="auto"/>
                <w:sz w:val="21"/>
                <w:szCs w:val="21"/>
                <w:highlight w:val="none"/>
              </w:rPr>
              <w:t>情况一览表</w:t>
            </w:r>
          </w:p>
          <w:tbl>
            <w:tblPr>
              <w:tblStyle w:val="39"/>
              <w:tblW w:w="13336"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255"/>
              <w:gridCol w:w="949"/>
              <w:gridCol w:w="1073"/>
              <w:gridCol w:w="1178"/>
              <w:gridCol w:w="978"/>
              <w:gridCol w:w="1197"/>
              <w:gridCol w:w="766"/>
              <w:gridCol w:w="1269"/>
              <w:gridCol w:w="687"/>
              <w:gridCol w:w="938"/>
              <w:gridCol w:w="1172"/>
              <w:gridCol w:w="978"/>
              <w:gridCol w:w="896"/>
            </w:tblGrid>
            <w:tr w14:paraId="5178C5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125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E2AFE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产排污环节</w:t>
                  </w:r>
                </w:p>
              </w:tc>
              <w:tc>
                <w:tcPr>
                  <w:tcW w:w="94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434BD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排放形式</w:t>
                  </w:r>
                </w:p>
              </w:tc>
              <w:tc>
                <w:tcPr>
                  <w:tcW w:w="107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1DDE0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污染物种类</w:t>
                  </w:r>
                </w:p>
              </w:tc>
              <w:tc>
                <w:tcPr>
                  <w:tcW w:w="2156"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0CE6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污染物产生情况</w:t>
                  </w:r>
                </w:p>
              </w:tc>
              <w:tc>
                <w:tcPr>
                  <w:tcW w:w="4857" w:type="dxa"/>
                  <w:gridSpan w:val="5"/>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8C97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治理设施基本情况</w:t>
                  </w:r>
                </w:p>
              </w:tc>
              <w:tc>
                <w:tcPr>
                  <w:tcW w:w="215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AFDF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污染物排放情况</w:t>
                  </w:r>
                </w:p>
              </w:tc>
              <w:tc>
                <w:tcPr>
                  <w:tcW w:w="89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B8810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排放时间（h）</w:t>
                  </w:r>
                </w:p>
              </w:tc>
            </w:tr>
            <w:tr w14:paraId="2321768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50" w:hRule="atLeast"/>
                <w:jc w:val="center"/>
              </w:trPr>
              <w:tc>
                <w:tcPr>
                  <w:tcW w:w="125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4BAC8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94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708F2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107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64A1F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117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2DAA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产生浓度（mg/m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rPr>
                    <w:t>3</w:t>
                  </w:r>
                  <w:r>
                    <w:rPr>
                      <w:rFonts w:hint="default" w:ascii="Times New Roman" w:hAnsi="Times New Roman" w:eastAsia="宋体" w:cs="Times New Roman"/>
                      <w:b/>
                      <w:bCs/>
                      <w:i w:val="0"/>
                      <w:iCs w:val="0"/>
                      <w:color w:val="auto"/>
                      <w:kern w:val="0"/>
                      <w:sz w:val="21"/>
                      <w:szCs w:val="21"/>
                      <w:highlight w:val="none"/>
                      <w:u w:val="none"/>
                      <w:lang w:val="en-US" w:eastAsia="zh-CN"/>
                    </w:rPr>
                    <w:t>）</w:t>
                  </w:r>
                </w:p>
              </w:tc>
              <w:tc>
                <w:tcPr>
                  <w:tcW w:w="97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7AD1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产生量（</w:t>
                  </w:r>
                  <w:r>
                    <w:rPr>
                      <w:rFonts w:hint="eastAsia" w:cs="Times New Roman"/>
                      <w:b/>
                      <w:bCs/>
                      <w:i w:val="0"/>
                      <w:iCs w:val="0"/>
                      <w:color w:val="auto"/>
                      <w:kern w:val="0"/>
                      <w:sz w:val="21"/>
                      <w:szCs w:val="21"/>
                      <w:highlight w:val="none"/>
                      <w:u w:val="none"/>
                      <w:lang w:val="en-US" w:eastAsia="zh-CN"/>
                    </w:rPr>
                    <w:t>t</w:t>
                  </w:r>
                  <w:r>
                    <w:rPr>
                      <w:rFonts w:hint="default" w:ascii="Times New Roman" w:hAnsi="Times New Roman" w:eastAsia="宋体" w:cs="Times New Roman"/>
                      <w:b/>
                      <w:bCs/>
                      <w:i w:val="0"/>
                      <w:iCs w:val="0"/>
                      <w:color w:val="auto"/>
                      <w:kern w:val="0"/>
                      <w:sz w:val="21"/>
                      <w:szCs w:val="21"/>
                      <w:highlight w:val="none"/>
                      <w:u w:val="none"/>
                      <w:lang w:val="en-US" w:eastAsia="zh-CN"/>
                    </w:rPr>
                    <w:t>/</w:t>
                  </w:r>
                  <w:r>
                    <w:rPr>
                      <w:rFonts w:hint="eastAsia" w:cs="Times New Roman"/>
                      <w:b/>
                      <w:bCs/>
                      <w:i w:val="0"/>
                      <w:iCs w:val="0"/>
                      <w:color w:val="auto"/>
                      <w:kern w:val="0"/>
                      <w:sz w:val="21"/>
                      <w:szCs w:val="21"/>
                      <w:highlight w:val="none"/>
                      <w:u w:val="none"/>
                      <w:lang w:val="en-US" w:eastAsia="zh-CN"/>
                    </w:rPr>
                    <w:t>a</w:t>
                  </w:r>
                  <w:r>
                    <w:rPr>
                      <w:rFonts w:hint="default" w:ascii="Times New Roman" w:hAnsi="Times New Roman" w:eastAsia="宋体" w:cs="Times New Roman"/>
                      <w:b/>
                      <w:bCs/>
                      <w:i w:val="0"/>
                      <w:iCs w:val="0"/>
                      <w:color w:val="auto"/>
                      <w:kern w:val="0"/>
                      <w:sz w:val="21"/>
                      <w:szCs w:val="21"/>
                      <w:highlight w:val="none"/>
                      <w:u w:val="none"/>
                      <w:lang w:val="en-US" w:eastAsia="zh-CN"/>
                    </w:rPr>
                    <w:t>）</w:t>
                  </w:r>
                </w:p>
              </w:tc>
              <w:tc>
                <w:tcPr>
                  <w:tcW w:w="11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E270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处理能力（m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rPr>
                    <w:t>3</w:t>
                  </w:r>
                  <w:r>
                    <w:rPr>
                      <w:rFonts w:hint="default" w:ascii="Times New Roman" w:hAnsi="Times New Roman" w:eastAsia="宋体" w:cs="Times New Roman"/>
                      <w:b/>
                      <w:bCs/>
                      <w:i w:val="0"/>
                      <w:iCs w:val="0"/>
                      <w:color w:val="auto"/>
                      <w:kern w:val="0"/>
                      <w:sz w:val="21"/>
                      <w:szCs w:val="21"/>
                      <w:highlight w:val="none"/>
                      <w:u w:val="none"/>
                      <w:lang w:val="en-US" w:eastAsia="zh-CN"/>
                    </w:rPr>
                    <w:t>/h）</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DE01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收集效率</w:t>
                  </w:r>
                </w:p>
              </w:tc>
              <w:tc>
                <w:tcPr>
                  <w:tcW w:w="12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E11A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处理工艺</w:t>
                  </w:r>
                </w:p>
              </w:tc>
              <w:tc>
                <w:tcPr>
                  <w:tcW w:w="6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0A4C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处理效率</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6FA4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是否为可行技术</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5A45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排放浓度（mg/m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rPr>
                    <w:t>3</w:t>
                  </w:r>
                  <w:r>
                    <w:rPr>
                      <w:rFonts w:hint="default" w:ascii="Times New Roman" w:hAnsi="Times New Roman" w:eastAsia="宋体" w:cs="Times New Roman"/>
                      <w:b/>
                      <w:bCs/>
                      <w:i w:val="0"/>
                      <w:iCs w:val="0"/>
                      <w:color w:val="auto"/>
                      <w:kern w:val="0"/>
                      <w:sz w:val="21"/>
                      <w:szCs w:val="21"/>
                      <w:highlight w:val="none"/>
                      <w:u w:val="none"/>
                      <w:lang w:val="en-US" w:eastAsia="zh-CN"/>
                    </w:rPr>
                    <w:t>）</w:t>
                  </w:r>
                </w:p>
              </w:tc>
              <w:tc>
                <w:tcPr>
                  <w:tcW w:w="97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8AB6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排放量（</w:t>
                  </w:r>
                  <w:r>
                    <w:rPr>
                      <w:rFonts w:hint="eastAsia" w:cs="Times New Roman"/>
                      <w:b/>
                      <w:bCs/>
                      <w:i w:val="0"/>
                      <w:iCs w:val="0"/>
                      <w:color w:val="auto"/>
                      <w:kern w:val="0"/>
                      <w:sz w:val="21"/>
                      <w:szCs w:val="21"/>
                      <w:highlight w:val="none"/>
                      <w:u w:val="none"/>
                      <w:lang w:val="en-US" w:eastAsia="zh-CN"/>
                    </w:rPr>
                    <w:t>t</w:t>
                  </w:r>
                  <w:r>
                    <w:rPr>
                      <w:rFonts w:hint="default" w:ascii="Times New Roman" w:hAnsi="Times New Roman" w:eastAsia="宋体" w:cs="Times New Roman"/>
                      <w:b/>
                      <w:bCs/>
                      <w:i w:val="0"/>
                      <w:iCs w:val="0"/>
                      <w:color w:val="auto"/>
                      <w:kern w:val="0"/>
                      <w:sz w:val="21"/>
                      <w:szCs w:val="21"/>
                      <w:highlight w:val="none"/>
                      <w:u w:val="none"/>
                      <w:lang w:val="en-US" w:eastAsia="zh-CN"/>
                    </w:rPr>
                    <w:t>/</w:t>
                  </w:r>
                  <w:r>
                    <w:rPr>
                      <w:rFonts w:hint="eastAsia" w:cs="Times New Roman"/>
                      <w:b/>
                      <w:bCs/>
                      <w:i w:val="0"/>
                      <w:iCs w:val="0"/>
                      <w:color w:val="auto"/>
                      <w:kern w:val="0"/>
                      <w:sz w:val="21"/>
                      <w:szCs w:val="21"/>
                      <w:highlight w:val="none"/>
                      <w:u w:val="none"/>
                      <w:lang w:val="en-US" w:eastAsia="zh-CN"/>
                    </w:rPr>
                    <w:t>a</w:t>
                  </w:r>
                  <w:r>
                    <w:rPr>
                      <w:rFonts w:hint="default" w:ascii="Times New Roman" w:hAnsi="Times New Roman" w:eastAsia="宋体" w:cs="Times New Roman"/>
                      <w:b/>
                      <w:bCs/>
                      <w:i w:val="0"/>
                      <w:iCs w:val="0"/>
                      <w:color w:val="auto"/>
                      <w:kern w:val="0"/>
                      <w:sz w:val="21"/>
                      <w:szCs w:val="21"/>
                      <w:highlight w:val="none"/>
                      <w:u w:val="none"/>
                      <w:lang w:val="en-US" w:eastAsia="zh-CN"/>
                    </w:rPr>
                    <w:t>）</w:t>
                  </w:r>
                </w:p>
              </w:tc>
              <w:tc>
                <w:tcPr>
                  <w:tcW w:w="89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06ECD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r>
            <w:tr w14:paraId="2D8CDF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1255" w:type="dxa"/>
                  <w:vMerge w:val="restart"/>
                  <w:tcBorders>
                    <w:top w:val="single" w:color="000000" w:sz="4" w:space="0"/>
                    <w:left w:val="single" w:color="000000" w:sz="4" w:space="0"/>
                    <w:right w:val="single" w:color="000000" w:sz="4" w:space="0"/>
                  </w:tcBorders>
                  <w:shd w:val="clear" w:color="auto" w:fill="auto"/>
                  <w:vAlign w:val="center"/>
                </w:tcPr>
                <w:p w14:paraId="049EA8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rPr>
                    <w:t>破碎</w:t>
                  </w:r>
                  <w:r>
                    <w:rPr>
                      <w:rFonts w:hint="default" w:ascii="Times New Roman" w:hAnsi="Times New Roman" w:eastAsia="宋体" w:cs="Times New Roman"/>
                      <w:i w:val="0"/>
                      <w:iCs w:val="0"/>
                      <w:color w:val="auto"/>
                      <w:kern w:val="0"/>
                      <w:sz w:val="21"/>
                      <w:szCs w:val="21"/>
                      <w:highlight w:val="none"/>
                      <w:u w:val="none"/>
                      <w:lang w:val="en-US" w:eastAsia="zh-CN"/>
                    </w:rPr>
                    <w:t>粉尘（DA00</w:t>
                  </w:r>
                  <w:r>
                    <w:rPr>
                      <w:rFonts w:hint="eastAsia" w:cs="Times New Roman"/>
                      <w:i w:val="0"/>
                      <w:iCs w:val="0"/>
                      <w:color w:val="auto"/>
                      <w:kern w:val="0"/>
                      <w:sz w:val="21"/>
                      <w:szCs w:val="21"/>
                      <w:highlight w:val="none"/>
                      <w:u w:val="none"/>
                      <w:lang w:val="en-US" w:eastAsia="zh-CN"/>
                    </w:rPr>
                    <w:t>1</w:t>
                  </w: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9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35BA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rPr>
                    <w:t>有</w:t>
                  </w:r>
                  <w:r>
                    <w:rPr>
                      <w:rFonts w:hint="default" w:ascii="Times New Roman" w:hAnsi="Times New Roman" w:eastAsia="宋体" w:cs="Times New Roman"/>
                      <w:i w:val="0"/>
                      <w:iCs w:val="0"/>
                      <w:color w:val="auto"/>
                      <w:kern w:val="0"/>
                      <w:sz w:val="21"/>
                      <w:szCs w:val="21"/>
                      <w:highlight w:val="none"/>
                      <w:u w:val="none"/>
                      <w:lang w:val="en-US" w:eastAsia="zh-CN"/>
                    </w:rPr>
                    <w:t>组织</w:t>
                  </w:r>
                </w:p>
              </w:tc>
              <w:tc>
                <w:tcPr>
                  <w:tcW w:w="1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F8D0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颗粒物</w:t>
                  </w:r>
                </w:p>
              </w:tc>
              <w:tc>
                <w:tcPr>
                  <w:tcW w:w="11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D95E8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18.2</w:t>
                  </w:r>
                </w:p>
              </w:tc>
              <w:tc>
                <w:tcPr>
                  <w:tcW w:w="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CF94E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rPr>
                    <w:t xml:space="preserve">1.154 </w:t>
                  </w:r>
                </w:p>
              </w:tc>
              <w:tc>
                <w:tcPr>
                  <w:tcW w:w="11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1E7F6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rPr>
                    <w:t>8</w:t>
                  </w:r>
                  <w:r>
                    <w:rPr>
                      <w:rFonts w:hint="eastAsia" w:cs="Times New Roman"/>
                      <w:i w:val="0"/>
                      <w:iCs w:val="0"/>
                      <w:color w:val="auto"/>
                      <w:kern w:val="0"/>
                      <w:sz w:val="21"/>
                      <w:szCs w:val="21"/>
                      <w:highlight w:val="none"/>
                      <w:u w:val="none"/>
                      <w:lang w:val="en-US" w:eastAsia="zh-CN"/>
                    </w:rPr>
                    <w:t>0</w:t>
                  </w:r>
                  <w:r>
                    <w:rPr>
                      <w:rFonts w:hint="default" w:ascii="Times New Roman" w:hAnsi="Times New Roman" w:eastAsia="宋体" w:cs="Times New Roman"/>
                      <w:i w:val="0"/>
                      <w:iCs w:val="0"/>
                      <w:color w:val="auto"/>
                      <w:kern w:val="0"/>
                      <w:sz w:val="21"/>
                      <w:szCs w:val="21"/>
                      <w:highlight w:val="none"/>
                      <w:u w:val="none"/>
                      <w:lang w:val="en-US" w:eastAsia="zh-CN"/>
                    </w:rPr>
                    <w:t>00</w:t>
                  </w:r>
                </w:p>
              </w:tc>
              <w:tc>
                <w:tcPr>
                  <w:tcW w:w="7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F7D24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rPr>
                    <w:t>40</w:t>
                  </w:r>
                </w:p>
              </w:tc>
              <w:tc>
                <w:tcPr>
                  <w:tcW w:w="12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C526D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rPr>
                    <w:t>布袋除尘器</w:t>
                  </w:r>
                </w:p>
              </w:tc>
              <w:tc>
                <w:tcPr>
                  <w:tcW w:w="6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2DD17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9</w:t>
                  </w:r>
                  <w:r>
                    <w:rPr>
                      <w:rFonts w:hint="eastAsia" w:cs="Times New Roman"/>
                      <w:i w:val="0"/>
                      <w:iCs w:val="0"/>
                      <w:color w:val="auto"/>
                      <w:kern w:val="0"/>
                      <w:sz w:val="21"/>
                      <w:szCs w:val="21"/>
                      <w:highlight w:val="none"/>
                      <w:u w:val="none"/>
                      <w:lang w:val="en-US" w:eastAsia="zh-CN"/>
                    </w:rPr>
                    <w:t>5</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498E4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rPr>
                    <w:t>是</w:t>
                  </w:r>
                </w:p>
              </w:tc>
              <w:tc>
                <w:tcPr>
                  <w:tcW w:w="11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5A2BA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rPr>
                    <w:t>0.9</w:t>
                  </w:r>
                </w:p>
              </w:tc>
              <w:tc>
                <w:tcPr>
                  <w:tcW w:w="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9DB7F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rPr>
                    <w:t>0.0</w:t>
                  </w:r>
                  <w:r>
                    <w:rPr>
                      <w:rFonts w:hint="eastAsia" w:cs="Times New Roman"/>
                      <w:i w:val="0"/>
                      <w:iCs w:val="0"/>
                      <w:color w:val="auto"/>
                      <w:kern w:val="0"/>
                      <w:sz w:val="21"/>
                      <w:szCs w:val="21"/>
                      <w:highlight w:val="none"/>
                      <w:u w:val="none"/>
                      <w:lang w:val="en-US" w:eastAsia="zh-CN"/>
                    </w:rPr>
                    <w:t>58</w:t>
                  </w:r>
                  <w:r>
                    <w:rPr>
                      <w:rFonts w:hint="default" w:ascii="Times New Roman" w:hAnsi="Times New Roman" w:eastAsia="宋体" w:cs="Times New Roman"/>
                      <w:i w:val="0"/>
                      <w:iCs w:val="0"/>
                      <w:color w:val="auto"/>
                      <w:kern w:val="0"/>
                      <w:sz w:val="21"/>
                      <w:szCs w:val="21"/>
                      <w:highlight w:val="none"/>
                      <w:u w:val="none"/>
                      <w:lang w:val="en-US" w:eastAsia="zh-CN"/>
                    </w:rPr>
                    <w:t xml:space="preserve"> </w:t>
                  </w:r>
                </w:p>
              </w:tc>
              <w:tc>
                <w:tcPr>
                  <w:tcW w:w="8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3EDD4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7920</w:t>
                  </w:r>
                </w:p>
              </w:tc>
            </w:tr>
            <w:tr w14:paraId="76F0BB5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1255" w:type="dxa"/>
                  <w:vMerge w:val="continue"/>
                  <w:tcBorders>
                    <w:left w:val="single" w:color="000000" w:sz="4" w:space="0"/>
                    <w:bottom w:val="single" w:color="000000" w:sz="4" w:space="0"/>
                    <w:right w:val="single" w:color="000000" w:sz="4" w:space="0"/>
                  </w:tcBorders>
                  <w:shd w:val="clear" w:color="auto" w:fill="auto"/>
                  <w:vAlign w:val="center"/>
                </w:tcPr>
                <w:p w14:paraId="7AEFC5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9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BB0F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eastAsia"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无</w:t>
                  </w:r>
                  <w:r>
                    <w:rPr>
                      <w:rFonts w:hint="default" w:ascii="Times New Roman" w:hAnsi="Times New Roman" w:eastAsia="宋体" w:cs="Times New Roman"/>
                      <w:i w:val="0"/>
                      <w:iCs w:val="0"/>
                      <w:color w:val="auto"/>
                      <w:kern w:val="0"/>
                      <w:sz w:val="21"/>
                      <w:szCs w:val="21"/>
                      <w:highlight w:val="none"/>
                      <w:u w:val="none"/>
                      <w:lang w:val="en-US" w:eastAsia="zh-CN"/>
                    </w:rPr>
                    <w:t>组织</w:t>
                  </w:r>
                </w:p>
              </w:tc>
              <w:tc>
                <w:tcPr>
                  <w:tcW w:w="1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1B50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颗粒物</w:t>
                  </w:r>
                </w:p>
              </w:tc>
              <w:tc>
                <w:tcPr>
                  <w:tcW w:w="11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812876">
                  <w:pPr>
                    <w:keepNext w:val="0"/>
                    <w:keepLines w:val="0"/>
                    <w:widowControl/>
                    <w:suppressLineNumbers w:val="0"/>
                    <w:spacing w:before="0" w:beforeAutospacing="0" w:after="0" w:afterAutospacing="0"/>
                    <w:ind w:left="0" w:right="0"/>
                    <w:jc w:val="center"/>
                    <w:textAlignment w:val="center"/>
                    <w:rPr>
                      <w:rFonts w:hint="eastAsia"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9DB0AF">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1.731</w:t>
                  </w:r>
                </w:p>
              </w:tc>
              <w:tc>
                <w:tcPr>
                  <w:tcW w:w="11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02D2C9">
                  <w:pPr>
                    <w:keepNext w:val="0"/>
                    <w:keepLines w:val="0"/>
                    <w:widowControl/>
                    <w:suppressLineNumbers w:val="0"/>
                    <w:spacing w:before="0" w:beforeAutospacing="0" w:after="0" w:afterAutospacing="0"/>
                    <w:ind w:left="0" w:right="0"/>
                    <w:jc w:val="center"/>
                    <w:textAlignment w:val="center"/>
                    <w:rPr>
                      <w:rFonts w:hint="eastAsia"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7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D5B76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2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99D6A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加强收集，厂房通风</w:t>
                  </w:r>
                </w:p>
              </w:tc>
              <w:tc>
                <w:tcPr>
                  <w:tcW w:w="6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496C5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49AE6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是</w:t>
                  </w:r>
                </w:p>
              </w:tc>
              <w:tc>
                <w:tcPr>
                  <w:tcW w:w="11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ED8596">
                  <w:pPr>
                    <w:keepNext w:val="0"/>
                    <w:keepLines w:val="0"/>
                    <w:widowControl/>
                    <w:suppressLineNumbers w:val="0"/>
                    <w:spacing w:before="0" w:beforeAutospacing="0" w:after="0" w:afterAutospacing="0"/>
                    <w:ind w:left="0" w:right="0"/>
                    <w:jc w:val="center"/>
                    <w:textAlignment w:val="center"/>
                    <w:rPr>
                      <w:rFonts w:hint="eastAsia"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148088">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1.731</w:t>
                  </w:r>
                </w:p>
              </w:tc>
              <w:tc>
                <w:tcPr>
                  <w:tcW w:w="8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77076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7920</w:t>
                  </w:r>
                </w:p>
              </w:tc>
            </w:tr>
            <w:tr w14:paraId="3A53E9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1255" w:type="dxa"/>
                  <w:vMerge w:val="restart"/>
                  <w:tcBorders>
                    <w:left w:val="single" w:color="000000" w:sz="4" w:space="0"/>
                    <w:right w:val="single" w:color="000000" w:sz="4" w:space="0"/>
                  </w:tcBorders>
                  <w:shd w:val="clear" w:color="auto" w:fill="auto"/>
                  <w:vAlign w:val="center"/>
                </w:tcPr>
                <w:p w14:paraId="157281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食堂油烟</w:t>
                  </w:r>
                  <w:r>
                    <w:rPr>
                      <w:rFonts w:hint="default" w:ascii="Times New Roman" w:hAnsi="Times New Roman" w:eastAsia="宋体" w:cs="Times New Roman"/>
                      <w:i w:val="0"/>
                      <w:iCs w:val="0"/>
                      <w:color w:val="auto"/>
                      <w:kern w:val="0"/>
                      <w:sz w:val="21"/>
                      <w:szCs w:val="21"/>
                      <w:highlight w:val="none"/>
                      <w:u w:val="none"/>
                      <w:lang w:val="en-US" w:eastAsia="zh-CN"/>
                    </w:rPr>
                    <w:t>（DA00</w:t>
                  </w:r>
                  <w:r>
                    <w:rPr>
                      <w:rFonts w:hint="eastAsia" w:ascii="Times New Roman" w:hAnsi="Times New Roman" w:eastAsia="宋体" w:cs="Times New Roman"/>
                      <w:i w:val="0"/>
                      <w:iCs w:val="0"/>
                      <w:color w:val="auto"/>
                      <w:kern w:val="0"/>
                      <w:sz w:val="21"/>
                      <w:szCs w:val="21"/>
                      <w:highlight w:val="none"/>
                      <w:u w:val="none"/>
                      <w:lang w:val="en-US" w:eastAsia="zh-CN"/>
                    </w:rPr>
                    <w:t>2</w:t>
                  </w: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9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6D8F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有组织</w:t>
                  </w:r>
                </w:p>
              </w:tc>
              <w:tc>
                <w:tcPr>
                  <w:tcW w:w="1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50C5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油烟</w:t>
                  </w:r>
                </w:p>
              </w:tc>
              <w:tc>
                <w:tcPr>
                  <w:tcW w:w="11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D081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2.81</w:t>
                  </w:r>
                </w:p>
              </w:tc>
              <w:tc>
                <w:tcPr>
                  <w:tcW w:w="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13ED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0.045</w:t>
                  </w:r>
                </w:p>
              </w:tc>
              <w:tc>
                <w:tcPr>
                  <w:tcW w:w="11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2A0A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8000</w:t>
                  </w:r>
                </w:p>
              </w:tc>
              <w:tc>
                <w:tcPr>
                  <w:tcW w:w="7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2BBC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7</w:t>
                  </w:r>
                  <w:r>
                    <w:rPr>
                      <w:rFonts w:hint="eastAsia"/>
                      <w:color w:val="auto"/>
                      <w:highlight w:val="none"/>
                      <w:lang w:val="en-US" w:eastAsia="zh-CN"/>
                    </w:rPr>
                    <w:t>5</w:t>
                  </w:r>
                  <w:r>
                    <w:rPr>
                      <w:rFonts w:hint="eastAsia" w:cs="Times New Roman"/>
                      <w:i w:val="0"/>
                      <w:iCs w:val="0"/>
                      <w:color w:val="auto"/>
                      <w:kern w:val="0"/>
                      <w:sz w:val="21"/>
                      <w:szCs w:val="21"/>
                      <w:highlight w:val="none"/>
                      <w:u w:val="none"/>
                      <w:lang w:val="en-US" w:eastAsia="zh-CN"/>
                    </w:rPr>
                    <w:t>%</w:t>
                  </w:r>
                </w:p>
              </w:tc>
              <w:tc>
                <w:tcPr>
                  <w:tcW w:w="12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A557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静电油烟净化器</w:t>
                  </w:r>
                </w:p>
              </w:tc>
              <w:tc>
                <w:tcPr>
                  <w:tcW w:w="6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BAAC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75%</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7A22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是</w:t>
                  </w:r>
                </w:p>
              </w:tc>
              <w:tc>
                <w:tcPr>
                  <w:tcW w:w="11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C338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0.5</w:t>
                  </w:r>
                </w:p>
              </w:tc>
              <w:tc>
                <w:tcPr>
                  <w:tcW w:w="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32EB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0.0078</w:t>
                  </w:r>
                </w:p>
              </w:tc>
              <w:tc>
                <w:tcPr>
                  <w:tcW w:w="8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5639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1980</w:t>
                  </w:r>
                </w:p>
              </w:tc>
            </w:tr>
            <w:tr w14:paraId="46C66A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1255" w:type="dxa"/>
                  <w:vMerge w:val="continue"/>
                  <w:tcBorders>
                    <w:left w:val="single" w:color="000000" w:sz="4" w:space="0"/>
                    <w:bottom w:val="single" w:color="000000" w:sz="4" w:space="0"/>
                    <w:right w:val="single" w:color="000000" w:sz="4" w:space="0"/>
                  </w:tcBorders>
                  <w:shd w:val="clear" w:color="auto" w:fill="auto"/>
                  <w:vAlign w:val="center"/>
                </w:tcPr>
                <w:p w14:paraId="342210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rPr>
                  </w:pPr>
                </w:p>
              </w:tc>
              <w:tc>
                <w:tcPr>
                  <w:tcW w:w="9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00A5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无组织</w:t>
                  </w:r>
                </w:p>
              </w:tc>
              <w:tc>
                <w:tcPr>
                  <w:tcW w:w="1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9285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油烟</w:t>
                  </w:r>
                </w:p>
              </w:tc>
              <w:tc>
                <w:tcPr>
                  <w:tcW w:w="11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6CB5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w:t>
                  </w:r>
                </w:p>
              </w:tc>
              <w:tc>
                <w:tcPr>
                  <w:tcW w:w="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F840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0.013</w:t>
                  </w:r>
                </w:p>
              </w:tc>
              <w:tc>
                <w:tcPr>
                  <w:tcW w:w="11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E485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w:t>
                  </w:r>
                </w:p>
              </w:tc>
              <w:tc>
                <w:tcPr>
                  <w:tcW w:w="7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50B6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w:t>
                  </w:r>
                </w:p>
              </w:tc>
              <w:tc>
                <w:tcPr>
                  <w:tcW w:w="12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E22C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w:t>
                  </w:r>
                </w:p>
              </w:tc>
              <w:tc>
                <w:tcPr>
                  <w:tcW w:w="6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228C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09F7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w:t>
                  </w:r>
                </w:p>
              </w:tc>
              <w:tc>
                <w:tcPr>
                  <w:tcW w:w="11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2A45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w:t>
                  </w:r>
                </w:p>
              </w:tc>
              <w:tc>
                <w:tcPr>
                  <w:tcW w:w="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FC98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0.013</w:t>
                  </w:r>
                </w:p>
              </w:tc>
              <w:tc>
                <w:tcPr>
                  <w:tcW w:w="8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B765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1980</w:t>
                  </w:r>
                </w:p>
              </w:tc>
            </w:tr>
            <w:tr w14:paraId="6189F4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6" w:hRule="atLeast"/>
                <w:jc w:val="center"/>
              </w:trPr>
              <w:tc>
                <w:tcPr>
                  <w:tcW w:w="1255" w:type="dxa"/>
                  <w:vMerge w:val="restart"/>
                  <w:tcBorders>
                    <w:top w:val="single" w:color="000000" w:sz="4" w:space="0"/>
                    <w:left w:val="single" w:color="000000" w:sz="4" w:space="0"/>
                    <w:right w:val="single" w:color="000000" w:sz="4" w:space="0"/>
                  </w:tcBorders>
                  <w:shd w:val="clear" w:color="auto" w:fill="auto"/>
                  <w:vAlign w:val="center"/>
                </w:tcPr>
                <w:p w14:paraId="5318DF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废水治理</w:t>
                  </w:r>
                </w:p>
              </w:tc>
              <w:tc>
                <w:tcPr>
                  <w:tcW w:w="949" w:type="dxa"/>
                  <w:vMerge w:val="restart"/>
                  <w:tcBorders>
                    <w:top w:val="single" w:color="000000" w:sz="4" w:space="0"/>
                    <w:left w:val="single" w:color="000000" w:sz="4" w:space="0"/>
                    <w:right w:val="single" w:color="000000" w:sz="4" w:space="0"/>
                  </w:tcBorders>
                  <w:shd w:val="clear" w:color="auto" w:fill="auto"/>
                  <w:noWrap/>
                  <w:vAlign w:val="center"/>
                </w:tcPr>
                <w:p w14:paraId="0DE5BF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无组织</w:t>
                  </w:r>
                </w:p>
              </w:tc>
              <w:tc>
                <w:tcPr>
                  <w:tcW w:w="1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A1C9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氨</w:t>
                  </w:r>
                </w:p>
              </w:tc>
              <w:tc>
                <w:tcPr>
                  <w:tcW w:w="1178" w:type="dxa"/>
                  <w:vMerge w:val="restart"/>
                  <w:tcBorders>
                    <w:top w:val="single" w:color="000000" w:sz="4" w:space="0"/>
                    <w:left w:val="single" w:color="000000" w:sz="4" w:space="0"/>
                    <w:right w:val="single" w:color="000000" w:sz="4" w:space="0"/>
                  </w:tcBorders>
                  <w:shd w:val="clear" w:color="auto" w:fill="auto"/>
                  <w:noWrap/>
                  <w:vAlign w:val="center"/>
                </w:tcPr>
                <w:p w14:paraId="477FF5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w:t>
                  </w:r>
                </w:p>
              </w:tc>
              <w:tc>
                <w:tcPr>
                  <w:tcW w:w="978" w:type="dxa"/>
                  <w:vMerge w:val="restart"/>
                  <w:tcBorders>
                    <w:top w:val="single" w:color="000000" w:sz="4" w:space="0"/>
                    <w:left w:val="single" w:color="000000" w:sz="4" w:space="0"/>
                    <w:right w:val="single" w:color="000000" w:sz="4" w:space="0"/>
                  </w:tcBorders>
                  <w:shd w:val="clear" w:color="auto" w:fill="auto"/>
                  <w:noWrap/>
                  <w:vAlign w:val="center"/>
                </w:tcPr>
                <w:p w14:paraId="24F81A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少量</w:t>
                  </w:r>
                </w:p>
              </w:tc>
              <w:tc>
                <w:tcPr>
                  <w:tcW w:w="1197" w:type="dxa"/>
                  <w:vMerge w:val="restart"/>
                  <w:tcBorders>
                    <w:top w:val="single" w:color="000000" w:sz="4" w:space="0"/>
                    <w:left w:val="single" w:color="000000" w:sz="4" w:space="0"/>
                    <w:right w:val="single" w:color="000000" w:sz="4" w:space="0"/>
                  </w:tcBorders>
                  <w:shd w:val="clear" w:color="auto" w:fill="auto"/>
                  <w:noWrap/>
                  <w:vAlign w:val="center"/>
                </w:tcPr>
                <w:p w14:paraId="710E96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w:t>
                  </w:r>
                </w:p>
              </w:tc>
              <w:tc>
                <w:tcPr>
                  <w:tcW w:w="766" w:type="dxa"/>
                  <w:vMerge w:val="restart"/>
                  <w:tcBorders>
                    <w:top w:val="single" w:color="000000" w:sz="4" w:space="0"/>
                    <w:left w:val="single" w:color="000000" w:sz="4" w:space="0"/>
                    <w:right w:val="single" w:color="000000" w:sz="4" w:space="0"/>
                  </w:tcBorders>
                  <w:shd w:val="clear" w:color="auto" w:fill="auto"/>
                  <w:noWrap/>
                  <w:vAlign w:val="center"/>
                </w:tcPr>
                <w:p w14:paraId="152228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w:t>
                  </w:r>
                </w:p>
              </w:tc>
              <w:tc>
                <w:tcPr>
                  <w:tcW w:w="1269" w:type="dxa"/>
                  <w:vMerge w:val="restart"/>
                  <w:tcBorders>
                    <w:top w:val="single" w:color="000000" w:sz="4" w:space="0"/>
                    <w:left w:val="single" w:color="000000" w:sz="4" w:space="0"/>
                    <w:right w:val="single" w:color="000000" w:sz="4" w:space="0"/>
                  </w:tcBorders>
                  <w:shd w:val="clear" w:color="auto" w:fill="auto"/>
                  <w:vAlign w:val="center"/>
                </w:tcPr>
                <w:p w14:paraId="0EFA2B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密闭加盖</w:t>
                  </w:r>
                </w:p>
              </w:tc>
              <w:tc>
                <w:tcPr>
                  <w:tcW w:w="687" w:type="dxa"/>
                  <w:vMerge w:val="restart"/>
                  <w:tcBorders>
                    <w:top w:val="single" w:color="000000" w:sz="4" w:space="0"/>
                    <w:left w:val="single" w:color="000000" w:sz="4" w:space="0"/>
                    <w:right w:val="single" w:color="000000" w:sz="4" w:space="0"/>
                  </w:tcBorders>
                  <w:shd w:val="clear" w:color="auto" w:fill="auto"/>
                  <w:noWrap/>
                  <w:vAlign w:val="center"/>
                </w:tcPr>
                <w:p w14:paraId="1F5B18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少量</w:t>
                  </w:r>
                </w:p>
              </w:tc>
              <w:tc>
                <w:tcPr>
                  <w:tcW w:w="938" w:type="dxa"/>
                  <w:vMerge w:val="restart"/>
                  <w:tcBorders>
                    <w:top w:val="single" w:color="000000" w:sz="4" w:space="0"/>
                    <w:left w:val="single" w:color="000000" w:sz="4" w:space="0"/>
                    <w:right w:val="single" w:color="000000" w:sz="4" w:space="0"/>
                  </w:tcBorders>
                  <w:shd w:val="clear" w:color="auto" w:fill="auto"/>
                  <w:noWrap/>
                  <w:vAlign w:val="center"/>
                </w:tcPr>
                <w:p w14:paraId="0BC108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是</w:t>
                  </w:r>
                </w:p>
              </w:tc>
              <w:tc>
                <w:tcPr>
                  <w:tcW w:w="1172" w:type="dxa"/>
                  <w:vMerge w:val="restart"/>
                  <w:tcBorders>
                    <w:top w:val="single" w:color="000000" w:sz="4" w:space="0"/>
                    <w:left w:val="single" w:color="000000" w:sz="4" w:space="0"/>
                    <w:right w:val="single" w:color="000000" w:sz="4" w:space="0"/>
                  </w:tcBorders>
                  <w:shd w:val="clear" w:color="auto" w:fill="auto"/>
                  <w:noWrap/>
                  <w:vAlign w:val="center"/>
                </w:tcPr>
                <w:p w14:paraId="16B20A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w:t>
                  </w:r>
                </w:p>
              </w:tc>
              <w:tc>
                <w:tcPr>
                  <w:tcW w:w="978" w:type="dxa"/>
                  <w:vMerge w:val="restart"/>
                  <w:tcBorders>
                    <w:top w:val="single" w:color="000000" w:sz="4" w:space="0"/>
                    <w:left w:val="single" w:color="000000" w:sz="4" w:space="0"/>
                    <w:right w:val="single" w:color="000000" w:sz="4" w:space="0"/>
                  </w:tcBorders>
                  <w:shd w:val="clear" w:color="auto" w:fill="auto"/>
                  <w:noWrap/>
                  <w:vAlign w:val="center"/>
                </w:tcPr>
                <w:p w14:paraId="589D46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少量</w:t>
                  </w:r>
                </w:p>
              </w:tc>
              <w:tc>
                <w:tcPr>
                  <w:tcW w:w="896" w:type="dxa"/>
                  <w:vMerge w:val="restart"/>
                  <w:tcBorders>
                    <w:top w:val="single" w:color="000000" w:sz="4" w:space="0"/>
                    <w:left w:val="single" w:color="000000" w:sz="4" w:space="0"/>
                    <w:right w:val="single" w:color="000000" w:sz="4" w:space="0"/>
                  </w:tcBorders>
                  <w:shd w:val="clear" w:color="auto" w:fill="auto"/>
                  <w:noWrap/>
                  <w:vAlign w:val="center"/>
                </w:tcPr>
                <w:p w14:paraId="45BA34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7920</w:t>
                  </w:r>
                </w:p>
              </w:tc>
            </w:tr>
            <w:tr w14:paraId="22446C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6" w:hRule="atLeast"/>
                <w:jc w:val="center"/>
              </w:trPr>
              <w:tc>
                <w:tcPr>
                  <w:tcW w:w="1255" w:type="dxa"/>
                  <w:vMerge w:val="continue"/>
                  <w:tcBorders>
                    <w:left w:val="single" w:color="000000" w:sz="4" w:space="0"/>
                    <w:right w:val="single" w:color="000000" w:sz="4" w:space="0"/>
                  </w:tcBorders>
                  <w:shd w:val="clear" w:color="auto" w:fill="auto"/>
                  <w:vAlign w:val="center"/>
                </w:tcPr>
                <w:p w14:paraId="211B5D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olor w:val="auto"/>
                      <w:highlight w:val="none"/>
                    </w:rPr>
                  </w:pPr>
                </w:p>
              </w:tc>
              <w:tc>
                <w:tcPr>
                  <w:tcW w:w="949" w:type="dxa"/>
                  <w:vMerge w:val="continue"/>
                  <w:tcBorders>
                    <w:left w:val="single" w:color="000000" w:sz="4" w:space="0"/>
                    <w:right w:val="single" w:color="000000" w:sz="4" w:space="0"/>
                  </w:tcBorders>
                  <w:shd w:val="clear" w:color="auto" w:fill="auto"/>
                  <w:noWrap/>
                  <w:vAlign w:val="center"/>
                </w:tcPr>
                <w:p w14:paraId="5C7283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olor w:val="auto"/>
                      <w:highlight w:val="none"/>
                    </w:rPr>
                  </w:pPr>
                </w:p>
              </w:tc>
              <w:tc>
                <w:tcPr>
                  <w:tcW w:w="1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FE32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硫化氢</w:t>
                  </w:r>
                </w:p>
              </w:tc>
              <w:tc>
                <w:tcPr>
                  <w:tcW w:w="1178" w:type="dxa"/>
                  <w:vMerge w:val="continue"/>
                  <w:tcBorders>
                    <w:left w:val="single" w:color="000000" w:sz="4" w:space="0"/>
                    <w:right w:val="single" w:color="000000" w:sz="4" w:space="0"/>
                  </w:tcBorders>
                  <w:shd w:val="clear" w:color="auto" w:fill="auto"/>
                  <w:noWrap/>
                  <w:vAlign w:val="center"/>
                </w:tcPr>
                <w:p w14:paraId="38A20B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rPr>
                  </w:pPr>
                </w:p>
              </w:tc>
              <w:tc>
                <w:tcPr>
                  <w:tcW w:w="978" w:type="dxa"/>
                  <w:vMerge w:val="continue"/>
                  <w:tcBorders>
                    <w:left w:val="single" w:color="000000" w:sz="4" w:space="0"/>
                    <w:right w:val="single" w:color="000000" w:sz="4" w:space="0"/>
                  </w:tcBorders>
                  <w:shd w:val="clear" w:color="auto" w:fill="auto"/>
                  <w:noWrap/>
                  <w:vAlign w:val="center"/>
                </w:tcPr>
                <w:p w14:paraId="0AA5CC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rPr>
                  </w:pPr>
                </w:p>
              </w:tc>
              <w:tc>
                <w:tcPr>
                  <w:tcW w:w="1197" w:type="dxa"/>
                  <w:vMerge w:val="continue"/>
                  <w:tcBorders>
                    <w:left w:val="single" w:color="000000" w:sz="4" w:space="0"/>
                    <w:right w:val="single" w:color="000000" w:sz="4" w:space="0"/>
                  </w:tcBorders>
                  <w:shd w:val="clear" w:color="auto" w:fill="auto"/>
                  <w:noWrap/>
                  <w:vAlign w:val="center"/>
                </w:tcPr>
                <w:p w14:paraId="4C97DC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rPr>
                  </w:pPr>
                </w:p>
              </w:tc>
              <w:tc>
                <w:tcPr>
                  <w:tcW w:w="766" w:type="dxa"/>
                  <w:vMerge w:val="continue"/>
                  <w:tcBorders>
                    <w:left w:val="single" w:color="000000" w:sz="4" w:space="0"/>
                    <w:right w:val="single" w:color="000000" w:sz="4" w:space="0"/>
                  </w:tcBorders>
                  <w:shd w:val="clear" w:color="auto" w:fill="auto"/>
                  <w:noWrap/>
                  <w:vAlign w:val="center"/>
                </w:tcPr>
                <w:p w14:paraId="3E4CA6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rPr>
                  </w:pPr>
                </w:p>
              </w:tc>
              <w:tc>
                <w:tcPr>
                  <w:tcW w:w="1269" w:type="dxa"/>
                  <w:vMerge w:val="continue"/>
                  <w:tcBorders>
                    <w:left w:val="single" w:color="000000" w:sz="4" w:space="0"/>
                    <w:right w:val="single" w:color="000000" w:sz="4" w:space="0"/>
                  </w:tcBorders>
                  <w:shd w:val="clear" w:color="auto" w:fill="auto"/>
                  <w:vAlign w:val="center"/>
                </w:tcPr>
                <w:p w14:paraId="757670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rPr>
                  </w:pPr>
                </w:p>
              </w:tc>
              <w:tc>
                <w:tcPr>
                  <w:tcW w:w="687" w:type="dxa"/>
                  <w:vMerge w:val="continue"/>
                  <w:tcBorders>
                    <w:left w:val="single" w:color="000000" w:sz="4" w:space="0"/>
                    <w:right w:val="single" w:color="000000" w:sz="4" w:space="0"/>
                  </w:tcBorders>
                  <w:shd w:val="clear" w:color="auto" w:fill="auto"/>
                  <w:noWrap/>
                  <w:vAlign w:val="center"/>
                </w:tcPr>
                <w:p w14:paraId="5FE41D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rPr>
                  </w:pPr>
                </w:p>
              </w:tc>
              <w:tc>
                <w:tcPr>
                  <w:tcW w:w="938" w:type="dxa"/>
                  <w:vMerge w:val="continue"/>
                  <w:tcBorders>
                    <w:left w:val="single" w:color="000000" w:sz="4" w:space="0"/>
                    <w:right w:val="single" w:color="000000" w:sz="4" w:space="0"/>
                  </w:tcBorders>
                  <w:shd w:val="clear" w:color="auto" w:fill="auto"/>
                  <w:noWrap/>
                  <w:vAlign w:val="center"/>
                </w:tcPr>
                <w:p w14:paraId="53C250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rPr>
                  </w:pPr>
                </w:p>
              </w:tc>
              <w:tc>
                <w:tcPr>
                  <w:tcW w:w="1172" w:type="dxa"/>
                  <w:vMerge w:val="continue"/>
                  <w:tcBorders>
                    <w:left w:val="single" w:color="000000" w:sz="4" w:space="0"/>
                    <w:right w:val="single" w:color="000000" w:sz="4" w:space="0"/>
                  </w:tcBorders>
                  <w:shd w:val="clear" w:color="auto" w:fill="auto"/>
                  <w:noWrap/>
                  <w:vAlign w:val="center"/>
                </w:tcPr>
                <w:p w14:paraId="6BE991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rPr>
                  </w:pPr>
                </w:p>
              </w:tc>
              <w:tc>
                <w:tcPr>
                  <w:tcW w:w="978" w:type="dxa"/>
                  <w:vMerge w:val="continue"/>
                  <w:tcBorders>
                    <w:left w:val="single" w:color="000000" w:sz="4" w:space="0"/>
                    <w:right w:val="single" w:color="000000" w:sz="4" w:space="0"/>
                  </w:tcBorders>
                  <w:shd w:val="clear" w:color="auto" w:fill="auto"/>
                  <w:noWrap/>
                  <w:vAlign w:val="center"/>
                </w:tcPr>
                <w:p w14:paraId="71F4EA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rPr>
                  </w:pPr>
                </w:p>
              </w:tc>
              <w:tc>
                <w:tcPr>
                  <w:tcW w:w="896" w:type="dxa"/>
                  <w:vMerge w:val="continue"/>
                  <w:tcBorders>
                    <w:left w:val="single" w:color="000000" w:sz="4" w:space="0"/>
                    <w:right w:val="single" w:color="000000" w:sz="4" w:space="0"/>
                  </w:tcBorders>
                  <w:shd w:val="clear" w:color="auto" w:fill="auto"/>
                  <w:noWrap/>
                  <w:vAlign w:val="center"/>
                </w:tcPr>
                <w:p w14:paraId="0BBCF8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rPr>
                  </w:pPr>
                </w:p>
              </w:tc>
            </w:tr>
            <w:tr w14:paraId="61EA874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6" w:hRule="atLeast"/>
                <w:jc w:val="center"/>
              </w:trPr>
              <w:tc>
                <w:tcPr>
                  <w:tcW w:w="1255" w:type="dxa"/>
                  <w:vMerge w:val="continue"/>
                  <w:tcBorders>
                    <w:left w:val="single" w:color="000000" w:sz="4" w:space="0"/>
                    <w:bottom w:val="single" w:color="000000" w:sz="4" w:space="0"/>
                    <w:right w:val="single" w:color="000000" w:sz="4" w:space="0"/>
                  </w:tcBorders>
                  <w:shd w:val="clear" w:color="auto" w:fill="auto"/>
                  <w:vAlign w:val="center"/>
                </w:tcPr>
                <w:p w14:paraId="42A79C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rPr>
                  </w:pPr>
                </w:p>
              </w:tc>
              <w:tc>
                <w:tcPr>
                  <w:tcW w:w="949" w:type="dxa"/>
                  <w:vMerge w:val="continue"/>
                  <w:tcBorders>
                    <w:left w:val="single" w:color="000000" w:sz="4" w:space="0"/>
                    <w:bottom w:val="single" w:color="000000" w:sz="4" w:space="0"/>
                    <w:right w:val="single" w:color="000000" w:sz="4" w:space="0"/>
                  </w:tcBorders>
                  <w:shd w:val="clear" w:color="auto" w:fill="auto"/>
                  <w:noWrap/>
                  <w:vAlign w:val="center"/>
                </w:tcPr>
                <w:p w14:paraId="03A6DE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rPr>
                  </w:pPr>
                </w:p>
              </w:tc>
              <w:tc>
                <w:tcPr>
                  <w:tcW w:w="1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F24C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臭气浓度</w:t>
                  </w:r>
                </w:p>
              </w:tc>
              <w:tc>
                <w:tcPr>
                  <w:tcW w:w="1178" w:type="dxa"/>
                  <w:vMerge w:val="continue"/>
                  <w:tcBorders>
                    <w:left w:val="single" w:color="000000" w:sz="4" w:space="0"/>
                    <w:bottom w:val="single" w:color="000000" w:sz="4" w:space="0"/>
                    <w:right w:val="single" w:color="000000" w:sz="4" w:space="0"/>
                  </w:tcBorders>
                  <w:shd w:val="clear" w:color="auto" w:fill="auto"/>
                  <w:noWrap/>
                  <w:vAlign w:val="center"/>
                </w:tcPr>
                <w:p w14:paraId="6FCA70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rPr>
                  </w:pPr>
                </w:p>
              </w:tc>
              <w:tc>
                <w:tcPr>
                  <w:tcW w:w="978" w:type="dxa"/>
                  <w:vMerge w:val="continue"/>
                  <w:tcBorders>
                    <w:left w:val="single" w:color="000000" w:sz="4" w:space="0"/>
                    <w:bottom w:val="single" w:color="000000" w:sz="4" w:space="0"/>
                    <w:right w:val="single" w:color="000000" w:sz="4" w:space="0"/>
                  </w:tcBorders>
                  <w:shd w:val="clear" w:color="auto" w:fill="auto"/>
                  <w:noWrap/>
                  <w:vAlign w:val="center"/>
                </w:tcPr>
                <w:p w14:paraId="418171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rPr>
                  </w:pPr>
                </w:p>
              </w:tc>
              <w:tc>
                <w:tcPr>
                  <w:tcW w:w="1197" w:type="dxa"/>
                  <w:vMerge w:val="continue"/>
                  <w:tcBorders>
                    <w:left w:val="single" w:color="000000" w:sz="4" w:space="0"/>
                    <w:bottom w:val="single" w:color="000000" w:sz="4" w:space="0"/>
                    <w:right w:val="single" w:color="000000" w:sz="4" w:space="0"/>
                  </w:tcBorders>
                  <w:shd w:val="clear" w:color="auto" w:fill="auto"/>
                  <w:noWrap/>
                  <w:vAlign w:val="center"/>
                </w:tcPr>
                <w:p w14:paraId="5DD1EF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rPr>
                  </w:pPr>
                </w:p>
              </w:tc>
              <w:tc>
                <w:tcPr>
                  <w:tcW w:w="766" w:type="dxa"/>
                  <w:vMerge w:val="continue"/>
                  <w:tcBorders>
                    <w:left w:val="single" w:color="000000" w:sz="4" w:space="0"/>
                    <w:bottom w:val="single" w:color="000000" w:sz="4" w:space="0"/>
                    <w:right w:val="single" w:color="000000" w:sz="4" w:space="0"/>
                  </w:tcBorders>
                  <w:shd w:val="clear" w:color="auto" w:fill="auto"/>
                  <w:noWrap/>
                  <w:vAlign w:val="center"/>
                </w:tcPr>
                <w:p w14:paraId="5208CD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rPr>
                  </w:pPr>
                </w:p>
              </w:tc>
              <w:tc>
                <w:tcPr>
                  <w:tcW w:w="1269" w:type="dxa"/>
                  <w:vMerge w:val="continue"/>
                  <w:tcBorders>
                    <w:left w:val="single" w:color="000000" w:sz="4" w:space="0"/>
                    <w:bottom w:val="single" w:color="000000" w:sz="4" w:space="0"/>
                    <w:right w:val="single" w:color="000000" w:sz="4" w:space="0"/>
                  </w:tcBorders>
                  <w:shd w:val="clear" w:color="auto" w:fill="auto"/>
                  <w:vAlign w:val="center"/>
                </w:tcPr>
                <w:p w14:paraId="0BBBC4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rPr>
                  </w:pPr>
                </w:p>
              </w:tc>
              <w:tc>
                <w:tcPr>
                  <w:tcW w:w="687" w:type="dxa"/>
                  <w:vMerge w:val="continue"/>
                  <w:tcBorders>
                    <w:left w:val="single" w:color="000000" w:sz="4" w:space="0"/>
                    <w:bottom w:val="single" w:color="000000" w:sz="4" w:space="0"/>
                    <w:right w:val="single" w:color="000000" w:sz="4" w:space="0"/>
                  </w:tcBorders>
                  <w:shd w:val="clear" w:color="auto" w:fill="auto"/>
                  <w:noWrap/>
                  <w:vAlign w:val="center"/>
                </w:tcPr>
                <w:p w14:paraId="2C20D5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rPr>
                  </w:pPr>
                </w:p>
              </w:tc>
              <w:tc>
                <w:tcPr>
                  <w:tcW w:w="938" w:type="dxa"/>
                  <w:vMerge w:val="continue"/>
                  <w:tcBorders>
                    <w:left w:val="single" w:color="000000" w:sz="4" w:space="0"/>
                    <w:bottom w:val="single" w:color="000000" w:sz="4" w:space="0"/>
                    <w:right w:val="single" w:color="000000" w:sz="4" w:space="0"/>
                  </w:tcBorders>
                  <w:shd w:val="clear" w:color="auto" w:fill="auto"/>
                  <w:noWrap/>
                  <w:vAlign w:val="center"/>
                </w:tcPr>
                <w:p w14:paraId="3ED3E9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rPr>
                  </w:pPr>
                </w:p>
              </w:tc>
              <w:tc>
                <w:tcPr>
                  <w:tcW w:w="1172" w:type="dxa"/>
                  <w:vMerge w:val="continue"/>
                  <w:tcBorders>
                    <w:left w:val="single" w:color="000000" w:sz="4" w:space="0"/>
                    <w:bottom w:val="single" w:color="000000" w:sz="4" w:space="0"/>
                    <w:right w:val="single" w:color="000000" w:sz="4" w:space="0"/>
                  </w:tcBorders>
                  <w:shd w:val="clear" w:color="auto" w:fill="auto"/>
                  <w:noWrap/>
                  <w:vAlign w:val="center"/>
                </w:tcPr>
                <w:p w14:paraId="528489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rPr>
                  </w:pPr>
                </w:p>
              </w:tc>
              <w:tc>
                <w:tcPr>
                  <w:tcW w:w="978" w:type="dxa"/>
                  <w:vMerge w:val="continue"/>
                  <w:tcBorders>
                    <w:left w:val="single" w:color="000000" w:sz="4" w:space="0"/>
                    <w:bottom w:val="single" w:color="000000" w:sz="4" w:space="0"/>
                    <w:right w:val="single" w:color="000000" w:sz="4" w:space="0"/>
                  </w:tcBorders>
                  <w:shd w:val="clear" w:color="auto" w:fill="auto"/>
                  <w:noWrap/>
                  <w:vAlign w:val="center"/>
                </w:tcPr>
                <w:p w14:paraId="332167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rPr>
                  </w:pPr>
                </w:p>
              </w:tc>
              <w:tc>
                <w:tcPr>
                  <w:tcW w:w="896" w:type="dxa"/>
                  <w:vMerge w:val="continue"/>
                  <w:tcBorders>
                    <w:left w:val="single" w:color="000000" w:sz="4" w:space="0"/>
                    <w:bottom w:val="single" w:color="000000" w:sz="4" w:space="0"/>
                    <w:right w:val="single" w:color="000000" w:sz="4" w:space="0"/>
                  </w:tcBorders>
                  <w:shd w:val="clear" w:color="auto" w:fill="auto"/>
                  <w:noWrap/>
                  <w:vAlign w:val="center"/>
                </w:tcPr>
                <w:p w14:paraId="2F0B7A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rPr>
                  </w:pPr>
                </w:p>
              </w:tc>
            </w:tr>
          </w:tbl>
          <w:p w14:paraId="27D977DB">
            <w:pPr>
              <w:pStyle w:val="5"/>
              <w:numPr>
                <w:ilvl w:val="3"/>
                <w:numId w:val="0"/>
              </w:numPr>
              <w:suppressLineNumbers w:val="0"/>
              <w:spacing w:before="0" w:beforeAutospacing="0" w:after="0" w:afterAutospacing="0"/>
              <w:ind w:right="0" w:firstLine="480" w:firstLineChars="200"/>
              <w:rPr>
                <w:rFonts w:hint="eastAsia"/>
                <w:color w:val="auto"/>
                <w:highlight w:val="none"/>
              </w:rPr>
            </w:pPr>
            <w:r>
              <w:rPr>
                <w:rFonts w:hint="eastAsia"/>
                <w:color w:val="auto"/>
                <w:highlight w:val="none"/>
                <w:lang w:val="en-US" w:eastAsia="zh-CN"/>
              </w:rPr>
              <w:t>4</w:t>
            </w:r>
            <w:r>
              <w:rPr>
                <w:rFonts w:hint="eastAsia"/>
                <w:color w:val="auto"/>
                <w:highlight w:val="none"/>
              </w:rPr>
              <w:t>、监测要求</w:t>
            </w:r>
          </w:p>
          <w:p w14:paraId="4029CD8A">
            <w:pPr>
              <w:keepNext w:val="0"/>
              <w:keepLines w:val="0"/>
              <w:suppressLineNumbers w:val="0"/>
              <w:adjustRightInd w:val="0"/>
              <w:spacing w:before="0" w:beforeAutospacing="0" w:after="0" w:afterAutospacing="0" w:line="360" w:lineRule="auto"/>
              <w:ind w:left="0" w:right="0" w:firstLine="480" w:firstLineChars="200"/>
              <w:contextualSpacing/>
              <w:jc w:val="left"/>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对照《固定污染源排污许可分类管理名录（2019年版）》（生态环境部 第11号）可知，本项目实行排污许可简化管理；本评价参照《排污许可证申请与核发技术规范 废弃资源加工工业》（HJ1034-2019）等要求，提出项目运营期废气自行监测计划，具体详见表4</w:t>
            </w:r>
            <w:r>
              <w:rPr>
                <w:rFonts w:hint="eastAsia" w:cs="Times New Roman"/>
                <w:color w:val="auto"/>
                <w:kern w:val="0"/>
                <w:sz w:val="24"/>
                <w:highlight w:val="none"/>
                <w:lang w:val="en-US" w:eastAsia="zh-CN"/>
              </w:rPr>
              <w:t>-12</w:t>
            </w:r>
            <w:r>
              <w:rPr>
                <w:rFonts w:hint="default" w:ascii="Times New Roman" w:hAnsi="Times New Roman" w:eastAsia="宋体" w:cs="Times New Roman"/>
                <w:color w:val="auto"/>
                <w:kern w:val="0"/>
                <w:sz w:val="24"/>
                <w:highlight w:val="none"/>
              </w:rPr>
              <w:t>。</w:t>
            </w:r>
          </w:p>
          <w:p w14:paraId="14DF1961">
            <w:pPr>
              <w:pStyle w:val="114"/>
              <w:keepNext w:val="0"/>
              <w:keepLines w:val="0"/>
              <w:suppressLineNumbers w:val="0"/>
              <w:bidi w:val="0"/>
              <w:spacing w:before="0" w:beforeAutospacing="0" w:after="0" w:afterAutospacing="0"/>
              <w:ind w:lef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表4-</w:t>
            </w:r>
            <w:r>
              <w:rPr>
                <w:rFonts w:hint="default" w:ascii="Times New Roman" w:hAnsi="Times New Roman" w:eastAsia="宋体" w:cs="Times New Roman"/>
                <w:color w:val="auto"/>
                <w:highlight w:val="none"/>
                <w:lang w:val="en-US" w:eastAsia="zh-CN"/>
              </w:rPr>
              <w:t>1</w:t>
            </w:r>
            <w:r>
              <w:rPr>
                <w:rFonts w:hint="eastAsia" w:cs="Times New Roman"/>
                <w:color w:val="auto"/>
                <w:highlight w:val="none"/>
                <w:lang w:val="en-US" w:eastAsia="zh-CN"/>
              </w:rPr>
              <w:t>2</w:t>
            </w:r>
            <w:r>
              <w:rPr>
                <w:rFonts w:hint="default"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rPr>
              <w:t>本项目废气自行监测计划</w:t>
            </w:r>
          </w:p>
          <w:tbl>
            <w:tblPr>
              <w:tblStyle w:val="39"/>
              <w:tblW w:w="1299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70"/>
              <w:gridCol w:w="2310"/>
              <w:gridCol w:w="1995"/>
              <w:gridCol w:w="1899"/>
              <w:gridCol w:w="6324"/>
            </w:tblGrid>
            <w:tr w14:paraId="04E6D5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80" w:type="pct"/>
                  <w:tcBorders>
                    <w:tl2br w:val="nil"/>
                    <w:tr2bl w:val="nil"/>
                  </w:tcBorders>
                  <w:vAlign w:val="center"/>
                </w:tcPr>
                <w:p w14:paraId="117112D1">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bCs w:val="0"/>
                      <w:color w:val="auto"/>
                      <w:highlight w:val="none"/>
                      <w:lang w:eastAsia="zh-CN"/>
                    </w:rPr>
                  </w:pPr>
                  <w:r>
                    <w:rPr>
                      <w:rFonts w:hint="default" w:ascii="Times New Roman" w:hAnsi="Times New Roman" w:eastAsia="宋体" w:cs="Times New Roman"/>
                      <w:b/>
                      <w:bCs w:val="0"/>
                      <w:color w:val="auto"/>
                      <w:highlight w:val="none"/>
                      <w:lang w:eastAsia="zh-CN"/>
                    </w:rPr>
                    <w:t>序号</w:t>
                  </w:r>
                </w:p>
              </w:tc>
              <w:tc>
                <w:tcPr>
                  <w:tcW w:w="888" w:type="pct"/>
                  <w:tcBorders>
                    <w:tl2br w:val="nil"/>
                    <w:tr2bl w:val="nil"/>
                  </w:tcBorders>
                  <w:vAlign w:val="center"/>
                </w:tcPr>
                <w:p w14:paraId="028DF8CF">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bCs w:val="0"/>
                      <w:color w:val="auto"/>
                      <w:highlight w:val="none"/>
                      <w:lang w:eastAsia="zh-CN"/>
                    </w:rPr>
                  </w:pPr>
                  <w:r>
                    <w:rPr>
                      <w:rFonts w:hint="default" w:ascii="Times New Roman" w:hAnsi="Times New Roman" w:eastAsia="宋体" w:cs="Times New Roman"/>
                      <w:b/>
                      <w:bCs w:val="0"/>
                      <w:color w:val="auto"/>
                      <w:highlight w:val="none"/>
                      <w:lang w:eastAsia="zh-CN"/>
                    </w:rPr>
                    <w:t>监测点位</w:t>
                  </w:r>
                </w:p>
              </w:tc>
              <w:tc>
                <w:tcPr>
                  <w:tcW w:w="767" w:type="pct"/>
                  <w:tcBorders>
                    <w:tl2br w:val="nil"/>
                    <w:tr2bl w:val="nil"/>
                  </w:tcBorders>
                  <w:vAlign w:val="center"/>
                </w:tcPr>
                <w:p w14:paraId="4312C14D">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bCs w:val="0"/>
                      <w:color w:val="auto"/>
                      <w:highlight w:val="none"/>
                      <w:lang w:eastAsia="zh-CN"/>
                    </w:rPr>
                  </w:pPr>
                  <w:r>
                    <w:rPr>
                      <w:rFonts w:hint="default" w:ascii="Times New Roman" w:hAnsi="Times New Roman" w:eastAsia="宋体" w:cs="Times New Roman"/>
                      <w:b/>
                      <w:bCs w:val="0"/>
                      <w:color w:val="auto"/>
                      <w:highlight w:val="none"/>
                      <w:lang w:eastAsia="zh-CN"/>
                    </w:rPr>
                    <w:t>监测因子</w:t>
                  </w:r>
                </w:p>
              </w:tc>
              <w:tc>
                <w:tcPr>
                  <w:tcW w:w="730" w:type="pct"/>
                  <w:tcBorders>
                    <w:tl2br w:val="nil"/>
                    <w:tr2bl w:val="nil"/>
                  </w:tcBorders>
                  <w:vAlign w:val="center"/>
                </w:tcPr>
                <w:p w14:paraId="15BF303E">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bCs w:val="0"/>
                      <w:color w:val="auto"/>
                      <w:highlight w:val="none"/>
                      <w:lang w:eastAsia="zh-CN"/>
                    </w:rPr>
                  </w:pPr>
                  <w:r>
                    <w:rPr>
                      <w:rFonts w:hint="default" w:ascii="Times New Roman" w:hAnsi="Times New Roman" w:eastAsia="宋体" w:cs="Times New Roman"/>
                      <w:b/>
                      <w:bCs w:val="0"/>
                      <w:color w:val="auto"/>
                      <w:highlight w:val="none"/>
                      <w:lang w:eastAsia="zh-CN"/>
                    </w:rPr>
                    <w:t>监测频次</w:t>
                  </w:r>
                </w:p>
              </w:tc>
              <w:tc>
                <w:tcPr>
                  <w:tcW w:w="2432" w:type="pct"/>
                  <w:tcBorders>
                    <w:tl2br w:val="nil"/>
                    <w:tr2bl w:val="nil"/>
                  </w:tcBorders>
                  <w:vAlign w:val="center"/>
                </w:tcPr>
                <w:p w14:paraId="42758C65">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bCs w:val="0"/>
                      <w:color w:val="auto"/>
                      <w:highlight w:val="none"/>
                      <w:lang w:val="en-US" w:eastAsia="zh-CN"/>
                    </w:rPr>
                  </w:pPr>
                  <w:r>
                    <w:rPr>
                      <w:rFonts w:hint="eastAsia" w:eastAsia="宋体" w:cs="Times New Roman"/>
                      <w:b/>
                      <w:bCs w:val="0"/>
                      <w:color w:val="auto"/>
                      <w:highlight w:val="none"/>
                      <w:lang w:val="en-US" w:eastAsia="zh-CN"/>
                    </w:rPr>
                    <w:t>执行排放标准</w:t>
                  </w:r>
                </w:p>
              </w:tc>
            </w:tr>
            <w:tr w14:paraId="26E313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19" w:hRule="atLeast"/>
                <w:jc w:val="center"/>
              </w:trPr>
              <w:tc>
                <w:tcPr>
                  <w:tcW w:w="180" w:type="pct"/>
                  <w:tcBorders>
                    <w:tl2br w:val="nil"/>
                    <w:tr2bl w:val="nil"/>
                  </w:tcBorders>
                  <w:vAlign w:val="center"/>
                </w:tcPr>
                <w:p w14:paraId="266521EF">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lang w:val="en-US" w:eastAsia="zh-CN"/>
                    </w:rPr>
                  </w:pPr>
                  <w:r>
                    <w:rPr>
                      <w:rFonts w:hint="default" w:ascii="Times New Roman" w:hAnsi="Times New Roman" w:eastAsia="宋体" w:cs="Times New Roman"/>
                      <w:b w:val="0"/>
                      <w:bCs/>
                      <w:color w:val="auto"/>
                      <w:highlight w:val="none"/>
                      <w:lang w:val="en-US" w:eastAsia="zh-CN"/>
                    </w:rPr>
                    <w:t>1</w:t>
                  </w:r>
                </w:p>
              </w:tc>
              <w:tc>
                <w:tcPr>
                  <w:tcW w:w="888" w:type="pct"/>
                  <w:tcBorders>
                    <w:tl2br w:val="nil"/>
                    <w:tr2bl w:val="nil"/>
                  </w:tcBorders>
                  <w:vAlign w:val="center"/>
                </w:tcPr>
                <w:p w14:paraId="7FDB94C6">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lang w:val="en-US" w:eastAsia="zh-CN"/>
                    </w:rPr>
                  </w:pPr>
                  <w:r>
                    <w:rPr>
                      <w:rFonts w:hint="default" w:ascii="Times New Roman" w:hAnsi="Times New Roman" w:eastAsia="宋体" w:cs="Times New Roman"/>
                      <w:b w:val="0"/>
                      <w:bCs/>
                      <w:color w:val="auto"/>
                      <w:highlight w:val="none"/>
                      <w:lang w:val="en-US" w:eastAsia="zh-CN"/>
                    </w:rPr>
                    <w:t>DA001出口</w:t>
                  </w:r>
                </w:p>
              </w:tc>
              <w:tc>
                <w:tcPr>
                  <w:tcW w:w="767" w:type="pct"/>
                  <w:tcBorders>
                    <w:tl2br w:val="nil"/>
                    <w:tr2bl w:val="nil"/>
                  </w:tcBorders>
                  <w:vAlign w:val="center"/>
                </w:tcPr>
                <w:p w14:paraId="2535951F">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lang w:eastAsia="zh-CN"/>
                    </w:rPr>
                  </w:pPr>
                  <w:r>
                    <w:rPr>
                      <w:rFonts w:hint="default" w:ascii="Times New Roman" w:hAnsi="Times New Roman" w:eastAsia="宋体" w:cs="Times New Roman"/>
                      <w:b w:val="0"/>
                      <w:bCs/>
                      <w:color w:val="auto"/>
                      <w:highlight w:val="none"/>
                      <w:lang w:eastAsia="zh-CN"/>
                    </w:rPr>
                    <w:t>颗粒物</w:t>
                  </w:r>
                </w:p>
              </w:tc>
              <w:tc>
                <w:tcPr>
                  <w:tcW w:w="730" w:type="pct"/>
                  <w:tcBorders>
                    <w:tl2br w:val="nil"/>
                    <w:tr2bl w:val="nil"/>
                  </w:tcBorders>
                  <w:vAlign w:val="center"/>
                </w:tcPr>
                <w:p w14:paraId="32E16C55">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lang w:eastAsia="zh-CN"/>
                    </w:rPr>
                  </w:pPr>
                  <w:r>
                    <w:rPr>
                      <w:rFonts w:hint="default" w:ascii="Times New Roman" w:hAnsi="Times New Roman" w:eastAsia="宋体" w:cs="Times New Roman"/>
                      <w:b w:val="0"/>
                      <w:bCs/>
                      <w:color w:val="auto"/>
                      <w:highlight w:val="none"/>
                      <w:lang w:eastAsia="zh-CN"/>
                    </w:rPr>
                    <w:t>1天/年</w:t>
                  </w:r>
                </w:p>
              </w:tc>
              <w:tc>
                <w:tcPr>
                  <w:tcW w:w="2432" w:type="pct"/>
                  <w:tcBorders>
                    <w:tl2br w:val="nil"/>
                    <w:tr2bl w:val="nil"/>
                  </w:tcBorders>
                  <w:vAlign w:val="center"/>
                </w:tcPr>
                <w:p w14:paraId="339CA596">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lang w:eastAsia="zh-CN"/>
                    </w:rPr>
                  </w:pPr>
                  <w:r>
                    <w:rPr>
                      <w:rFonts w:hint="default" w:ascii="Times New Roman" w:hAnsi="Times New Roman" w:cs="Times New Roman"/>
                      <w:b w:val="0"/>
                      <w:bCs/>
                      <w:color w:val="auto"/>
                      <w:sz w:val="21"/>
                      <w:szCs w:val="21"/>
                      <w:highlight w:val="none"/>
                    </w:rPr>
                    <w:t>《合成树脂工业污染物排放标准》(GB31572-2015) 及其 2024 年修改单中表 5 大气污染物特别排放限值</w:t>
                  </w:r>
                </w:p>
              </w:tc>
            </w:tr>
            <w:tr w14:paraId="56106A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180" w:type="pct"/>
                  <w:tcBorders>
                    <w:tl2br w:val="nil"/>
                    <w:tr2bl w:val="nil"/>
                  </w:tcBorders>
                  <w:vAlign w:val="center"/>
                </w:tcPr>
                <w:p w14:paraId="4DFCAF37">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lang w:val="en-US" w:eastAsia="zh-CN"/>
                    </w:rPr>
                  </w:pPr>
                  <w:r>
                    <w:rPr>
                      <w:rFonts w:hint="eastAsia" w:eastAsia="宋体" w:cs="Times New Roman"/>
                      <w:b w:val="0"/>
                      <w:bCs/>
                      <w:color w:val="auto"/>
                      <w:highlight w:val="none"/>
                      <w:lang w:val="en-US" w:eastAsia="zh-CN"/>
                    </w:rPr>
                    <w:t>2</w:t>
                  </w:r>
                </w:p>
              </w:tc>
              <w:tc>
                <w:tcPr>
                  <w:tcW w:w="888" w:type="pct"/>
                  <w:tcBorders>
                    <w:tl2br w:val="nil"/>
                    <w:tr2bl w:val="nil"/>
                  </w:tcBorders>
                  <w:vAlign w:val="center"/>
                </w:tcPr>
                <w:p w14:paraId="6F75337A">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lang w:val="en-US" w:eastAsia="zh-CN"/>
                    </w:rPr>
                  </w:pPr>
                  <w:r>
                    <w:rPr>
                      <w:rFonts w:hint="eastAsia" w:eastAsia="宋体" w:cs="Times New Roman"/>
                      <w:b w:val="0"/>
                      <w:bCs/>
                      <w:color w:val="auto"/>
                      <w:highlight w:val="none"/>
                      <w:lang w:val="en-US" w:eastAsia="zh-CN"/>
                    </w:rPr>
                    <w:t>DA002出口</w:t>
                  </w:r>
                </w:p>
              </w:tc>
              <w:tc>
                <w:tcPr>
                  <w:tcW w:w="767" w:type="pct"/>
                  <w:tcBorders>
                    <w:tl2br w:val="nil"/>
                    <w:tr2bl w:val="nil"/>
                  </w:tcBorders>
                  <w:vAlign w:val="center"/>
                </w:tcPr>
                <w:p w14:paraId="7CF3C871">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lang w:val="en-US" w:eastAsia="zh-CN"/>
                    </w:rPr>
                  </w:pPr>
                  <w:r>
                    <w:rPr>
                      <w:rFonts w:hint="eastAsia" w:eastAsia="宋体" w:cs="Times New Roman"/>
                      <w:b w:val="0"/>
                      <w:bCs/>
                      <w:color w:val="auto"/>
                      <w:highlight w:val="none"/>
                      <w:lang w:val="en-US" w:eastAsia="zh-CN"/>
                    </w:rPr>
                    <w:t>油烟</w:t>
                  </w:r>
                </w:p>
              </w:tc>
              <w:tc>
                <w:tcPr>
                  <w:tcW w:w="730" w:type="pct"/>
                  <w:tcBorders>
                    <w:tl2br w:val="nil"/>
                    <w:tr2bl w:val="nil"/>
                  </w:tcBorders>
                  <w:vAlign w:val="center"/>
                </w:tcPr>
                <w:p w14:paraId="4063D6D0">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leftChars="0" w:right="0" w:rightChars="0"/>
                    <w:jc w:val="center"/>
                    <w:rPr>
                      <w:rFonts w:hint="default" w:ascii="Times New Roman" w:hAnsi="Times New Roman" w:eastAsia="宋体" w:cs="Times New Roman"/>
                      <w:b w:val="0"/>
                      <w:bCs/>
                      <w:color w:val="auto"/>
                      <w:kern w:val="2"/>
                      <w:highlight w:val="none"/>
                      <w:lang w:eastAsia="zh-CN"/>
                    </w:rPr>
                  </w:pPr>
                  <w:r>
                    <w:rPr>
                      <w:rFonts w:hint="eastAsia"/>
                      <w:color w:val="auto"/>
                      <w:kern w:val="2"/>
                      <w:sz w:val="21"/>
                      <w:szCs w:val="21"/>
                      <w:highlight w:val="none"/>
                    </w:rPr>
                    <w:t>1次/年</w:t>
                  </w:r>
                </w:p>
              </w:tc>
              <w:tc>
                <w:tcPr>
                  <w:tcW w:w="2432" w:type="pct"/>
                  <w:tcBorders>
                    <w:tl2br w:val="nil"/>
                    <w:tr2bl w:val="nil"/>
                  </w:tcBorders>
                  <w:vAlign w:val="center"/>
                </w:tcPr>
                <w:p w14:paraId="09CCD0F5">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leftChars="0" w:right="0" w:rightChars="0"/>
                    <w:jc w:val="center"/>
                    <w:rPr>
                      <w:rFonts w:hint="default" w:ascii="Times New Roman" w:hAnsi="Times New Roman" w:cs="Times New Roman"/>
                      <w:b w:val="0"/>
                      <w:bCs/>
                      <w:color w:val="auto"/>
                      <w:kern w:val="2"/>
                      <w:sz w:val="21"/>
                      <w:szCs w:val="21"/>
                      <w:highlight w:val="none"/>
                    </w:rPr>
                  </w:pPr>
                  <w:r>
                    <w:rPr>
                      <w:rFonts w:hint="eastAsia"/>
                      <w:color w:val="auto"/>
                      <w:kern w:val="2"/>
                      <w:highlight w:val="none"/>
                    </w:rPr>
                    <w:t>《饮食业油烟排放标准（试行）》（GB18483-2001）</w:t>
                  </w:r>
                </w:p>
              </w:tc>
            </w:tr>
            <w:tr w14:paraId="155D46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0" w:hRule="atLeast"/>
                <w:jc w:val="center"/>
              </w:trPr>
              <w:tc>
                <w:tcPr>
                  <w:tcW w:w="180" w:type="pct"/>
                  <w:vMerge w:val="restart"/>
                  <w:tcBorders>
                    <w:tl2br w:val="nil"/>
                    <w:tr2bl w:val="nil"/>
                  </w:tcBorders>
                  <w:vAlign w:val="center"/>
                </w:tcPr>
                <w:p w14:paraId="2050D928">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lang w:val="en-US" w:eastAsia="zh-CN"/>
                    </w:rPr>
                  </w:pPr>
                  <w:r>
                    <w:rPr>
                      <w:rFonts w:hint="eastAsia" w:eastAsia="宋体" w:cs="Times New Roman"/>
                      <w:b w:val="0"/>
                      <w:bCs/>
                      <w:color w:val="auto"/>
                      <w:highlight w:val="none"/>
                      <w:lang w:val="en-US" w:eastAsia="zh-CN"/>
                    </w:rPr>
                    <w:t>3</w:t>
                  </w:r>
                </w:p>
              </w:tc>
              <w:tc>
                <w:tcPr>
                  <w:tcW w:w="888" w:type="pct"/>
                  <w:vMerge w:val="restart"/>
                  <w:tcBorders>
                    <w:tl2br w:val="nil"/>
                    <w:tr2bl w:val="nil"/>
                  </w:tcBorders>
                  <w:vAlign w:val="center"/>
                </w:tcPr>
                <w:p w14:paraId="443D3C01">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lang w:eastAsia="zh-CN"/>
                    </w:rPr>
                  </w:pPr>
                  <w:r>
                    <w:rPr>
                      <w:rFonts w:hint="default" w:ascii="Times New Roman" w:hAnsi="Times New Roman" w:eastAsia="宋体" w:cs="Times New Roman"/>
                      <w:b w:val="0"/>
                      <w:bCs/>
                      <w:color w:val="auto"/>
                      <w:highlight w:val="none"/>
                      <w:lang w:eastAsia="zh-CN"/>
                    </w:rPr>
                    <w:t>厂界上风向1个点位、下风向3个点位</w:t>
                  </w:r>
                </w:p>
              </w:tc>
              <w:tc>
                <w:tcPr>
                  <w:tcW w:w="767" w:type="pct"/>
                  <w:tcBorders>
                    <w:tl2br w:val="nil"/>
                    <w:tr2bl w:val="nil"/>
                  </w:tcBorders>
                  <w:vAlign w:val="center"/>
                </w:tcPr>
                <w:p w14:paraId="0C5FA6A2">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lang w:eastAsia="zh-CN"/>
                    </w:rPr>
                  </w:pPr>
                  <w:r>
                    <w:rPr>
                      <w:rFonts w:hint="default" w:ascii="Times New Roman" w:hAnsi="Times New Roman" w:eastAsia="宋体" w:cs="Times New Roman"/>
                      <w:b w:val="0"/>
                      <w:bCs/>
                      <w:color w:val="auto"/>
                      <w:highlight w:val="none"/>
                      <w:lang w:eastAsia="zh-CN"/>
                    </w:rPr>
                    <w:t>颗粒物</w:t>
                  </w:r>
                </w:p>
              </w:tc>
              <w:tc>
                <w:tcPr>
                  <w:tcW w:w="730" w:type="pct"/>
                  <w:tcBorders>
                    <w:tl2br w:val="nil"/>
                    <w:tr2bl w:val="nil"/>
                  </w:tcBorders>
                  <w:vAlign w:val="center"/>
                </w:tcPr>
                <w:p w14:paraId="43B083F8">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rPr>
                  </w:pPr>
                  <w:r>
                    <w:rPr>
                      <w:rFonts w:hint="default" w:ascii="Times New Roman" w:hAnsi="Times New Roman" w:eastAsia="宋体" w:cs="Times New Roman"/>
                      <w:b w:val="0"/>
                      <w:bCs/>
                      <w:color w:val="auto"/>
                      <w:highlight w:val="none"/>
                    </w:rPr>
                    <w:t>1天/年</w:t>
                  </w:r>
                </w:p>
              </w:tc>
              <w:tc>
                <w:tcPr>
                  <w:tcW w:w="2432" w:type="pct"/>
                  <w:tcBorders>
                    <w:tl2br w:val="nil"/>
                    <w:tr2bl w:val="nil"/>
                  </w:tcBorders>
                  <w:vAlign w:val="center"/>
                </w:tcPr>
                <w:p w14:paraId="60C07E90">
                  <w:pPr>
                    <w:keepNext w:val="0"/>
                    <w:keepLines w:val="0"/>
                    <w:pageBreakBefore w:val="0"/>
                    <w:widowControl/>
                    <w:suppressLineNumbers w:val="0"/>
                    <w:kinsoku/>
                    <w:overflowPunct/>
                    <w:topLinePunct w:val="0"/>
                    <w:bidi w:val="0"/>
                    <w:snapToGrid/>
                    <w:spacing w:before="0" w:beforeAutospacing="0" w:after="0" w:afterAutospacing="0" w:line="276" w:lineRule="auto"/>
                    <w:ind w:left="0" w:leftChars="0" w:right="0" w:rightChars="0"/>
                    <w:jc w:val="center"/>
                    <w:rPr>
                      <w:rFonts w:hint="default" w:ascii="Times New Roman" w:hAnsi="Times New Roman" w:eastAsia="宋体" w:cs="Times New Roman"/>
                      <w:b w:val="0"/>
                      <w:bCs/>
                      <w:color w:val="auto"/>
                      <w:highlight w:val="none"/>
                    </w:rPr>
                  </w:pPr>
                  <w:r>
                    <w:rPr>
                      <w:rFonts w:hint="default" w:ascii="Times New Roman" w:hAnsi="Times New Roman" w:cs="Times New Roman"/>
                      <w:b w:val="0"/>
                      <w:bCs/>
                      <w:color w:val="auto"/>
                      <w:sz w:val="21"/>
                      <w:szCs w:val="21"/>
                      <w:highlight w:val="none"/>
                    </w:rPr>
                    <w:t>《合成树脂工业污染物排放标准》(GB31572-2015) 及其 2024 年修改单中</w:t>
                  </w:r>
                  <w:r>
                    <w:rPr>
                      <w:rFonts w:hint="eastAsia" w:cs="Times New Roman"/>
                      <w:b w:val="0"/>
                      <w:bCs w:val="0"/>
                      <w:color w:val="auto"/>
                      <w:sz w:val="21"/>
                      <w:szCs w:val="21"/>
                      <w:highlight w:val="none"/>
                      <w:lang w:val="en-US" w:eastAsia="zh-CN"/>
                    </w:rPr>
                    <w:t>表9企业边界大气污染物浓度限值</w:t>
                  </w:r>
                </w:p>
              </w:tc>
            </w:tr>
            <w:tr w14:paraId="0972D6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66" w:hRule="atLeast"/>
                <w:jc w:val="center"/>
              </w:trPr>
              <w:tc>
                <w:tcPr>
                  <w:tcW w:w="180" w:type="pct"/>
                  <w:vMerge w:val="continue"/>
                  <w:tcBorders>
                    <w:tl2br w:val="nil"/>
                    <w:tr2bl w:val="nil"/>
                  </w:tcBorders>
                  <w:vAlign w:val="center"/>
                </w:tcPr>
                <w:p w14:paraId="1314DFE0">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eastAsia" w:eastAsia="宋体" w:cs="Times New Roman"/>
                      <w:b w:val="0"/>
                      <w:bCs/>
                      <w:color w:val="auto"/>
                      <w:highlight w:val="none"/>
                      <w:lang w:val="en-US" w:eastAsia="zh-CN"/>
                    </w:rPr>
                  </w:pPr>
                </w:p>
              </w:tc>
              <w:tc>
                <w:tcPr>
                  <w:tcW w:w="888" w:type="pct"/>
                  <w:vMerge w:val="continue"/>
                  <w:tcBorders>
                    <w:tl2br w:val="nil"/>
                    <w:tr2bl w:val="nil"/>
                  </w:tcBorders>
                  <w:vAlign w:val="center"/>
                </w:tcPr>
                <w:p w14:paraId="790A9921">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lang w:eastAsia="zh-CN"/>
                    </w:rPr>
                  </w:pPr>
                </w:p>
              </w:tc>
              <w:tc>
                <w:tcPr>
                  <w:tcW w:w="767" w:type="pct"/>
                  <w:tcBorders>
                    <w:tl2br w:val="nil"/>
                    <w:tr2bl w:val="nil"/>
                  </w:tcBorders>
                  <w:vAlign w:val="center"/>
                </w:tcPr>
                <w:p w14:paraId="7D9C0D75">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lang w:eastAsia="zh-CN"/>
                    </w:rPr>
                  </w:pPr>
                  <w:r>
                    <w:rPr>
                      <w:rFonts w:hint="default" w:ascii="Times New Roman" w:hAnsi="Times New Roman" w:eastAsia="宋体" w:cs="Times New Roman"/>
                      <w:b w:val="0"/>
                      <w:bCs/>
                      <w:color w:val="auto"/>
                      <w:highlight w:val="none"/>
                      <w:lang w:eastAsia="zh-CN"/>
                    </w:rPr>
                    <w:t>臭气浓度</w:t>
                  </w:r>
                </w:p>
              </w:tc>
              <w:tc>
                <w:tcPr>
                  <w:tcW w:w="730" w:type="pct"/>
                  <w:tcBorders>
                    <w:tl2br w:val="nil"/>
                    <w:tr2bl w:val="nil"/>
                  </w:tcBorders>
                  <w:vAlign w:val="center"/>
                </w:tcPr>
                <w:p w14:paraId="3626699B">
                  <w:pPr>
                    <w:pStyle w:val="9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auto"/>
                      <w:highlight w:val="none"/>
                    </w:rPr>
                  </w:pPr>
                  <w:r>
                    <w:rPr>
                      <w:rFonts w:hint="default" w:ascii="Times New Roman" w:hAnsi="Times New Roman" w:eastAsia="宋体" w:cs="Times New Roman"/>
                      <w:b w:val="0"/>
                      <w:bCs/>
                      <w:color w:val="auto"/>
                      <w:highlight w:val="none"/>
                    </w:rPr>
                    <w:t>1天/年</w:t>
                  </w:r>
                </w:p>
              </w:tc>
              <w:tc>
                <w:tcPr>
                  <w:tcW w:w="2432" w:type="pct"/>
                  <w:tcBorders>
                    <w:tl2br w:val="nil"/>
                    <w:tr2bl w:val="nil"/>
                  </w:tcBorders>
                  <w:vAlign w:val="center"/>
                </w:tcPr>
                <w:p w14:paraId="41D37DD1">
                  <w:pPr>
                    <w:pStyle w:val="36"/>
                    <w:keepNext w:val="0"/>
                    <w:keepLines w:val="0"/>
                    <w:pageBreakBefore w:val="0"/>
                    <w:widowControl w:val="0"/>
                    <w:suppressLineNumbers w:val="0"/>
                    <w:kinsoku/>
                    <w:overflowPunct/>
                    <w:topLinePunct w:val="0"/>
                    <w:autoSpaceDE w:val="0"/>
                    <w:autoSpaceDN w:val="0"/>
                    <w:bidi w:val="0"/>
                    <w:adjustRightInd w:val="0"/>
                    <w:snapToGrid/>
                    <w:spacing w:before="0" w:beforeAutospacing="0" w:after="0" w:afterAutospacing="0" w:line="276" w:lineRule="auto"/>
                    <w:ind w:left="0" w:leftChars="0" w:right="0" w:rightChars="0" w:firstLine="412" w:firstLineChars="200"/>
                    <w:jc w:val="center"/>
                    <w:rPr>
                      <w:rFonts w:hint="default" w:ascii="Times New Roman" w:hAnsi="Times New Roman" w:eastAsia="宋体" w:cs="Times New Roman"/>
                      <w:b w:val="0"/>
                      <w:bCs/>
                      <w:color w:val="auto"/>
                      <w:highlight w:val="none"/>
                    </w:rPr>
                  </w:pPr>
                  <w:r>
                    <w:rPr>
                      <w:rFonts w:hint="eastAsia" w:ascii="宋体" w:hAnsi="宋体" w:eastAsia="宋体" w:cs="宋体"/>
                      <w:color w:val="auto"/>
                      <w:spacing w:val="-2"/>
                      <w:kern w:val="2"/>
                      <w:sz w:val="21"/>
                      <w:szCs w:val="21"/>
                      <w:highlight w:val="none"/>
                      <w:lang w:val="en-US" w:eastAsia="zh-CN"/>
                    </w:rPr>
                    <w:t>《恶</w:t>
                  </w:r>
                  <w:r>
                    <w:rPr>
                      <w:rFonts w:hint="eastAsia" w:ascii="Times New Roman" w:hAnsi="Times New Roman" w:eastAsia="宋体" w:cs="Times New Roman"/>
                      <w:color w:val="auto"/>
                      <w:kern w:val="0"/>
                      <w:sz w:val="21"/>
                      <w:szCs w:val="21"/>
                      <w:highlight w:val="none"/>
                      <w:lang w:val="en-US" w:eastAsia="zh-CN"/>
                    </w:rPr>
                    <w:t>臭污染物排放标准》（</w:t>
                  </w:r>
                  <w:r>
                    <w:rPr>
                      <w:rFonts w:hint="default" w:ascii="Times New Roman" w:hAnsi="Times New Roman" w:eastAsia="宋体" w:cs="Times New Roman"/>
                      <w:color w:val="auto"/>
                      <w:kern w:val="0"/>
                      <w:sz w:val="21"/>
                      <w:szCs w:val="21"/>
                      <w:highlight w:val="none"/>
                      <w:lang w:val="en-US" w:eastAsia="zh-CN"/>
                    </w:rPr>
                    <w:t>GB14554-93</w:t>
                  </w:r>
                  <w:r>
                    <w:rPr>
                      <w:rFonts w:hint="eastAsia" w:ascii="Times New Roman" w:hAnsi="Times New Roman" w:eastAsia="宋体" w:cs="Times New Roman"/>
                      <w:color w:val="auto"/>
                      <w:kern w:val="0"/>
                      <w:sz w:val="21"/>
                      <w:szCs w:val="21"/>
                      <w:highlight w:val="none"/>
                      <w:lang w:val="en-US" w:eastAsia="zh-CN"/>
                    </w:rPr>
                    <w:t>）表</w:t>
                  </w:r>
                  <w:r>
                    <w:rPr>
                      <w:rFonts w:hint="default" w:ascii="Times New Roman" w:hAnsi="Times New Roman" w:eastAsia="宋体" w:cs="Times New Roman"/>
                      <w:color w:val="auto"/>
                      <w:kern w:val="0"/>
                      <w:sz w:val="21"/>
                      <w:szCs w:val="21"/>
                      <w:highlight w:val="none"/>
                      <w:lang w:val="en-US" w:eastAsia="zh-CN"/>
                    </w:rPr>
                    <w:t>1</w:t>
                  </w:r>
                  <w:r>
                    <w:rPr>
                      <w:rFonts w:hint="eastAsia" w:ascii="Times New Roman" w:hAnsi="Times New Roman" w:eastAsia="宋体" w:cs="Times New Roman"/>
                      <w:color w:val="auto"/>
                      <w:kern w:val="0"/>
                      <w:sz w:val="21"/>
                      <w:szCs w:val="21"/>
                      <w:highlight w:val="none"/>
                      <w:lang w:val="en-US" w:eastAsia="zh-CN"/>
                    </w:rPr>
                    <w:t>新扩改建二级厂界标准值</w:t>
                  </w:r>
                </w:p>
              </w:tc>
            </w:tr>
          </w:tbl>
          <w:p w14:paraId="3639FE2A">
            <w:pPr>
              <w:keepNext w:val="0"/>
              <w:keepLines w:val="0"/>
              <w:suppressLineNumbers w:val="0"/>
              <w:spacing w:before="0" w:beforeAutospacing="0" w:after="0" w:afterAutospacing="0"/>
              <w:ind w:left="0" w:right="0"/>
              <w:rPr>
                <w:rFonts w:hint="eastAsia"/>
                <w:color w:val="auto"/>
                <w:highlight w:val="none"/>
              </w:rPr>
            </w:pPr>
          </w:p>
        </w:tc>
      </w:tr>
    </w:tbl>
    <w:p w14:paraId="432EDF2B">
      <w:pPr>
        <w:rPr>
          <w:color w:val="auto"/>
          <w:highlight w:val="none"/>
        </w:rPr>
        <w:sectPr>
          <w:pgSz w:w="16838" w:h="11906" w:orient="landscape"/>
          <w:pgMar w:top="1797" w:right="1440" w:bottom="1797" w:left="1440" w:header="851" w:footer="680" w:gutter="0"/>
          <w:pgBorders>
            <w:top w:val="none" w:sz="0" w:space="0"/>
            <w:left w:val="none" w:sz="0" w:space="0"/>
            <w:bottom w:val="none" w:sz="0" w:space="0"/>
            <w:right w:val="none" w:sz="0" w:space="0"/>
          </w:pgBorders>
          <w:pgNumType w:fmt="numberInDash"/>
          <w:cols w:space="720" w:num="1"/>
          <w:docGrid w:type="linesAndChars" w:linePitch="312" w:charSpace="0"/>
        </w:sectPr>
      </w:pPr>
    </w:p>
    <w:bookmarkEnd w:id="120"/>
    <w:tbl>
      <w:tblPr>
        <w:tblStyle w:val="4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4"/>
        <w:gridCol w:w="13720"/>
      </w:tblGrid>
      <w:tr w14:paraId="69CA8C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18" w:hRule="atLeast"/>
        </w:trPr>
        <w:tc>
          <w:tcPr>
            <w:tcW w:w="161" w:type="pct"/>
            <w:vAlign w:val="center"/>
          </w:tcPr>
          <w:p w14:paraId="4B43395A">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left="0" w:right="0"/>
              <w:jc w:val="center"/>
              <w:textAlignment w:val="auto"/>
              <w:rPr>
                <w:rFonts w:hint="default" w:ascii="Times New Roman" w:hAnsi="Times New Roman" w:cs="Times New Roman"/>
                <w:color w:val="auto"/>
                <w:highlight w:val="none"/>
              </w:rPr>
            </w:pPr>
            <w:r>
              <w:rPr>
                <w:rFonts w:hint="default" w:ascii="Times New Roman" w:hAnsi="Times New Roman" w:cs="Times New Roman"/>
                <w:b/>
                <w:bCs/>
                <w:color w:val="auto"/>
                <w:kern w:val="2"/>
                <w:highlight w:val="none"/>
              </w:rPr>
              <w:t>运营期环境影响和保护措施</w:t>
            </w:r>
          </w:p>
        </w:tc>
        <w:tc>
          <w:tcPr>
            <w:tcW w:w="4838" w:type="pct"/>
          </w:tcPr>
          <w:p w14:paraId="52869C58">
            <w:pPr>
              <w:pStyle w:val="4"/>
              <w:numPr>
                <w:ilvl w:val="2"/>
                <w:numId w:val="0"/>
              </w:numPr>
              <w:suppressLineNumbers w:val="0"/>
              <w:spacing w:before="0" w:beforeAutospacing="0" w:after="0" w:afterAutospacing="0"/>
              <w:ind w:left="480" w:right="0"/>
              <w:rPr>
                <w:rFonts w:hint="default" w:ascii="Times New Roman" w:hAnsi="Times New Roman" w:cs="Times New Roman"/>
                <w:color w:val="auto"/>
                <w:highlight w:val="none"/>
              </w:rPr>
            </w:pPr>
            <w:r>
              <w:rPr>
                <w:rFonts w:hint="default" w:ascii="Times New Roman" w:hAnsi="Times New Roman" w:cs="Times New Roman"/>
                <w:color w:val="auto"/>
                <w:highlight w:val="none"/>
              </w:rPr>
              <w:t>二、废水污染源</w:t>
            </w:r>
          </w:p>
          <w:p w14:paraId="4BE996D4">
            <w:pPr>
              <w:keepNext/>
              <w:keepLines/>
              <w:suppressLineNumbers w:val="0"/>
              <w:tabs>
                <w:tab w:val="left" w:pos="0"/>
              </w:tabs>
              <w:spacing w:before="0" w:beforeAutospacing="0" w:after="0" w:afterAutospacing="0"/>
              <w:ind w:left="0" w:right="0" w:firstLine="480" w:firstLineChars="200"/>
              <w:outlineLvl w:val="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1、污染源源强分析</w:t>
            </w:r>
          </w:p>
          <w:p w14:paraId="7469380B">
            <w:pPr>
              <w:keepNext/>
              <w:keepLines/>
              <w:numPr>
                <w:ilvl w:val="4"/>
                <w:numId w:val="0"/>
              </w:numPr>
              <w:suppressLineNumbers w:val="0"/>
              <w:tabs>
                <w:tab w:val="left" w:pos="0"/>
              </w:tabs>
              <w:spacing w:before="0" w:beforeAutospacing="0" w:after="0" w:afterAutospacing="0"/>
              <w:ind w:left="-960" w:right="0" w:firstLine="1440"/>
              <w:outlineLvl w:val="4"/>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（1）生活污水</w:t>
            </w:r>
          </w:p>
          <w:p w14:paraId="02594F53">
            <w:pPr>
              <w:pStyle w:val="110"/>
              <w:keepNext w:val="0"/>
              <w:keepLines w:val="0"/>
              <w:suppressLineNumbers w:val="0"/>
              <w:snapToGrid/>
              <w:spacing w:before="0" w:beforeAutospacing="0" w:after="0" w:afterAutospacing="0" w:line="360" w:lineRule="auto"/>
              <w:ind w:left="0" w:right="0" w:firstLine="480"/>
              <w:outlineLvl w:val="9"/>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项目</w:t>
            </w:r>
            <w:r>
              <w:rPr>
                <w:rFonts w:hint="default" w:ascii="Times New Roman" w:hAnsi="Times New Roman" w:cs="Times New Roman"/>
                <w:color w:val="auto"/>
                <w:highlight w:val="none"/>
              </w:rPr>
              <w:t>劳动定员</w:t>
            </w:r>
            <w:r>
              <w:rPr>
                <w:rFonts w:hint="default" w:ascii="Times New Roman" w:hAnsi="Times New Roman" w:cs="Times New Roman"/>
                <w:color w:val="auto"/>
                <w:highlight w:val="none"/>
                <w:lang w:val="en-US" w:eastAsia="zh-CN"/>
              </w:rPr>
              <w:t>100</w:t>
            </w:r>
            <w:r>
              <w:rPr>
                <w:rFonts w:hint="default" w:ascii="Times New Roman" w:hAnsi="Times New Roman" w:cs="Times New Roman"/>
                <w:color w:val="auto"/>
                <w:highlight w:val="none"/>
              </w:rPr>
              <w:t>名</w:t>
            </w:r>
            <w:r>
              <w:rPr>
                <w:rFonts w:hint="default" w:ascii="Times New Roman" w:hAnsi="Times New Roman" w:cs="Times New Roman"/>
                <w:color w:val="auto"/>
                <w:kern w:val="0"/>
                <w:highlight w:val="none"/>
              </w:rPr>
              <w:t>，在项目内</w:t>
            </w:r>
            <w:r>
              <w:rPr>
                <w:rFonts w:hint="default" w:ascii="Times New Roman" w:hAnsi="Times New Roman" w:cs="Times New Roman"/>
                <w:color w:val="auto"/>
                <w:kern w:val="0"/>
                <w:highlight w:val="none"/>
                <w:lang w:eastAsia="zh-CN"/>
              </w:rPr>
              <w:t>食宿</w:t>
            </w:r>
            <w:r>
              <w:rPr>
                <w:rFonts w:hint="default" w:ascii="Times New Roman" w:hAnsi="Times New Roman" w:cs="Times New Roman"/>
                <w:color w:val="auto"/>
                <w:kern w:val="0"/>
                <w:highlight w:val="none"/>
              </w:rPr>
              <w:t>，年工作时间3</w:t>
            </w:r>
            <w:r>
              <w:rPr>
                <w:rFonts w:hint="default" w:ascii="Times New Roman" w:hAnsi="Times New Roman" w:cs="Times New Roman"/>
                <w:color w:val="auto"/>
                <w:kern w:val="0"/>
                <w:highlight w:val="none"/>
                <w:lang w:val="en-US" w:eastAsia="zh-CN"/>
              </w:rPr>
              <w:t>3</w:t>
            </w:r>
            <w:r>
              <w:rPr>
                <w:rFonts w:hint="default" w:ascii="Times New Roman" w:hAnsi="Times New Roman" w:cs="Times New Roman"/>
                <w:color w:val="auto"/>
                <w:kern w:val="0"/>
                <w:highlight w:val="none"/>
              </w:rPr>
              <w:t>0天，实行8小时</w:t>
            </w:r>
            <w:r>
              <w:rPr>
                <w:rFonts w:hint="default" w:ascii="Times New Roman" w:hAnsi="Times New Roman" w:cs="Times New Roman"/>
                <w:color w:val="auto"/>
                <w:kern w:val="0"/>
                <w:highlight w:val="none"/>
                <w:lang w:val="en-US" w:eastAsia="zh-CN"/>
              </w:rPr>
              <w:t>三</w:t>
            </w:r>
            <w:r>
              <w:rPr>
                <w:rFonts w:hint="default" w:ascii="Times New Roman" w:hAnsi="Times New Roman" w:cs="Times New Roman"/>
                <w:color w:val="auto"/>
                <w:kern w:val="0"/>
                <w:highlight w:val="none"/>
              </w:rPr>
              <w:t>班制。参考《广东省用水定额 第3部分：生活》（DB44/T 1461.3-2021）中，“表A</w:t>
            </w:r>
            <w:r>
              <w:rPr>
                <w:rFonts w:hint="default" w:ascii="Times New Roman" w:hAnsi="Times New Roman" w:cs="Times New Roman"/>
                <w:color w:val="auto"/>
                <w:kern w:val="0"/>
                <w:highlight w:val="none"/>
                <w:lang w:val="en-US" w:eastAsia="zh-CN"/>
              </w:rPr>
              <w:t>.</w:t>
            </w:r>
            <w:r>
              <w:rPr>
                <w:rFonts w:hint="default" w:ascii="Times New Roman" w:hAnsi="Times New Roman" w:cs="Times New Roman"/>
                <w:color w:val="auto"/>
                <w:kern w:val="0"/>
                <w:highlight w:val="none"/>
              </w:rPr>
              <w:t xml:space="preserve">1 </w:t>
            </w:r>
            <w:r>
              <w:rPr>
                <w:rFonts w:hint="default" w:ascii="Times New Roman" w:hAnsi="Times New Roman" w:cs="Times New Roman"/>
                <w:color w:val="auto"/>
                <w:highlight w:val="none"/>
                <w:lang w:val="en-US" w:eastAsia="zh-CN"/>
              </w:rPr>
              <w:t>国家机构有食堂和浴室，</w:t>
            </w:r>
            <w:r>
              <w:rPr>
                <w:rFonts w:hint="default" w:ascii="Times New Roman" w:hAnsi="Times New Roman" w:cs="Times New Roman"/>
                <w:color w:val="auto"/>
                <w:kern w:val="0"/>
                <w:highlight w:val="none"/>
              </w:rPr>
              <w:t>取</w:t>
            </w:r>
            <w:r>
              <w:rPr>
                <w:rFonts w:hint="default" w:ascii="Times New Roman" w:hAnsi="Times New Roman" w:cs="Times New Roman"/>
                <w:color w:val="auto"/>
                <w:kern w:val="0"/>
                <w:highlight w:val="none"/>
                <w:lang w:val="en-US" w:eastAsia="zh-CN"/>
              </w:rPr>
              <w:t>38m</w:t>
            </w:r>
            <w:r>
              <w:rPr>
                <w:rFonts w:hint="default" w:ascii="Times New Roman" w:hAnsi="Times New Roman" w:cs="Times New Roman"/>
                <w:color w:val="auto"/>
                <w:kern w:val="0"/>
                <w:highlight w:val="none"/>
                <w:vertAlign w:val="superscript"/>
                <w:lang w:val="en-US" w:eastAsia="zh-CN"/>
              </w:rPr>
              <w:t>3</w:t>
            </w:r>
            <w:r>
              <w:rPr>
                <w:rFonts w:hint="default" w:ascii="Times New Roman" w:hAnsi="Times New Roman" w:cs="Times New Roman"/>
                <w:color w:val="auto"/>
                <w:kern w:val="0"/>
                <w:highlight w:val="none"/>
              </w:rPr>
              <w:t>/（人·</w:t>
            </w:r>
            <w:r>
              <w:rPr>
                <w:rFonts w:hint="default" w:ascii="Times New Roman" w:hAnsi="Times New Roman" w:cs="Times New Roman"/>
                <w:color w:val="auto"/>
                <w:kern w:val="0"/>
                <w:highlight w:val="none"/>
                <w:lang w:val="en-US" w:eastAsia="zh-CN"/>
              </w:rPr>
              <w:t>a</w:t>
            </w:r>
            <w:r>
              <w:rPr>
                <w:rFonts w:hint="default" w:ascii="Times New Roman" w:hAnsi="Times New Roman" w:cs="Times New Roman"/>
                <w:color w:val="auto"/>
                <w:kern w:val="0"/>
                <w:highlight w:val="none"/>
              </w:rPr>
              <w:t>），因此</w:t>
            </w:r>
            <w:r>
              <w:rPr>
                <w:rFonts w:hint="default" w:ascii="Times New Roman" w:hAnsi="Times New Roman" w:cs="Times New Roman"/>
                <w:color w:val="auto"/>
                <w:kern w:val="0"/>
                <w:highlight w:val="none"/>
                <w:lang w:val="en-US" w:eastAsia="zh-CN"/>
              </w:rPr>
              <w:t>项目</w:t>
            </w:r>
            <w:r>
              <w:rPr>
                <w:rFonts w:hint="default" w:ascii="Times New Roman" w:hAnsi="Times New Roman" w:cs="Times New Roman"/>
                <w:color w:val="auto"/>
                <w:kern w:val="0"/>
                <w:highlight w:val="none"/>
              </w:rPr>
              <w:t>生活用水量为</w:t>
            </w:r>
            <w:r>
              <w:rPr>
                <w:rFonts w:hint="default" w:ascii="Times New Roman" w:hAnsi="Times New Roman" w:cs="Times New Roman"/>
                <w:color w:val="auto"/>
                <w:kern w:val="0"/>
                <w:highlight w:val="none"/>
                <w:lang w:val="en-US" w:eastAsia="zh-CN"/>
              </w:rPr>
              <w:t>3800</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/a</w:t>
            </w:r>
            <w:r>
              <w:rPr>
                <w:rFonts w:hint="default" w:ascii="Times New Roman" w:hAnsi="Times New Roman" w:cs="Times New Roman"/>
                <w:color w:val="auto"/>
                <w:kern w:val="0"/>
                <w:highlight w:val="none"/>
              </w:rPr>
              <w:t>。</w:t>
            </w:r>
          </w:p>
          <w:p w14:paraId="7BB3D201">
            <w:pPr>
              <w:pStyle w:val="110"/>
              <w:keepNext w:val="0"/>
              <w:keepLines w:val="0"/>
              <w:suppressLineNumbers w:val="0"/>
              <w:snapToGrid/>
              <w:spacing w:before="0" w:beforeAutospacing="0" w:after="0" w:afterAutospacing="0" w:line="360" w:lineRule="auto"/>
              <w:ind w:left="0" w:right="0" w:firstLine="480"/>
              <w:outlineLvl w:val="9"/>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按照排污系数0.9计算，则生活污水排放量为</w:t>
            </w:r>
            <w:r>
              <w:rPr>
                <w:rFonts w:hint="default" w:ascii="Times New Roman" w:hAnsi="Times New Roman" w:cs="Times New Roman"/>
                <w:color w:val="auto"/>
                <w:kern w:val="0"/>
                <w:highlight w:val="none"/>
                <w:lang w:val="en-US" w:eastAsia="zh-CN"/>
              </w:rPr>
              <w:t>3420</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/a</w:t>
            </w:r>
            <w:r>
              <w:rPr>
                <w:rFonts w:hint="default" w:ascii="Times New Roman" w:hAnsi="Times New Roman" w:cs="Times New Roman"/>
                <w:color w:val="auto"/>
                <w:kern w:val="0"/>
                <w:highlight w:val="none"/>
              </w:rPr>
              <w:t>。本项目办公生活污水经过三级化粪池</w:t>
            </w:r>
            <w:r>
              <w:rPr>
                <w:rFonts w:hint="default" w:ascii="Times New Roman" w:hAnsi="Times New Roman" w:cs="Times New Roman"/>
                <w:color w:val="auto"/>
                <w:kern w:val="0"/>
                <w:highlight w:val="none"/>
                <w:lang w:eastAsia="zh-CN"/>
              </w:rPr>
              <w:t>、</w:t>
            </w:r>
            <w:r>
              <w:rPr>
                <w:rFonts w:hint="default" w:ascii="Times New Roman" w:hAnsi="Times New Roman" w:cs="Times New Roman"/>
                <w:color w:val="auto"/>
                <w:kern w:val="0"/>
                <w:highlight w:val="none"/>
                <w:lang w:val="en-US" w:eastAsia="zh-CN"/>
              </w:rPr>
              <w:t>隔油隔渣池</w:t>
            </w:r>
            <w:r>
              <w:rPr>
                <w:rFonts w:hint="default" w:ascii="Times New Roman" w:hAnsi="Times New Roman" w:cs="Times New Roman"/>
                <w:color w:val="auto"/>
                <w:kern w:val="0"/>
                <w:highlight w:val="none"/>
              </w:rPr>
              <w:t>处理后经管网排入园区污水处理厂，处理达标后排入武江（乐昌城-犁市河段）。</w:t>
            </w:r>
          </w:p>
          <w:p w14:paraId="63667857">
            <w:pPr>
              <w:pStyle w:val="20"/>
              <w:keepNext w:val="0"/>
              <w:keepLines w:val="0"/>
              <w:numPr>
                <w:ilvl w:val="0"/>
                <w:numId w:val="0"/>
              </w:numPr>
              <w:suppressLineNumbers w:val="0"/>
              <w:tabs>
                <w:tab w:val="left" w:pos="0"/>
              </w:tabs>
              <w:spacing w:before="0" w:beforeAutospacing="0" w:after="0" w:afterAutospacing="0" w:line="240" w:lineRule="auto"/>
              <w:ind w:left="0" w:leftChars="0" w:right="0" w:rightChars="0" w:firstLine="40" w:firstLineChars="0"/>
              <w:jc w:val="center"/>
              <w:rPr>
                <w:rFonts w:hint="default" w:ascii="Times New Roman" w:hAnsi="Times New Roman" w:cs="Times New Roman"/>
                <w:color w:val="auto"/>
                <w:highlight w:val="none"/>
              </w:rPr>
            </w:pPr>
            <w:r>
              <w:rPr>
                <w:rFonts w:hint="default" w:ascii="Times New Roman" w:hAnsi="Times New Roman" w:eastAsia="宋体" w:cs="Times New Roman"/>
                <w:b/>
                <w:bCs/>
                <w:color w:val="auto"/>
                <w:kern w:val="2"/>
                <w:sz w:val="21"/>
                <w:szCs w:val="21"/>
                <w:highlight w:val="none"/>
                <w:lang w:val="en-US" w:eastAsia="zh-CN" w:bidi="ar-SA"/>
              </w:rPr>
              <w:t>表4-1</w:t>
            </w:r>
            <w:r>
              <w:rPr>
                <w:rFonts w:hint="default" w:ascii="Times New Roman" w:hAnsi="Times New Roman" w:cs="Times New Roman"/>
                <w:b/>
                <w:bCs/>
                <w:color w:val="auto"/>
                <w:kern w:val="2"/>
                <w:sz w:val="21"/>
                <w:szCs w:val="21"/>
                <w:highlight w:val="none"/>
                <w:lang w:val="en-US" w:eastAsia="zh-CN" w:bidi="ar-SA"/>
              </w:rPr>
              <w:t xml:space="preserve">3 </w:t>
            </w:r>
            <w:r>
              <w:rPr>
                <w:rFonts w:hint="default" w:ascii="Times New Roman" w:hAnsi="Times New Roman" w:cs="Times New Roman"/>
                <w:color w:val="auto"/>
                <w:highlight w:val="none"/>
              </w:rPr>
              <w:t>污水污染源源强核算结果及相关参数一览表</w:t>
            </w:r>
          </w:p>
          <w:tbl>
            <w:tblPr>
              <w:tblStyle w:val="3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2460"/>
              <w:gridCol w:w="2104"/>
              <w:gridCol w:w="2035"/>
              <w:gridCol w:w="1814"/>
              <w:gridCol w:w="1530"/>
              <w:gridCol w:w="1746"/>
              <w:gridCol w:w="1800"/>
            </w:tblGrid>
            <w:tr w14:paraId="75DE36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95" w:hRule="atLeast"/>
                <w:jc w:val="center"/>
              </w:trPr>
              <w:tc>
                <w:tcPr>
                  <w:tcW w:w="913" w:type="pct"/>
                  <w:shd w:val="clear" w:color="auto" w:fill="auto"/>
                  <w:vAlign w:val="center"/>
                </w:tcPr>
                <w:p w14:paraId="5D8C7C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污水种类</w:t>
                  </w:r>
                </w:p>
              </w:tc>
              <w:tc>
                <w:tcPr>
                  <w:tcW w:w="781" w:type="pct"/>
                  <w:shd w:val="clear" w:color="auto" w:fill="auto"/>
                  <w:vAlign w:val="center"/>
                </w:tcPr>
                <w:p w14:paraId="5CD516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污染物</w:t>
                  </w:r>
                </w:p>
              </w:tc>
              <w:tc>
                <w:tcPr>
                  <w:tcW w:w="755" w:type="pct"/>
                  <w:shd w:val="clear" w:color="auto" w:fill="auto"/>
                  <w:vAlign w:val="center"/>
                </w:tcPr>
                <w:p w14:paraId="114855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产生浓度（mg/L）</w:t>
                  </w:r>
                </w:p>
              </w:tc>
              <w:tc>
                <w:tcPr>
                  <w:tcW w:w="673" w:type="pct"/>
                  <w:shd w:val="clear" w:color="auto" w:fill="auto"/>
                  <w:vAlign w:val="center"/>
                </w:tcPr>
                <w:p w14:paraId="43410E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产生量（t/a）</w:t>
                  </w:r>
                </w:p>
              </w:tc>
              <w:tc>
                <w:tcPr>
                  <w:tcW w:w="562" w:type="pct"/>
                  <w:shd w:val="clear" w:color="auto" w:fill="auto"/>
                  <w:noWrap/>
                  <w:vAlign w:val="center"/>
                </w:tcPr>
                <w:p w14:paraId="52CA28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处理效率</w:t>
                  </w:r>
                </w:p>
              </w:tc>
              <w:tc>
                <w:tcPr>
                  <w:tcW w:w="648" w:type="pct"/>
                  <w:shd w:val="clear" w:color="auto" w:fill="auto"/>
                  <w:vAlign w:val="center"/>
                </w:tcPr>
                <w:p w14:paraId="78CE8F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排放浓度（mg/L）</w:t>
                  </w:r>
                </w:p>
              </w:tc>
              <w:tc>
                <w:tcPr>
                  <w:tcW w:w="648" w:type="pct"/>
                  <w:shd w:val="clear" w:color="auto" w:fill="auto"/>
                  <w:vAlign w:val="center"/>
                </w:tcPr>
                <w:p w14:paraId="6CABC1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排放量（t/a）</w:t>
                  </w:r>
                </w:p>
              </w:tc>
            </w:tr>
            <w:tr w14:paraId="52F4A2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913" w:type="pct"/>
                  <w:vMerge w:val="restart"/>
                  <w:shd w:val="clear" w:color="auto" w:fill="auto"/>
                  <w:vAlign w:val="center"/>
                </w:tcPr>
                <w:p w14:paraId="2457E2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rPr>
                  </w:pPr>
                  <w:r>
                    <w:rPr>
                      <w:rFonts w:hint="default" w:ascii="Times New Roman" w:hAnsi="Times New Roman" w:eastAsia="宋体" w:cs="Times New Roman"/>
                      <w:b w:val="0"/>
                      <w:bCs w:val="0"/>
                      <w:i w:val="0"/>
                      <w:iCs w:val="0"/>
                      <w:color w:val="auto"/>
                      <w:kern w:val="0"/>
                      <w:sz w:val="21"/>
                      <w:szCs w:val="21"/>
                      <w:highlight w:val="none"/>
                      <w:u w:val="none"/>
                      <w:lang w:val="en-US" w:eastAsia="zh-CN"/>
                    </w:rPr>
                    <w:t>生活污水</w:t>
                  </w:r>
                </w:p>
                <w:p w14:paraId="595224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cs="Times New Roman"/>
                      <w:b w:val="0"/>
                      <w:bCs w:val="0"/>
                      <w:i w:val="0"/>
                      <w:iCs w:val="0"/>
                      <w:color w:val="auto"/>
                      <w:kern w:val="0"/>
                      <w:sz w:val="21"/>
                      <w:szCs w:val="21"/>
                      <w:highlight w:val="none"/>
                      <w:u w:val="none"/>
                      <w:lang w:val="en-US" w:eastAsia="zh-CN"/>
                    </w:rPr>
                    <w:t>3420</w:t>
                  </w:r>
                  <w:r>
                    <w:rPr>
                      <w:rFonts w:hint="default" w:ascii="Times New Roman" w:hAnsi="Times New Roman" w:eastAsia="宋体" w:cs="Times New Roman"/>
                      <w:b w:val="0"/>
                      <w:bCs w:val="0"/>
                      <w:i w:val="0"/>
                      <w:iCs w:val="0"/>
                      <w:color w:val="auto"/>
                      <w:kern w:val="0"/>
                      <w:sz w:val="21"/>
                      <w:szCs w:val="21"/>
                      <w:highlight w:val="none"/>
                      <w:u w:val="none"/>
                      <w:lang w:val="en-US" w:eastAsia="zh-CN"/>
                    </w:rPr>
                    <w:t>m</w:t>
                  </w:r>
                  <w:r>
                    <w:rPr>
                      <w:rFonts w:hint="default" w:ascii="Times New Roman" w:hAnsi="Times New Roman" w:eastAsia="宋体" w:cs="Times New Roman"/>
                      <w:b w:val="0"/>
                      <w:bCs w:val="0"/>
                      <w:i w:val="0"/>
                      <w:iCs w:val="0"/>
                      <w:color w:val="auto"/>
                      <w:kern w:val="0"/>
                      <w:sz w:val="21"/>
                      <w:szCs w:val="21"/>
                      <w:highlight w:val="none"/>
                      <w:u w:val="none"/>
                      <w:vertAlign w:val="superscript"/>
                      <w:lang w:val="en-US" w:eastAsia="zh-CN"/>
                    </w:rPr>
                    <w:t>3</w:t>
                  </w:r>
                  <w:r>
                    <w:rPr>
                      <w:rFonts w:hint="default" w:ascii="Times New Roman" w:hAnsi="Times New Roman" w:eastAsia="宋体" w:cs="Times New Roman"/>
                      <w:b w:val="0"/>
                      <w:bCs w:val="0"/>
                      <w:i w:val="0"/>
                      <w:iCs w:val="0"/>
                      <w:color w:val="auto"/>
                      <w:kern w:val="0"/>
                      <w:sz w:val="21"/>
                      <w:szCs w:val="21"/>
                      <w:highlight w:val="none"/>
                      <w:u w:val="none"/>
                      <w:lang w:val="en-US" w:eastAsia="zh-CN"/>
                    </w:rPr>
                    <w:t>/a</w:t>
                  </w:r>
                </w:p>
              </w:tc>
              <w:tc>
                <w:tcPr>
                  <w:tcW w:w="781" w:type="pct"/>
                  <w:shd w:val="clear" w:color="auto" w:fill="auto"/>
                  <w:vAlign w:val="center"/>
                </w:tcPr>
                <w:p w14:paraId="344AA4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COD</w:t>
                  </w:r>
                  <w:r>
                    <w:rPr>
                      <w:rFonts w:hint="default" w:ascii="Times New Roman" w:hAnsi="Times New Roman" w:eastAsia="宋体" w:cs="Times New Roman"/>
                      <w:i w:val="0"/>
                      <w:iCs w:val="0"/>
                      <w:color w:val="auto"/>
                      <w:kern w:val="0"/>
                      <w:sz w:val="20"/>
                      <w:szCs w:val="20"/>
                      <w:highlight w:val="none"/>
                      <w:u w:val="none"/>
                      <w:vertAlign w:val="subscript"/>
                      <w:lang w:val="en-US" w:eastAsia="zh-CN"/>
                    </w:rPr>
                    <w:t>Cr</w:t>
                  </w:r>
                </w:p>
              </w:tc>
              <w:tc>
                <w:tcPr>
                  <w:tcW w:w="2035" w:type="dxa"/>
                  <w:shd w:val="clear" w:color="auto" w:fill="auto"/>
                  <w:vAlign w:val="center"/>
                </w:tcPr>
                <w:p w14:paraId="4D2FAC3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0"/>
                      <w:szCs w:val="20"/>
                      <w:highlight w:val="none"/>
                      <w:u w:val="none"/>
                      <w:lang w:val="en-US" w:eastAsia="zh-CN"/>
                    </w:rPr>
                    <w:t>250</w:t>
                  </w:r>
                </w:p>
              </w:tc>
              <w:tc>
                <w:tcPr>
                  <w:tcW w:w="1813" w:type="dxa"/>
                  <w:shd w:val="clear" w:color="auto" w:fill="auto"/>
                  <w:vAlign w:val="center"/>
                </w:tcPr>
                <w:p w14:paraId="6B53492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0.855 </w:t>
                  </w:r>
                </w:p>
              </w:tc>
              <w:tc>
                <w:tcPr>
                  <w:tcW w:w="1530" w:type="dxa"/>
                  <w:shd w:val="clear" w:color="auto" w:fill="auto"/>
                  <w:noWrap/>
                  <w:vAlign w:val="center"/>
                </w:tcPr>
                <w:p w14:paraId="1E6C8C1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20%</w:t>
                  </w:r>
                </w:p>
              </w:tc>
              <w:tc>
                <w:tcPr>
                  <w:tcW w:w="1746" w:type="dxa"/>
                  <w:shd w:val="clear" w:color="auto" w:fill="auto"/>
                  <w:vAlign w:val="center"/>
                </w:tcPr>
                <w:p w14:paraId="73BCAD7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200</w:t>
                  </w:r>
                </w:p>
              </w:tc>
              <w:tc>
                <w:tcPr>
                  <w:tcW w:w="1746" w:type="dxa"/>
                  <w:shd w:val="clear" w:color="auto" w:fill="auto"/>
                  <w:vAlign w:val="center"/>
                </w:tcPr>
                <w:p w14:paraId="18F27BD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 xml:space="preserve">0.684 </w:t>
                  </w:r>
                </w:p>
              </w:tc>
            </w:tr>
            <w:tr w14:paraId="0691A1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913" w:type="pct"/>
                  <w:vMerge w:val="continue"/>
                  <w:shd w:val="clear" w:color="auto" w:fill="auto"/>
                  <w:vAlign w:val="center"/>
                </w:tcPr>
                <w:p w14:paraId="385510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p>
              </w:tc>
              <w:tc>
                <w:tcPr>
                  <w:tcW w:w="781" w:type="pct"/>
                  <w:shd w:val="clear" w:color="auto" w:fill="auto"/>
                  <w:vAlign w:val="center"/>
                </w:tcPr>
                <w:p w14:paraId="380407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BOD</w:t>
                  </w:r>
                  <w:r>
                    <w:rPr>
                      <w:rFonts w:hint="default" w:ascii="Times New Roman" w:hAnsi="Times New Roman" w:eastAsia="宋体" w:cs="Times New Roman"/>
                      <w:i w:val="0"/>
                      <w:iCs w:val="0"/>
                      <w:color w:val="auto"/>
                      <w:kern w:val="0"/>
                      <w:sz w:val="20"/>
                      <w:szCs w:val="20"/>
                      <w:highlight w:val="none"/>
                      <w:u w:val="none"/>
                      <w:vertAlign w:val="subscript"/>
                      <w:lang w:val="en-US" w:eastAsia="zh-CN"/>
                    </w:rPr>
                    <w:t>5</w:t>
                  </w:r>
                </w:p>
              </w:tc>
              <w:tc>
                <w:tcPr>
                  <w:tcW w:w="2035" w:type="dxa"/>
                  <w:shd w:val="clear" w:color="auto" w:fill="auto"/>
                  <w:vAlign w:val="center"/>
                </w:tcPr>
                <w:p w14:paraId="6DF7A10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150</w:t>
                  </w:r>
                </w:p>
              </w:tc>
              <w:tc>
                <w:tcPr>
                  <w:tcW w:w="1813" w:type="dxa"/>
                  <w:shd w:val="clear" w:color="auto" w:fill="auto"/>
                  <w:vAlign w:val="center"/>
                </w:tcPr>
                <w:p w14:paraId="61327F6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0.513 </w:t>
                  </w:r>
                </w:p>
              </w:tc>
              <w:tc>
                <w:tcPr>
                  <w:tcW w:w="1530" w:type="dxa"/>
                  <w:shd w:val="clear" w:color="auto" w:fill="auto"/>
                  <w:noWrap/>
                  <w:vAlign w:val="center"/>
                </w:tcPr>
                <w:p w14:paraId="5937EBC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5%</w:t>
                  </w:r>
                </w:p>
              </w:tc>
              <w:tc>
                <w:tcPr>
                  <w:tcW w:w="1746" w:type="dxa"/>
                  <w:shd w:val="clear" w:color="auto" w:fill="auto"/>
                  <w:vAlign w:val="center"/>
                </w:tcPr>
                <w:p w14:paraId="72F91CC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142.5</w:t>
                  </w:r>
                </w:p>
              </w:tc>
              <w:tc>
                <w:tcPr>
                  <w:tcW w:w="1746" w:type="dxa"/>
                  <w:shd w:val="clear" w:color="auto" w:fill="auto"/>
                  <w:vAlign w:val="center"/>
                </w:tcPr>
                <w:p w14:paraId="62966E7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 xml:space="preserve">0.487 </w:t>
                  </w:r>
                </w:p>
              </w:tc>
            </w:tr>
            <w:tr w14:paraId="119808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913" w:type="pct"/>
                  <w:vMerge w:val="continue"/>
                  <w:shd w:val="clear" w:color="auto" w:fill="auto"/>
                  <w:noWrap/>
                  <w:vAlign w:val="center"/>
                </w:tcPr>
                <w:p w14:paraId="2E98EF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p>
              </w:tc>
              <w:tc>
                <w:tcPr>
                  <w:tcW w:w="781" w:type="pct"/>
                  <w:shd w:val="clear" w:color="auto" w:fill="auto"/>
                  <w:vAlign w:val="center"/>
                </w:tcPr>
                <w:p w14:paraId="25095A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SS</w:t>
                  </w:r>
                </w:p>
              </w:tc>
              <w:tc>
                <w:tcPr>
                  <w:tcW w:w="2035" w:type="dxa"/>
                  <w:shd w:val="clear" w:color="auto" w:fill="auto"/>
                  <w:vAlign w:val="center"/>
                </w:tcPr>
                <w:p w14:paraId="5405858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150</w:t>
                  </w:r>
                </w:p>
              </w:tc>
              <w:tc>
                <w:tcPr>
                  <w:tcW w:w="1813" w:type="dxa"/>
                  <w:shd w:val="clear" w:color="auto" w:fill="auto"/>
                  <w:vAlign w:val="center"/>
                </w:tcPr>
                <w:p w14:paraId="458E1D6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0.513 </w:t>
                  </w:r>
                </w:p>
              </w:tc>
              <w:tc>
                <w:tcPr>
                  <w:tcW w:w="1530" w:type="dxa"/>
                  <w:shd w:val="clear" w:color="auto" w:fill="auto"/>
                  <w:noWrap/>
                  <w:vAlign w:val="center"/>
                </w:tcPr>
                <w:p w14:paraId="512BF30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30%</w:t>
                  </w:r>
                </w:p>
              </w:tc>
              <w:tc>
                <w:tcPr>
                  <w:tcW w:w="1746" w:type="dxa"/>
                  <w:shd w:val="clear" w:color="auto" w:fill="auto"/>
                  <w:vAlign w:val="center"/>
                </w:tcPr>
                <w:p w14:paraId="46D4248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105</w:t>
                  </w:r>
                </w:p>
              </w:tc>
              <w:tc>
                <w:tcPr>
                  <w:tcW w:w="1746" w:type="dxa"/>
                  <w:shd w:val="clear" w:color="auto" w:fill="auto"/>
                  <w:vAlign w:val="center"/>
                </w:tcPr>
                <w:p w14:paraId="5E2E7C6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 xml:space="preserve">0.359 </w:t>
                  </w:r>
                </w:p>
              </w:tc>
            </w:tr>
            <w:tr w14:paraId="3B8F1A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jc w:val="center"/>
              </w:trPr>
              <w:tc>
                <w:tcPr>
                  <w:tcW w:w="913" w:type="pct"/>
                  <w:vMerge w:val="continue"/>
                  <w:shd w:val="clear" w:color="auto" w:fill="auto"/>
                  <w:noWrap/>
                  <w:vAlign w:val="center"/>
                </w:tcPr>
                <w:p w14:paraId="2A24C9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val="0"/>
                      <w:bCs w:val="0"/>
                      <w:i w:val="0"/>
                      <w:iCs w:val="0"/>
                      <w:color w:val="auto"/>
                      <w:sz w:val="21"/>
                      <w:szCs w:val="21"/>
                      <w:highlight w:val="none"/>
                      <w:u w:val="none"/>
                    </w:rPr>
                  </w:pPr>
                </w:p>
              </w:tc>
              <w:tc>
                <w:tcPr>
                  <w:tcW w:w="781" w:type="pct"/>
                  <w:shd w:val="clear" w:color="auto" w:fill="auto"/>
                  <w:vAlign w:val="center"/>
                </w:tcPr>
                <w:p w14:paraId="550BC0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NH</w:t>
                  </w:r>
                  <w:r>
                    <w:rPr>
                      <w:rFonts w:hint="default" w:ascii="Times New Roman" w:hAnsi="Times New Roman" w:eastAsia="宋体" w:cs="Times New Roman"/>
                      <w:i w:val="0"/>
                      <w:iCs w:val="0"/>
                      <w:color w:val="auto"/>
                      <w:kern w:val="0"/>
                      <w:sz w:val="20"/>
                      <w:szCs w:val="20"/>
                      <w:highlight w:val="none"/>
                      <w:u w:val="none"/>
                      <w:vertAlign w:val="subscript"/>
                      <w:lang w:val="en-US" w:eastAsia="zh-CN"/>
                    </w:rPr>
                    <w:t>3</w:t>
                  </w:r>
                  <w:r>
                    <w:rPr>
                      <w:rFonts w:hint="default" w:ascii="Times New Roman" w:hAnsi="Times New Roman" w:eastAsia="宋体" w:cs="Times New Roman"/>
                      <w:i w:val="0"/>
                      <w:iCs w:val="0"/>
                      <w:color w:val="auto"/>
                      <w:kern w:val="0"/>
                      <w:sz w:val="20"/>
                      <w:szCs w:val="20"/>
                      <w:highlight w:val="none"/>
                      <w:u w:val="none"/>
                      <w:lang w:val="en-US" w:eastAsia="zh-CN"/>
                    </w:rPr>
                    <w:t>-N</w:t>
                  </w:r>
                </w:p>
              </w:tc>
              <w:tc>
                <w:tcPr>
                  <w:tcW w:w="2035" w:type="dxa"/>
                  <w:shd w:val="clear" w:color="auto" w:fill="auto"/>
                  <w:vAlign w:val="center"/>
                </w:tcPr>
                <w:p w14:paraId="2DE519B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30</w:t>
                  </w:r>
                </w:p>
              </w:tc>
              <w:tc>
                <w:tcPr>
                  <w:tcW w:w="1813" w:type="dxa"/>
                  <w:shd w:val="clear" w:color="auto" w:fill="auto"/>
                  <w:vAlign w:val="center"/>
                </w:tcPr>
                <w:p w14:paraId="1A026D9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0.103 </w:t>
                  </w:r>
                </w:p>
              </w:tc>
              <w:tc>
                <w:tcPr>
                  <w:tcW w:w="1530" w:type="dxa"/>
                  <w:shd w:val="clear" w:color="auto" w:fill="auto"/>
                  <w:noWrap/>
                  <w:vAlign w:val="center"/>
                </w:tcPr>
                <w:p w14:paraId="1F32E50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0%</w:t>
                  </w:r>
                </w:p>
              </w:tc>
              <w:tc>
                <w:tcPr>
                  <w:tcW w:w="1746" w:type="dxa"/>
                  <w:shd w:val="clear" w:color="auto" w:fill="auto"/>
                  <w:vAlign w:val="center"/>
                </w:tcPr>
                <w:p w14:paraId="0CA45BC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30</w:t>
                  </w:r>
                </w:p>
              </w:tc>
              <w:tc>
                <w:tcPr>
                  <w:tcW w:w="1746" w:type="dxa"/>
                  <w:shd w:val="clear" w:color="auto" w:fill="auto"/>
                  <w:vAlign w:val="center"/>
                </w:tcPr>
                <w:p w14:paraId="5D0ADD9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 xml:space="preserve">0.103 </w:t>
                  </w:r>
                </w:p>
              </w:tc>
            </w:tr>
            <w:tr w14:paraId="41A922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913" w:type="pct"/>
                  <w:vMerge w:val="continue"/>
                  <w:shd w:val="clear" w:color="auto" w:fill="auto"/>
                  <w:noWrap/>
                  <w:vAlign w:val="center"/>
                </w:tcPr>
                <w:p w14:paraId="2D4066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val="0"/>
                      <w:bCs w:val="0"/>
                      <w:i w:val="0"/>
                      <w:iCs w:val="0"/>
                      <w:color w:val="auto"/>
                      <w:sz w:val="21"/>
                      <w:szCs w:val="21"/>
                      <w:highlight w:val="none"/>
                      <w:u w:val="none"/>
                    </w:rPr>
                  </w:pPr>
                </w:p>
              </w:tc>
              <w:tc>
                <w:tcPr>
                  <w:tcW w:w="781" w:type="pct"/>
                  <w:shd w:val="clear" w:color="auto" w:fill="auto"/>
                  <w:vAlign w:val="center"/>
                </w:tcPr>
                <w:p w14:paraId="65CB29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rPr>
                    <w:t>总磷</w:t>
                  </w:r>
                </w:p>
              </w:tc>
              <w:tc>
                <w:tcPr>
                  <w:tcW w:w="2035" w:type="dxa"/>
                  <w:shd w:val="clear" w:color="auto" w:fill="auto"/>
                  <w:vAlign w:val="center"/>
                </w:tcPr>
                <w:p w14:paraId="104E86B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rPr>
                    <w:t>5</w:t>
                  </w:r>
                </w:p>
              </w:tc>
              <w:tc>
                <w:tcPr>
                  <w:tcW w:w="1813" w:type="dxa"/>
                  <w:shd w:val="clear" w:color="auto" w:fill="auto"/>
                  <w:vAlign w:val="center"/>
                </w:tcPr>
                <w:p w14:paraId="2EB1429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0.017 </w:t>
                  </w:r>
                </w:p>
              </w:tc>
              <w:tc>
                <w:tcPr>
                  <w:tcW w:w="1530" w:type="dxa"/>
                  <w:shd w:val="clear" w:color="auto" w:fill="auto"/>
                  <w:noWrap/>
                  <w:vAlign w:val="center"/>
                </w:tcPr>
                <w:p w14:paraId="0F67C86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rPr>
                    <w:t>20%</w:t>
                  </w:r>
                </w:p>
              </w:tc>
              <w:tc>
                <w:tcPr>
                  <w:tcW w:w="1746" w:type="dxa"/>
                  <w:shd w:val="clear" w:color="auto" w:fill="auto"/>
                  <w:vAlign w:val="center"/>
                </w:tcPr>
                <w:p w14:paraId="4F7051F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rPr>
                    <w:t>4</w:t>
                  </w:r>
                </w:p>
              </w:tc>
              <w:tc>
                <w:tcPr>
                  <w:tcW w:w="1746" w:type="dxa"/>
                  <w:shd w:val="clear" w:color="auto" w:fill="auto"/>
                  <w:vAlign w:val="center"/>
                </w:tcPr>
                <w:p w14:paraId="361F408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 xml:space="preserve">0.014 </w:t>
                  </w:r>
                </w:p>
              </w:tc>
            </w:tr>
            <w:tr w14:paraId="4D6A36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913" w:type="pct"/>
                  <w:vMerge w:val="continue"/>
                  <w:shd w:val="clear" w:color="auto" w:fill="auto"/>
                  <w:noWrap/>
                  <w:vAlign w:val="center"/>
                </w:tcPr>
                <w:p w14:paraId="473DB1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val="0"/>
                      <w:bCs w:val="0"/>
                      <w:i w:val="0"/>
                      <w:iCs w:val="0"/>
                      <w:color w:val="auto"/>
                      <w:sz w:val="21"/>
                      <w:szCs w:val="21"/>
                      <w:highlight w:val="none"/>
                      <w:u w:val="none"/>
                    </w:rPr>
                  </w:pPr>
                </w:p>
              </w:tc>
              <w:tc>
                <w:tcPr>
                  <w:tcW w:w="781" w:type="pct"/>
                  <w:shd w:val="clear" w:color="auto" w:fill="auto"/>
                  <w:vAlign w:val="center"/>
                </w:tcPr>
                <w:p w14:paraId="546FBE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kern w:val="0"/>
                      <w:sz w:val="20"/>
                      <w:szCs w:val="20"/>
                      <w:highlight w:val="none"/>
                      <w:u w:val="none"/>
                      <w:lang w:val="en-US" w:eastAsia="zh-CN"/>
                    </w:rPr>
                  </w:pPr>
                  <w:r>
                    <w:rPr>
                      <w:rFonts w:hint="eastAsia" w:cs="Times New Roman"/>
                      <w:i w:val="0"/>
                      <w:iCs w:val="0"/>
                      <w:color w:val="auto"/>
                      <w:kern w:val="0"/>
                      <w:sz w:val="20"/>
                      <w:szCs w:val="20"/>
                      <w:highlight w:val="none"/>
                      <w:u w:val="none"/>
                      <w:lang w:val="en-US" w:eastAsia="zh-CN"/>
                    </w:rPr>
                    <w:t>LAS</w:t>
                  </w:r>
                </w:p>
              </w:tc>
              <w:tc>
                <w:tcPr>
                  <w:tcW w:w="2035" w:type="dxa"/>
                  <w:shd w:val="clear" w:color="auto" w:fill="auto"/>
                  <w:vAlign w:val="center"/>
                </w:tcPr>
                <w:p w14:paraId="1ACE1583">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auto"/>
                      <w:kern w:val="0"/>
                      <w:sz w:val="20"/>
                      <w:szCs w:val="20"/>
                      <w:highlight w:val="none"/>
                      <w:u w:val="none"/>
                      <w:lang w:val="en-US" w:eastAsia="zh-CN"/>
                    </w:rPr>
                  </w:pPr>
                  <w:r>
                    <w:rPr>
                      <w:rFonts w:hint="eastAsia" w:cs="Times New Roman"/>
                      <w:i w:val="0"/>
                      <w:iCs w:val="0"/>
                      <w:color w:val="auto"/>
                      <w:kern w:val="0"/>
                      <w:sz w:val="20"/>
                      <w:szCs w:val="20"/>
                      <w:highlight w:val="none"/>
                      <w:u w:val="none"/>
                      <w:lang w:val="en-US" w:eastAsia="zh-CN"/>
                    </w:rPr>
                    <w:t>5</w:t>
                  </w:r>
                </w:p>
              </w:tc>
              <w:tc>
                <w:tcPr>
                  <w:tcW w:w="1813" w:type="dxa"/>
                  <w:shd w:val="clear" w:color="auto" w:fill="auto"/>
                  <w:vAlign w:val="center"/>
                </w:tcPr>
                <w:p w14:paraId="0B77305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bidi="ar"/>
                    </w:rPr>
                  </w:pPr>
                  <w:r>
                    <w:rPr>
                      <w:rFonts w:hint="eastAsia" w:cs="Times New Roman"/>
                      <w:i w:val="0"/>
                      <w:iCs w:val="0"/>
                      <w:color w:val="auto"/>
                      <w:kern w:val="0"/>
                      <w:sz w:val="20"/>
                      <w:szCs w:val="20"/>
                      <w:highlight w:val="none"/>
                      <w:u w:val="none"/>
                      <w:lang w:val="en-US" w:eastAsia="zh-CN" w:bidi="ar"/>
                    </w:rPr>
                    <w:t>0.017</w:t>
                  </w:r>
                </w:p>
              </w:tc>
              <w:tc>
                <w:tcPr>
                  <w:tcW w:w="1530" w:type="dxa"/>
                  <w:shd w:val="clear" w:color="auto" w:fill="auto"/>
                  <w:noWrap/>
                  <w:vAlign w:val="center"/>
                </w:tcPr>
                <w:p w14:paraId="7E389912">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auto"/>
                      <w:kern w:val="0"/>
                      <w:sz w:val="20"/>
                      <w:szCs w:val="20"/>
                      <w:highlight w:val="none"/>
                      <w:u w:val="none"/>
                      <w:lang w:val="en-US" w:eastAsia="zh-CN"/>
                    </w:rPr>
                  </w:pPr>
                  <w:r>
                    <w:rPr>
                      <w:rFonts w:hint="eastAsia" w:cs="Times New Roman"/>
                      <w:i w:val="0"/>
                      <w:iCs w:val="0"/>
                      <w:color w:val="auto"/>
                      <w:kern w:val="0"/>
                      <w:sz w:val="20"/>
                      <w:szCs w:val="20"/>
                      <w:highlight w:val="none"/>
                      <w:u w:val="none"/>
                      <w:lang w:val="en-US" w:eastAsia="zh-CN"/>
                    </w:rPr>
                    <w:t>0%</w:t>
                  </w:r>
                </w:p>
              </w:tc>
              <w:tc>
                <w:tcPr>
                  <w:tcW w:w="1746" w:type="dxa"/>
                  <w:shd w:val="clear" w:color="auto" w:fill="auto"/>
                  <w:vAlign w:val="center"/>
                </w:tcPr>
                <w:p w14:paraId="34F1DE19">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auto"/>
                      <w:kern w:val="0"/>
                      <w:sz w:val="20"/>
                      <w:szCs w:val="20"/>
                      <w:highlight w:val="none"/>
                      <w:u w:val="none"/>
                      <w:lang w:val="en-US" w:eastAsia="zh-CN"/>
                    </w:rPr>
                  </w:pPr>
                  <w:r>
                    <w:rPr>
                      <w:rFonts w:hint="eastAsia" w:cs="Times New Roman"/>
                      <w:i w:val="0"/>
                      <w:iCs w:val="0"/>
                      <w:color w:val="auto"/>
                      <w:kern w:val="0"/>
                      <w:sz w:val="20"/>
                      <w:szCs w:val="20"/>
                      <w:highlight w:val="none"/>
                      <w:u w:val="none"/>
                      <w:lang w:val="en-US" w:eastAsia="zh-CN"/>
                    </w:rPr>
                    <w:t>5</w:t>
                  </w:r>
                </w:p>
              </w:tc>
              <w:tc>
                <w:tcPr>
                  <w:tcW w:w="1746" w:type="dxa"/>
                  <w:shd w:val="clear" w:color="auto" w:fill="auto"/>
                  <w:vAlign w:val="center"/>
                </w:tcPr>
                <w:p w14:paraId="107C3E1C">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0.017</w:t>
                  </w:r>
                </w:p>
              </w:tc>
            </w:tr>
            <w:tr w14:paraId="11A622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913" w:type="pct"/>
                  <w:vMerge w:val="continue"/>
                  <w:shd w:val="clear" w:color="auto" w:fill="auto"/>
                  <w:noWrap/>
                  <w:vAlign w:val="center"/>
                </w:tcPr>
                <w:p w14:paraId="268400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val="0"/>
                      <w:bCs w:val="0"/>
                      <w:i w:val="0"/>
                      <w:iCs w:val="0"/>
                      <w:color w:val="auto"/>
                      <w:sz w:val="21"/>
                      <w:szCs w:val="21"/>
                      <w:highlight w:val="none"/>
                      <w:u w:val="none"/>
                    </w:rPr>
                  </w:pPr>
                </w:p>
              </w:tc>
              <w:tc>
                <w:tcPr>
                  <w:tcW w:w="781" w:type="pct"/>
                  <w:shd w:val="clear" w:color="auto" w:fill="auto"/>
                  <w:vAlign w:val="center"/>
                </w:tcPr>
                <w:p w14:paraId="1BFAE4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eastAsia" w:cs="Times New Roman"/>
                      <w:i w:val="0"/>
                      <w:iCs w:val="0"/>
                      <w:color w:val="auto"/>
                      <w:kern w:val="0"/>
                      <w:sz w:val="20"/>
                      <w:szCs w:val="20"/>
                      <w:highlight w:val="none"/>
                      <w:u w:val="none"/>
                      <w:lang w:val="en-US" w:eastAsia="zh-CN"/>
                    </w:rPr>
                    <w:t>总氮</w:t>
                  </w:r>
                </w:p>
              </w:tc>
              <w:tc>
                <w:tcPr>
                  <w:tcW w:w="2035" w:type="dxa"/>
                  <w:shd w:val="clear" w:color="auto" w:fill="auto"/>
                  <w:vAlign w:val="center"/>
                </w:tcPr>
                <w:p w14:paraId="402281E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eastAsia" w:cs="Times New Roman"/>
                      <w:i w:val="0"/>
                      <w:iCs w:val="0"/>
                      <w:color w:val="auto"/>
                      <w:kern w:val="0"/>
                      <w:sz w:val="20"/>
                      <w:szCs w:val="20"/>
                      <w:highlight w:val="none"/>
                      <w:u w:val="none"/>
                      <w:lang w:val="en-US" w:eastAsia="zh-CN"/>
                    </w:rPr>
                    <w:t>40</w:t>
                  </w:r>
                </w:p>
              </w:tc>
              <w:tc>
                <w:tcPr>
                  <w:tcW w:w="1813" w:type="dxa"/>
                  <w:shd w:val="clear" w:color="auto" w:fill="auto"/>
                  <w:vAlign w:val="center"/>
                </w:tcPr>
                <w:p w14:paraId="50E46D3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0.137 </w:t>
                  </w:r>
                </w:p>
              </w:tc>
              <w:tc>
                <w:tcPr>
                  <w:tcW w:w="1530" w:type="dxa"/>
                  <w:shd w:val="clear" w:color="auto" w:fill="auto"/>
                  <w:noWrap/>
                  <w:vAlign w:val="center"/>
                </w:tcPr>
                <w:p w14:paraId="742381A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eastAsia" w:cs="Times New Roman"/>
                      <w:i w:val="0"/>
                      <w:iCs w:val="0"/>
                      <w:color w:val="auto"/>
                      <w:kern w:val="0"/>
                      <w:sz w:val="20"/>
                      <w:szCs w:val="20"/>
                      <w:highlight w:val="none"/>
                      <w:u w:val="none"/>
                      <w:lang w:val="en-US" w:eastAsia="zh-CN"/>
                    </w:rPr>
                    <w:t>0%</w:t>
                  </w:r>
                </w:p>
              </w:tc>
              <w:tc>
                <w:tcPr>
                  <w:tcW w:w="1746" w:type="dxa"/>
                  <w:shd w:val="clear" w:color="auto" w:fill="auto"/>
                  <w:vAlign w:val="center"/>
                </w:tcPr>
                <w:p w14:paraId="46595CE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eastAsia" w:cs="Times New Roman"/>
                      <w:i w:val="0"/>
                      <w:iCs w:val="0"/>
                      <w:color w:val="auto"/>
                      <w:kern w:val="0"/>
                      <w:sz w:val="20"/>
                      <w:szCs w:val="20"/>
                      <w:highlight w:val="none"/>
                      <w:u w:val="none"/>
                      <w:lang w:val="en-US" w:eastAsia="zh-CN"/>
                    </w:rPr>
                    <w:t>40</w:t>
                  </w:r>
                </w:p>
              </w:tc>
              <w:tc>
                <w:tcPr>
                  <w:tcW w:w="1746" w:type="dxa"/>
                  <w:shd w:val="clear" w:color="auto" w:fill="auto"/>
                  <w:vAlign w:val="center"/>
                </w:tcPr>
                <w:p w14:paraId="36369A2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0.137</w:t>
                  </w:r>
                </w:p>
              </w:tc>
            </w:tr>
            <w:tr w14:paraId="372191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913" w:type="pct"/>
                  <w:vMerge w:val="continue"/>
                  <w:shd w:val="clear" w:color="auto" w:fill="auto"/>
                  <w:noWrap/>
                  <w:vAlign w:val="center"/>
                </w:tcPr>
                <w:p w14:paraId="3127A1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val="0"/>
                      <w:bCs w:val="0"/>
                      <w:i w:val="0"/>
                      <w:iCs w:val="0"/>
                      <w:color w:val="auto"/>
                      <w:sz w:val="21"/>
                      <w:szCs w:val="21"/>
                      <w:highlight w:val="none"/>
                      <w:u w:val="none"/>
                    </w:rPr>
                  </w:pPr>
                </w:p>
              </w:tc>
              <w:tc>
                <w:tcPr>
                  <w:tcW w:w="781" w:type="pct"/>
                  <w:shd w:val="clear" w:color="auto" w:fill="auto"/>
                  <w:vAlign w:val="center"/>
                </w:tcPr>
                <w:p w14:paraId="73887E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kern w:val="0"/>
                      <w:sz w:val="20"/>
                      <w:szCs w:val="20"/>
                      <w:highlight w:val="none"/>
                      <w:u w:val="none"/>
                      <w:lang w:val="en-US" w:eastAsia="zh-CN"/>
                    </w:rPr>
                  </w:pPr>
                  <w:r>
                    <w:rPr>
                      <w:rFonts w:hint="default" w:ascii="Times New Roman" w:hAnsi="Times New Roman" w:cs="Times New Roman"/>
                      <w:b w:val="0"/>
                      <w:bCs w:val="0"/>
                      <w:i w:val="0"/>
                      <w:iCs w:val="0"/>
                      <w:color w:val="auto"/>
                      <w:kern w:val="0"/>
                      <w:sz w:val="20"/>
                      <w:szCs w:val="20"/>
                      <w:highlight w:val="none"/>
                      <w:u w:val="none"/>
                      <w:lang w:val="en-US" w:eastAsia="zh-CN"/>
                    </w:rPr>
                    <w:t>动植物油</w:t>
                  </w:r>
                </w:p>
              </w:tc>
              <w:tc>
                <w:tcPr>
                  <w:tcW w:w="2035" w:type="dxa"/>
                  <w:shd w:val="clear" w:color="auto" w:fill="auto"/>
                  <w:vAlign w:val="center"/>
                </w:tcPr>
                <w:p w14:paraId="01E0A73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rPr>
                    <w:t>100</w:t>
                  </w:r>
                </w:p>
              </w:tc>
              <w:tc>
                <w:tcPr>
                  <w:tcW w:w="1833" w:type="dxa"/>
                  <w:shd w:val="clear" w:color="auto" w:fill="auto"/>
                  <w:vAlign w:val="center"/>
                </w:tcPr>
                <w:p w14:paraId="1A54CF0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0.342 </w:t>
                  </w:r>
                </w:p>
              </w:tc>
              <w:tc>
                <w:tcPr>
                  <w:tcW w:w="1530" w:type="dxa"/>
                  <w:shd w:val="clear" w:color="auto" w:fill="auto"/>
                  <w:noWrap/>
                  <w:vAlign w:val="center"/>
                </w:tcPr>
                <w:p w14:paraId="5A257B7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80%</w:t>
                  </w:r>
                </w:p>
              </w:tc>
              <w:tc>
                <w:tcPr>
                  <w:tcW w:w="1765" w:type="dxa"/>
                  <w:shd w:val="clear" w:color="auto" w:fill="auto"/>
                  <w:vAlign w:val="center"/>
                </w:tcPr>
                <w:p w14:paraId="4435F1B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rPr>
                    <w:t>20</w:t>
                  </w:r>
                </w:p>
              </w:tc>
              <w:tc>
                <w:tcPr>
                  <w:tcW w:w="1765" w:type="dxa"/>
                  <w:shd w:val="clear" w:color="auto" w:fill="auto"/>
                  <w:vAlign w:val="center"/>
                </w:tcPr>
                <w:p w14:paraId="208C7A8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 xml:space="preserve">0.068 </w:t>
                  </w:r>
                </w:p>
              </w:tc>
            </w:tr>
            <w:tr w14:paraId="78C864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40" w:hRule="atLeast"/>
                <w:jc w:val="center"/>
              </w:trPr>
              <w:tc>
                <w:tcPr>
                  <w:tcW w:w="5000" w:type="pct"/>
                  <w:gridSpan w:val="7"/>
                  <w:vMerge w:val="restart"/>
                  <w:shd w:val="clear" w:color="auto" w:fill="auto"/>
                  <w:vAlign w:val="center"/>
                </w:tcPr>
                <w:p w14:paraId="7D8617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left"/>
                    <w:textAlignment w:val="center"/>
                    <w:rPr>
                      <w:rFonts w:hint="default" w:ascii="Times New Roman" w:hAnsi="Times New Roman" w:eastAsia="宋体" w:cs="Times New Roman"/>
                      <w:b w:val="0"/>
                      <w:bCs w:val="0"/>
                      <w:i w:val="0"/>
                      <w:iCs w:val="0"/>
                      <w:color w:val="auto"/>
                      <w:sz w:val="21"/>
                      <w:szCs w:val="21"/>
                      <w:highlight w:val="none"/>
                      <w:u w:val="none"/>
                      <w:lang w:val="en-US"/>
                    </w:rPr>
                  </w:pPr>
                  <w:r>
                    <w:rPr>
                      <w:rFonts w:hint="default" w:ascii="Times New Roman" w:hAnsi="Times New Roman" w:eastAsia="宋体" w:cs="Times New Roman"/>
                      <w:b/>
                      <w:bCs/>
                      <w:i w:val="0"/>
                      <w:iCs w:val="0"/>
                      <w:color w:val="auto"/>
                      <w:kern w:val="0"/>
                      <w:sz w:val="21"/>
                      <w:szCs w:val="21"/>
                      <w:highlight w:val="none"/>
                      <w:u w:val="none"/>
                      <w:lang w:val="en-US" w:eastAsia="zh-CN"/>
                    </w:rPr>
                    <w:t>注：</w:t>
                  </w:r>
                  <w:r>
                    <w:rPr>
                      <w:rFonts w:hint="default" w:ascii="Times New Roman" w:hAnsi="Times New Roman" w:eastAsia="宋体" w:cs="Times New Roman"/>
                      <w:b w:val="0"/>
                      <w:bCs w:val="0"/>
                      <w:i w:val="0"/>
                      <w:iCs w:val="0"/>
                      <w:color w:val="auto"/>
                      <w:kern w:val="0"/>
                      <w:sz w:val="21"/>
                      <w:szCs w:val="21"/>
                      <w:highlight w:val="none"/>
                      <w:u w:val="none"/>
                      <w:lang w:val="en-US" w:eastAsia="zh-CN"/>
                    </w:rPr>
                    <w:t>1、项目生活污水主要污染物为COD</w:t>
                  </w:r>
                  <w:r>
                    <w:rPr>
                      <w:rFonts w:hint="default" w:ascii="Times New Roman" w:hAnsi="Times New Roman" w:eastAsia="宋体" w:cs="Times New Roman"/>
                      <w:b w:val="0"/>
                      <w:bCs w:val="0"/>
                      <w:i w:val="0"/>
                      <w:iCs w:val="0"/>
                      <w:color w:val="auto"/>
                      <w:kern w:val="0"/>
                      <w:sz w:val="21"/>
                      <w:szCs w:val="21"/>
                      <w:highlight w:val="none"/>
                      <w:u w:val="none"/>
                      <w:vertAlign w:val="subscript"/>
                      <w:lang w:val="en-US" w:eastAsia="zh-CN"/>
                    </w:rPr>
                    <w:t>Cr</w:t>
                  </w:r>
                  <w:r>
                    <w:rPr>
                      <w:rFonts w:hint="default" w:ascii="Times New Roman" w:hAnsi="Times New Roman" w:eastAsia="宋体" w:cs="Times New Roman"/>
                      <w:b w:val="0"/>
                      <w:bCs w:val="0"/>
                      <w:i w:val="0"/>
                      <w:iCs w:val="0"/>
                      <w:color w:val="auto"/>
                      <w:kern w:val="0"/>
                      <w:sz w:val="21"/>
                      <w:szCs w:val="21"/>
                      <w:highlight w:val="none"/>
                      <w:u w:val="none"/>
                      <w:lang w:val="en-US" w:eastAsia="zh-CN"/>
                    </w:rPr>
                    <w:t>、BOD</w:t>
                  </w:r>
                  <w:r>
                    <w:rPr>
                      <w:rFonts w:hint="default" w:ascii="Times New Roman" w:hAnsi="Times New Roman" w:eastAsia="宋体" w:cs="Times New Roman"/>
                      <w:b w:val="0"/>
                      <w:bCs w:val="0"/>
                      <w:i w:val="0"/>
                      <w:iCs w:val="0"/>
                      <w:color w:val="auto"/>
                      <w:kern w:val="0"/>
                      <w:sz w:val="21"/>
                      <w:szCs w:val="21"/>
                      <w:highlight w:val="none"/>
                      <w:u w:val="none"/>
                      <w:vertAlign w:val="subscript"/>
                      <w:lang w:val="en-US" w:eastAsia="zh-CN"/>
                    </w:rPr>
                    <w:t>5</w:t>
                  </w:r>
                  <w:r>
                    <w:rPr>
                      <w:rFonts w:hint="default" w:ascii="Times New Roman" w:hAnsi="Times New Roman" w:eastAsia="宋体" w:cs="Times New Roman"/>
                      <w:b w:val="0"/>
                      <w:bCs w:val="0"/>
                      <w:i w:val="0"/>
                      <w:iCs w:val="0"/>
                      <w:color w:val="auto"/>
                      <w:kern w:val="0"/>
                      <w:sz w:val="21"/>
                      <w:szCs w:val="21"/>
                      <w:highlight w:val="none"/>
                      <w:u w:val="none"/>
                      <w:lang w:val="en-US" w:eastAsia="zh-CN"/>
                    </w:rPr>
                    <w:t>、SS、NH</w:t>
                  </w:r>
                  <w:r>
                    <w:rPr>
                      <w:rFonts w:hint="default" w:ascii="Times New Roman" w:hAnsi="Times New Roman" w:eastAsia="宋体" w:cs="Times New Roman"/>
                      <w:b w:val="0"/>
                      <w:bCs w:val="0"/>
                      <w:i w:val="0"/>
                      <w:iCs w:val="0"/>
                      <w:color w:val="auto"/>
                      <w:kern w:val="0"/>
                      <w:sz w:val="21"/>
                      <w:szCs w:val="21"/>
                      <w:highlight w:val="none"/>
                      <w:u w:val="none"/>
                      <w:vertAlign w:val="subscript"/>
                      <w:lang w:val="en-US" w:eastAsia="zh-CN"/>
                    </w:rPr>
                    <w:t>3</w:t>
                  </w:r>
                  <w:r>
                    <w:rPr>
                      <w:rFonts w:hint="default" w:ascii="Times New Roman" w:hAnsi="Times New Roman" w:eastAsia="宋体" w:cs="Times New Roman"/>
                      <w:b w:val="0"/>
                      <w:bCs w:val="0"/>
                      <w:i w:val="0"/>
                      <w:iCs w:val="0"/>
                      <w:color w:val="auto"/>
                      <w:kern w:val="0"/>
                      <w:sz w:val="21"/>
                      <w:szCs w:val="21"/>
                      <w:highlight w:val="none"/>
                      <w:u w:val="none"/>
                      <w:lang w:val="en-US" w:eastAsia="zh-CN"/>
                    </w:rPr>
                    <w:t>-N</w:t>
                  </w:r>
                  <w:r>
                    <w:rPr>
                      <w:rFonts w:hint="default" w:ascii="Times New Roman" w:hAnsi="Times New Roman" w:cs="Times New Roman"/>
                      <w:b w:val="0"/>
                      <w:bCs w:val="0"/>
                      <w:i w:val="0"/>
                      <w:iCs w:val="0"/>
                      <w:color w:val="auto"/>
                      <w:kern w:val="0"/>
                      <w:sz w:val="21"/>
                      <w:szCs w:val="21"/>
                      <w:highlight w:val="none"/>
                      <w:u w:val="none"/>
                      <w:lang w:val="en-US" w:eastAsia="zh-CN"/>
                    </w:rPr>
                    <w:t>、总磷</w:t>
                  </w:r>
                  <w:r>
                    <w:rPr>
                      <w:rFonts w:hint="default" w:ascii="Times New Roman" w:hAnsi="Times New Roman" w:eastAsia="宋体" w:cs="Times New Roman"/>
                      <w:b w:val="0"/>
                      <w:bCs w:val="0"/>
                      <w:i w:val="0"/>
                      <w:iCs w:val="0"/>
                      <w:color w:val="auto"/>
                      <w:kern w:val="0"/>
                      <w:sz w:val="21"/>
                      <w:szCs w:val="21"/>
                      <w:highlight w:val="none"/>
                      <w:u w:val="none"/>
                      <w:lang w:val="en-US" w:eastAsia="zh-CN"/>
                    </w:rPr>
                    <w:t>，生活污水产生浓度参照《给水排水设计手册（第五册城镇排水）》（中国建筑工业出版社）表4-1典型生活污水水质示例中浓度</w:t>
                  </w:r>
                  <w:r>
                    <w:rPr>
                      <w:rFonts w:hint="default" w:ascii="Times New Roman" w:hAnsi="Times New Roman" w:cs="Times New Roman"/>
                      <w:b w:val="0"/>
                      <w:bCs w:val="0"/>
                      <w:i w:val="0"/>
                      <w:iCs w:val="0"/>
                      <w:color w:val="auto"/>
                      <w:kern w:val="0"/>
                      <w:sz w:val="21"/>
                      <w:szCs w:val="21"/>
                      <w:highlight w:val="none"/>
                      <w:u w:val="none"/>
                      <w:lang w:val="en-US" w:eastAsia="zh-CN"/>
                    </w:rPr>
                    <w:t>，动植物油产生浓度参考《排水工程》（第四版下册）中“典型生活污水水质”中“中常浓度”水质参数，产生浓度为100mg/L。</w:t>
                  </w:r>
                  <w:r>
                    <w:rPr>
                      <w:rFonts w:hint="default" w:ascii="Times New Roman" w:hAnsi="Times New Roman" w:eastAsia="宋体" w:cs="Times New Roman"/>
                      <w:b w:val="0"/>
                      <w:bCs w:val="0"/>
                      <w:i w:val="0"/>
                      <w:iCs w:val="0"/>
                      <w:color w:val="auto"/>
                      <w:kern w:val="0"/>
                      <w:sz w:val="21"/>
                      <w:szCs w:val="21"/>
                      <w:highlight w:val="none"/>
                      <w:u w:val="none"/>
                      <w:lang w:val="en-US" w:eastAsia="zh-CN"/>
                    </w:rPr>
                    <w:br w:type="textWrapping"/>
                  </w:r>
                  <w:r>
                    <w:rPr>
                      <w:rFonts w:hint="default" w:ascii="Times New Roman" w:hAnsi="Times New Roman" w:eastAsia="宋体" w:cs="Times New Roman"/>
                      <w:b w:val="0"/>
                      <w:bCs w:val="0"/>
                      <w:i w:val="0"/>
                      <w:iCs w:val="0"/>
                      <w:color w:val="auto"/>
                      <w:kern w:val="0"/>
                      <w:sz w:val="21"/>
                      <w:szCs w:val="21"/>
                      <w:highlight w:val="none"/>
                      <w:u w:val="none"/>
                      <w:lang w:val="en-US" w:eastAsia="zh-CN"/>
                    </w:rPr>
                    <w:t>2、根据《室外排水设计规范（2011年版）》（GB50014-2006）、《村镇生活污染防治最佳可行技术指南（试行）》（HJ-BAT-9）三级化粪池对COD</w:t>
                  </w:r>
                  <w:r>
                    <w:rPr>
                      <w:rFonts w:hint="default" w:ascii="Times New Roman" w:hAnsi="Times New Roman" w:eastAsia="宋体" w:cs="Times New Roman"/>
                      <w:b w:val="0"/>
                      <w:bCs w:val="0"/>
                      <w:i w:val="0"/>
                      <w:iCs w:val="0"/>
                      <w:color w:val="auto"/>
                      <w:kern w:val="0"/>
                      <w:sz w:val="21"/>
                      <w:szCs w:val="21"/>
                      <w:highlight w:val="none"/>
                      <w:u w:val="none"/>
                      <w:vertAlign w:val="subscript"/>
                      <w:lang w:val="en-US" w:eastAsia="zh-CN"/>
                    </w:rPr>
                    <w:t>Cr</w:t>
                  </w:r>
                  <w:r>
                    <w:rPr>
                      <w:rFonts w:hint="default" w:ascii="Times New Roman" w:hAnsi="Times New Roman" w:eastAsia="宋体" w:cs="Times New Roman"/>
                      <w:b w:val="0"/>
                      <w:bCs w:val="0"/>
                      <w:i w:val="0"/>
                      <w:iCs w:val="0"/>
                      <w:color w:val="auto"/>
                      <w:kern w:val="0"/>
                      <w:sz w:val="21"/>
                      <w:szCs w:val="21"/>
                      <w:highlight w:val="none"/>
                      <w:u w:val="none"/>
                      <w:lang w:val="en-US" w:eastAsia="zh-CN"/>
                    </w:rPr>
                    <w:t>、BOD</w:t>
                  </w:r>
                  <w:r>
                    <w:rPr>
                      <w:rFonts w:hint="default" w:ascii="Times New Roman" w:hAnsi="Times New Roman" w:eastAsia="宋体" w:cs="Times New Roman"/>
                      <w:b w:val="0"/>
                      <w:bCs w:val="0"/>
                      <w:i w:val="0"/>
                      <w:iCs w:val="0"/>
                      <w:color w:val="auto"/>
                      <w:kern w:val="0"/>
                      <w:sz w:val="21"/>
                      <w:szCs w:val="21"/>
                      <w:highlight w:val="none"/>
                      <w:u w:val="none"/>
                      <w:vertAlign w:val="subscript"/>
                      <w:lang w:val="en-US" w:eastAsia="zh-CN"/>
                    </w:rPr>
                    <w:t>5</w:t>
                  </w:r>
                  <w:r>
                    <w:rPr>
                      <w:rFonts w:hint="default" w:ascii="Times New Roman" w:hAnsi="Times New Roman" w:eastAsia="宋体" w:cs="Times New Roman"/>
                      <w:b w:val="0"/>
                      <w:bCs w:val="0"/>
                      <w:i w:val="0"/>
                      <w:iCs w:val="0"/>
                      <w:color w:val="auto"/>
                      <w:kern w:val="0"/>
                      <w:sz w:val="21"/>
                      <w:szCs w:val="21"/>
                      <w:highlight w:val="none"/>
                      <w:u w:val="none"/>
                      <w:lang w:val="en-US" w:eastAsia="zh-CN"/>
                    </w:rPr>
                    <w:t>、SS</w:t>
                  </w:r>
                  <w:r>
                    <w:rPr>
                      <w:rFonts w:hint="default" w:ascii="Times New Roman" w:hAnsi="Times New Roman" w:cs="Times New Roman"/>
                      <w:b w:val="0"/>
                      <w:bCs w:val="0"/>
                      <w:i w:val="0"/>
                      <w:iCs w:val="0"/>
                      <w:color w:val="auto"/>
                      <w:kern w:val="0"/>
                      <w:sz w:val="21"/>
                      <w:szCs w:val="21"/>
                      <w:highlight w:val="none"/>
                      <w:u w:val="none"/>
                      <w:lang w:val="en-US" w:eastAsia="zh-CN"/>
                    </w:rPr>
                    <w:t>、</w:t>
                  </w:r>
                  <w:r>
                    <w:rPr>
                      <w:rFonts w:hint="default" w:ascii="Times New Roman" w:hAnsi="Times New Roman" w:eastAsia="宋体" w:cs="Times New Roman"/>
                      <w:b w:val="0"/>
                      <w:bCs w:val="0"/>
                      <w:i w:val="0"/>
                      <w:iCs w:val="0"/>
                      <w:color w:val="auto"/>
                      <w:kern w:val="0"/>
                      <w:sz w:val="21"/>
                      <w:szCs w:val="21"/>
                      <w:highlight w:val="none"/>
                      <w:u w:val="none"/>
                      <w:lang w:val="en-US" w:eastAsia="zh-CN"/>
                    </w:rPr>
                    <w:t>NH</w:t>
                  </w:r>
                  <w:r>
                    <w:rPr>
                      <w:rFonts w:hint="default" w:ascii="Times New Roman" w:hAnsi="Times New Roman" w:eastAsia="宋体" w:cs="Times New Roman"/>
                      <w:b w:val="0"/>
                      <w:bCs w:val="0"/>
                      <w:i w:val="0"/>
                      <w:iCs w:val="0"/>
                      <w:color w:val="auto"/>
                      <w:kern w:val="0"/>
                      <w:sz w:val="21"/>
                      <w:szCs w:val="21"/>
                      <w:highlight w:val="none"/>
                      <w:u w:val="none"/>
                      <w:vertAlign w:val="subscript"/>
                      <w:lang w:val="en-US" w:eastAsia="zh-CN"/>
                    </w:rPr>
                    <w:t>3</w:t>
                  </w:r>
                  <w:r>
                    <w:rPr>
                      <w:rFonts w:hint="default" w:ascii="Times New Roman" w:hAnsi="Times New Roman" w:eastAsia="宋体" w:cs="Times New Roman"/>
                      <w:b w:val="0"/>
                      <w:bCs w:val="0"/>
                      <w:i w:val="0"/>
                      <w:iCs w:val="0"/>
                      <w:color w:val="auto"/>
                      <w:kern w:val="0"/>
                      <w:sz w:val="21"/>
                      <w:szCs w:val="21"/>
                      <w:highlight w:val="none"/>
                      <w:u w:val="none"/>
                      <w:lang w:val="en-US" w:eastAsia="zh-CN"/>
                    </w:rPr>
                    <w:t>-N</w:t>
                  </w:r>
                  <w:r>
                    <w:rPr>
                      <w:rFonts w:hint="default" w:ascii="Times New Roman" w:hAnsi="Times New Roman" w:cs="Times New Roman"/>
                      <w:b w:val="0"/>
                      <w:bCs w:val="0"/>
                      <w:i w:val="0"/>
                      <w:iCs w:val="0"/>
                      <w:color w:val="auto"/>
                      <w:kern w:val="0"/>
                      <w:sz w:val="21"/>
                      <w:szCs w:val="21"/>
                      <w:highlight w:val="none"/>
                      <w:u w:val="none"/>
                      <w:lang w:val="en-US" w:eastAsia="zh-CN"/>
                    </w:rPr>
                    <w:t>、总磷</w:t>
                  </w:r>
                  <w:r>
                    <w:rPr>
                      <w:rFonts w:hint="default" w:ascii="Times New Roman" w:hAnsi="Times New Roman" w:eastAsia="宋体" w:cs="Times New Roman"/>
                      <w:b w:val="0"/>
                      <w:bCs w:val="0"/>
                      <w:i w:val="0"/>
                      <w:iCs w:val="0"/>
                      <w:color w:val="auto"/>
                      <w:kern w:val="0"/>
                      <w:sz w:val="21"/>
                      <w:szCs w:val="21"/>
                      <w:highlight w:val="none"/>
                      <w:u w:val="none"/>
                      <w:lang w:val="en-US" w:eastAsia="zh-CN"/>
                    </w:rPr>
                    <w:t>分别的处理效率为20%、5%、30%</w:t>
                  </w:r>
                  <w:r>
                    <w:rPr>
                      <w:rFonts w:hint="default" w:ascii="Times New Roman" w:hAnsi="Times New Roman" w:cs="Times New Roman"/>
                      <w:b w:val="0"/>
                      <w:bCs w:val="0"/>
                      <w:i w:val="0"/>
                      <w:iCs w:val="0"/>
                      <w:color w:val="auto"/>
                      <w:kern w:val="0"/>
                      <w:sz w:val="21"/>
                      <w:szCs w:val="21"/>
                      <w:highlight w:val="none"/>
                      <w:u w:val="none"/>
                      <w:lang w:val="en-US" w:eastAsia="zh-CN"/>
                    </w:rPr>
                    <w:t>、</w:t>
                  </w:r>
                  <w:r>
                    <w:rPr>
                      <w:rFonts w:hint="default" w:ascii="Times New Roman" w:hAnsi="Times New Roman" w:eastAsia="宋体" w:cs="Times New Roman"/>
                      <w:b w:val="0"/>
                      <w:bCs w:val="0"/>
                      <w:i w:val="0"/>
                      <w:iCs w:val="0"/>
                      <w:color w:val="auto"/>
                      <w:kern w:val="0"/>
                      <w:sz w:val="21"/>
                      <w:szCs w:val="21"/>
                      <w:highlight w:val="none"/>
                      <w:u w:val="none"/>
                      <w:lang w:val="en-US" w:eastAsia="zh-CN"/>
                    </w:rPr>
                    <w:t>0%</w:t>
                  </w:r>
                  <w:r>
                    <w:rPr>
                      <w:rFonts w:hint="default" w:ascii="Times New Roman" w:hAnsi="Times New Roman" w:cs="Times New Roman"/>
                      <w:b w:val="0"/>
                      <w:bCs w:val="0"/>
                      <w:i w:val="0"/>
                      <w:iCs w:val="0"/>
                      <w:color w:val="auto"/>
                      <w:kern w:val="0"/>
                      <w:sz w:val="21"/>
                      <w:szCs w:val="21"/>
                      <w:highlight w:val="none"/>
                      <w:u w:val="none"/>
                      <w:lang w:val="en-US" w:eastAsia="zh-CN"/>
                    </w:rPr>
                    <w:t>和20%，</w:t>
                  </w:r>
                  <w:r>
                    <w:rPr>
                      <w:rFonts w:hint="eastAsia" w:cs="Times New Roman"/>
                      <w:b w:val="0"/>
                      <w:bCs w:val="0"/>
                      <w:i w:val="0"/>
                      <w:iCs w:val="0"/>
                      <w:color w:val="auto"/>
                      <w:kern w:val="0"/>
                      <w:sz w:val="21"/>
                      <w:szCs w:val="21"/>
                      <w:highlight w:val="none"/>
                      <w:u w:val="none"/>
                      <w:lang w:val="en-US" w:eastAsia="zh-CN"/>
                    </w:rPr>
                    <w:t>对TN的去除效率通常低于对氨氮的去除效率，本项目取0%。</w:t>
                  </w:r>
                  <w:r>
                    <w:rPr>
                      <w:rFonts w:hint="default" w:ascii="Times New Roman" w:hAnsi="Times New Roman" w:cs="Times New Roman"/>
                      <w:b w:val="0"/>
                      <w:bCs w:val="0"/>
                      <w:i w:val="0"/>
                      <w:iCs w:val="0"/>
                      <w:color w:val="auto"/>
                      <w:kern w:val="0"/>
                      <w:sz w:val="21"/>
                      <w:szCs w:val="21"/>
                      <w:highlight w:val="none"/>
                      <w:u w:val="none"/>
                      <w:lang w:val="en-US" w:eastAsia="zh-CN"/>
                    </w:rPr>
                    <w:t>对动植物油处理效率参考《村镇生活污染防治最佳可行技术指南(试行)》(HJ-BAT-9)：动植物油:80%~90%，本项目取80%。</w:t>
                  </w:r>
                </w:p>
              </w:tc>
            </w:tr>
            <w:tr w14:paraId="1C8DAC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40" w:hRule="atLeast"/>
                <w:jc w:val="center"/>
              </w:trPr>
              <w:tc>
                <w:tcPr>
                  <w:tcW w:w="5000" w:type="pct"/>
                  <w:gridSpan w:val="7"/>
                  <w:vMerge w:val="continue"/>
                  <w:shd w:val="clear" w:color="auto" w:fill="auto"/>
                  <w:vAlign w:val="center"/>
                </w:tcPr>
                <w:p w14:paraId="565360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left"/>
                    <w:rPr>
                      <w:rFonts w:hint="default" w:ascii="Times New Roman" w:hAnsi="Times New Roman" w:eastAsia="宋体" w:cs="Times New Roman"/>
                      <w:b w:val="0"/>
                      <w:bCs w:val="0"/>
                      <w:i w:val="0"/>
                      <w:iCs w:val="0"/>
                      <w:color w:val="auto"/>
                      <w:sz w:val="21"/>
                      <w:szCs w:val="21"/>
                      <w:highlight w:val="none"/>
                      <w:u w:val="none"/>
                    </w:rPr>
                  </w:pPr>
                </w:p>
              </w:tc>
            </w:tr>
          </w:tbl>
          <w:p w14:paraId="02E1E163">
            <w:pPr>
              <w:pStyle w:val="6"/>
              <w:widowControl/>
              <w:numPr>
                <w:ilvl w:val="4"/>
                <w:numId w:val="0"/>
              </w:numPr>
              <w:suppressLineNumbers w:val="0"/>
              <w:spacing w:before="0" w:beforeAutospacing="0" w:after="0" w:afterAutospacing="0"/>
              <w:ind w:left="0" w:right="0" w:firstLine="480" w:firstLineChars="20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（2）</w:t>
            </w:r>
            <w:r>
              <w:rPr>
                <w:rFonts w:hint="default" w:ascii="Times New Roman" w:hAnsi="Times New Roman" w:cs="Times New Roman"/>
                <w:color w:val="auto"/>
                <w:kern w:val="2"/>
                <w:highlight w:val="none"/>
                <w:lang w:val="en-US" w:eastAsia="zh-CN"/>
              </w:rPr>
              <w:t>洗料</w:t>
            </w:r>
            <w:r>
              <w:rPr>
                <w:rFonts w:hint="default" w:ascii="Times New Roman" w:hAnsi="Times New Roman" w:cs="Times New Roman"/>
                <w:color w:val="auto"/>
                <w:kern w:val="2"/>
                <w:highlight w:val="none"/>
              </w:rPr>
              <w:t>废水</w:t>
            </w:r>
          </w:p>
          <w:p w14:paraId="05604837">
            <w:pPr>
              <w:pStyle w:val="12"/>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生产废水主要成分为原料带入的细沙、泥土等无机物，有机物含量较少，且清洗工序使用水，不使用清洗剂，水质较简单，不含有毒有害水污染物。</w:t>
            </w:r>
            <w:r>
              <w:rPr>
                <w:rFonts w:hint="default" w:ascii="Times New Roman" w:hAnsi="Times New Roman" w:cs="Times New Roman"/>
                <w:color w:val="auto"/>
                <w:kern w:val="2"/>
                <w:sz w:val="24"/>
                <w:szCs w:val="24"/>
                <w:highlight w:val="none"/>
                <w:lang w:val="en-US" w:eastAsia="zh-CN"/>
              </w:rPr>
              <w:t>项目</w:t>
            </w:r>
            <w:r>
              <w:rPr>
                <w:rFonts w:hint="default" w:ascii="Times New Roman" w:hAnsi="Times New Roman" w:cs="Times New Roman"/>
                <w:color w:val="auto"/>
                <w:kern w:val="2"/>
                <w:sz w:val="24"/>
                <w:szCs w:val="24"/>
                <w:highlight w:val="none"/>
                <w:lang w:eastAsia="zh-CN"/>
              </w:rPr>
              <w:t>洗料废水</w:t>
            </w:r>
            <w:r>
              <w:rPr>
                <w:rFonts w:hint="default" w:ascii="Times New Roman" w:hAnsi="Times New Roman" w:eastAsia="宋体" w:cs="Times New Roman"/>
                <w:color w:val="auto"/>
                <w:kern w:val="2"/>
                <w:sz w:val="24"/>
                <w:szCs w:val="24"/>
                <w:highlight w:val="none"/>
              </w:rPr>
              <w:t>主要污染物为pH、</w:t>
            </w:r>
            <w:r>
              <w:rPr>
                <w:rFonts w:hint="default" w:ascii="Times New Roman" w:hAnsi="Times New Roman" w:eastAsia="宋体" w:cs="Times New Roman"/>
                <w:color w:val="auto"/>
                <w:sz w:val="24"/>
                <w:szCs w:val="24"/>
                <w:highlight w:val="none"/>
                <w:lang w:val="en-US" w:eastAsia="zh-CN"/>
              </w:rPr>
              <w:t>COD</w:t>
            </w:r>
            <w:r>
              <w:rPr>
                <w:rFonts w:hint="default" w:ascii="Times New Roman" w:hAnsi="Times New Roman" w:eastAsia="宋体" w:cs="Times New Roman"/>
                <w:color w:val="auto"/>
                <w:sz w:val="24"/>
                <w:szCs w:val="24"/>
                <w:highlight w:val="none"/>
                <w:vertAlign w:val="subscript"/>
                <w:lang w:val="en-US" w:eastAsia="zh-CN"/>
              </w:rPr>
              <w:t>Cr</w:t>
            </w:r>
            <w:r>
              <w:rPr>
                <w:rFonts w:hint="default" w:ascii="Times New Roman" w:hAnsi="Times New Roman" w:eastAsia="宋体" w:cs="Times New Roman"/>
                <w:color w:val="auto"/>
                <w:kern w:val="2"/>
                <w:sz w:val="24"/>
                <w:szCs w:val="24"/>
                <w:highlight w:val="none"/>
              </w:rPr>
              <w:t>、氨氮、石油类</w:t>
            </w:r>
            <w:r>
              <w:rPr>
                <w:rFonts w:hint="default" w:ascii="Times New Roman" w:hAnsi="Times New Roman" w:cs="Times New Roman"/>
                <w:color w:val="auto"/>
                <w:kern w:val="2"/>
                <w:sz w:val="24"/>
                <w:szCs w:val="24"/>
                <w:highlight w:val="none"/>
                <w:lang w:eastAsia="zh-CN"/>
              </w:rPr>
              <w:t>、</w:t>
            </w:r>
            <w:r>
              <w:rPr>
                <w:rFonts w:hint="default" w:ascii="Times New Roman" w:hAnsi="Times New Roman" w:cs="Times New Roman"/>
                <w:color w:val="auto"/>
                <w:kern w:val="2"/>
                <w:sz w:val="24"/>
                <w:szCs w:val="24"/>
                <w:highlight w:val="none"/>
                <w:lang w:val="en-US" w:eastAsia="zh-CN"/>
              </w:rPr>
              <w:t>总磷、总氮</w:t>
            </w:r>
            <w:r>
              <w:rPr>
                <w:rFonts w:hint="default" w:ascii="Times New Roman" w:hAnsi="Times New Roman" w:eastAsia="宋体" w:cs="Times New Roman"/>
                <w:color w:val="auto"/>
                <w:kern w:val="2"/>
                <w:sz w:val="24"/>
                <w:szCs w:val="24"/>
                <w:highlight w:val="none"/>
                <w:lang w:val="en-US" w:eastAsia="zh-CN"/>
              </w:rPr>
              <w:t>等</w:t>
            </w:r>
            <w:r>
              <w:rPr>
                <w:rFonts w:hint="default" w:ascii="Times New Roman" w:hAnsi="Times New Roman" w:eastAsia="宋体" w:cs="Times New Roman"/>
                <w:color w:val="auto"/>
                <w:kern w:val="2"/>
                <w:sz w:val="24"/>
                <w:szCs w:val="24"/>
                <w:highlight w:val="none"/>
              </w:rPr>
              <w:t>，破碎、</w:t>
            </w:r>
            <w:r>
              <w:rPr>
                <w:rFonts w:hint="default" w:ascii="Times New Roman" w:hAnsi="Times New Roman" w:cs="Times New Roman"/>
                <w:color w:val="auto"/>
                <w:kern w:val="2"/>
                <w:sz w:val="24"/>
                <w:szCs w:val="24"/>
                <w:highlight w:val="none"/>
                <w:lang w:eastAsia="zh-CN"/>
              </w:rPr>
              <w:t>洗料废水</w:t>
            </w:r>
            <w:r>
              <w:rPr>
                <w:rFonts w:hint="default" w:ascii="Times New Roman" w:hAnsi="Times New Roman" w:eastAsia="宋体" w:cs="Times New Roman"/>
                <w:color w:val="auto"/>
                <w:kern w:val="2"/>
                <w:sz w:val="24"/>
                <w:szCs w:val="24"/>
                <w:highlight w:val="none"/>
              </w:rPr>
              <w:t>经污水处理</w:t>
            </w:r>
            <w:r>
              <w:rPr>
                <w:rFonts w:hint="default" w:ascii="Times New Roman" w:hAnsi="Times New Roman" w:eastAsia="宋体" w:cs="Times New Roman"/>
                <w:color w:val="auto"/>
                <w:kern w:val="2"/>
                <w:sz w:val="24"/>
                <w:szCs w:val="24"/>
                <w:highlight w:val="none"/>
                <w:lang w:eastAsia="zh-CN"/>
              </w:rPr>
              <w:t>（</w:t>
            </w:r>
            <w:r>
              <w:rPr>
                <w:rFonts w:hint="default" w:ascii="Times New Roman" w:hAnsi="Times New Roman" w:eastAsia="宋体" w:cs="Times New Roman"/>
                <w:color w:val="auto"/>
                <w:kern w:val="2"/>
                <w:sz w:val="24"/>
                <w:szCs w:val="24"/>
                <w:highlight w:val="none"/>
                <w:lang w:val="en-US" w:eastAsia="zh-CN"/>
              </w:rPr>
              <w:t>拟建污水处理工艺；</w:t>
            </w:r>
            <w:r>
              <w:rPr>
                <w:rFonts w:hint="eastAsia" w:cs="Times New Roman"/>
                <w:color w:val="auto"/>
                <w:kern w:val="2"/>
                <w:sz w:val="24"/>
                <w:szCs w:val="24"/>
                <w:highlight w:val="none"/>
                <w:lang w:val="en-US" w:eastAsia="zh-CN"/>
              </w:rPr>
              <w:t>调节+絮凝沉淀+A/O+二沉池+消毒</w:t>
            </w:r>
            <w:r>
              <w:rPr>
                <w:rFonts w:hint="default" w:ascii="Times New Roman" w:hAnsi="Times New Roman" w:eastAsia="宋体" w:cs="Times New Roman"/>
                <w:color w:val="auto"/>
                <w:kern w:val="2"/>
                <w:sz w:val="24"/>
                <w:szCs w:val="24"/>
                <w:highlight w:val="none"/>
                <w:lang w:eastAsia="zh-CN"/>
              </w:rPr>
              <w:t>）</w:t>
            </w:r>
            <w:r>
              <w:rPr>
                <w:rFonts w:hint="default" w:ascii="Times New Roman" w:hAnsi="Times New Roman" w:eastAsia="宋体" w:cs="Times New Roman"/>
                <w:color w:val="auto"/>
                <w:kern w:val="2"/>
                <w:sz w:val="24"/>
                <w:szCs w:val="24"/>
                <w:highlight w:val="none"/>
              </w:rPr>
              <w:t>后回用。</w:t>
            </w:r>
          </w:p>
          <w:p w14:paraId="3A6A53D5">
            <w:pPr>
              <w:pStyle w:val="12"/>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根据《排放源统计调查产排污核算方法和系数手册》中“4220 非金属废料和碎屑加工处理行业系数表”废PS、ABS、PE、PP类湿法破碎+清洗工业废水量为1.0吨/吨-原料</w:t>
            </w:r>
            <w:r>
              <w:rPr>
                <w:rFonts w:hint="default" w:ascii="Times New Roman" w:hAnsi="Times New Roman" w:eastAsia="宋体" w:cs="Times New Roman"/>
                <w:color w:val="auto"/>
                <w:kern w:val="2"/>
                <w:sz w:val="24"/>
                <w:szCs w:val="24"/>
                <w:highlight w:val="none"/>
                <w:lang w:eastAsia="zh-CN"/>
              </w:rPr>
              <w:t>。</w:t>
            </w:r>
            <w:r>
              <w:rPr>
                <w:rFonts w:hint="default" w:ascii="Times New Roman" w:hAnsi="Times New Roman" w:cs="Times New Roman"/>
                <w:color w:val="auto"/>
                <w:kern w:val="2"/>
                <w:sz w:val="24"/>
                <w:szCs w:val="24"/>
                <w:highlight w:val="none"/>
                <w:lang w:val="en-US" w:eastAsia="zh-CN"/>
              </w:rPr>
              <w:t>根据前文项目外排</w:t>
            </w:r>
            <w:r>
              <w:rPr>
                <w:rFonts w:hint="default" w:ascii="Times New Roman" w:hAnsi="Times New Roman" w:cs="Times New Roman"/>
                <w:color w:val="auto"/>
                <w:kern w:val="2"/>
                <w:sz w:val="24"/>
                <w:szCs w:val="24"/>
                <w:highlight w:val="none"/>
                <w:lang w:eastAsia="zh-CN"/>
              </w:rPr>
              <w:t>洗料废水</w:t>
            </w:r>
            <w:r>
              <w:rPr>
                <w:rFonts w:hint="default" w:ascii="Times New Roman" w:hAnsi="Times New Roman" w:eastAsia="宋体" w:cs="Times New Roman"/>
                <w:color w:val="auto"/>
                <w:kern w:val="2"/>
                <w:sz w:val="24"/>
                <w:szCs w:val="24"/>
                <w:highlight w:val="none"/>
              </w:rPr>
              <w:t>量为</w:t>
            </w:r>
            <w:r>
              <w:rPr>
                <w:rFonts w:hint="default" w:ascii="Times New Roman" w:hAnsi="Times New Roman" w:cs="Times New Roman"/>
                <w:color w:val="auto"/>
                <w:kern w:val="2"/>
                <w:sz w:val="24"/>
                <w:szCs w:val="24"/>
                <w:highlight w:val="none"/>
                <w:lang w:val="en-US" w:eastAsia="zh-CN"/>
              </w:rPr>
              <w:t>2970</w:t>
            </w:r>
            <w:r>
              <w:rPr>
                <w:rFonts w:hint="default" w:ascii="Times New Roman" w:hAnsi="Times New Roman" w:eastAsia="宋体" w:cs="Times New Roman"/>
                <w:color w:val="auto"/>
                <w:kern w:val="2"/>
                <w:sz w:val="24"/>
                <w:szCs w:val="24"/>
                <w:highlight w:val="none"/>
              </w:rPr>
              <w:t>t/a（</w:t>
            </w:r>
            <w:r>
              <w:rPr>
                <w:rFonts w:hint="default" w:ascii="Times New Roman" w:hAnsi="Times New Roman" w:cs="Times New Roman"/>
                <w:color w:val="auto"/>
                <w:kern w:val="2"/>
                <w:sz w:val="24"/>
                <w:szCs w:val="24"/>
                <w:highlight w:val="none"/>
                <w:lang w:val="en-US" w:eastAsia="zh-CN"/>
              </w:rPr>
              <w:t>9</w:t>
            </w:r>
            <w:r>
              <w:rPr>
                <w:rFonts w:hint="default" w:ascii="Times New Roman" w:hAnsi="Times New Roman" w:eastAsia="宋体" w:cs="Times New Roman"/>
                <w:color w:val="auto"/>
                <w:kern w:val="2"/>
                <w:sz w:val="24"/>
                <w:szCs w:val="24"/>
                <w:highlight w:val="none"/>
              </w:rPr>
              <w:t>t/d）。</w:t>
            </w:r>
          </w:p>
          <w:p w14:paraId="286D6E47">
            <w:pPr>
              <w:pStyle w:val="12"/>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kern w:val="2"/>
                <w:sz w:val="24"/>
                <w:szCs w:val="24"/>
                <w:highlight w:val="none"/>
                <w:lang w:val="en-US" w:eastAsia="zh-CN"/>
              </w:rPr>
              <w:t>本项目</w:t>
            </w:r>
            <w:r>
              <w:rPr>
                <w:rFonts w:hint="default" w:ascii="Times New Roman" w:hAnsi="Times New Roman" w:cs="Times New Roman"/>
                <w:color w:val="auto"/>
                <w:kern w:val="2"/>
                <w:sz w:val="24"/>
                <w:szCs w:val="24"/>
                <w:highlight w:val="none"/>
                <w:lang w:val="en-US" w:eastAsia="zh-CN"/>
              </w:rPr>
              <w:t>废水</w:t>
            </w:r>
            <w:r>
              <w:rPr>
                <w:rFonts w:hint="default" w:ascii="Times New Roman" w:hAnsi="Times New Roman" w:eastAsia="宋体" w:cs="Times New Roman"/>
                <w:color w:val="auto"/>
                <w:sz w:val="24"/>
                <w:szCs w:val="24"/>
                <w:highlight w:val="none"/>
                <w:lang w:val="en-US" w:eastAsia="zh-CN"/>
              </w:rPr>
              <w:t>各污染物</w:t>
            </w:r>
            <w:r>
              <w:rPr>
                <w:rFonts w:hint="default" w:ascii="Times New Roman" w:hAnsi="Times New Roman" w:cs="Times New Roman"/>
                <w:color w:val="auto"/>
                <w:sz w:val="24"/>
                <w:szCs w:val="24"/>
                <w:highlight w:val="none"/>
                <w:lang w:val="en-US" w:eastAsia="zh-CN"/>
              </w:rPr>
              <w:t>产生情况和</w:t>
            </w:r>
            <w:r>
              <w:rPr>
                <w:rFonts w:hint="default" w:ascii="Times New Roman" w:hAnsi="Times New Roman" w:eastAsia="宋体" w:cs="Times New Roman"/>
                <w:color w:val="auto"/>
                <w:sz w:val="24"/>
                <w:szCs w:val="24"/>
                <w:highlight w:val="none"/>
                <w:lang w:val="en-US" w:eastAsia="zh-CN"/>
              </w:rPr>
              <w:t>去除效率</w:t>
            </w:r>
            <w:r>
              <w:rPr>
                <w:rFonts w:hint="eastAsia" w:cs="Times New Roman"/>
                <w:color w:val="auto"/>
                <w:sz w:val="24"/>
                <w:szCs w:val="24"/>
                <w:highlight w:val="none"/>
                <w:lang w:val="en-US" w:eastAsia="zh-CN"/>
              </w:rPr>
              <w:t>参照</w:t>
            </w:r>
            <w:r>
              <w:rPr>
                <w:rFonts w:hint="default" w:ascii="Times New Roman" w:hAnsi="Times New Roman" w:eastAsia="宋体" w:cs="Times New Roman"/>
                <w:color w:val="auto"/>
                <w:sz w:val="24"/>
                <w:szCs w:val="24"/>
                <w:highlight w:val="none"/>
                <w:lang w:val="en-US" w:eastAsia="zh-CN"/>
              </w:rPr>
              <w:t>《排放源统计调查产排污核算方法和系数手册》“42 废弃资源综合利用行业系数手册”</w:t>
            </w:r>
            <w:r>
              <w:rPr>
                <w:rFonts w:hint="eastAsia" w:cs="Times New Roman"/>
                <w:color w:val="auto"/>
                <w:sz w:val="24"/>
                <w:szCs w:val="24"/>
                <w:highlight w:val="none"/>
                <w:lang w:val="en-US" w:eastAsia="zh-CN"/>
              </w:rPr>
              <w:t>和项目废水工艺设计方案进行</w:t>
            </w:r>
            <w:r>
              <w:rPr>
                <w:rFonts w:hint="default" w:ascii="Times New Roman" w:hAnsi="Times New Roman" w:eastAsia="宋体" w:cs="Times New Roman"/>
                <w:color w:val="auto"/>
                <w:sz w:val="24"/>
                <w:szCs w:val="24"/>
                <w:highlight w:val="none"/>
                <w:lang w:val="en-US" w:eastAsia="zh-CN"/>
              </w:rPr>
              <w:t>计算，</w:t>
            </w:r>
            <w:r>
              <w:rPr>
                <w:rFonts w:hint="default" w:ascii="Times New Roman" w:hAnsi="Times New Roman" w:cs="Times New Roman"/>
                <w:color w:val="auto"/>
                <w:sz w:val="24"/>
                <w:szCs w:val="24"/>
                <w:highlight w:val="none"/>
                <w:lang w:val="en-US" w:eastAsia="zh-CN"/>
              </w:rPr>
              <w:t>原料PP与PS/ABS的比例以4：6计，计算过程详</w:t>
            </w:r>
            <w:r>
              <w:rPr>
                <w:rFonts w:hint="default" w:ascii="Times New Roman" w:hAnsi="Times New Roman" w:eastAsia="宋体" w:cs="Times New Roman"/>
                <w:color w:val="auto"/>
                <w:sz w:val="24"/>
                <w:szCs w:val="24"/>
                <w:highlight w:val="none"/>
                <w:lang w:val="en-US" w:eastAsia="zh-CN"/>
              </w:rPr>
              <w:t>见下表：</w:t>
            </w:r>
          </w:p>
          <w:p w14:paraId="1F0A3EE3">
            <w:pPr>
              <w:pStyle w:val="12"/>
              <w:keepNext w:val="0"/>
              <w:keepLines w:val="0"/>
              <w:suppressLineNumbers w:val="0"/>
              <w:spacing w:before="0" w:beforeAutospacing="0" w:after="0" w:afterAutospacing="0" w:line="360" w:lineRule="auto"/>
              <w:ind w:left="0" w:right="0" w:firstLine="480" w:firstLineChars="200"/>
              <w:jc w:val="center"/>
              <w:rPr>
                <w:rFonts w:hint="default" w:ascii="Times New Roman" w:hAnsi="Times New Roman" w:eastAsia="宋体" w:cs="Times New Roman"/>
                <w:b/>
                <w:bCs/>
                <w:color w:val="auto"/>
                <w:kern w:val="2"/>
                <w:sz w:val="24"/>
                <w:szCs w:val="24"/>
                <w:highlight w:val="none"/>
              </w:rPr>
            </w:pPr>
            <w:r>
              <w:rPr>
                <w:rFonts w:hint="default" w:ascii="Times New Roman" w:hAnsi="Times New Roman" w:eastAsia="宋体" w:cs="Times New Roman"/>
                <w:b/>
                <w:bCs/>
                <w:color w:val="auto"/>
                <w:kern w:val="2"/>
                <w:sz w:val="24"/>
                <w:szCs w:val="24"/>
                <w:highlight w:val="none"/>
              </w:rPr>
              <w:t>表4</w:t>
            </w:r>
            <w:r>
              <w:rPr>
                <w:rFonts w:hint="default" w:ascii="Times New Roman" w:hAnsi="Times New Roman" w:cs="Times New Roman"/>
                <w:b/>
                <w:bCs/>
                <w:color w:val="auto"/>
                <w:kern w:val="2"/>
                <w:sz w:val="24"/>
                <w:szCs w:val="24"/>
                <w:highlight w:val="none"/>
                <w:lang w:val="en-US" w:eastAsia="zh-CN"/>
              </w:rPr>
              <w:t>-14</w:t>
            </w:r>
            <w:r>
              <w:rPr>
                <w:rFonts w:hint="default" w:ascii="Times New Roman" w:hAnsi="Times New Roman" w:eastAsia="宋体" w:cs="Times New Roman"/>
                <w:b/>
                <w:bCs/>
                <w:color w:val="auto"/>
                <w:kern w:val="2"/>
                <w:sz w:val="24"/>
                <w:szCs w:val="24"/>
                <w:highlight w:val="none"/>
              </w:rPr>
              <w:t xml:space="preserve"> </w:t>
            </w:r>
            <w:r>
              <w:rPr>
                <w:rFonts w:hint="default" w:ascii="Times New Roman" w:hAnsi="Times New Roman" w:eastAsia="宋体" w:cs="Times New Roman"/>
                <w:b/>
                <w:bCs/>
                <w:color w:val="auto"/>
                <w:kern w:val="2"/>
                <w:sz w:val="24"/>
                <w:szCs w:val="24"/>
                <w:highlight w:val="none"/>
                <w:lang w:val="en-US" w:eastAsia="zh-CN"/>
              </w:rPr>
              <w:t>湿法破碎/</w:t>
            </w:r>
            <w:r>
              <w:rPr>
                <w:rFonts w:hint="default" w:ascii="Times New Roman" w:hAnsi="Times New Roman" w:eastAsia="宋体" w:cs="Times New Roman"/>
                <w:b/>
                <w:bCs/>
                <w:color w:val="auto"/>
                <w:kern w:val="2"/>
                <w:sz w:val="24"/>
                <w:szCs w:val="24"/>
                <w:highlight w:val="none"/>
              </w:rPr>
              <w:t>原料</w:t>
            </w:r>
            <w:r>
              <w:rPr>
                <w:rFonts w:hint="default" w:ascii="Times New Roman" w:hAnsi="Times New Roman" w:cs="Times New Roman"/>
                <w:b/>
                <w:bCs/>
                <w:color w:val="auto"/>
                <w:kern w:val="2"/>
                <w:sz w:val="24"/>
                <w:szCs w:val="24"/>
                <w:highlight w:val="none"/>
                <w:lang w:eastAsia="zh-CN"/>
              </w:rPr>
              <w:t>洗料废水</w:t>
            </w:r>
            <w:r>
              <w:rPr>
                <w:rFonts w:hint="default" w:ascii="Times New Roman" w:hAnsi="Times New Roman" w:eastAsia="宋体" w:cs="Times New Roman"/>
                <w:b/>
                <w:bCs/>
                <w:color w:val="auto"/>
                <w:kern w:val="2"/>
                <w:sz w:val="24"/>
                <w:szCs w:val="24"/>
                <w:highlight w:val="none"/>
              </w:rPr>
              <w:t>主要污染物产生源强核算</w:t>
            </w:r>
          </w:p>
          <w:tbl>
            <w:tblPr>
              <w:tblStyle w:val="39"/>
              <w:tblW w:w="1348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852"/>
              <w:gridCol w:w="899"/>
              <w:gridCol w:w="1648"/>
              <w:gridCol w:w="1422"/>
              <w:gridCol w:w="1422"/>
              <w:gridCol w:w="1802"/>
              <w:gridCol w:w="1713"/>
              <w:gridCol w:w="1349"/>
              <w:gridCol w:w="1381"/>
            </w:tblGrid>
            <w:tr w14:paraId="29A2AA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3" w:hRule="atLeast"/>
              </w:trPr>
              <w:tc>
                <w:tcPr>
                  <w:tcW w:w="6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E6E1B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rPr>
                    <w:t>项目</w:t>
                  </w:r>
                </w:p>
              </w:tc>
              <w:tc>
                <w:tcPr>
                  <w:tcW w:w="3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49E40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rPr>
                    <w:t>废水量</w:t>
                  </w:r>
                </w:p>
              </w:tc>
              <w:tc>
                <w:tcPr>
                  <w:tcW w:w="6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7F869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rPr>
                    <w:t>COD</w:t>
                  </w:r>
                  <w:r>
                    <w:rPr>
                      <w:rFonts w:hint="default" w:ascii="Times New Roman" w:hAnsi="Times New Roman" w:eastAsia="宋体" w:cs="Times New Roman"/>
                      <w:b/>
                      <w:bCs/>
                      <w:i w:val="0"/>
                      <w:iCs w:val="0"/>
                      <w:color w:val="auto"/>
                      <w:kern w:val="0"/>
                      <w:sz w:val="20"/>
                      <w:szCs w:val="20"/>
                      <w:highlight w:val="none"/>
                      <w:u w:val="none"/>
                      <w:vertAlign w:val="subscript"/>
                      <w:lang w:val="en-US" w:eastAsia="zh-CN"/>
                    </w:rPr>
                    <w:t>Cr</w:t>
                  </w:r>
                </w:p>
              </w:tc>
              <w:tc>
                <w:tcPr>
                  <w:tcW w:w="5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5BD20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kern w:val="0"/>
                      <w:sz w:val="20"/>
                      <w:szCs w:val="20"/>
                      <w:highlight w:val="none"/>
                      <w:u w:val="none"/>
                      <w:vertAlign w:val="subscript"/>
                      <w:lang w:val="en-US" w:eastAsia="zh-CN"/>
                    </w:rPr>
                  </w:pPr>
                  <w:r>
                    <w:rPr>
                      <w:rFonts w:hint="eastAsia" w:cs="Times New Roman"/>
                      <w:b/>
                      <w:bCs/>
                      <w:i w:val="0"/>
                      <w:iCs w:val="0"/>
                      <w:color w:val="auto"/>
                      <w:kern w:val="0"/>
                      <w:sz w:val="20"/>
                      <w:szCs w:val="20"/>
                      <w:highlight w:val="none"/>
                      <w:u w:val="none"/>
                      <w:lang w:val="en-US" w:eastAsia="zh-CN"/>
                    </w:rPr>
                    <w:t>BOD</w:t>
                  </w:r>
                  <w:r>
                    <w:rPr>
                      <w:rFonts w:hint="eastAsia" w:cs="Times New Roman"/>
                      <w:b/>
                      <w:bCs/>
                      <w:i w:val="0"/>
                      <w:iCs w:val="0"/>
                      <w:color w:val="auto"/>
                      <w:kern w:val="0"/>
                      <w:sz w:val="20"/>
                      <w:szCs w:val="20"/>
                      <w:highlight w:val="none"/>
                      <w:u w:val="none"/>
                      <w:vertAlign w:val="subscript"/>
                      <w:lang w:val="en-US" w:eastAsia="zh-CN"/>
                    </w:rPr>
                    <w:t>5</w:t>
                  </w:r>
                </w:p>
              </w:tc>
              <w:tc>
                <w:tcPr>
                  <w:tcW w:w="5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19CDC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rPr>
                    <w:t>氨氮</w:t>
                  </w:r>
                </w:p>
              </w:tc>
              <w:tc>
                <w:tcPr>
                  <w:tcW w:w="6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41F2B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rPr>
                    <w:t>总氮</w:t>
                  </w:r>
                </w:p>
              </w:tc>
              <w:tc>
                <w:tcPr>
                  <w:tcW w:w="6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C73D7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rPr>
                    <w:t>石油类</w:t>
                  </w:r>
                </w:p>
              </w:tc>
              <w:tc>
                <w:tcPr>
                  <w:tcW w:w="5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BAD2F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kern w:val="0"/>
                      <w:sz w:val="20"/>
                      <w:szCs w:val="20"/>
                      <w:highlight w:val="none"/>
                      <w:u w:val="none"/>
                      <w:lang w:val="en-US" w:eastAsia="zh-CN"/>
                    </w:rPr>
                  </w:pPr>
                  <w:r>
                    <w:rPr>
                      <w:rFonts w:hint="eastAsia" w:cs="Times New Roman"/>
                      <w:b/>
                      <w:bCs/>
                      <w:i w:val="0"/>
                      <w:iCs w:val="0"/>
                      <w:color w:val="auto"/>
                      <w:kern w:val="0"/>
                      <w:sz w:val="20"/>
                      <w:szCs w:val="20"/>
                      <w:highlight w:val="none"/>
                      <w:u w:val="none"/>
                      <w:lang w:val="en-US" w:eastAsia="zh-CN"/>
                    </w:rPr>
                    <w:t>LAS</w:t>
                  </w:r>
                </w:p>
              </w:tc>
              <w:tc>
                <w:tcPr>
                  <w:tcW w:w="5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5DF18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rPr>
                    <w:t>总磷</w:t>
                  </w:r>
                </w:p>
              </w:tc>
            </w:tr>
            <w:tr w14:paraId="4AAE90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3" w:hRule="atLeast"/>
              </w:trPr>
              <w:tc>
                <w:tcPr>
                  <w:tcW w:w="6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4BC3D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rPr>
                    <w:t>废水产生浓度（mg/L）</w:t>
                  </w:r>
                </w:p>
              </w:tc>
              <w:tc>
                <w:tcPr>
                  <w:tcW w:w="3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1253B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6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D9815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 xml:space="preserve">318.1 </w:t>
                  </w:r>
                </w:p>
              </w:tc>
              <w:tc>
                <w:tcPr>
                  <w:tcW w:w="5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B4C55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150</w:t>
                  </w:r>
                </w:p>
              </w:tc>
              <w:tc>
                <w:tcPr>
                  <w:tcW w:w="5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A8127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 xml:space="preserve">17.2 </w:t>
                  </w:r>
                </w:p>
              </w:tc>
              <w:tc>
                <w:tcPr>
                  <w:tcW w:w="6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54447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 xml:space="preserve">25.9 </w:t>
                  </w:r>
                </w:p>
              </w:tc>
              <w:tc>
                <w:tcPr>
                  <w:tcW w:w="6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55897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 xml:space="preserve">14.2 </w:t>
                  </w:r>
                </w:p>
              </w:tc>
              <w:tc>
                <w:tcPr>
                  <w:tcW w:w="5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5B97C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2</w:t>
                  </w:r>
                </w:p>
              </w:tc>
              <w:tc>
                <w:tcPr>
                  <w:tcW w:w="5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7254D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 xml:space="preserve">1.0 </w:t>
                  </w:r>
                </w:p>
              </w:tc>
            </w:tr>
            <w:tr w14:paraId="1E6DA8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3" w:hRule="atLeast"/>
              </w:trPr>
              <w:tc>
                <w:tcPr>
                  <w:tcW w:w="6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038A2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rPr>
                    <w:t>产生量（t/a）</w:t>
                  </w:r>
                </w:p>
              </w:tc>
              <w:tc>
                <w:tcPr>
                  <w:tcW w:w="3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61AA5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67095.6</w:t>
                  </w:r>
                </w:p>
              </w:tc>
              <w:tc>
                <w:tcPr>
                  <w:tcW w:w="6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7F7CE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21.34</w:t>
                  </w:r>
                  <w:r>
                    <w:rPr>
                      <w:rFonts w:hint="eastAsia" w:cs="Times New Roman"/>
                      <w:i w:val="0"/>
                      <w:iCs w:val="0"/>
                      <w:color w:val="auto"/>
                      <w:kern w:val="0"/>
                      <w:sz w:val="21"/>
                      <w:szCs w:val="21"/>
                      <w:highlight w:val="none"/>
                      <w:u w:val="none"/>
                      <w:lang w:val="en-US" w:eastAsia="zh-CN"/>
                    </w:rPr>
                    <w:t>3</w:t>
                  </w:r>
                  <w:r>
                    <w:rPr>
                      <w:rFonts w:hint="default" w:ascii="Times New Roman" w:hAnsi="Times New Roman" w:eastAsia="宋体" w:cs="Times New Roman"/>
                      <w:i w:val="0"/>
                      <w:iCs w:val="0"/>
                      <w:color w:val="auto"/>
                      <w:kern w:val="0"/>
                      <w:sz w:val="21"/>
                      <w:szCs w:val="21"/>
                      <w:highlight w:val="none"/>
                      <w:u w:val="none"/>
                      <w:lang w:val="en-US" w:eastAsia="zh-CN"/>
                    </w:rPr>
                    <w:t xml:space="preserve"> </w:t>
                  </w:r>
                </w:p>
              </w:tc>
              <w:tc>
                <w:tcPr>
                  <w:tcW w:w="5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3413D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10.064</w:t>
                  </w:r>
                </w:p>
              </w:tc>
              <w:tc>
                <w:tcPr>
                  <w:tcW w:w="5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06158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1.15</w:t>
                  </w:r>
                  <w:r>
                    <w:rPr>
                      <w:rFonts w:hint="eastAsia" w:cs="Times New Roman"/>
                      <w:i w:val="0"/>
                      <w:iCs w:val="0"/>
                      <w:color w:val="auto"/>
                      <w:kern w:val="0"/>
                      <w:sz w:val="21"/>
                      <w:szCs w:val="21"/>
                      <w:highlight w:val="none"/>
                      <w:u w:val="none"/>
                      <w:lang w:val="en-US" w:eastAsia="zh-CN"/>
                    </w:rPr>
                    <w:t>4</w:t>
                  </w:r>
                  <w:r>
                    <w:rPr>
                      <w:rFonts w:hint="default" w:ascii="Times New Roman" w:hAnsi="Times New Roman" w:eastAsia="宋体" w:cs="Times New Roman"/>
                      <w:i w:val="0"/>
                      <w:iCs w:val="0"/>
                      <w:color w:val="auto"/>
                      <w:kern w:val="0"/>
                      <w:sz w:val="21"/>
                      <w:szCs w:val="21"/>
                      <w:highlight w:val="none"/>
                      <w:u w:val="none"/>
                      <w:lang w:val="en-US" w:eastAsia="zh-CN"/>
                    </w:rPr>
                    <w:t xml:space="preserve"> </w:t>
                  </w:r>
                </w:p>
              </w:tc>
              <w:tc>
                <w:tcPr>
                  <w:tcW w:w="6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84E4F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 xml:space="preserve">1.738 </w:t>
                  </w:r>
                </w:p>
              </w:tc>
              <w:tc>
                <w:tcPr>
                  <w:tcW w:w="6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4D20C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rPr>
                    <w:t>0.953</w:t>
                  </w:r>
                  <w:r>
                    <w:rPr>
                      <w:rFonts w:hint="default" w:ascii="Times New Roman" w:hAnsi="Times New Roman" w:eastAsia="宋体" w:cs="Times New Roman"/>
                      <w:i w:val="0"/>
                      <w:iCs w:val="0"/>
                      <w:color w:val="auto"/>
                      <w:kern w:val="0"/>
                      <w:sz w:val="21"/>
                      <w:szCs w:val="21"/>
                      <w:highlight w:val="none"/>
                      <w:u w:val="none"/>
                      <w:lang w:val="en-US" w:eastAsia="zh-CN"/>
                    </w:rPr>
                    <w:t xml:space="preserve"> </w:t>
                  </w:r>
                </w:p>
              </w:tc>
              <w:tc>
                <w:tcPr>
                  <w:tcW w:w="5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76CBA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0.134</w:t>
                  </w:r>
                </w:p>
              </w:tc>
              <w:tc>
                <w:tcPr>
                  <w:tcW w:w="5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EB82A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0.06</w:t>
                  </w:r>
                  <w:r>
                    <w:rPr>
                      <w:rFonts w:hint="eastAsia" w:cs="Times New Roman"/>
                      <w:i w:val="0"/>
                      <w:iCs w:val="0"/>
                      <w:color w:val="auto"/>
                      <w:kern w:val="0"/>
                      <w:sz w:val="21"/>
                      <w:szCs w:val="21"/>
                      <w:highlight w:val="none"/>
                      <w:u w:val="none"/>
                      <w:lang w:val="en-US" w:eastAsia="zh-CN"/>
                    </w:rPr>
                    <w:t>7</w:t>
                  </w:r>
                  <w:r>
                    <w:rPr>
                      <w:rFonts w:hint="default" w:ascii="Times New Roman" w:hAnsi="Times New Roman" w:eastAsia="宋体" w:cs="Times New Roman"/>
                      <w:i w:val="0"/>
                      <w:iCs w:val="0"/>
                      <w:color w:val="auto"/>
                      <w:kern w:val="0"/>
                      <w:sz w:val="21"/>
                      <w:szCs w:val="21"/>
                      <w:highlight w:val="none"/>
                      <w:u w:val="none"/>
                      <w:lang w:val="en-US" w:eastAsia="zh-CN"/>
                    </w:rPr>
                    <w:t xml:space="preserve"> </w:t>
                  </w:r>
                </w:p>
              </w:tc>
            </w:tr>
            <w:tr w14:paraId="46434E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3" w:hRule="atLeast"/>
              </w:trPr>
              <w:tc>
                <w:tcPr>
                  <w:tcW w:w="6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0348F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rPr>
                    <w:t>污水处理工艺</w:t>
                  </w:r>
                </w:p>
              </w:tc>
              <w:tc>
                <w:tcPr>
                  <w:tcW w:w="4312" w:type="pct"/>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69B5DA2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rPr>
                    <w:t>调节+絮凝沉淀+A/O+二沉池+消毒</w:t>
                  </w:r>
                </w:p>
              </w:tc>
            </w:tr>
            <w:tr w14:paraId="1CDE20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9" w:hRule="atLeast"/>
              </w:trPr>
              <w:tc>
                <w:tcPr>
                  <w:tcW w:w="6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D2B07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rPr>
                    <w:t>污水站对污染物的去除效率</w:t>
                  </w:r>
                </w:p>
              </w:tc>
              <w:tc>
                <w:tcPr>
                  <w:tcW w:w="3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D6692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6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0B1FF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90</w:t>
                  </w:r>
                </w:p>
              </w:tc>
              <w:tc>
                <w:tcPr>
                  <w:tcW w:w="5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96286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95</w:t>
                  </w:r>
                </w:p>
              </w:tc>
              <w:tc>
                <w:tcPr>
                  <w:tcW w:w="5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B1554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80</w:t>
                  </w:r>
                </w:p>
              </w:tc>
              <w:tc>
                <w:tcPr>
                  <w:tcW w:w="6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9CFD1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50</w:t>
                  </w:r>
                </w:p>
              </w:tc>
              <w:tc>
                <w:tcPr>
                  <w:tcW w:w="6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40989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rPr>
                    <w:t>9</w:t>
                  </w:r>
                  <w:r>
                    <w:rPr>
                      <w:rFonts w:hint="eastAsia" w:cs="Times New Roman"/>
                      <w:i w:val="0"/>
                      <w:iCs w:val="0"/>
                      <w:color w:val="auto"/>
                      <w:kern w:val="0"/>
                      <w:sz w:val="21"/>
                      <w:szCs w:val="21"/>
                      <w:highlight w:val="none"/>
                      <w:u w:val="none"/>
                      <w:lang w:val="en-US" w:eastAsia="zh-CN"/>
                    </w:rPr>
                    <w:t>3.25</w:t>
                  </w:r>
                </w:p>
              </w:tc>
              <w:tc>
                <w:tcPr>
                  <w:tcW w:w="5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F1918B">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80</w:t>
                  </w:r>
                </w:p>
              </w:tc>
              <w:tc>
                <w:tcPr>
                  <w:tcW w:w="5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8ADB3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rPr>
                    <w:t>70</w:t>
                  </w:r>
                </w:p>
              </w:tc>
            </w:tr>
            <w:tr w14:paraId="1BE818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3" w:hRule="atLeast"/>
              </w:trPr>
              <w:tc>
                <w:tcPr>
                  <w:tcW w:w="6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006C2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rPr>
                    <w:t>排放浓度（mg/L）</w:t>
                  </w:r>
                </w:p>
              </w:tc>
              <w:tc>
                <w:tcPr>
                  <w:tcW w:w="3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487CB4">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i w:val="0"/>
                      <w:iCs w:val="0"/>
                      <w:color w:val="auto"/>
                      <w:sz w:val="21"/>
                      <w:szCs w:val="21"/>
                      <w:highlight w:val="none"/>
                      <w:u w:val="none"/>
                      <w:lang w:val="en-US" w:eastAsia="zh-CN"/>
                    </w:rPr>
                  </w:pPr>
                  <w:r>
                    <w:rPr>
                      <w:rFonts w:hint="eastAsia" w:cs="Times New Roman"/>
                      <w:b/>
                      <w:bCs/>
                      <w:i w:val="0"/>
                      <w:iCs w:val="0"/>
                      <w:color w:val="auto"/>
                      <w:sz w:val="21"/>
                      <w:szCs w:val="21"/>
                      <w:highlight w:val="none"/>
                      <w:u w:val="none"/>
                      <w:lang w:val="en-US" w:eastAsia="zh-CN"/>
                    </w:rPr>
                    <w:t>/</w:t>
                  </w:r>
                </w:p>
              </w:tc>
              <w:tc>
                <w:tcPr>
                  <w:tcW w:w="6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611C0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 xml:space="preserve">31.8 </w:t>
                  </w:r>
                </w:p>
              </w:tc>
              <w:tc>
                <w:tcPr>
                  <w:tcW w:w="5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CCBF6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7.5</w:t>
                  </w:r>
                </w:p>
              </w:tc>
              <w:tc>
                <w:tcPr>
                  <w:tcW w:w="5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3A6D3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 xml:space="preserve">3.4 </w:t>
                  </w:r>
                </w:p>
              </w:tc>
              <w:tc>
                <w:tcPr>
                  <w:tcW w:w="6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762F7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 xml:space="preserve">13.0 </w:t>
                  </w:r>
                </w:p>
              </w:tc>
              <w:tc>
                <w:tcPr>
                  <w:tcW w:w="6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F8E50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rPr>
                    <w:t>1.0</w:t>
                  </w:r>
                  <w:r>
                    <w:rPr>
                      <w:rFonts w:hint="default" w:ascii="Times New Roman" w:hAnsi="Times New Roman" w:eastAsia="宋体" w:cs="Times New Roman"/>
                      <w:i w:val="0"/>
                      <w:iCs w:val="0"/>
                      <w:color w:val="auto"/>
                      <w:kern w:val="0"/>
                      <w:sz w:val="21"/>
                      <w:szCs w:val="21"/>
                      <w:highlight w:val="none"/>
                      <w:u w:val="none"/>
                      <w:lang w:val="en-US" w:eastAsia="zh-CN"/>
                    </w:rPr>
                    <w:t xml:space="preserve"> </w:t>
                  </w:r>
                </w:p>
              </w:tc>
              <w:tc>
                <w:tcPr>
                  <w:tcW w:w="5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8F49D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0.4</w:t>
                  </w:r>
                </w:p>
              </w:tc>
              <w:tc>
                <w:tcPr>
                  <w:tcW w:w="5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344D9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0.</w:t>
                  </w:r>
                  <w:r>
                    <w:rPr>
                      <w:rFonts w:hint="eastAsia" w:cs="Times New Roman"/>
                      <w:i w:val="0"/>
                      <w:iCs w:val="0"/>
                      <w:color w:val="auto"/>
                      <w:kern w:val="0"/>
                      <w:sz w:val="21"/>
                      <w:szCs w:val="21"/>
                      <w:highlight w:val="none"/>
                      <w:u w:val="none"/>
                      <w:lang w:val="en-US" w:eastAsia="zh-CN"/>
                    </w:rPr>
                    <w:t>3</w:t>
                  </w:r>
                  <w:r>
                    <w:rPr>
                      <w:rFonts w:hint="default" w:ascii="Times New Roman" w:hAnsi="Times New Roman" w:eastAsia="宋体" w:cs="Times New Roman"/>
                      <w:i w:val="0"/>
                      <w:iCs w:val="0"/>
                      <w:color w:val="auto"/>
                      <w:kern w:val="0"/>
                      <w:sz w:val="21"/>
                      <w:szCs w:val="21"/>
                      <w:highlight w:val="none"/>
                      <w:u w:val="none"/>
                      <w:lang w:val="en-US" w:eastAsia="zh-CN"/>
                    </w:rPr>
                    <w:t xml:space="preserve"> </w:t>
                  </w:r>
                </w:p>
              </w:tc>
            </w:tr>
            <w:tr w14:paraId="7AC04BD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3" w:hRule="atLeast"/>
              </w:trPr>
              <w:tc>
                <w:tcPr>
                  <w:tcW w:w="6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8E143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rPr>
                    <w:t>排放量（t/a）</w:t>
                  </w:r>
                </w:p>
              </w:tc>
              <w:tc>
                <w:tcPr>
                  <w:tcW w:w="3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F2061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2970</w:t>
                  </w:r>
                </w:p>
              </w:tc>
              <w:tc>
                <w:tcPr>
                  <w:tcW w:w="6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2C017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 xml:space="preserve">0.094 </w:t>
                  </w:r>
                </w:p>
              </w:tc>
              <w:tc>
                <w:tcPr>
                  <w:tcW w:w="5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D786D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0.022</w:t>
                  </w:r>
                </w:p>
              </w:tc>
              <w:tc>
                <w:tcPr>
                  <w:tcW w:w="5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5431C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 xml:space="preserve">0.010 </w:t>
                  </w:r>
                </w:p>
              </w:tc>
              <w:tc>
                <w:tcPr>
                  <w:tcW w:w="6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403F9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 xml:space="preserve">0.038 </w:t>
                  </w:r>
                </w:p>
              </w:tc>
              <w:tc>
                <w:tcPr>
                  <w:tcW w:w="6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FA287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0.00</w:t>
                  </w:r>
                  <w:r>
                    <w:rPr>
                      <w:rFonts w:hint="eastAsia" w:cs="Times New Roman"/>
                      <w:i w:val="0"/>
                      <w:iCs w:val="0"/>
                      <w:color w:val="auto"/>
                      <w:kern w:val="0"/>
                      <w:sz w:val="21"/>
                      <w:szCs w:val="21"/>
                      <w:highlight w:val="none"/>
                      <w:u w:val="none"/>
                      <w:lang w:val="en-US" w:eastAsia="zh-CN"/>
                    </w:rPr>
                    <w:t>3</w:t>
                  </w:r>
                  <w:r>
                    <w:rPr>
                      <w:rFonts w:hint="default" w:ascii="Times New Roman" w:hAnsi="Times New Roman" w:eastAsia="宋体" w:cs="Times New Roman"/>
                      <w:i w:val="0"/>
                      <w:iCs w:val="0"/>
                      <w:color w:val="auto"/>
                      <w:kern w:val="0"/>
                      <w:sz w:val="21"/>
                      <w:szCs w:val="21"/>
                      <w:highlight w:val="none"/>
                      <w:u w:val="none"/>
                      <w:lang w:val="en-US" w:eastAsia="zh-CN"/>
                    </w:rPr>
                    <w:t xml:space="preserve"> </w:t>
                  </w:r>
                </w:p>
              </w:tc>
              <w:tc>
                <w:tcPr>
                  <w:tcW w:w="5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A39E9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0.001</w:t>
                  </w:r>
                </w:p>
              </w:tc>
              <w:tc>
                <w:tcPr>
                  <w:tcW w:w="5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C0CF6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0.00</w:t>
                  </w:r>
                  <w:r>
                    <w:rPr>
                      <w:rFonts w:hint="eastAsia" w:cs="Times New Roman"/>
                      <w:i w:val="0"/>
                      <w:iCs w:val="0"/>
                      <w:color w:val="auto"/>
                      <w:kern w:val="0"/>
                      <w:sz w:val="21"/>
                      <w:szCs w:val="21"/>
                      <w:highlight w:val="none"/>
                      <w:u w:val="none"/>
                      <w:lang w:val="en-US" w:eastAsia="zh-CN"/>
                    </w:rPr>
                    <w:t>1</w:t>
                  </w:r>
                  <w:r>
                    <w:rPr>
                      <w:rFonts w:hint="default" w:ascii="Times New Roman" w:hAnsi="Times New Roman" w:eastAsia="宋体" w:cs="Times New Roman"/>
                      <w:i w:val="0"/>
                      <w:iCs w:val="0"/>
                      <w:color w:val="auto"/>
                      <w:kern w:val="0"/>
                      <w:sz w:val="21"/>
                      <w:szCs w:val="21"/>
                      <w:highlight w:val="none"/>
                      <w:u w:val="none"/>
                      <w:lang w:val="en-US" w:eastAsia="zh-CN"/>
                    </w:rPr>
                    <w:t xml:space="preserve"> </w:t>
                  </w:r>
                </w:p>
              </w:tc>
            </w:tr>
            <w:tr w14:paraId="7003660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3" w:hRule="atLeast"/>
              </w:trPr>
              <w:tc>
                <w:tcPr>
                  <w:tcW w:w="68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459AED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rPr>
                    <w:t>回用标准</w:t>
                  </w:r>
                </w:p>
              </w:tc>
              <w:tc>
                <w:tcPr>
                  <w:tcW w:w="4312" w:type="pct"/>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0A3327D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《城市污水再生利用 工业用水水质》（GB/T 19923-2024）</w:t>
                  </w:r>
                </w:p>
              </w:tc>
            </w:tr>
            <w:tr w14:paraId="0C7DE75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3" w:hRule="atLeast"/>
              </w:trPr>
              <w:tc>
                <w:tcPr>
                  <w:tcW w:w="68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E719CD6">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i w:val="0"/>
                      <w:iCs w:val="0"/>
                      <w:color w:val="auto"/>
                      <w:sz w:val="20"/>
                      <w:szCs w:val="20"/>
                      <w:highlight w:val="none"/>
                      <w:u w:val="none"/>
                    </w:rPr>
                  </w:pPr>
                </w:p>
              </w:tc>
              <w:tc>
                <w:tcPr>
                  <w:tcW w:w="3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B6A59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64125.6</w:t>
                  </w:r>
                </w:p>
              </w:tc>
              <w:tc>
                <w:tcPr>
                  <w:tcW w:w="6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2FBC3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50</w:t>
                  </w:r>
                </w:p>
              </w:tc>
              <w:tc>
                <w:tcPr>
                  <w:tcW w:w="5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913E1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10</w:t>
                  </w:r>
                </w:p>
              </w:tc>
              <w:tc>
                <w:tcPr>
                  <w:tcW w:w="5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0A74F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5</w:t>
                  </w:r>
                </w:p>
              </w:tc>
              <w:tc>
                <w:tcPr>
                  <w:tcW w:w="6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3A1AF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15</w:t>
                  </w:r>
                </w:p>
              </w:tc>
              <w:tc>
                <w:tcPr>
                  <w:tcW w:w="6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7596F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1</w:t>
                  </w:r>
                </w:p>
              </w:tc>
              <w:tc>
                <w:tcPr>
                  <w:tcW w:w="5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798D0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0.5</w:t>
                  </w:r>
                </w:p>
              </w:tc>
              <w:tc>
                <w:tcPr>
                  <w:tcW w:w="5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F7747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0.5</w:t>
                  </w:r>
                </w:p>
              </w:tc>
            </w:tr>
            <w:tr w14:paraId="5A4275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6" w:hRule="atLeast"/>
              </w:trPr>
              <w:tc>
                <w:tcPr>
                  <w:tcW w:w="68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362B70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rPr>
                    <w:t>排放标准</w:t>
                  </w:r>
                </w:p>
              </w:tc>
              <w:tc>
                <w:tcPr>
                  <w:tcW w:w="4312" w:type="pct"/>
                  <w:gridSpan w:val="8"/>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245A9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园区污水处理厂接管水质要求、广东省《水污染物排放限值》（DB44/26-2001）第二时段三级标准两者较严值要求</w:t>
                  </w:r>
                </w:p>
              </w:tc>
            </w:tr>
            <w:tr w14:paraId="2725491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3" w:hRule="atLeast"/>
              </w:trPr>
              <w:tc>
                <w:tcPr>
                  <w:tcW w:w="68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A2C3A1">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i w:val="0"/>
                      <w:iCs w:val="0"/>
                      <w:color w:val="auto"/>
                      <w:sz w:val="20"/>
                      <w:szCs w:val="20"/>
                      <w:highlight w:val="none"/>
                      <w:u w:val="none"/>
                    </w:rPr>
                  </w:pPr>
                </w:p>
              </w:tc>
              <w:tc>
                <w:tcPr>
                  <w:tcW w:w="3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B0A60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w:t>
                  </w:r>
                </w:p>
              </w:tc>
              <w:tc>
                <w:tcPr>
                  <w:tcW w:w="6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E2A79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300</w:t>
                  </w:r>
                </w:p>
              </w:tc>
              <w:tc>
                <w:tcPr>
                  <w:tcW w:w="5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AAAE0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150</w:t>
                  </w:r>
                </w:p>
              </w:tc>
              <w:tc>
                <w:tcPr>
                  <w:tcW w:w="5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25B2C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40</w:t>
                  </w:r>
                </w:p>
              </w:tc>
              <w:tc>
                <w:tcPr>
                  <w:tcW w:w="6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A219D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6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ECADD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2</w:t>
                  </w:r>
                </w:p>
              </w:tc>
              <w:tc>
                <w:tcPr>
                  <w:tcW w:w="5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C77C7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20</w:t>
                  </w:r>
                </w:p>
              </w:tc>
              <w:tc>
                <w:tcPr>
                  <w:tcW w:w="5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39C20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1</w:t>
                  </w:r>
                </w:p>
              </w:tc>
            </w:tr>
            <w:tr w14:paraId="3F6F60A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3" w:hRule="atLeast"/>
              </w:trPr>
              <w:tc>
                <w:tcPr>
                  <w:tcW w:w="6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FE490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rPr>
                    <w:t>达标情况</w:t>
                  </w:r>
                </w:p>
              </w:tc>
              <w:tc>
                <w:tcPr>
                  <w:tcW w:w="3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80A6C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6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CD421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达标</w:t>
                  </w:r>
                </w:p>
              </w:tc>
              <w:tc>
                <w:tcPr>
                  <w:tcW w:w="5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47456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达标</w:t>
                  </w:r>
                </w:p>
              </w:tc>
              <w:tc>
                <w:tcPr>
                  <w:tcW w:w="5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3A32A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达标</w:t>
                  </w:r>
                </w:p>
              </w:tc>
              <w:tc>
                <w:tcPr>
                  <w:tcW w:w="6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943E1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达标</w:t>
                  </w:r>
                </w:p>
              </w:tc>
              <w:tc>
                <w:tcPr>
                  <w:tcW w:w="6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CD421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达标</w:t>
                  </w:r>
                </w:p>
              </w:tc>
              <w:tc>
                <w:tcPr>
                  <w:tcW w:w="5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F03CC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达标</w:t>
                  </w:r>
                </w:p>
              </w:tc>
              <w:tc>
                <w:tcPr>
                  <w:tcW w:w="5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4425D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达标</w:t>
                  </w:r>
                </w:p>
              </w:tc>
            </w:tr>
            <w:tr w14:paraId="7E98AD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26" w:hRule="atLeast"/>
              </w:trPr>
              <w:tc>
                <w:tcPr>
                  <w:tcW w:w="5000" w:type="pct"/>
                  <w:gridSpan w:val="9"/>
                  <w:tcBorders>
                    <w:top w:val="single" w:color="000000" w:sz="4" w:space="0"/>
                    <w:left w:val="single" w:color="000000" w:sz="4" w:space="0"/>
                    <w:bottom w:val="single" w:color="000000" w:sz="4" w:space="0"/>
                    <w:right w:val="single" w:color="000000" w:sz="4" w:space="0"/>
                  </w:tcBorders>
                  <w:shd w:val="clear" w:color="auto" w:fill="auto"/>
                  <w:vAlign w:val="center"/>
                </w:tcPr>
                <w:p w14:paraId="405A8A96">
                  <w:pPr>
                    <w:keepNext w:val="0"/>
                    <w:keepLines w:val="0"/>
                    <w:widowControl/>
                    <w:suppressLineNumbers w:val="0"/>
                    <w:spacing w:before="0" w:beforeAutospacing="0" w:after="0" w:afterAutospacing="0" w:line="240" w:lineRule="auto"/>
                    <w:ind w:left="0" w:right="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0"/>
                      <w:szCs w:val="20"/>
                      <w:highlight w:val="none"/>
                      <w:u w:val="none"/>
                      <w:lang w:val="en-US" w:eastAsia="zh-CN"/>
                    </w:rPr>
                    <w:t>注：参考</w:t>
                  </w:r>
                  <w:r>
                    <w:rPr>
                      <w:rFonts w:hint="default" w:ascii="Times New Roman" w:hAnsi="Times New Roman" w:eastAsia="宋体" w:cs="Times New Roman"/>
                      <w:color w:val="auto"/>
                      <w:sz w:val="20"/>
                      <w:szCs w:val="20"/>
                      <w:highlight w:val="none"/>
                      <w:lang w:val="en-US" w:eastAsia="zh-CN"/>
                    </w:rPr>
                    <w:t>《排放源统计调查产排污核算方法和系数手册》</w:t>
                  </w:r>
                  <w:r>
                    <w:rPr>
                      <w:rFonts w:hint="eastAsia" w:cs="Times New Roman"/>
                      <w:color w:val="auto"/>
                      <w:sz w:val="20"/>
                      <w:szCs w:val="20"/>
                      <w:highlight w:val="none"/>
                      <w:lang w:val="en-US" w:eastAsia="zh-CN"/>
                    </w:rPr>
                    <w:t>，本项目</w:t>
                  </w:r>
                  <w:r>
                    <w:rPr>
                      <w:rFonts w:hint="eastAsia" w:cs="Times New Roman"/>
                      <w:i w:val="0"/>
                      <w:iCs w:val="0"/>
                      <w:color w:val="auto"/>
                      <w:kern w:val="0"/>
                      <w:sz w:val="20"/>
                      <w:szCs w:val="20"/>
                      <w:highlight w:val="none"/>
                      <w:u w:val="none"/>
                      <w:lang w:val="en-US" w:eastAsia="zh-CN"/>
                    </w:rPr>
                    <w:t>COD、氨氮、总氮、石油类、总磷去除效率分别为90、80、50、55、40；</w:t>
                  </w:r>
                  <w:r>
                    <w:rPr>
                      <w:rFonts w:hint="eastAsia" w:cs="Times New Roman"/>
                      <w:color w:val="auto"/>
                      <w:sz w:val="20"/>
                      <w:szCs w:val="20"/>
                      <w:highlight w:val="none"/>
                      <w:lang w:val="en-US" w:eastAsia="zh-CN"/>
                    </w:rPr>
                    <w:t>本项目采用“</w:t>
                  </w:r>
                  <w:r>
                    <w:rPr>
                      <w:rFonts w:hint="eastAsia" w:cs="Times New Roman"/>
                      <w:i w:val="0"/>
                      <w:iCs w:val="0"/>
                      <w:color w:val="auto"/>
                      <w:kern w:val="0"/>
                      <w:sz w:val="20"/>
                      <w:szCs w:val="20"/>
                      <w:highlight w:val="none"/>
                      <w:u w:val="none"/>
                      <w:lang w:val="en-US" w:eastAsia="zh-CN"/>
                    </w:rPr>
                    <w:t>调节+絮凝沉淀+A/O+二沉池+消毒”处理工艺，该工艺对</w:t>
                  </w:r>
                  <w:r>
                    <w:rPr>
                      <w:rFonts w:hint="eastAsia" w:cs="Times New Roman"/>
                      <w:color w:val="auto"/>
                      <w:sz w:val="20"/>
                      <w:szCs w:val="20"/>
                      <w:highlight w:val="none"/>
                      <w:lang w:val="en-US" w:eastAsia="zh-CN"/>
                    </w:rPr>
                    <w:t>石油类去除效率约为1-（1-0.55）*（1-0.85）=93.25%、总磷去除效率为1-（1-0.4）*（1-0.5）=70%。工艺简介见本章废水处理工艺“可行性分析”部分。</w:t>
                  </w:r>
                </w:p>
              </w:tc>
            </w:tr>
          </w:tbl>
          <w:p w14:paraId="6150814B">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因此，废塑料洗料废水/湿法破碎废水通过处理后，</w:t>
            </w:r>
            <w:r>
              <w:rPr>
                <w:rFonts w:hint="default" w:ascii="Times New Roman" w:hAnsi="Times New Roman" w:eastAsia="宋体" w:cs="Times New Roman"/>
                <w:color w:val="auto"/>
                <w:kern w:val="2"/>
                <w:sz w:val="24"/>
                <w:szCs w:val="24"/>
                <w:highlight w:val="none"/>
                <w:lang w:val="en-US" w:eastAsia="zh-CN"/>
              </w:rPr>
              <w:t>CODcr、</w:t>
            </w:r>
            <w:r>
              <w:rPr>
                <w:rFonts w:hint="eastAsia" w:cs="Times New Roman"/>
                <w:color w:val="auto"/>
                <w:kern w:val="2"/>
                <w:sz w:val="24"/>
                <w:szCs w:val="24"/>
                <w:highlight w:val="none"/>
                <w:lang w:val="en-US" w:eastAsia="zh-CN"/>
              </w:rPr>
              <w:t>BOD</w:t>
            </w:r>
            <w:r>
              <w:rPr>
                <w:rFonts w:hint="eastAsia" w:cs="Times New Roman"/>
                <w:color w:val="auto"/>
                <w:kern w:val="2"/>
                <w:sz w:val="24"/>
                <w:szCs w:val="24"/>
                <w:highlight w:val="none"/>
                <w:vertAlign w:val="subscript"/>
                <w:lang w:val="en-US" w:eastAsia="zh-CN"/>
              </w:rPr>
              <w:t>5</w:t>
            </w:r>
            <w:r>
              <w:rPr>
                <w:rFonts w:hint="eastAsia" w:cs="Times New Roman"/>
                <w:color w:val="auto"/>
                <w:kern w:val="2"/>
                <w:sz w:val="24"/>
                <w:szCs w:val="24"/>
                <w:highlight w:val="none"/>
                <w:vertAlign w:val="baseline"/>
                <w:lang w:val="en-US" w:eastAsia="zh-CN"/>
              </w:rPr>
              <w:t>、</w:t>
            </w:r>
            <w:r>
              <w:rPr>
                <w:rFonts w:hint="default" w:ascii="Times New Roman" w:hAnsi="Times New Roman" w:eastAsia="宋体" w:cs="Times New Roman"/>
                <w:color w:val="auto"/>
                <w:kern w:val="2"/>
                <w:sz w:val="24"/>
                <w:szCs w:val="24"/>
                <w:highlight w:val="none"/>
                <w:lang w:val="en-US" w:eastAsia="zh-CN"/>
              </w:rPr>
              <w:t>氨氮、石油类、总氮等再生水用作工业用水水质基本控制项目</w:t>
            </w:r>
            <w:r>
              <w:rPr>
                <w:rFonts w:hint="default" w:ascii="Times New Roman" w:hAnsi="Times New Roman" w:cs="Times New Roman"/>
                <w:color w:val="auto"/>
                <w:sz w:val="24"/>
                <w:szCs w:val="24"/>
                <w:highlight w:val="none"/>
                <w:lang w:val="en-US" w:eastAsia="zh-CN"/>
              </w:rPr>
              <w:t>能够满足</w:t>
            </w:r>
            <w:r>
              <w:rPr>
                <w:rFonts w:hint="default" w:ascii="Times New Roman" w:hAnsi="Times New Roman" w:eastAsia="宋体" w:cs="Times New Roman"/>
                <w:i w:val="0"/>
                <w:iCs w:val="0"/>
                <w:color w:val="auto"/>
                <w:kern w:val="0"/>
                <w:sz w:val="24"/>
                <w:szCs w:val="24"/>
                <w:highlight w:val="none"/>
                <w:u w:val="none"/>
                <w:lang w:val="en-US" w:eastAsia="zh-CN"/>
              </w:rPr>
              <w:t>《城市污水再生利用 工业用水水质》（GB/T 19923-2024）表1中洗涤用水标准限值要求</w:t>
            </w:r>
            <w:r>
              <w:rPr>
                <w:rFonts w:hint="eastAsia"/>
                <w:color w:val="auto"/>
                <w:highlight w:val="none"/>
                <w:lang w:val="en-US" w:eastAsia="zh-CN"/>
              </w:rPr>
              <w:t>和园区污水处理厂接管水质要求、广东省《水污染物排放限值》（DB44/26-2001）第二时段三级标准两者较严值要求</w:t>
            </w:r>
            <w:r>
              <w:rPr>
                <w:rFonts w:hint="default" w:ascii="Times New Roman" w:hAnsi="Times New Roman" w:eastAsia="宋体" w:cs="Times New Roman"/>
                <w:i w:val="0"/>
                <w:iCs w:val="0"/>
                <w:color w:val="auto"/>
                <w:kern w:val="0"/>
                <w:sz w:val="24"/>
                <w:szCs w:val="24"/>
                <w:highlight w:val="none"/>
                <w:u w:val="none"/>
                <w:lang w:val="en-US" w:eastAsia="zh-CN"/>
              </w:rPr>
              <w:t>。</w:t>
            </w:r>
          </w:p>
          <w:p w14:paraId="09731FDF">
            <w:pPr>
              <w:keepNext w:val="0"/>
              <w:keepLines w:val="0"/>
              <w:numPr>
                <w:ilvl w:val="0"/>
                <w:numId w:val="0"/>
              </w:numPr>
              <w:suppressLineNumbers w:val="0"/>
              <w:tabs>
                <w:tab w:val="left" w:pos="0"/>
              </w:tabs>
              <w:spacing w:before="0" w:beforeAutospacing="0" w:after="0" w:afterAutospacing="0"/>
              <w:ind w:left="0" w:leftChars="0" w:right="0" w:rightChars="0" w:firstLine="40" w:firstLineChars="0"/>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kern w:val="2"/>
                <w:sz w:val="21"/>
                <w:szCs w:val="21"/>
                <w:highlight w:val="none"/>
                <w:vertAlign w:val="baseline"/>
                <w:lang w:val="en-US" w:eastAsia="zh-CN" w:bidi="ar-SA"/>
              </w:rPr>
              <w:t>表4-</w:t>
            </w:r>
            <w:r>
              <w:rPr>
                <w:rFonts w:hint="default" w:ascii="Times New Roman" w:hAnsi="Times New Roman" w:cs="Times New Roman"/>
                <w:b/>
                <w:bCs/>
                <w:color w:val="auto"/>
                <w:kern w:val="2"/>
                <w:sz w:val="21"/>
                <w:szCs w:val="21"/>
                <w:highlight w:val="none"/>
                <w:vertAlign w:val="baseline"/>
                <w:lang w:val="en-US" w:eastAsia="zh-CN" w:bidi="ar-SA"/>
              </w:rPr>
              <w:t>1</w:t>
            </w:r>
            <w:r>
              <w:rPr>
                <w:rFonts w:hint="default" w:ascii="Times New Roman" w:hAnsi="Times New Roman" w:eastAsia="宋体" w:cs="Times New Roman"/>
                <w:b/>
                <w:bCs/>
                <w:color w:val="auto"/>
                <w:kern w:val="2"/>
                <w:sz w:val="21"/>
                <w:szCs w:val="21"/>
                <w:highlight w:val="none"/>
                <w:vertAlign w:val="baseline"/>
                <w:lang w:val="en-US" w:eastAsia="zh-CN" w:bidi="ar-SA"/>
              </w:rPr>
              <w:t>5</w:t>
            </w:r>
            <w:r>
              <w:rPr>
                <w:rFonts w:hint="default" w:ascii="Times New Roman" w:hAnsi="Times New Roman" w:cs="Times New Roman"/>
                <w:b/>
                <w:bCs/>
                <w:color w:val="auto"/>
                <w:kern w:val="2"/>
                <w:sz w:val="21"/>
                <w:szCs w:val="21"/>
                <w:highlight w:val="none"/>
                <w:vertAlign w:val="baseline"/>
                <w:lang w:val="en-US" w:eastAsia="zh-CN" w:bidi="ar-SA"/>
              </w:rPr>
              <w:t xml:space="preserve"> </w:t>
            </w:r>
            <w:r>
              <w:rPr>
                <w:rFonts w:hint="default" w:ascii="Times New Roman" w:hAnsi="Times New Roman" w:cs="Times New Roman"/>
                <w:b/>
                <w:bCs/>
                <w:color w:val="auto"/>
                <w:sz w:val="21"/>
                <w:szCs w:val="21"/>
                <w:highlight w:val="none"/>
                <w:vertAlign w:val="baseline"/>
                <w:lang w:val="en-US" w:eastAsia="zh-CN"/>
              </w:rPr>
              <w:t>本项目废水污染源源强核算结果及相关参数一览表</w:t>
            </w:r>
          </w:p>
          <w:tbl>
            <w:tblPr>
              <w:tblStyle w:val="39"/>
              <w:tblW w:w="4964"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580"/>
              <w:gridCol w:w="1178"/>
              <w:gridCol w:w="558"/>
              <w:gridCol w:w="1028"/>
              <w:gridCol w:w="1274"/>
              <w:gridCol w:w="1320"/>
              <w:gridCol w:w="920"/>
              <w:gridCol w:w="802"/>
              <w:gridCol w:w="802"/>
              <w:gridCol w:w="622"/>
              <w:gridCol w:w="1162"/>
              <w:gridCol w:w="1151"/>
              <w:gridCol w:w="1162"/>
              <w:gridCol w:w="848"/>
            </w:tblGrid>
            <w:tr w14:paraId="266A5F5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21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6A709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类别</w:t>
                  </w:r>
                </w:p>
              </w:tc>
              <w:tc>
                <w:tcPr>
                  <w:tcW w:w="43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B2B25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污染物种类</w:t>
                  </w:r>
                </w:p>
              </w:tc>
              <w:tc>
                <w:tcPr>
                  <w:tcW w:w="1558"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4499F7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污染物产生情况</w:t>
                  </w:r>
                </w:p>
              </w:tc>
              <w:tc>
                <w:tcPr>
                  <w:tcW w:w="941"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03016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治理措施基本情况</w:t>
                  </w:r>
                </w:p>
              </w:tc>
              <w:tc>
                <w:tcPr>
                  <w:tcW w:w="1527"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662261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污染物排放情况</w:t>
                  </w:r>
                </w:p>
              </w:tc>
              <w:tc>
                <w:tcPr>
                  <w:tcW w:w="31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8FB58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排放时间</w:t>
                  </w:r>
                </w:p>
              </w:tc>
            </w:tr>
            <w:tr w14:paraId="1B944C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6" w:hRule="atLeast"/>
                <w:jc w:val="center"/>
              </w:trPr>
              <w:tc>
                <w:tcPr>
                  <w:tcW w:w="21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E5B5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43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BEEE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2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C09B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核算方法</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693D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废水量产生量（t/a）</w:t>
                  </w:r>
                </w:p>
              </w:tc>
              <w:tc>
                <w:tcPr>
                  <w:tcW w:w="4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0615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产生浓度（mg/L）</w:t>
                  </w:r>
                </w:p>
              </w:tc>
              <w:tc>
                <w:tcPr>
                  <w:tcW w:w="4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610B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产生量（t/a）</w:t>
                  </w:r>
                </w:p>
              </w:tc>
              <w:tc>
                <w:tcPr>
                  <w:tcW w:w="343" w:type="pct"/>
                  <w:tcBorders>
                    <w:top w:val="single" w:color="000000" w:sz="4" w:space="0"/>
                    <w:left w:val="single" w:color="000000" w:sz="4" w:space="0"/>
                    <w:right w:val="single" w:color="000000" w:sz="4" w:space="0"/>
                  </w:tcBorders>
                  <w:shd w:val="clear" w:color="auto" w:fill="auto"/>
                  <w:vAlign w:val="center"/>
                </w:tcPr>
                <w:p w14:paraId="29B6F8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rPr>
                  </w:pPr>
                  <w:r>
                    <w:rPr>
                      <w:rFonts w:hint="default" w:ascii="Times New Roman" w:hAnsi="Times New Roman" w:eastAsia="宋体" w:cs="Times New Roman"/>
                      <w:b/>
                      <w:bCs/>
                      <w:i w:val="0"/>
                      <w:iCs w:val="0"/>
                      <w:color w:val="auto"/>
                      <w:kern w:val="0"/>
                      <w:sz w:val="21"/>
                      <w:szCs w:val="21"/>
                      <w:highlight w:val="none"/>
                      <w:u w:val="none"/>
                      <w:lang w:val="en-US" w:eastAsia="zh-CN"/>
                    </w:rPr>
                    <w:t>治理</w:t>
                  </w:r>
                </w:p>
                <w:p w14:paraId="341680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工艺</w:t>
                  </w:r>
                </w:p>
              </w:tc>
              <w:tc>
                <w:tcPr>
                  <w:tcW w:w="2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1274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lang w:val="en-US"/>
                    </w:rPr>
                  </w:pPr>
                  <w:r>
                    <w:rPr>
                      <w:rFonts w:hint="default" w:ascii="Times New Roman" w:hAnsi="Times New Roman" w:eastAsia="宋体" w:cs="Times New Roman"/>
                      <w:b/>
                      <w:bCs/>
                      <w:i w:val="0"/>
                      <w:iCs w:val="0"/>
                      <w:color w:val="auto"/>
                      <w:kern w:val="0"/>
                      <w:sz w:val="21"/>
                      <w:szCs w:val="21"/>
                      <w:highlight w:val="none"/>
                      <w:u w:val="none"/>
                      <w:lang w:val="en-US" w:eastAsia="zh-CN"/>
                    </w:rPr>
                    <w:t>治理效率</w:t>
                  </w:r>
                  <w:r>
                    <w:rPr>
                      <w:rFonts w:hint="default" w:ascii="Times New Roman" w:hAnsi="Times New Roman" w:cs="Times New Roman"/>
                      <w:b/>
                      <w:bCs/>
                      <w:i w:val="0"/>
                      <w:iCs w:val="0"/>
                      <w:color w:val="auto"/>
                      <w:kern w:val="0"/>
                      <w:sz w:val="21"/>
                      <w:szCs w:val="21"/>
                      <w:highlight w:val="none"/>
                      <w:u w:val="none"/>
                      <w:lang w:val="en-US" w:eastAsia="zh-CN"/>
                    </w:rPr>
                    <w:t>%</w:t>
                  </w:r>
                </w:p>
              </w:tc>
              <w:tc>
                <w:tcPr>
                  <w:tcW w:w="2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DFC0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是否为可行技术</w:t>
                  </w:r>
                </w:p>
              </w:tc>
              <w:tc>
                <w:tcPr>
                  <w:tcW w:w="232" w:type="pct"/>
                  <w:tcBorders>
                    <w:top w:val="single" w:color="000000" w:sz="4" w:space="0"/>
                    <w:left w:val="single" w:color="000000" w:sz="4" w:space="0"/>
                    <w:right w:val="single" w:color="000000" w:sz="4" w:space="0"/>
                  </w:tcBorders>
                  <w:shd w:val="clear" w:color="auto" w:fill="auto"/>
                  <w:vAlign w:val="center"/>
                </w:tcPr>
                <w:p w14:paraId="589438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rPr>
                  </w:pPr>
                  <w:r>
                    <w:rPr>
                      <w:rFonts w:hint="default" w:ascii="Times New Roman" w:hAnsi="Times New Roman" w:eastAsia="宋体" w:cs="Times New Roman"/>
                      <w:b/>
                      <w:bCs/>
                      <w:i w:val="0"/>
                      <w:iCs w:val="0"/>
                      <w:color w:val="auto"/>
                      <w:kern w:val="0"/>
                      <w:sz w:val="21"/>
                      <w:szCs w:val="21"/>
                      <w:highlight w:val="none"/>
                      <w:u w:val="none"/>
                      <w:lang w:val="en-US" w:eastAsia="zh-CN"/>
                    </w:rPr>
                    <w:t>核算</w:t>
                  </w:r>
                </w:p>
                <w:p w14:paraId="1C9EE3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方法</w:t>
                  </w:r>
                </w:p>
              </w:tc>
              <w:tc>
                <w:tcPr>
                  <w:tcW w:w="4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176A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废水排放量（t/a）</w:t>
                  </w:r>
                </w:p>
              </w:tc>
              <w:tc>
                <w:tcPr>
                  <w:tcW w:w="4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63E3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排放浓度（mg/L）</w:t>
                  </w:r>
                </w:p>
              </w:tc>
              <w:tc>
                <w:tcPr>
                  <w:tcW w:w="4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76B2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排放量（t/a）</w:t>
                  </w:r>
                </w:p>
              </w:tc>
              <w:tc>
                <w:tcPr>
                  <w:tcW w:w="31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6C59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r>
            <w:tr w14:paraId="5BB06D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216" w:type="pct"/>
                  <w:vMerge w:val="restart"/>
                  <w:tcBorders>
                    <w:top w:val="single" w:color="000000" w:sz="4" w:space="0"/>
                    <w:left w:val="single" w:color="000000" w:sz="4" w:space="0"/>
                    <w:right w:val="single" w:color="000000" w:sz="4" w:space="0"/>
                  </w:tcBorders>
                  <w:shd w:val="clear" w:color="auto" w:fill="auto"/>
                  <w:vAlign w:val="center"/>
                </w:tcPr>
                <w:p w14:paraId="3150C2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生活污水</w:t>
                  </w:r>
                </w:p>
              </w:tc>
              <w:tc>
                <w:tcPr>
                  <w:tcW w:w="4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CA0D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COD</w:t>
                  </w:r>
                  <w:r>
                    <w:rPr>
                      <w:rFonts w:hint="default" w:ascii="Times New Roman" w:hAnsi="Times New Roman" w:eastAsia="宋体" w:cs="Times New Roman"/>
                      <w:i w:val="0"/>
                      <w:iCs w:val="0"/>
                      <w:color w:val="auto"/>
                      <w:kern w:val="0"/>
                      <w:sz w:val="21"/>
                      <w:szCs w:val="21"/>
                      <w:highlight w:val="none"/>
                      <w:u w:val="none"/>
                      <w:vertAlign w:val="subscript"/>
                      <w:lang w:val="en-US" w:eastAsia="zh-CN"/>
                    </w:rPr>
                    <w:t>Cr</w:t>
                  </w:r>
                </w:p>
              </w:tc>
              <w:tc>
                <w:tcPr>
                  <w:tcW w:w="208" w:type="pct"/>
                  <w:vMerge w:val="restart"/>
                  <w:tcBorders>
                    <w:top w:val="single" w:color="000000" w:sz="4" w:space="0"/>
                    <w:left w:val="single" w:color="000000" w:sz="4" w:space="0"/>
                    <w:right w:val="single" w:color="000000" w:sz="4" w:space="0"/>
                  </w:tcBorders>
                  <w:shd w:val="clear" w:color="auto" w:fill="auto"/>
                  <w:vAlign w:val="center"/>
                </w:tcPr>
                <w:p w14:paraId="290731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产污系数法</w:t>
                  </w:r>
                </w:p>
              </w:tc>
              <w:tc>
                <w:tcPr>
                  <w:tcW w:w="383" w:type="pct"/>
                  <w:vMerge w:val="restart"/>
                  <w:tcBorders>
                    <w:top w:val="single" w:color="000000" w:sz="4" w:space="0"/>
                    <w:left w:val="single" w:color="000000" w:sz="4" w:space="0"/>
                    <w:right w:val="single" w:color="000000" w:sz="4" w:space="0"/>
                  </w:tcBorders>
                  <w:shd w:val="clear" w:color="auto" w:fill="auto"/>
                  <w:vAlign w:val="center"/>
                </w:tcPr>
                <w:p w14:paraId="413AD6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rPr>
                    <w:t>3420</w:t>
                  </w:r>
                </w:p>
              </w:tc>
              <w:tc>
                <w:tcPr>
                  <w:tcW w:w="4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1977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250</w:t>
                  </w:r>
                </w:p>
              </w:tc>
              <w:tc>
                <w:tcPr>
                  <w:tcW w:w="4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E9AD4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0.855</w:t>
                  </w:r>
                </w:p>
              </w:tc>
              <w:tc>
                <w:tcPr>
                  <w:tcW w:w="343" w:type="pct"/>
                  <w:vMerge w:val="restart"/>
                  <w:tcBorders>
                    <w:top w:val="single" w:color="000000" w:sz="4" w:space="0"/>
                    <w:left w:val="single" w:color="000000" w:sz="4" w:space="0"/>
                    <w:right w:val="single" w:color="000000" w:sz="4" w:space="0"/>
                  </w:tcBorders>
                  <w:shd w:val="clear" w:color="auto" w:fill="auto"/>
                  <w:vAlign w:val="center"/>
                </w:tcPr>
                <w:p w14:paraId="4AF5F9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rPr>
                    <w:t>三级化粪池</w:t>
                  </w:r>
                  <w:r>
                    <w:rPr>
                      <w:rFonts w:hint="default" w:ascii="Times New Roman" w:hAnsi="Times New Roman" w:cs="Times New Roman"/>
                      <w:i w:val="0"/>
                      <w:iCs w:val="0"/>
                      <w:color w:val="auto"/>
                      <w:kern w:val="0"/>
                      <w:sz w:val="21"/>
                      <w:szCs w:val="21"/>
                      <w:highlight w:val="none"/>
                      <w:u w:val="none"/>
                      <w:lang w:val="en-US" w:eastAsia="zh-CN"/>
                    </w:rPr>
                    <w:t>、隔油隔渣池</w:t>
                  </w:r>
                </w:p>
              </w:tc>
              <w:tc>
                <w:tcPr>
                  <w:tcW w:w="2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3F92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20</w:t>
                  </w:r>
                </w:p>
              </w:tc>
              <w:tc>
                <w:tcPr>
                  <w:tcW w:w="299" w:type="pct"/>
                  <w:vMerge w:val="restart"/>
                  <w:tcBorders>
                    <w:top w:val="single" w:color="000000" w:sz="4" w:space="0"/>
                    <w:left w:val="single" w:color="000000" w:sz="4" w:space="0"/>
                    <w:right w:val="single" w:color="000000" w:sz="4" w:space="0"/>
                  </w:tcBorders>
                  <w:shd w:val="clear" w:color="auto" w:fill="auto"/>
                  <w:vAlign w:val="center"/>
                </w:tcPr>
                <w:p w14:paraId="09DD95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是</w:t>
                  </w:r>
                </w:p>
              </w:tc>
              <w:tc>
                <w:tcPr>
                  <w:tcW w:w="232" w:type="pct"/>
                  <w:vMerge w:val="restart"/>
                  <w:tcBorders>
                    <w:top w:val="single" w:color="000000" w:sz="4" w:space="0"/>
                    <w:left w:val="single" w:color="000000" w:sz="4" w:space="0"/>
                    <w:right w:val="single" w:color="000000" w:sz="4" w:space="0"/>
                  </w:tcBorders>
                  <w:shd w:val="clear" w:color="auto" w:fill="auto"/>
                  <w:vAlign w:val="center"/>
                </w:tcPr>
                <w:p w14:paraId="63A2E4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物料平衡法</w:t>
                  </w:r>
                </w:p>
              </w:tc>
              <w:tc>
                <w:tcPr>
                  <w:tcW w:w="433" w:type="pct"/>
                  <w:vMerge w:val="restart"/>
                  <w:tcBorders>
                    <w:top w:val="single" w:color="000000" w:sz="4" w:space="0"/>
                    <w:left w:val="single" w:color="000000" w:sz="4" w:space="0"/>
                    <w:right w:val="single" w:color="000000" w:sz="4" w:space="0"/>
                  </w:tcBorders>
                  <w:shd w:val="clear" w:color="auto" w:fill="auto"/>
                  <w:vAlign w:val="center"/>
                </w:tcPr>
                <w:p w14:paraId="395765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rPr>
                    <w:t>3420</w:t>
                  </w:r>
                </w:p>
              </w:tc>
              <w:tc>
                <w:tcPr>
                  <w:tcW w:w="4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9B3F5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200</w:t>
                  </w:r>
                </w:p>
              </w:tc>
              <w:tc>
                <w:tcPr>
                  <w:tcW w:w="4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81B75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rPr>
                    <w:t xml:space="preserve">0.684 </w:t>
                  </w:r>
                </w:p>
              </w:tc>
              <w:tc>
                <w:tcPr>
                  <w:tcW w:w="316" w:type="pct"/>
                  <w:vMerge w:val="restart"/>
                  <w:tcBorders>
                    <w:top w:val="single" w:color="000000" w:sz="4" w:space="0"/>
                    <w:left w:val="single" w:color="000000" w:sz="4" w:space="0"/>
                    <w:right w:val="single" w:color="000000" w:sz="4" w:space="0"/>
                  </w:tcBorders>
                  <w:shd w:val="clear" w:color="auto" w:fill="auto"/>
                  <w:vAlign w:val="center"/>
                </w:tcPr>
                <w:p w14:paraId="3C9051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rPr>
                    <w:t>7920</w:t>
                  </w:r>
                </w:p>
              </w:tc>
            </w:tr>
            <w:tr w14:paraId="724B25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216" w:type="pct"/>
                  <w:vMerge w:val="continue"/>
                  <w:tcBorders>
                    <w:left w:val="single" w:color="000000" w:sz="4" w:space="0"/>
                    <w:right w:val="single" w:color="000000" w:sz="4" w:space="0"/>
                  </w:tcBorders>
                  <w:shd w:val="clear" w:color="auto" w:fill="auto"/>
                  <w:vAlign w:val="center"/>
                </w:tcPr>
                <w:p w14:paraId="7EBCAF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4538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BOD</w:t>
                  </w:r>
                  <w:r>
                    <w:rPr>
                      <w:rFonts w:hint="default" w:ascii="Times New Roman" w:hAnsi="Times New Roman" w:eastAsia="宋体" w:cs="Times New Roman"/>
                      <w:i w:val="0"/>
                      <w:iCs w:val="0"/>
                      <w:color w:val="auto"/>
                      <w:kern w:val="0"/>
                      <w:sz w:val="21"/>
                      <w:szCs w:val="21"/>
                      <w:highlight w:val="none"/>
                      <w:u w:val="none"/>
                      <w:vertAlign w:val="subscript"/>
                      <w:lang w:val="en-US" w:eastAsia="zh-CN"/>
                    </w:rPr>
                    <w:t>5</w:t>
                  </w:r>
                </w:p>
              </w:tc>
              <w:tc>
                <w:tcPr>
                  <w:tcW w:w="208" w:type="pct"/>
                  <w:vMerge w:val="continue"/>
                  <w:tcBorders>
                    <w:left w:val="single" w:color="000000" w:sz="4" w:space="0"/>
                    <w:right w:val="single" w:color="000000" w:sz="4" w:space="0"/>
                  </w:tcBorders>
                  <w:shd w:val="clear" w:color="auto" w:fill="auto"/>
                  <w:vAlign w:val="center"/>
                </w:tcPr>
                <w:p w14:paraId="25B799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83" w:type="pct"/>
                  <w:vMerge w:val="continue"/>
                  <w:tcBorders>
                    <w:left w:val="single" w:color="000000" w:sz="4" w:space="0"/>
                    <w:right w:val="single" w:color="000000" w:sz="4" w:space="0"/>
                  </w:tcBorders>
                  <w:shd w:val="clear" w:color="auto" w:fill="auto"/>
                  <w:vAlign w:val="center"/>
                </w:tcPr>
                <w:p w14:paraId="170E9E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F5B7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150</w:t>
                  </w:r>
                </w:p>
              </w:tc>
              <w:tc>
                <w:tcPr>
                  <w:tcW w:w="4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651ED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0.513</w:t>
                  </w:r>
                </w:p>
              </w:tc>
              <w:tc>
                <w:tcPr>
                  <w:tcW w:w="343" w:type="pct"/>
                  <w:vMerge w:val="continue"/>
                  <w:tcBorders>
                    <w:left w:val="single" w:color="000000" w:sz="4" w:space="0"/>
                    <w:right w:val="single" w:color="000000" w:sz="4" w:space="0"/>
                  </w:tcBorders>
                  <w:shd w:val="clear" w:color="auto" w:fill="auto"/>
                  <w:vAlign w:val="center"/>
                </w:tcPr>
                <w:p w14:paraId="275D35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2A26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5</w:t>
                  </w:r>
                </w:p>
              </w:tc>
              <w:tc>
                <w:tcPr>
                  <w:tcW w:w="299" w:type="pct"/>
                  <w:vMerge w:val="continue"/>
                  <w:tcBorders>
                    <w:left w:val="single" w:color="000000" w:sz="4" w:space="0"/>
                    <w:right w:val="single" w:color="000000" w:sz="4" w:space="0"/>
                  </w:tcBorders>
                  <w:shd w:val="clear" w:color="auto" w:fill="auto"/>
                  <w:vAlign w:val="center"/>
                </w:tcPr>
                <w:p w14:paraId="3B962C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32" w:type="pct"/>
                  <w:vMerge w:val="continue"/>
                  <w:tcBorders>
                    <w:left w:val="single" w:color="000000" w:sz="4" w:space="0"/>
                    <w:right w:val="single" w:color="000000" w:sz="4" w:space="0"/>
                  </w:tcBorders>
                  <w:shd w:val="clear" w:color="auto" w:fill="auto"/>
                  <w:vAlign w:val="center"/>
                </w:tcPr>
                <w:p w14:paraId="19E18C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33" w:type="pct"/>
                  <w:vMerge w:val="continue"/>
                  <w:tcBorders>
                    <w:left w:val="single" w:color="000000" w:sz="4" w:space="0"/>
                    <w:right w:val="single" w:color="000000" w:sz="4" w:space="0"/>
                  </w:tcBorders>
                  <w:shd w:val="clear" w:color="auto" w:fill="auto"/>
                  <w:vAlign w:val="center"/>
                </w:tcPr>
                <w:p w14:paraId="381AD5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0381A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142.5</w:t>
                  </w:r>
                </w:p>
              </w:tc>
              <w:tc>
                <w:tcPr>
                  <w:tcW w:w="4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B65C0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rPr>
                    <w:t xml:space="preserve">0.487 </w:t>
                  </w:r>
                </w:p>
              </w:tc>
              <w:tc>
                <w:tcPr>
                  <w:tcW w:w="316" w:type="pct"/>
                  <w:vMerge w:val="continue"/>
                  <w:tcBorders>
                    <w:left w:val="single" w:color="000000" w:sz="4" w:space="0"/>
                    <w:right w:val="single" w:color="000000" w:sz="4" w:space="0"/>
                  </w:tcBorders>
                  <w:shd w:val="clear" w:color="auto" w:fill="auto"/>
                  <w:vAlign w:val="center"/>
                </w:tcPr>
                <w:p w14:paraId="6A93EE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r>
            <w:tr w14:paraId="1E5E67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216" w:type="pct"/>
                  <w:vMerge w:val="continue"/>
                  <w:tcBorders>
                    <w:left w:val="single" w:color="000000" w:sz="4" w:space="0"/>
                    <w:right w:val="single" w:color="000000" w:sz="4" w:space="0"/>
                  </w:tcBorders>
                  <w:shd w:val="clear" w:color="auto" w:fill="auto"/>
                  <w:vAlign w:val="center"/>
                </w:tcPr>
                <w:p w14:paraId="30E27E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C657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SS</w:t>
                  </w:r>
                </w:p>
              </w:tc>
              <w:tc>
                <w:tcPr>
                  <w:tcW w:w="208" w:type="pct"/>
                  <w:vMerge w:val="continue"/>
                  <w:tcBorders>
                    <w:left w:val="single" w:color="000000" w:sz="4" w:space="0"/>
                    <w:right w:val="single" w:color="000000" w:sz="4" w:space="0"/>
                  </w:tcBorders>
                  <w:shd w:val="clear" w:color="auto" w:fill="auto"/>
                  <w:vAlign w:val="center"/>
                </w:tcPr>
                <w:p w14:paraId="0E34D4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83" w:type="pct"/>
                  <w:vMerge w:val="continue"/>
                  <w:tcBorders>
                    <w:left w:val="single" w:color="000000" w:sz="4" w:space="0"/>
                    <w:right w:val="single" w:color="000000" w:sz="4" w:space="0"/>
                  </w:tcBorders>
                  <w:shd w:val="clear" w:color="auto" w:fill="auto"/>
                  <w:vAlign w:val="center"/>
                </w:tcPr>
                <w:p w14:paraId="5A4F56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E8FA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150</w:t>
                  </w:r>
                </w:p>
              </w:tc>
              <w:tc>
                <w:tcPr>
                  <w:tcW w:w="4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3E8F4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0.513</w:t>
                  </w:r>
                </w:p>
              </w:tc>
              <w:tc>
                <w:tcPr>
                  <w:tcW w:w="343" w:type="pct"/>
                  <w:vMerge w:val="continue"/>
                  <w:tcBorders>
                    <w:left w:val="single" w:color="000000" w:sz="4" w:space="0"/>
                    <w:right w:val="single" w:color="000000" w:sz="4" w:space="0"/>
                  </w:tcBorders>
                  <w:shd w:val="clear" w:color="auto" w:fill="auto"/>
                  <w:vAlign w:val="center"/>
                </w:tcPr>
                <w:p w14:paraId="13D427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154C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30</w:t>
                  </w:r>
                </w:p>
              </w:tc>
              <w:tc>
                <w:tcPr>
                  <w:tcW w:w="299" w:type="pct"/>
                  <w:vMerge w:val="continue"/>
                  <w:tcBorders>
                    <w:left w:val="single" w:color="000000" w:sz="4" w:space="0"/>
                    <w:right w:val="single" w:color="000000" w:sz="4" w:space="0"/>
                  </w:tcBorders>
                  <w:shd w:val="clear" w:color="auto" w:fill="auto"/>
                  <w:vAlign w:val="center"/>
                </w:tcPr>
                <w:p w14:paraId="12772A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32" w:type="pct"/>
                  <w:vMerge w:val="continue"/>
                  <w:tcBorders>
                    <w:left w:val="single" w:color="000000" w:sz="4" w:space="0"/>
                    <w:right w:val="single" w:color="000000" w:sz="4" w:space="0"/>
                  </w:tcBorders>
                  <w:shd w:val="clear" w:color="auto" w:fill="auto"/>
                  <w:vAlign w:val="center"/>
                </w:tcPr>
                <w:p w14:paraId="577407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33" w:type="pct"/>
                  <w:vMerge w:val="continue"/>
                  <w:tcBorders>
                    <w:left w:val="single" w:color="000000" w:sz="4" w:space="0"/>
                    <w:right w:val="single" w:color="000000" w:sz="4" w:space="0"/>
                  </w:tcBorders>
                  <w:shd w:val="clear" w:color="auto" w:fill="auto"/>
                  <w:vAlign w:val="center"/>
                </w:tcPr>
                <w:p w14:paraId="6F737E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8FBDA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105</w:t>
                  </w:r>
                </w:p>
              </w:tc>
              <w:tc>
                <w:tcPr>
                  <w:tcW w:w="4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51703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 xml:space="preserve">0.359 </w:t>
                  </w:r>
                </w:p>
              </w:tc>
              <w:tc>
                <w:tcPr>
                  <w:tcW w:w="316" w:type="pct"/>
                  <w:vMerge w:val="continue"/>
                  <w:tcBorders>
                    <w:left w:val="single" w:color="000000" w:sz="4" w:space="0"/>
                    <w:right w:val="single" w:color="000000" w:sz="4" w:space="0"/>
                  </w:tcBorders>
                  <w:shd w:val="clear" w:color="auto" w:fill="auto"/>
                  <w:vAlign w:val="center"/>
                </w:tcPr>
                <w:p w14:paraId="0DD6DE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r>
            <w:tr w14:paraId="695C86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216" w:type="pct"/>
                  <w:vMerge w:val="continue"/>
                  <w:tcBorders>
                    <w:left w:val="single" w:color="000000" w:sz="4" w:space="0"/>
                    <w:right w:val="single" w:color="000000" w:sz="4" w:space="0"/>
                  </w:tcBorders>
                  <w:shd w:val="clear" w:color="auto" w:fill="auto"/>
                  <w:vAlign w:val="center"/>
                </w:tcPr>
                <w:p w14:paraId="64E415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D09D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NH</w:t>
                  </w:r>
                  <w:r>
                    <w:rPr>
                      <w:rFonts w:hint="default" w:ascii="Times New Roman" w:hAnsi="Times New Roman" w:eastAsia="宋体" w:cs="Times New Roman"/>
                      <w:i w:val="0"/>
                      <w:iCs w:val="0"/>
                      <w:color w:val="auto"/>
                      <w:kern w:val="0"/>
                      <w:sz w:val="21"/>
                      <w:szCs w:val="21"/>
                      <w:highlight w:val="none"/>
                      <w:u w:val="none"/>
                      <w:vertAlign w:val="subscript"/>
                      <w:lang w:val="en-US" w:eastAsia="zh-CN"/>
                    </w:rPr>
                    <w:t>3</w:t>
                  </w:r>
                  <w:r>
                    <w:rPr>
                      <w:rFonts w:hint="default" w:ascii="Times New Roman" w:hAnsi="Times New Roman" w:eastAsia="宋体" w:cs="Times New Roman"/>
                      <w:i w:val="0"/>
                      <w:iCs w:val="0"/>
                      <w:color w:val="auto"/>
                      <w:kern w:val="0"/>
                      <w:sz w:val="21"/>
                      <w:szCs w:val="21"/>
                      <w:highlight w:val="none"/>
                      <w:u w:val="none"/>
                      <w:lang w:val="en-US" w:eastAsia="zh-CN"/>
                    </w:rPr>
                    <w:t>-N</w:t>
                  </w:r>
                </w:p>
              </w:tc>
              <w:tc>
                <w:tcPr>
                  <w:tcW w:w="208" w:type="pct"/>
                  <w:vMerge w:val="continue"/>
                  <w:tcBorders>
                    <w:left w:val="single" w:color="000000" w:sz="4" w:space="0"/>
                    <w:right w:val="single" w:color="000000" w:sz="4" w:space="0"/>
                  </w:tcBorders>
                  <w:shd w:val="clear" w:color="auto" w:fill="auto"/>
                  <w:vAlign w:val="center"/>
                </w:tcPr>
                <w:p w14:paraId="621CB2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83" w:type="pct"/>
                  <w:vMerge w:val="continue"/>
                  <w:tcBorders>
                    <w:left w:val="single" w:color="000000" w:sz="4" w:space="0"/>
                    <w:right w:val="single" w:color="000000" w:sz="4" w:space="0"/>
                  </w:tcBorders>
                  <w:shd w:val="clear" w:color="auto" w:fill="auto"/>
                  <w:vAlign w:val="center"/>
                </w:tcPr>
                <w:p w14:paraId="2B5043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2191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30</w:t>
                  </w:r>
                </w:p>
              </w:tc>
              <w:tc>
                <w:tcPr>
                  <w:tcW w:w="4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63FE4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0.1026</w:t>
                  </w:r>
                </w:p>
              </w:tc>
              <w:tc>
                <w:tcPr>
                  <w:tcW w:w="343" w:type="pct"/>
                  <w:vMerge w:val="continue"/>
                  <w:tcBorders>
                    <w:left w:val="single" w:color="000000" w:sz="4" w:space="0"/>
                    <w:right w:val="single" w:color="000000" w:sz="4" w:space="0"/>
                  </w:tcBorders>
                  <w:shd w:val="clear" w:color="auto" w:fill="auto"/>
                  <w:vAlign w:val="center"/>
                </w:tcPr>
                <w:p w14:paraId="4EFE2D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465D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299" w:type="pct"/>
                  <w:vMerge w:val="continue"/>
                  <w:tcBorders>
                    <w:left w:val="single" w:color="000000" w:sz="4" w:space="0"/>
                    <w:right w:val="single" w:color="000000" w:sz="4" w:space="0"/>
                  </w:tcBorders>
                  <w:shd w:val="clear" w:color="auto" w:fill="auto"/>
                  <w:vAlign w:val="center"/>
                </w:tcPr>
                <w:p w14:paraId="008D40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32" w:type="pct"/>
                  <w:vMerge w:val="continue"/>
                  <w:tcBorders>
                    <w:left w:val="single" w:color="000000" w:sz="4" w:space="0"/>
                    <w:right w:val="single" w:color="000000" w:sz="4" w:space="0"/>
                  </w:tcBorders>
                  <w:shd w:val="clear" w:color="auto" w:fill="auto"/>
                  <w:vAlign w:val="center"/>
                </w:tcPr>
                <w:p w14:paraId="671A9C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33" w:type="pct"/>
                  <w:vMerge w:val="continue"/>
                  <w:tcBorders>
                    <w:left w:val="single" w:color="000000" w:sz="4" w:space="0"/>
                    <w:right w:val="single" w:color="000000" w:sz="4" w:space="0"/>
                  </w:tcBorders>
                  <w:shd w:val="clear" w:color="auto" w:fill="auto"/>
                  <w:vAlign w:val="center"/>
                </w:tcPr>
                <w:p w14:paraId="02C54F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3FFFB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30</w:t>
                  </w:r>
                </w:p>
              </w:tc>
              <w:tc>
                <w:tcPr>
                  <w:tcW w:w="4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56C57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 xml:space="preserve">0.103 </w:t>
                  </w:r>
                </w:p>
              </w:tc>
              <w:tc>
                <w:tcPr>
                  <w:tcW w:w="316" w:type="pct"/>
                  <w:vMerge w:val="continue"/>
                  <w:tcBorders>
                    <w:left w:val="single" w:color="000000" w:sz="4" w:space="0"/>
                    <w:right w:val="single" w:color="000000" w:sz="4" w:space="0"/>
                  </w:tcBorders>
                  <w:shd w:val="clear" w:color="auto" w:fill="auto"/>
                  <w:vAlign w:val="center"/>
                </w:tcPr>
                <w:p w14:paraId="149E54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r>
            <w:tr w14:paraId="5CC48F0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216" w:type="pct"/>
                  <w:vMerge w:val="continue"/>
                  <w:tcBorders>
                    <w:left w:val="single" w:color="000000" w:sz="4" w:space="0"/>
                    <w:right w:val="single" w:color="000000" w:sz="4" w:space="0"/>
                  </w:tcBorders>
                  <w:shd w:val="clear" w:color="auto" w:fill="auto"/>
                  <w:vAlign w:val="center"/>
                </w:tcPr>
                <w:p w14:paraId="6C9935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385B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总磷</w:t>
                  </w:r>
                </w:p>
              </w:tc>
              <w:tc>
                <w:tcPr>
                  <w:tcW w:w="208" w:type="pct"/>
                  <w:vMerge w:val="continue"/>
                  <w:tcBorders>
                    <w:left w:val="single" w:color="000000" w:sz="4" w:space="0"/>
                    <w:right w:val="single" w:color="000000" w:sz="4" w:space="0"/>
                  </w:tcBorders>
                  <w:shd w:val="clear" w:color="auto" w:fill="auto"/>
                  <w:vAlign w:val="center"/>
                </w:tcPr>
                <w:p w14:paraId="2EC1FC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83" w:type="pct"/>
                  <w:vMerge w:val="continue"/>
                  <w:tcBorders>
                    <w:left w:val="single" w:color="000000" w:sz="4" w:space="0"/>
                    <w:right w:val="single" w:color="000000" w:sz="4" w:space="0"/>
                  </w:tcBorders>
                  <w:shd w:val="clear" w:color="auto" w:fill="auto"/>
                  <w:vAlign w:val="center"/>
                </w:tcPr>
                <w:p w14:paraId="7D38BF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5D01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5</w:t>
                  </w:r>
                </w:p>
              </w:tc>
              <w:tc>
                <w:tcPr>
                  <w:tcW w:w="4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BEEE6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0.0171</w:t>
                  </w:r>
                </w:p>
              </w:tc>
              <w:tc>
                <w:tcPr>
                  <w:tcW w:w="343" w:type="pct"/>
                  <w:vMerge w:val="continue"/>
                  <w:tcBorders>
                    <w:left w:val="single" w:color="000000" w:sz="4" w:space="0"/>
                    <w:right w:val="single" w:color="000000" w:sz="4" w:space="0"/>
                  </w:tcBorders>
                  <w:shd w:val="clear" w:color="auto" w:fill="auto"/>
                  <w:vAlign w:val="center"/>
                </w:tcPr>
                <w:p w14:paraId="1B8F2C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4307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20</w:t>
                  </w:r>
                </w:p>
              </w:tc>
              <w:tc>
                <w:tcPr>
                  <w:tcW w:w="299" w:type="pct"/>
                  <w:vMerge w:val="continue"/>
                  <w:tcBorders>
                    <w:left w:val="single" w:color="000000" w:sz="4" w:space="0"/>
                    <w:right w:val="single" w:color="000000" w:sz="4" w:space="0"/>
                  </w:tcBorders>
                  <w:shd w:val="clear" w:color="auto" w:fill="auto"/>
                  <w:vAlign w:val="center"/>
                </w:tcPr>
                <w:p w14:paraId="22FFB3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32" w:type="pct"/>
                  <w:vMerge w:val="continue"/>
                  <w:tcBorders>
                    <w:left w:val="single" w:color="000000" w:sz="4" w:space="0"/>
                    <w:right w:val="single" w:color="000000" w:sz="4" w:space="0"/>
                  </w:tcBorders>
                  <w:shd w:val="clear" w:color="auto" w:fill="auto"/>
                  <w:vAlign w:val="center"/>
                </w:tcPr>
                <w:p w14:paraId="3C3426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33" w:type="pct"/>
                  <w:vMerge w:val="continue"/>
                  <w:tcBorders>
                    <w:left w:val="single" w:color="000000" w:sz="4" w:space="0"/>
                    <w:right w:val="single" w:color="000000" w:sz="4" w:space="0"/>
                  </w:tcBorders>
                  <w:shd w:val="clear" w:color="auto" w:fill="auto"/>
                  <w:vAlign w:val="center"/>
                </w:tcPr>
                <w:p w14:paraId="6E6404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73289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w:t>
                  </w:r>
                </w:p>
              </w:tc>
              <w:tc>
                <w:tcPr>
                  <w:tcW w:w="4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C70A4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 xml:space="preserve">0.014 </w:t>
                  </w:r>
                </w:p>
              </w:tc>
              <w:tc>
                <w:tcPr>
                  <w:tcW w:w="316" w:type="pct"/>
                  <w:vMerge w:val="continue"/>
                  <w:tcBorders>
                    <w:left w:val="single" w:color="000000" w:sz="4" w:space="0"/>
                    <w:right w:val="single" w:color="000000" w:sz="4" w:space="0"/>
                  </w:tcBorders>
                  <w:shd w:val="clear" w:color="auto" w:fill="auto"/>
                  <w:vAlign w:val="center"/>
                </w:tcPr>
                <w:p w14:paraId="783768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r>
            <w:tr w14:paraId="6D486C8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216" w:type="pct"/>
                  <w:vMerge w:val="continue"/>
                  <w:tcBorders>
                    <w:left w:val="single" w:color="000000" w:sz="4" w:space="0"/>
                    <w:right w:val="single" w:color="000000" w:sz="4" w:space="0"/>
                  </w:tcBorders>
                  <w:shd w:val="clear" w:color="auto" w:fill="auto"/>
                  <w:vAlign w:val="center"/>
                </w:tcPr>
                <w:p w14:paraId="784E94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6D32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LAS</w:t>
                  </w:r>
                </w:p>
              </w:tc>
              <w:tc>
                <w:tcPr>
                  <w:tcW w:w="208" w:type="pct"/>
                  <w:vMerge w:val="continue"/>
                  <w:tcBorders>
                    <w:left w:val="single" w:color="000000" w:sz="4" w:space="0"/>
                    <w:right w:val="single" w:color="000000" w:sz="4" w:space="0"/>
                  </w:tcBorders>
                  <w:shd w:val="clear" w:color="auto" w:fill="auto"/>
                  <w:vAlign w:val="center"/>
                </w:tcPr>
                <w:p w14:paraId="162DDF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83" w:type="pct"/>
                  <w:vMerge w:val="continue"/>
                  <w:tcBorders>
                    <w:left w:val="single" w:color="000000" w:sz="4" w:space="0"/>
                    <w:right w:val="single" w:color="000000" w:sz="4" w:space="0"/>
                  </w:tcBorders>
                  <w:shd w:val="clear" w:color="auto" w:fill="auto"/>
                  <w:vAlign w:val="center"/>
                </w:tcPr>
                <w:p w14:paraId="5B772F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4FA9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5</w:t>
                  </w:r>
                </w:p>
              </w:tc>
              <w:tc>
                <w:tcPr>
                  <w:tcW w:w="4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C5C92D">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0.017</w:t>
                  </w:r>
                </w:p>
              </w:tc>
              <w:tc>
                <w:tcPr>
                  <w:tcW w:w="343" w:type="pct"/>
                  <w:vMerge w:val="continue"/>
                  <w:tcBorders>
                    <w:left w:val="single" w:color="000000" w:sz="4" w:space="0"/>
                    <w:right w:val="single" w:color="000000" w:sz="4" w:space="0"/>
                  </w:tcBorders>
                  <w:shd w:val="clear" w:color="auto" w:fill="auto"/>
                  <w:vAlign w:val="center"/>
                </w:tcPr>
                <w:p w14:paraId="031157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DECC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0</w:t>
                  </w:r>
                </w:p>
              </w:tc>
              <w:tc>
                <w:tcPr>
                  <w:tcW w:w="299" w:type="pct"/>
                  <w:vMerge w:val="continue"/>
                  <w:tcBorders>
                    <w:left w:val="single" w:color="000000" w:sz="4" w:space="0"/>
                    <w:right w:val="single" w:color="000000" w:sz="4" w:space="0"/>
                  </w:tcBorders>
                  <w:shd w:val="clear" w:color="auto" w:fill="auto"/>
                  <w:vAlign w:val="center"/>
                </w:tcPr>
                <w:p w14:paraId="23F913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32" w:type="pct"/>
                  <w:vMerge w:val="continue"/>
                  <w:tcBorders>
                    <w:left w:val="single" w:color="000000" w:sz="4" w:space="0"/>
                    <w:right w:val="single" w:color="000000" w:sz="4" w:space="0"/>
                  </w:tcBorders>
                  <w:shd w:val="clear" w:color="auto" w:fill="auto"/>
                  <w:vAlign w:val="center"/>
                </w:tcPr>
                <w:p w14:paraId="0C2DBB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33" w:type="pct"/>
                  <w:vMerge w:val="continue"/>
                  <w:tcBorders>
                    <w:left w:val="single" w:color="000000" w:sz="4" w:space="0"/>
                    <w:right w:val="single" w:color="000000" w:sz="4" w:space="0"/>
                  </w:tcBorders>
                  <w:shd w:val="clear" w:color="auto" w:fill="auto"/>
                  <w:vAlign w:val="center"/>
                </w:tcPr>
                <w:p w14:paraId="6108EA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1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CDB3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5</w:t>
                  </w:r>
                </w:p>
              </w:tc>
              <w:tc>
                <w:tcPr>
                  <w:tcW w:w="11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EBE82E">
                  <w:pPr>
                    <w:keepNext w:val="0"/>
                    <w:keepLines w:val="0"/>
                    <w:widowControl/>
                    <w:suppressLineNumbers w:val="0"/>
                    <w:spacing w:before="0" w:beforeAutospacing="0" w:after="0" w:afterAutospacing="0"/>
                    <w:ind w:left="0" w:leftChars="0" w:right="0" w:rightChars="0"/>
                    <w:jc w:val="center"/>
                    <w:textAlignment w:val="center"/>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0.017</w:t>
                  </w:r>
                </w:p>
              </w:tc>
              <w:tc>
                <w:tcPr>
                  <w:tcW w:w="316" w:type="pct"/>
                  <w:vMerge w:val="continue"/>
                  <w:tcBorders>
                    <w:left w:val="single" w:color="000000" w:sz="4" w:space="0"/>
                    <w:right w:val="single" w:color="000000" w:sz="4" w:space="0"/>
                  </w:tcBorders>
                  <w:shd w:val="clear" w:color="auto" w:fill="auto"/>
                  <w:vAlign w:val="center"/>
                </w:tcPr>
                <w:p w14:paraId="1A0895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r>
            <w:tr w14:paraId="47A5896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216" w:type="pct"/>
                  <w:vMerge w:val="continue"/>
                  <w:tcBorders>
                    <w:left w:val="single" w:color="000000" w:sz="4" w:space="0"/>
                    <w:right w:val="single" w:color="000000" w:sz="4" w:space="0"/>
                  </w:tcBorders>
                  <w:shd w:val="clear" w:color="auto" w:fill="auto"/>
                  <w:vAlign w:val="center"/>
                </w:tcPr>
                <w:p w14:paraId="7C6AFF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B4A4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TN</w:t>
                  </w:r>
                </w:p>
              </w:tc>
              <w:tc>
                <w:tcPr>
                  <w:tcW w:w="208" w:type="pct"/>
                  <w:vMerge w:val="continue"/>
                  <w:tcBorders>
                    <w:left w:val="single" w:color="000000" w:sz="4" w:space="0"/>
                    <w:right w:val="single" w:color="000000" w:sz="4" w:space="0"/>
                  </w:tcBorders>
                  <w:shd w:val="clear" w:color="auto" w:fill="auto"/>
                  <w:vAlign w:val="center"/>
                </w:tcPr>
                <w:p w14:paraId="13D42A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83" w:type="pct"/>
                  <w:vMerge w:val="continue"/>
                  <w:tcBorders>
                    <w:left w:val="single" w:color="000000" w:sz="4" w:space="0"/>
                    <w:right w:val="single" w:color="000000" w:sz="4" w:space="0"/>
                  </w:tcBorders>
                  <w:shd w:val="clear" w:color="auto" w:fill="auto"/>
                  <w:vAlign w:val="center"/>
                </w:tcPr>
                <w:p w14:paraId="7032EF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466D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40</w:t>
                  </w:r>
                </w:p>
              </w:tc>
              <w:tc>
                <w:tcPr>
                  <w:tcW w:w="4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96B3E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0.137</w:t>
                  </w:r>
                </w:p>
              </w:tc>
              <w:tc>
                <w:tcPr>
                  <w:tcW w:w="343" w:type="pct"/>
                  <w:vMerge w:val="continue"/>
                  <w:tcBorders>
                    <w:left w:val="single" w:color="000000" w:sz="4" w:space="0"/>
                    <w:right w:val="single" w:color="000000" w:sz="4" w:space="0"/>
                  </w:tcBorders>
                  <w:shd w:val="clear" w:color="auto" w:fill="auto"/>
                  <w:vAlign w:val="center"/>
                </w:tcPr>
                <w:p w14:paraId="16DAD0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1995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0</w:t>
                  </w:r>
                </w:p>
              </w:tc>
              <w:tc>
                <w:tcPr>
                  <w:tcW w:w="299" w:type="pct"/>
                  <w:vMerge w:val="continue"/>
                  <w:tcBorders>
                    <w:left w:val="single" w:color="000000" w:sz="4" w:space="0"/>
                    <w:right w:val="single" w:color="000000" w:sz="4" w:space="0"/>
                  </w:tcBorders>
                  <w:shd w:val="clear" w:color="auto" w:fill="auto"/>
                  <w:vAlign w:val="center"/>
                </w:tcPr>
                <w:p w14:paraId="2D0DDD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32" w:type="pct"/>
                  <w:vMerge w:val="continue"/>
                  <w:tcBorders>
                    <w:left w:val="single" w:color="000000" w:sz="4" w:space="0"/>
                    <w:right w:val="single" w:color="000000" w:sz="4" w:space="0"/>
                  </w:tcBorders>
                  <w:shd w:val="clear" w:color="auto" w:fill="auto"/>
                  <w:vAlign w:val="center"/>
                </w:tcPr>
                <w:p w14:paraId="67BDCA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33" w:type="pct"/>
                  <w:vMerge w:val="continue"/>
                  <w:tcBorders>
                    <w:left w:val="single" w:color="000000" w:sz="4" w:space="0"/>
                    <w:right w:val="single" w:color="000000" w:sz="4" w:space="0"/>
                  </w:tcBorders>
                  <w:shd w:val="clear" w:color="auto" w:fill="auto"/>
                  <w:vAlign w:val="center"/>
                </w:tcPr>
                <w:p w14:paraId="4D399E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1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BADF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40</w:t>
                  </w:r>
                </w:p>
              </w:tc>
              <w:tc>
                <w:tcPr>
                  <w:tcW w:w="11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BEC70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0.137</w:t>
                  </w:r>
                </w:p>
              </w:tc>
              <w:tc>
                <w:tcPr>
                  <w:tcW w:w="316" w:type="pct"/>
                  <w:vMerge w:val="continue"/>
                  <w:tcBorders>
                    <w:left w:val="single" w:color="000000" w:sz="4" w:space="0"/>
                    <w:right w:val="single" w:color="000000" w:sz="4" w:space="0"/>
                  </w:tcBorders>
                  <w:shd w:val="clear" w:color="auto" w:fill="auto"/>
                  <w:vAlign w:val="center"/>
                </w:tcPr>
                <w:p w14:paraId="3BC201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r>
            <w:tr w14:paraId="7E5A61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216" w:type="pct"/>
                  <w:vMerge w:val="continue"/>
                  <w:tcBorders>
                    <w:left w:val="single" w:color="000000" w:sz="4" w:space="0"/>
                    <w:bottom w:val="single" w:color="auto" w:sz="4" w:space="0"/>
                    <w:right w:val="single" w:color="000000" w:sz="4" w:space="0"/>
                  </w:tcBorders>
                  <w:shd w:val="clear" w:color="auto" w:fill="auto"/>
                  <w:vAlign w:val="center"/>
                </w:tcPr>
                <w:p w14:paraId="404353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39" w:type="pct"/>
                  <w:tcBorders>
                    <w:top w:val="single" w:color="000000" w:sz="4" w:space="0"/>
                    <w:left w:val="single" w:color="000000" w:sz="4" w:space="0"/>
                    <w:bottom w:val="single" w:color="auto" w:sz="4" w:space="0"/>
                    <w:right w:val="single" w:color="000000" w:sz="4" w:space="0"/>
                  </w:tcBorders>
                  <w:shd w:val="clear" w:color="auto" w:fill="auto"/>
                  <w:vAlign w:val="center"/>
                </w:tcPr>
                <w:p w14:paraId="00E91E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cs="Times New Roman"/>
                      <w:i w:val="0"/>
                      <w:iCs w:val="0"/>
                      <w:color w:val="auto"/>
                      <w:kern w:val="0"/>
                      <w:sz w:val="21"/>
                      <w:szCs w:val="21"/>
                      <w:highlight w:val="none"/>
                      <w:u w:val="none"/>
                      <w:lang w:val="en-US" w:eastAsia="zh-CN"/>
                    </w:rPr>
                    <w:t>动植物油</w:t>
                  </w:r>
                </w:p>
              </w:tc>
              <w:tc>
                <w:tcPr>
                  <w:tcW w:w="208" w:type="pct"/>
                  <w:vMerge w:val="continue"/>
                  <w:tcBorders>
                    <w:left w:val="single" w:color="000000" w:sz="4" w:space="0"/>
                    <w:bottom w:val="single" w:color="auto" w:sz="4" w:space="0"/>
                    <w:right w:val="single" w:color="000000" w:sz="4" w:space="0"/>
                  </w:tcBorders>
                  <w:shd w:val="clear" w:color="auto" w:fill="auto"/>
                  <w:vAlign w:val="center"/>
                </w:tcPr>
                <w:p w14:paraId="2C62D5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83" w:type="pct"/>
                  <w:vMerge w:val="continue"/>
                  <w:tcBorders>
                    <w:left w:val="single" w:color="000000" w:sz="4" w:space="0"/>
                    <w:bottom w:val="single" w:color="auto" w:sz="4" w:space="0"/>
                    <w:right w:val="single" w:color="000000" w:sz="4" w:space="0"/>
                  </w:tcBorders>
                  <w:shd w:val="clear" w:color="auto" w:fill="auto"/>
                  <w:vAlign w:val="center"/>
                </w:tcPr>
                <w:p w14:paraId="574469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75" w:type="pct"/>
                  <w:tcBorders>
                    <w:top w:val="single" w:color="000000" w:sz="4" w:space="0"/>
                    <w:left w:val="single" w:color="000000" w:sz="4" w:space="0"/>
                    <w:bottom w:val="single" w:color="auto" w:sz="4" w:space="0"/>
                    <w:right w:val="single" w:color="000000" w:sz="4" w:space="0"/>
                  </w:tcBorders>
                  <w:shd w:val="clear" w:color="auto" w:fill="auto"/>
                  <w:vAlign w:val="center"/>
                </w:tcPr>
                <w:p w14:paraId="566EFD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cs="Times New Roman"/>
                      <w:i w:val="0"/>
                      <w:iCs w:val="0"/>
                      <w:color w:val="auto"/>
                      <w:kern w:val="0"/>
                      <w:sz w:val="21"/>
                      <w:szCs w:val="21"/>
                      <w:highlight w:val="none"/>
                      <w:u w:val="none"/>
                      <w:lang w:val="en-US" w:eastAsia="zh-CN"/>
                    </w:rPr>
                    <w:t>100</w:t>
                  </w:r>
                </w:p>
              </w:tc>
              <w:tc>
                <w:tcPr>
                  <w:tcW w:w="491" w:type="pct"/>
                  <w:tcBorders>
                    <w:top w:val="single" w:color="000000" w:sz="4" w:space="0"/>
                    <w:left w:val="single" w:color="000000" w:sz="4" w:space="0"/>
                    <w:bottom w:val="single" w:color="auto" w:sz="4" w:space="0"/>
                    <w:right w:val="single" w:color="000000" w:sz="4" w:space="0"/>
                  </w:tcBorders>
                  <w:shd w:val="clear" w:color="auto" w:fill="auto"/>
                  <w:vAlign w:val="center"/>
                </w:tcPr>
                <w:p w14:paraId="78D9C9A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0.342</w:t>
                  </w:r>
                </w:p>
              </w:tc>
              <w:tc>
                <w:tcPr>
                  <w:tcW w:w="343" w:type="pct"/>
                  <w:vMerge w:val="continue"/>
                  <w:tcBorders>
                    <w:left w:val="single" w:color="000000" w:sz="4" w:space="0"/>
                    <w:bottom w:val="single" w:color="auto" w:sz="4" w:space="0"/>
                    <w:right w:val="single" w:color="000000" w:sz="4" w:space="0"/>
                  </w:tcBorders>
                  <w:shd w:val="clear" w:color="auto" w:fill="auto"/>
                  <w:vAlign w:val="center"/>
                </w:tcPr>
                <w:p w14:paraId="2B82AF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99" w:type="pct"/>
                  <w:tcBorders>
                    <w:top w:val="single" w:color="000000" w:sz="4" w:space="0"/>
                    <w:left w:val="single" w:color="000000" w:sz="4" w:space="0"/>
                    <w:bottom w:val="single" w:color="auto" w:sz="4" w:space="0"/>
                    <w:right w:val="single" w:color="000000" w:sz="4" w:space="0"/>
                  </w:tcBorders>
                  <w:shd w:val="clear" w:color="auto" w:fill="auto"/>
                  <w:vAlign w:val="center"/>
                </w:tcPr>
                <w:p w14:paraId="415E5B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cs="Times New Roman"/>
                      <w:i w:val="0"/>
                      <w:iCs w:val="0"/>
                      <w:color w:val="auto"/>
                      <w:kern w:val="0"/>
                      <w:sz w:val="21"/>
                      <w:szCs w:val="21"/>
                      <w:highlight w:val="none"/>
                      <w:u w:val="none"/>
                      <w:lang w:val="en-US" w:eastAsia="zh-CN"/>
                    </w:rPr>
                    <w:t>80</w:t>
                  </w:r>
                </w:p>
              </w:tc>
              <w:tc>
                <w:tcPr>
                  <w:tcW w:w="299" w:type="pct"/>
                  <w:vMerge w:val="continue"/>
                  <w:tcBorders>
                    <w:left w:val="single" w:color="000000" w:sz="4" w:space="0"/>
                    <w:bottom w:val="single" w:color="auto" w:sz="4" w:space="0"/>
                    <w:right w:val="single" w:color="000000" w:sz="4" w:space="0"/>
                  </w:tcBorders>
                  <w:shd w:val="clear" w:color="auto" w:fill="auto"/>
                  <w:vAlign w:val="center"/>
                </w:tcPr>
                <w:p w14:paraId="32645A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32" w:type="pct"/>
                  <w:vMerge w:val="continue"/>
                  <w:tcBorders>
                    <w:left w:val="single" w:color="000000" w:sz="4" w:space="0"/>
                    <w:bottom w:val="single" w:color="auto" w:sz="4" w:space="0"/>
                    <w:right w:val="single" w:color="000000" w:sz="4" w:space="0"/>
                  </w:tcBorders>
                  <w:shd w:val="clear" w:color="auto" w:fill="auto"/>
                  <w:vAlign w:val="center"/>
                </w:tcPr>
                <w:p w14:paraId="49AE30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33" w:type="pct"/>
                  <w:vMerge w:val="continue"/>
                  <w:tcBorders>
                    <w:left w:val="single" w:color="000000" w:sz="4" w:space="0"/>
                    <w:bottom w:val="single" w:color="auto" w:sz="4" w:space="0"/>
                    <w:right w:val="single" w:color="000000" w:sz="4" w:space="0"/>
                  </w:tcBorders>
                  <w:shd w:val="clear" w:color="auto" w:fill="auto"/>
                  <w:vAlign w:val="center"/>
                </w:tcPr>
                <w:p w14:paraId="4506F9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29" w:type="pct"/>
                  <w:tcBorders>
                    <w:top w:val="single" w:color="000000" w:sz="4" w:space="0"/>
                    <w:left w:val="single" w:color="000000" w:sz="4" w:space="0"/>
                    <w:bottom w:val="single" w:color="auto" w:sz="4" w:space="0"/>
                    <w:right w:val="single" w:color="000000" w:sz="4" w:space="0"/>
                  </w:tcBorders>
                  <w:shd w:val="clear" w:color="auto" w:fill="auto"/>
                  <w:vAlign w:val="center"/>
                </w:tcPr>
                <w:p w14:paraId="5C42FE3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cs="Times New Roman"/>
                      <w:i w:val="0"/>
                      <w:iCs w:val="0"/>
                      <w:color w:val="auto"/>
                      <w:kern w:val="0"/>
                      <w:sz w:val="21"/>
                      <w:szCs w:val="21"/>
                      <w:highlight w:val="none"/>
                      <w:u w:val="none"/>
                      <w:lang w:val="en-US" w:eastAsia="zh-CN"/>
                    </w:rPr>
                    <w:t>20</w:t>
                  </w:r>
                </w:p>
              </w:tc>
              <w:tc>
                <w:tcPr>
                  <w:tcW w:w="432" w:type="pct"/>
                  <w:tcBorders>
                    <w:top w:val="single" w:color="000000" w:sz="4" w:space="0"/>
                    <w:left w:val="single" w:color="000000" w:sz="4" w:space="0"/>
                    <w:bottom w:val="single" w:color="auto" w:sz="4" w:space="0"/>
                    <w:right w:val="single" w:color="000000" w:sz="4" w:space="0"/>
                  </w:tcBorders>
                  <w:shd w:val="clear" w:color="auto" w:fill="auto"/>
                  <w:vAlign w:val="center"/>
                </w:tcPr>
                <w:p w14:paraId="25B99AF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 xml:space="preserve">0.068 </w:t>
                  </w:r>
                </w:p>
              </w:tc>
              <w:tc>
                <w:tcPr>
                  <w:tcW w:w="316" w:type="pct"/>
                  <w:vMerge w:val="continue"/>
                  <w:tcBorders>
                    <w:left w:val="single" w:color="000000" w:sz="4" w:space="0"/>
                    <w:bottom w:val="single" w:color="auto" w:sz="4" w:space="0"/>
                    <w:right w:val="single" w:color="000000" w:sz="4" w:space="0"/>
                  </w:tcBorders>
                  <w:shd w:val="clear" w:color="auto" w:fill="auto"/>
                  <w:vAlign w:val="center"/>
                </w:tcPr>
                <w:p w14:paraId="086C49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r>
            <w:tr w14:paraId="6A098E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216"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0022C8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生产废水</w:t>
                  </w:r>
                </w:p>
              </w:tc>
              <w:tc>
                <w:tcPr>
                  <w:tcW w:w="439" w:type="pct"/>
                  <w:tcBorders>
                    <w:top w:val="single" w:color="auto" w:sz="4" w:space="0"/>
                    <w:left w:val="single" w:color="auto" w:sz="4" w:space="0"/>
                    <w:bottom w:val="single" w:color="auto" w:sz="4" w:space="0"/>
                    <w:right w:val="single" w:color="auto" w:sz="4" w:space="0"/>
                  </w:tcBorders>
                  <w:shd w:val="clear" w:color="auto" w:fill="auto"/>
                  <w:vAlign w:val="center"/>
                </w:tcPr>
                <w:p w14:paraId="589E7600">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COD</w:t>
                  </w:r>
                  <w:r>
                    <w:rPr>
                      <w:rFonts w:hint="default" w:ascii="Times New Roman" w:hAnsi="Times New Roman" w:eastAsia="宋体" w:cs="Times New Roman"/>
                      <w:i w:val="0"/>
                      <w:iCs w:val="0"/>
                      <w:color w:val="auto"/>
                      <w:kern w:val="0"/>
                      <w:sz w:val="21"/>
                      <w:szCs w:val="21"/>
                      <w:highlight w:val="none"/>
                      <w:u w:val="none"/>
                      <w:vertAlign w:val="subscript"/>
                      <w:lang w:val="en-US" w:eastAsia="zh-CN"/>
                    </w:rPr>
                    <w:t>Cr</w:t>
                  </w:r>
                </w:p>
              </w:tc>
              <w:tc>
                <w:tcPr>
                  <w:tcW w:w="208" w:type="pct"/>
                  <w:vMerge w:val="restart"/>
                  <w:tcBorders>
                    <w:top w:val="single" w:color="auto" w:sz="4" w:space="0"/>
                    <w:left w:val="single" w:color="auto" w:sz="4" w:space="0"/>
                    <w:right w:val="single" w:color="auto" w:sz="4" w:space="0"/>
                  </w:tcBorders>
                  <w:shd w:val="clear" w:color="auto" w:fill="auto"/>
                  <w:vAlign w:val="center"/>
                </w:tcPr>
                <w:p w14:paraId="534BA5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产污系数法</w:t>
                  </w:r>
                </w:p>
              </w:tc>
              <w:tc>
                <w:tcPr>
                  <w:tcW w:w="383" w:type="pct"/>
                  <w:vMerge w:val="restart"/>
                  <w:tcBorders>
                    <w:top w:val="single" w:color="auto" w:sz="4" w:space="0"/>
                    <w:left w:val="single" w:color="auto" w:sz="4" w:space="0"/>
                    <w:right w:val="single" w:color="auto" w:sz="4" w:space="0"/>
                  </w:tcBorders>
                  <w:shd w:val="clear" w:color="auto" w:fill="auto"/>
                  <w:vAlign w:val="center"/>
                </w:tcPr>
                <w:p w14:paraId="77C67F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67095.6</w:t>
                  </w:r>
                </w:p>
              </w:tc>
              <w:tc>
                <w:tcPr>
                  <w:tcW w:w="1277" w:type="dxa"/>
                  <w:tcBorders>
                    <w:top w:val="single" w:color="auto" w:sz="4" w:space="0"/>
                    <w:left w:val="single" w:color="auto" w:sz="4" w:space="0"/>
                    <w:bottom w:val="single" w:color="auto" w:sz="4" w:space="0"/>
                    <w:right w:val="single" w:color="auto" w:sz="4" w:space="0"/>
                  </w:tcBorders>
                  <w:shd w:val="clear" w:color="auto" w:fill="auto"/>
                  <w:vAlign w:val="center"/>
                </w:tcPr>
                <w:p w14:paraId="4B4DC121">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val="0"/>
                      <w:bCs w:val="0"/>
                      <w:i w:val="0"/>
                      <w:iCs w:val="0"/>
                      <w:color w:val="auto"/>
                      <w:kern w:val="0"/>
                      <w:sz w:val="22"/>
                      <w:szCs w:val="22"/>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318.1</w:t>
                  </w:r>
                </w:p>
              </w:tc>
              <w:tc>
                <w:tcPr>
                  <w:tcW w:w="1322" w:type="dxa"/>
                  <w:tcBorders>
                    <w:top w:val="single" w:color="auto" w:sz="4" w:space="0"/>
                    <w:left w:val="single" w:color="auto" w:sz="4" w:space="0"/>
                    <w:bottom w:val="single" w:color="auto" w:sz="4" w:space="0"/>
                    <w:right w:val="single" w:color="auto" w:sz="4" w:space="0"/>
                  </w:tcBorders>
                  <w:shd w:val="clear" w:color="auto" w:fill="auto"/>
                  <w:vAlign w:val="center"/>
                </w:tcPr>
                <w:p w14:paraId="4D268743">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val="0"/>
                      <w:bCs w:val="0"/>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21.343 </w:t>
                  </w:r>
                </w:p>
              </w:tc>
              <w:tc>
                <w:tcPr>
                  <w:tcW w:w="343" w:type="pct"/>
                  <w:vMerge w:val="restart"/>
                  <w:tcBorders>
                    <w:top w:val="single" w:color="auto" w:sz="4" w:space="0"/>
                    <w:left w:val="single" w:color="auto" w:sz="4" w:space="0"/>
                    <w:right w:val="single" w:color="auto" w:sz="4" w:space="0"/>
                  </w:tcBorders>
                  <w:shd w:val="clear" w:color="auto" w:fill="auto"/>
                  <w:vAlign w:val="center"/>
                </w:tcPr>
                <w:p w14:paraId="7C3F71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lang w:eastAsia="zh-CN"/>
                    </w:rPr>
                    <w:t>中和</w:t>
                  </w:r>
                  <w:r>
                    <w:rPr>
                      <w:rFonts w:hint="eastAsia" w:cs="Times New Roman"/>
                      <w:i w:val="0"/>
                      <w:iCs w:val="0"/>
                      <w:color w:val="auto"/>
                      <w:sz w:val="21"/>
                      <w:szCs w:val="21"/>
                      <w:highlight w:val="none"/>
                      <w:u w:val="none"/>
                      <w:lang w:eastAsia="zh-CN"/>
                    </w:rPr>
                    <w:t>调节+絮凝沉淀+A/O+二沉池+消毒</w:t>
                  </w:r>
                </w:p>
              </w:tc>
              <w:tc>
                <w:tcPr>
                  <w:tcW w:w="299" w:type="pct"/>
                  <w:tcBorders>
                    <w:top w:val="single" w:color="auto" w:sz="4" w:space="0"/>
                    <w:left w:val="single" w:color="auto" w:sz="4" w:space="0"/>
                    <w:bottom w:val="single" w:color="auto" w:sz="4" w:space="0"/>
                    <w:right w:val="single" w:color="auto" w:sz="4" w:space="0"/>
                  </w:tcBorders>
                  <w:shd w:val="clear" w:color="auto" w:fill="auto"/>
                  <w:vAlign w:val="center"/>
                </w:tcPr>
                <w:p w14:paraId="265199B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rPr>
                  </w:pPr>
                  <w:r>
                    <w:rPr>
                      <w:rFonts w:hint="default" w:ascii="Times New Roman" w:hAnsi="Times New Roman" w:cs="Times New Roman"/>
                      <w:i w:val="0"/>
                      <w:iCs w:val="0"/>
                      <w:color w:val="auto"/>
                      <w:kern w:val="0"/>
                      <w:sz w:val="21"/>
                      <w:szCs w:val="21"/>
                      <w:highlight w:val="none"/>
                      <w:u w:val="none"/>
                      <w:lang w:val="en-US" w:eastAsia="zh-CN"/>
                    </w:rPr>
                    <w:t>90</w:t>
                  </w:r>
                </w:p>
              </w:tc>
              <w:tc>
                <w:tcPr>
                  <w:tcW w:w="299" w:type="pct"/>
                  <w:vMerge w:val="restart"/>
                  <w:tcBorders>
                    <w:top w:val="single" w:color="auto" w:sz="4" w:space="0"/>
                    <w:left w:val="single" w:color="auto" w:sz="4" w:space="0"/>
                    <w:right w:val="single" w:color="auto" w:sz="4" w:space="0"/>
                  </w:tcBorders>
                  <w:shd w:val="clear" w:color="auto" w:fill="auto"/>
                  <w:vAlign w:val="center"/>
                </w:tcPr>
                <w:p w14:paraId="1926E6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是</w:t>
                  </w:r>
                </w:p>
              </w:tc>
              <w:tc>
                <w:tcPr>
                  <w:tcW w:w="232" w:type="pct"/>
                  <w:vMerge w:val="restart"/>
                  <w:tcBorders>
                    <w:top w:val="single" w:color="auto" w:sz="4" w:space="0"/>
                    <w:left w:val="single" w:color="auto" w:sz="4" w:space="0"/>
                    <w:right w:val="single" w:color="auto" w:sz="4" w:space="0"/>
                  </w:tcBorders>
                  <w:shd w:val="clear" w:color="auto" w:fill="auto"/>
                  <w:vAlign w:val="center"/>
                </w:tcPr>
                <w:p w14:paraId="4C7788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物料平衡法</w:t>
                  </w:r>
                </w:p>
              </w:tc>
              <w:tc>
                <w:tcPr>
                  <w:tcW w:w="433" w:type="pct"/>
                  <w:vMerge w:val="restart"/>
                  <w:tcBorders>
                    <w:top w:val="single" w:color="auto" w:sz="4" w:space="0"/>
                    <w:left w:val="single" w:color="auto" w:sz="4" w:space="0"/>
                    <w:right w:val="single" w:color="auto" w:sz="4" w:space="0"/>
                  </w:tcBorders>
                  <w:shd w:val="clear" w:color="auto" w:fill="auto"/>
                  <w:vAlign w:val="center"/>
                </w:tcPr>
                <w:p w14:paraId="19757B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2970</w:t>
                  </w:r>
                </w:p>
              </w:tc>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14:paraId="074981BE">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val="0"/>
                      <w:bCs w:val="0"/>
                      <w:i w:val="0"/>
                      <w:iCs w:val="0"/>
                      <w:color w:val="auto"/>
                      <w:kern w:val="0"/>
                      <w:sz w:val="21"/>
                      <w:szCs w:val="21"/>
                      <w:highlight w:val="none"/>
                      <w:u w:val="none"/>
                      <w:lang w:val="en-US" w:eastAsia="zh-CN"/>
                    </w:rPr>
                  </w:pPr>
                  <w:r>
                    <w:rPr>
                      <w:rFonts w:hint="default" w:ascii="Times New Roman" w:hAnsi="Times New Roman" w:eastAsia="宋体" w:cs="Times New Roman"/>
                      <w:b w:val="0"/>
                      <w:bCs w:val="0"/>
                      <w:i w:val="0"/>
                      <w:iCs w:val="0"/>
                      <w:color w:val="auto"/>
                      <w:kern w:val="0"/>
                      <w:sz w:val="21"/>
                      <w:szCs w:val="21"/>
                      <w:highlight w:val="none"/>
                      <w:u w:val="none"/>
                      <w:lang w:val="en-US" w:eastAsia="zh-CN"/>
                    </w:rPr>
                    <w:t>31.8</w:t>
                  </w: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14:paraId="3606307D">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val="0"/>
                      <w:bCs w:val="0"/>
                      <w:i w:val="0"/>
                      <w:iCs w:val="0"/>
                      <w:color w:val="auto"/>
                      <w:kern w:val="0"/>
                      <w:sz w:val="21"/>
                      <w:szCs w:val="21"/>
                      <w:highlight w:val="none"/>
                      <w:u w:val="none"/>
                      <w:lang w:val="en-US" w:eastAsia="zh-CN"/>
                    </w:rPr>
                  </w:pPr>
                  <w:r>
                    <w:rPr>
                      <w:rFonts w:hint="default" w:ascii="Times New Roman" w:hAnsi="Times New Roman" w:eastAsia="宋体" w:cs="Times New Roman"/>
                      <w:b w:val="0"/>
                      <w:bCs w:val="0"/>
                      <w:i w:val="0"/>
                      <w:iCs w:val="0"/>
                      <w:color w:val="auto"/>
                      <w:kern w:val="0"/>
                      <w:sz w:val="21"/>
                      <w:szCs w:val="21"/>
                      <w:highlight w:val="none"/>
                      <w:u w:val="none"/>
                      <w:lang w:val="en-US" w:eastAsia="zh-CN"/>
                    </w:rPr>
                    <w:t>0.094</w:t>
                  </w:r>
                </w:p>
              </w:tc>
              <w:tc>
                <w:tcPr>
                  <w:tcW w:w="316" w:type="pct"/>
                  <w:vMerge w:val="restart"/>
                  <w:tcBorders>
                    <w:top w:val="single" w:color="auto" w:sz="4" w:space="0"/>
                    <w:left w:val="single" w:color="auto" w:sz="4" w:space="0"/>
                    <w:right w:val="single" w:color="auto" w:sz="4" w:space="0"/>
                  </w:tcBorders>
                  <w:shd w:val="clear" w:color="auto" w:fill="auto"/>
                  <w:vAlign w:val="center"/>
                </w:tcPr>
                <w:p w14:paraId="5EEBCF5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0"/>
                      <w:szCs w:val="20"/>
                      <w:highlight w:val="none"/>
                      <w:u w:val="none"/>
                      <w:lang w:val="en-US" w:eastAsia="zh-CN"/>
                    </w:rPr>
                    <w:t>7920</w:t>
                  </w:r>
                </w:p>
              </w:tc>
            </w:tr>
            <w:tr w14:paraId="56553D6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216" w:type="pct"/>
                  <w:vMerge w:val="continue"/>
                  <w:tcBorders>
                    <w:left w:val="single" w:color="auto" w:sz="4" w:space="0"/>
                    <w:right w:val="single" w:color="auto" w:sz="4" w:space="0"/>
                  </w:tcBorders>
                  <w:shd w:val="clear" w:color="auto" w:fill="auto"/>
                  <w:vAlign w:val="center"/>
                </w:tcPr>
                <w:p w14:paraId="16719C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i w:val="0"/>
                      <w:iCs w:val="0"/>
                      <w:color w:val="auto"/>
                      <w:sz w:val="21"/>
                      <w:szCs w:val="21"/>
                      <w:highlight w:val="none"/>
                      <w:u w:val="none"/>
                      <w:lang w:val="en-US" w:eastAsia="zh-CN"/>
                    </w:rPr>
                  </w:pPr>
                </w:p>
              </w:tc>
              <w:tc>
                <w:tcPr>
                  <w:tcW w:w="439" w:type="pct"/>
                  <w:tcBorders>
                    <w:top w:val="single" w:color="auto" w:sz="4" w:space="0"/>
                    <w:left w:val="single" w:color="auto" w:sz="4" w:space="0"/>
                    <w:bottom w:val="single" w:color="auto" w:sz="4" w:space="0"/>
                    <w:right w:val="single" w:color="auto" w:sz="4" w:space="0"/>
                  </w:tcBorders>
                  <w:shd w:val="clear" w:color="auto" w:fill="auto"/>
                  <w:vAlign w:val="center"/>
                </w:tcPr>
                <w:p w14:paraId="59E24AE3">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BOD</w:t>
                  </w:r>
                  <w:r>
                    <w:rPr>
                      <w:rFonts w:hint="default" w:ascii="Times New Roman" w:hAnsi="Times New Roman" w:eastAsia="宋体" w:cs="Times New Roman"/>
                      <w:i w:val="0"/>
                      <w:iCs w:val="0"/>
                      <w:color w:val="auto"/>
                      <w:kern w:val="0"/>
                      <w:sz w:val="21"/>
                      <w:szCs w:val="21"/>
                      <w:highlight w:val="none"/>
                      <w:u w:val="none"/>
                      <w:vertAlign w:val="subscript"/>
                      <w:lang w:val="en-US" w:eastAsia="zh-CN"/>
                    </w:rPr>
                    <w:t>5</w:t>
                  </w:r>
                </w:p>
              </w:tc>
              <w:tc>
                <w:tcPr>
                  <w:tcW w:w="208" w:type="pct"/>
                  <w:vMerge w:val="continue"/>
                  <w:tcBorders>
                    <w:left w:val="single" w:color="auto" w:sz="4" w:space="0"/>
                    <w:right w:val="single" w:color="auto" w:sz="4" w:space="0"/>
                  </w:tcBorders>
                  <w:shd w:val="clear" w:color="auto" w:fill="auto"/>
                  <w:vAlign w:val="center"/>
                </w:tcPr>
                <w:p w14:paraId="764350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i w:val="0"/>
                      <w:iCs w:val="0"/>
                      <w:color w:val="auto"/>
                      <w:sz w:val="21"/>
                      <w:szCs w:val="21"/>
                      <w:highlight w:val="none"/>
                      <w:u w:val="none"/>
                      <w:lang w:val="en-US" w:eastAsia="zh-CN"/>
                    </w:rPr>
                  </w:pPr>
                </w:p>
              </w:tc>
              <w:tc>
                <w:tcPr>
                  <w:tcW w:w="383" w:type="pct"/>
                  <w:vMerge w:val="continue"/>
                  <w:tcBorders>
                    <w:left w:val="single" w:color="auto" w:sz="4" w:space="0"/>
                    <w:right w:val="single" w:color="auto" w:sz="4" w:space="0"/>
                  </w:tcBorders>
                  <w:shd w:val="clear" w:color="auto" w:fill="auto"/>
                  <w:vAlign w:val="center"/>
                </w:tcPr>
                <w:p w14:paraId="7B9DF8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i w:val="0"/>
                      <w:iCs w:val="0"/>
                      <w:color w:val="auto"/>
                      <w:sz w:val="21"/>
                      <w:szCs w:val="21"/>
                      <w:highlight w:val="none"/>
                      <w:u w:val="none"/>
                      <w:lang w:val="en-US" w:eastAsia="zh-CN"/>
                    </w:rPr>
                  </w:pPr>
                </w:p>
              </w:tc>
              <w:tc>
                <w:tcPr>
                  <w:tcW w:w="1277" w:type="dxa"/>
                  <w:tcBorders>
                    <w:top w:val="single" w:color="auto" w:sz="4" w:space="0"/>
                    <w:left w:val="single" w:color="auto" w:sz="4" w:space="0"/>
                    <w:bottom w:val="single" w:color="auto" w:sz="4" w:space="0"/>
                    <w:right w:val="single" w:color="auto" w:sz="4" w:space="0"/>
                  </w:tcBorders>
                  <w:shd w:val="clear" w:color="auto" w:fill="auto"/>
                  <w:vAlign w:val="center"/>
                </w:tcPr>
                <w:p w14:paraId="25ED62F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kern w:val="0"/>
                      <w:sz w:val="22"/>
                      <w:szCs w:val="22"/>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150</w:t>
                  </w:r>
                </w:p>
              </w:tc>
              <w:tc>
                <w:tcPr>
                  <w:tcW w:w="1322" w:type="dxa"/>
                  <w:tcBorders>
                    <w:top w:val="single" w:color="auto" w:sz="4" w:space="0"/>
                    <w:left w:val="single" w:color="auto" w:sz="4" w:space="0"/>
                    <w:bottom w:val="single" w:color="auto" w:sz="4" w:space="0"/>
                    <w:right w:val="single" w:color="auto" w:sz="4" w:space="0"/>
                  </w:tcBorders>
                  <w:shd w:val="clear" w:color="auto" w:fill="auto"/>
                  <w:vAlign w:val="center"/>
                </w:tcPr>
                <w:p w14:paraId="593E15C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10.064 </w:t>
                  </w:r>
                </w:p>
              </w:tc>
              <w:tc>
                <w:tcPr>
                  <w:tcW w:w="343" w:type="pct"/>
                  <w:vMerge w:val="continue"/>
                  <w:tcBorders>
                    <w:left w:val="single" w:color="auto" w:sz="4" w:space="0"/>
                    <w:right w:val="single" w:color="auto" w:sz="4" w:space="0"/>
                  </w:tcBorders>
                  <w:shd w:val="clear" w:color="auto" w:fill="auto"/>
                  <w:vAlign w:val="center"/>
                </w:tcPr>
                <w:p w14:paraId="08952F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lang w:eastAsia="zh-CN"/>
                    </w:rPr>
                  </w:pPr>
                </w:p>
              </w:tc>
              <w:tc>
                <w:tcPr>
                  <w:tcW w:w="299" w:type="pct"/>
                  <w:tcBorders>
                    <w:top w:val="single" w:color="auto" w:sz="4" w:space="0"/>
                    <w:left w:val="single" w:color="auto" w:sz="4" w:space="0"/>
                    <w:bottom w:val="single" w:color="auto" w:sz="4" w:space="0"/>
                    <w:right w:val="single" w:color="auto" w:sz="4" w:space="0"/>
                  </w:tcBorders>
                  <w:shd w:val="clear" w:color="auto" w:fill="auto"/>
                  <w:vAlign w:val="center"/>
                </w:tcPr>
                <w:p w14:paraId="0C527991">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95</w:t>
                  </w:r>
                </w:p>
              </w:tc>
              <w:tc>
                <w:tcPr>
                  <w:tcW w:w="299" w:type="pct"/>
                  <w:vMerge w:val="continue"/>
                  <w:tcBorders>
                    <w:left w:val="single" w:color="auto" w:sz="4" w:space="0"/>
                    <w:right w:val="single" w:color="auto" w:sz="4" w:space="0"/>
                  </w:tcBorders>
                  <w:shd w:val="clear" w:color="auto" w:fill="auto"/>
                  <w:vAlign w:val="center"/>
                </w:tcPr>
                <w:p w14:paraId="46C4BD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i w:val="0"/>
                      <w:iCs w:val="0"/>
                      <w:color w:val="auto"/>
                      <w:sz w:val="21"/>
                      <w:szCs w:val="21"/>
                      <w:highlight w:val="none"/>
                      <w:u w:val="none"/>
                      <w:lang w:val="en-US" w:eastAsia="zh-CN"/>
                    </w:rPr>
                  </w:pPr>
                </w:p>
              </w:tc>
              <w:tc>
                <w:tcPr>
                  <w:tcW w:w="232" w:type="pct"/>
                  <w:vMerge w:val="continue"/>
                  <w:tcBorders>
                    <w:left w:val="single" w:color="auto" w:sz="4" w:space="0"/>
                    <w:right w:val="single" w:color="auto" w:sz="4" w:space="0"/>
                  </w:tcBorders>
                  <w:shd w:val="clear" w:color="auto" w:fill="auto"/>
                  <w:vAlign w:val="center"/>
                </w:tcPr>
                <w:p w14:paraId="041427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i w:val="0"/>
                      <w:iCs w:val="0"/>
                      <w:color w:val="auto"/>
                      <w:sz w:val="21"/>
                      <w:szCs w:val="21"/>
                      <w:highlight w:val="none"/>
                      <w:u w:val="none"/>
                      <w:lang w:val="en-US" w:eastAsia="zh-CN"/>
                    </w:rPr>
                  </w:pPr>
                </w:p>
              </w:tc>
              <w:tc>
                <w:tcPr>
                  <w:tcW w:w="433" w:type="pct"/>
                  <w:vMerge w:val="continue"/>
                  <w:tcBorders>
                    <w:left w:val="single" w:color="auto" w:sz="4" w:space="0"/>
                    <w:right w:val="single" w:color="auto" w:sz="4" w:space="0"/>
                  </w:tcBorders>
                  <w:shd w:val="clear" w:color="auto" w:fill="auto"/>
                  <w:vAlign w:val="center"/>
                </w:tcPr>
                <w:p w14:paraId="10370A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i w:val="0"/>
                      <w:iCs w:val="0"/>
                      <w:color w:val="auto"/>
                      <w:sz w:val="21"/>
                      <w:szCs w:val="21"/>
                      <w:highlight w:val="none"/>
                      <w:u w:val="none"/>
                      <w:lang w:val="en-US" w:eastAsia="zh-CN"/>
                    </w:rPr>
                  </w:pPr>
                </w:p>
              </w:tc>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14:paraId="13FF0C9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rPr>
                  </w:pPr>
                  <w:r>
                    <w:rPr>
                      <w:rFonts w:hint="eastAsia" w:cs="Times New Roman"/>
                      <w:b w:val="0"/>
                      <w:bCs w:val="0"/>
                      <w:i w:val="0"/>
                      <w:iCs w:val="0"/>
                      <w:color w:val="auto"/>
                      <w:kern w:val="0"/>
                      <w:sz w:val="21"/>
                      <w:szCs w:val="21"/>
                      <w:highlight w:val="none"/>
                      <w:u w:val="none"/>
                      <w:lang w:val="en-US" w:eastAsia="zh-CN"/>
                    </w:rPr>
                    <w:t>7.5</w:t>
                  </w: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14:paraId="7F4B2E9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rPr>
                  </w:pPr>
                  <w:r>
                    <w:rPr>
                      <w:rFonts w:hint="eastAsia" w:cs="Times New Roman"/>
                      <w:b w:val="0"/>
                      <w:bCs w:val="0"/>
                      <w:i w:val="0"/>
                      <w:iCs w:val="0"/>
                      <w:color w:val="auto"/>
                      <w:kern w:val="0"/>
                      <w:sz w:val="21"/>
                      <w:szCs w:val="21"/>
                      <w:highlight w:val="none"/>
                      <w:u w:val="none"/>
                      <w:lang w:val="en-US" w:eastAsia="zh-CN"/>
                    </w:rPr>
                    <w:t>0.022</w:t>
                  </w:r>
                </w:p>
              </w:tc>
              <w:tc>
                <w:tcPr>
                  <w:tcW w:w="316" w:type="pct"/>
                  <w:vMerge w:val="continue"/>
                  <w:tcBorders>
                    <w:left w:val="single" w:color="auto" w:sz="4" w:space="0"/>
                    <w:right w:val="single" w:color="auto" w:sz="4" w:space="0"/>
                  </w:tcBorders>
                  <w:shd w:val="clear" w:color="auto" w:fill="auto"/>
                  <w:vAlign w:val="center"/>
                </w:tcPr>
                <w:p w14:paraId="142AC50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p>
              </w:tc>
            </w:tr>
            <w:tr w14:paraId="432235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216" w:type="pct"/>
                  <w:vMerge w:val="continue"/>
                  <w:tcBorders>
                    <w:left w:val="single" w:color="auto" w:sz="4" w:space="0"/>
                    <w:right w:val="single" w:color="auto" w:sz="4" w:space="0"/>
                  </w:tcBorders>
                  <w:shd w:val="clear" w:color="auto" w:fill="auto"/>
                  <w:vAlign w:val="center"/>
                </w:tcPr>
                <w:p w14:paraId="646101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i w:val="0"/>
                      <w:iCs w:val="0"/>
                      <w:color w:val="auto"/>
                      <w:sz w:val="21"/>
                      <w:szCs w:val="21"/>
                      <w:highlight w:val="none"/>
                      <w:u w:val="none"/>
                      <w:lang w:val="en-US" w:eastAsia="zh-CN"/>
                    </w:rPr>
                  </w:pPr>
                </w:p>
              </w:tc>
              <w:tc>
                <w:tcPr>
                  <w:tcW w:w="439" w:type="pct"/>
                  <w:tcBorders>
                    <w:top w:val="single" w:color="auto" w:sz="4" w:space="0"/>
                    <w:left w:val="single" w:color="auto" w:sz="4" w:space="0"/>
                    <w:bottom w:val="single" w:color="auto" w:sz="4" w:space="0"/>
                    <w:right w:val="single" w:color="auto" w:sz="4" w:space="0"/>
                  </w:tcBorders>
                  <w:shd w:val="clear" w:color="auto" w:fill="auto"/>
                  <w:vAlign w:val="center"/>
                </w:tcPr>
                <w:p w14:paraId="2018708C">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SS</w:t>
                  </w:r>
                </w:p>
              </w:tc>
              <w:tc>
                <w:tcPr>
                  <w:tcW w:w="208" w:type="pct"/>
                  <w:vMerge w:val="continue"/>
                  <w:tcBorders>
                    <w:left w:val="single" w:color="auto" w:sz="4" w:space="0"/>
                    <w:right w:val="single" w:color="auto" w:sz="4" w:space="0"/>
                  </w:tcBorders>
                  <w:shd w:val="clear" w:color="auto" w:fill="auto"/>
                  <w:vAlign w:val="center"/>
                </w:tcPr>
                <w:p w14:paraId="1C9108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i w:val="0"/>
                      <w:iCs w:val="0"/>
                      <w:color w:val="auto"/>
                      <w:sz w:val="21"/>
                      <w:szCs w:val="21"/>
                      <w:highlight w:val="none"/>
                      <w:u w:val="none"/>
                      <w:lang w:val="en-US" w:eastAsia="zh-CN"/>
                    </w:rPr>
                  </w:pPr>
                </w:p>
              </w:tc>
              <w:tc>
                <w:tcPr>
                  <w:tcW w:w="383" w:type="pct"/>
                  <w:vMerge w:val="continue"/>
                  <w:tcBorders>
                    <w:left w:val="single" w:color="auto" w:sz="4" w:space="0"/>
                    <w:right w:val="single" w:color="auto" w:sz="4" w:space="0"/>
                  </w:tcBorders>
                  <w:shd w:val="clear" w:color="auto" w:fill="auto"/>
                  <w:vAlign w:val="center"/>
                </w:tcPr>
                <w:p w14:paraId="6706E8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i w:val="0"/>
                      <w:iCs w:val="0"/>
                      <w:color w:val="auto"/>
                      <w:sz w:val="21"/>
                      <w:szCs w:val="21"/>
                      <w:highlight w:val="none"/>
                      <w:u w:val="none"/>
                      <w:lang w:val="en-US" w:eastAsia="zh-CN"/>
                    </w:rPr>
                  </w:pPr>
                </w:p>
              </w:tc>
              <w:tc>
                <w:tcPr>
                  <w:tcW w:w="1277" w:type="dxa"/>
                  <w:tcBorders>
                    <w:top w:val="single" w:color="auto" w:sz="4" w:space="0"/>
                    <w:left w:val="single" w:color="auto" w:sz="4" w:space="0"/>
                    <w:bottom w:val="single" w:color="auto" w:sz="4" w:space="0"/>
                    <w:right w:val="single" w:color="auto" w:sz="4" w:space="0"/>
                  </w:tcBorders>
                  <w:shd w:val="clear" w:color="auto" w:fill="auto"/>
                  <w:vAlign w:val="center"/>
                </w:tcPr>
                <w:p w14:paraId="30FAFF8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226</w:t>
                  </w:r>
                </w:p>
              </w:tc>
              <w:tc>
                <w:tcPr>
                  <w:tcW w:w="1322" w:type="dxa"/>
                  <w:tcBorders>
                    <w:top w:val="single" w:color="auto" w:sz="4" w:space="0"/>
                    <w:left w:val="single" w:color="auto" w:sz="4" w:space="0"/>
                    <w:bottom w:val="single" w:color="auto" w:sz="4" w:space="0"/>
                    <w:right w:val="single" w:color="auto" w:sz="4" w:space="0"/>
                  </w:tcBorders>
                  <w:shd w:val="clear" w:color="auto" w:fill="auto"/>
                  <w:vAlign w:val="center"/>
                </w:tcPr>
                <w:p w14:paraId="73D9F81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bidi="ar"/>
                    </w:rPr>
                  </w:pPr>
                  <w:r>
                    <w:rPr>
                      <w:rFonts w:hint="eastAsia" w:cs="Times New Roman"/>
                      <w:i w:val="0"/>
                      <w:iCs w:val="0"/>
                      <w:color w:val="auto"/>
                      <w:kern w:val="0"/>
                      <w:sz w:val="20"/>
                      <w:szCs w:val="20"/>
                      <w:highlight w:val="none"/>
                      <w:u w:val="none"/>
                      <w:lang w:val="en-US" w:eastAsia="zh-CN" w:bidi="ar"/>
                    </w:rPr>
                    <w:t>15.164</w:t>
                  </w:r>
                </w:p>
              </w:tc>
              <w:tc>
                <w:tcPr>
                  <w:tcW w:w="343" w:type="pct"/>
                  <w:vMerge w:val="continue"/>
                  <w:tcBorders>
                    <w:left w:val="single" w:color="auto" w:sz="4" w:space="0"/>
                    <w:right w:val="single" w:color="auto" w:sz="4" w:space="0"/>
                  </w:tcBorders>
                  <w:shd w:val="clear" w:color="auto" w:fill="auto"/>
                  <w:vAlign w:val="center"/>
                </w:tcPr>
                <w:p w14:paraId="286679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lang w:eastAsia="zh-CN"/>
                    </w:rPr>
                  </w:pPr>
                </w:p>
              </w:tc>
              <w:tc>
                <w:tcPr>
                  <w:tcW w:w="299" w:type="pct"/>
                  <w:tcBorders>
                    <w:top w:val="single" w:color="auto" w:sz="4" w:space="0"/>
                    <w:left w:val="single" w:color="auto" w:sz="4" w:space="0"/>
                    <w:bottom w:val="single" w:color="auto" w:sz="4" w:space="0"/>
                    <w:right w:val="single" w:color="auto" w:sz="4" w:space="0"/>
                  </w:tcBorders>
                  <w:shd w:val="clear" w:color="auto" w:fill="auto"/>
                  <w:vAlign w:val="center"/>
                </w:tcPr>
                <w:p w14:paraId="500090BE">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90</w:t>
                  </w:r>
                </w:p>
              </w:tc>
              <w:tc>
                <w:tcPr>
                  <w:tcW w:w="299" w:type="pct"/>
                  <w:vMerge w:val="continue"/>
                  <w:tcBorders>
                    <w:left w:val="single" w:color="auto" w:sz="4" w:space="0"/>
                    <w:right w:val="single" w:color="auto" w:sz="4" w:space="0"/>
                  </w:tcBorders>
                  <w:shd w:val="clear" w:color="auto" w:fill="auto"/>
                  <w:vAlign w:val="center"/>
                </w:tcPr>
                <w:p w14:paraId="0D4179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i w:val="0"/>
                      <w:iCs w:val="0"/>
                      <w:color w:val="auto"/>
                      <w:sz w:val="21"/>
                      <w:szCs w:val="21"/>
                      <w:highlight w:val="none"/>
                      <w:u w:val="none"/>
                      <w:lang w:val="en-US" w:eastAsia="zh-CN"/>
                    </w:rPr>
                  </w:pPr>
                </w:p>
              </w:tc>
              <w:tc>
                <w:tcPr>
                  <w:tcW w:w="232" w:type="pct"/>
                  <w:vMerge w:val="continue"/>
                  <w:tcBorders>
                    <w:left w:val="single" w:color="auto" w:sz="4" w:space="0"/>
                    <w:right w:val="single" w:color="auto" w:sz="4" w:space="0"/>
                  </w:tcBorders>
                  <w:shd w:val="clear" w:color="auto" w:fill="auto"/>
                  <w:vAlign w:val="center"/>
                </w:tcPr>
                <w:p w14:paraId="7184D3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i w:val="0"/>
                      <w:iCs w:val="0"/>
                      <w:color w:val="auto"/>
                      <w:sz w:val="21"/>
                      <w:szCs w:val="21"/>
                      <w:highlight w:val="none"/>
                      <w:u w:val="none"/>
                      <w:lang w:val="en-US" w:eastAsia="zh-CN"/>
                    </w:rPr>
                  </w:pPr>
                </w:p>
              </w:tc>
              <w:tc>
                <w:tcPr>
                  <w:tcW w:w="433" w:type="pct"/>
                  <w:vMerge w:val="continue"/>
                  <w:tcBorders>
                    <w:left w:val="single" w:color="auto" w:sz="4" w:space="0"/>
                    <w:right w:val="single" w:color="auto" w:sz="4" w:space="0"/>
                  </w:tcBorders>
                  <w:shd w:val="clear" w:color="auto" w:fill="auto"/>
                  <w:vAlign w:val="center"/>
                </w:tcPr>
                <w:p w14:paraId="037ACA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i w:val="0"/>
                      <w:iCs w:val="0"/>
                      <w:color w:val="auto"/>
                      <w:sz w:val="21"/>
                      <w:szCs w:val="21"/>
                      <w:highlight w:val="none"/>
                      <w:u w:val="none"/>
                      <w:lang w:val="en-US" w:eastAsia="zh-CN"/>
                    </w:rPr>
                  </w:pPr>
                </w:p>
              </w:tc>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14:paraId="0866465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rPr>
                  </w:pPr>
                  <w:r>
                    <w:rPr>
                      <w:rFonts w:hint="eastAsia" w:cs="Times New Roman"/>
                      <w:b w:val="0"/>
                      <w:bCs w:val="0"/>
                      <w:i w:val="0"/>
                      <w:iCs w:val="0"/>
                      <w:color w:val="auto"/>
                      <w:kern w:val="0"/>
                      <w:sz w:val="21"/>
                      <w:szCs w:val="21"/>
                      <w:highlight w:val="none"/>
                      <w:u w:val="none"/>
                      <w:lang w:val="en-US" w:eastAsia="zh-CN"/>
                    </w:rPr>
                    <w:t>22.6</w:t>
                  </w: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14:paraId="60DAF75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rPr>
                  </w:pPr>
                  <w:r>
                    <w:rPr>
                      <w:rFonts w:hint="eastAsia" w:cs="Times New Roman"/>
                      <w:b w:val="0"/>
                      <w:bCs w:val="0"/>
                      <w:i w:val="0"/>
                      <w:iCs w:val="0"/>
                      <w:color w:val="auto"/>
                      <w:kern w:val="0"/>
                      <w:sz w:val="21"/>
                      <w:szCs w:val="21"/>
                      <w:highlight w:val="none"/>
                      <w:u w:val="none"/>
                      <w:lang w:val="en-US" w:eastAsia="zh-CN"/>
                    </w:rPr>
                    <w:t>0.067</w:t>
                  </w:r>
                </w:p>
              </w:tc>
              <w:tc>
                <w:tcPr>
                  <w:tcW w:w="316" w:type="pct"/>
                  <w:vMerge w:val="continue"/>
                  <w:tcBorders>
                    <w:left w:val="single" w:color="auto" w:sz="4" w:space="0"/>
                    <w:right w:val="single" w:color="auto" w:sz="4" w:space="0"/>
                  </w:tcBorders>
                  <w:shd w:val="clear" w:color="auto" w:fill="auto"/>
                  <w:vAlign w:val="center"/>
                </w:tcPr>
                <w:p w14:paraId="56B5E19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p>
              </w:tc>
            </w:tr>
            <w:tr w14:paraId="58071D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216" w:type="pct"/>
                  <w:vMerge w:val="continue"/>
                  <w:tcBorders>
                    <w:left w:val="single" w:color="auto" w:sz="4" w:space="0"/>
                    <w:right w:val="single" w:color="auto" w:sz="4" w:space="0"/>
                  </w:tcBorders>
                  <w:shd w:val="clear" w:color="auto" w:fill="auto"/>
                  <w:vAlign w:val="center"/>
                </w:tcPr>
                <w:p w14:paraId="133A57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i w:val="0"/>
                      <w:iCs w:val="0"/>
                      <w:color w:val="auto"/>
                      <w:sz w:val="21"/>
                      <w:szCs w:val="21"/>
                      <w:highlight w:val="none"/>
                      <w:u w:val="none"/>
                      <w:lang w:val="en-US" w:eastAsia="zh-CN"/>
                    </w:rPr>
                  </w:pPr>
                </w:p>
              </w:tc>
              <w:tc>
                <w:tcPr>
                  <w:tcW w:w="439" w:type="pct"/>
                  <w:tcBorders>
                    <w:top w:val="single" w:color="auto" w:sz="4" w:space="0"/>
                    <w:left w:val="single" w:color="auto" w:sz="4" w:space="0"/>
                    <w:bottom w:val="single" w:color="auto" w:sz="4" w:space="0"/>
                    <w:right w:val="single" w:color="auto" w:sz="4" w:space="0"/>
                  </w:tcBorders>
                  <w:shd w:val="clear" w:color="auto" w:fill="auto"/>
                  <w:vAlign w:val="center"/>
                </w:tcPr>
                <w:p w14:paraId="26A8AC3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cs="Times New Roman"/>
                      <w:i w:val="0"/>
                      <w:iCs w:val="0"/>
                      <w:color w:val="auto"/>
                      <w:kern w:val="0"/>
                      <w:sz w:val="21"/>
                      <w:szCs w:val="21"/>
                      <w:highlight w:val="none"/>
                      <w:u w:val="none"/>
                      <w:lang w:val="en-US" w:eastAsia="zh-CN"/>
                    </w:rPr>
                    <w:t>氨氮</w:t>
                  </w:r>
                </w:p>
              </w:tc>
              <w:tc>
                <w:tcPr>
                  <w:tcW w:w="208" w:type="pct"/>
                  <w:vMerge w:val="continue"/>
                  <w:tcBorders>
                    <w:left w:val="single" w:color="auto" w:sz="4" w:space="0"/>
                    <w:right w:val="single" w:color="auto" w:sz="4" w:space="0"/>
                  </w:tcBorders>
                  <w:shd w:val="clear" w:color="auto" w:fill="auto"/>
                  <w:vAlign w:val="center"/>
                </w:tcPr>
                <w:p w14:paraId="722CA1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i w:val="0"/>
                      <w:iCs w:val="0"/>
                      <w:color w:val="auto"/>
                      <w:sz w:val="21"/>
                      <w:szCs w:val="21"/>
                      <w:highlight w:val="none"/>
                      <w:u w:val="none"/>
                      <w:lang w:val="en-US" w:eastAsia="zh-CN"/>
                    </w:rPr>
                  </w:pPr>
                </w:p>
              </w:tc>
              <w:tc>
                <w:tcPr>
                  <w:tcW w:w="383" w:type="pct"/>
                  <w:vMerge w:val="continue"/>
                  <w:tcBorders>
                    <w:left w:val="single" w:color="auto" w:sz="4" w:space="0"/>
                    <w:right w:val="single" w:color="auto" w:sz="4" w:space="0"/>
                  </w:tcBorders>
                  <w:shd w:val="clear" w:color="auto" w:fill="auto"/>
                  <w:vAlign w:val="center"/>
                </w:tcPr>
                <w:p w14:paraId="68CDDF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i w:val="0"/>
                      <w:iCs w:val="0"/>
                      <w:color w:val="auto"/>
                      <w:sz w:val="21"/>
                      <w:szCs w:val="21"/>
                      <w:highlight w:val="none"/>
                      <w:u w:val="none"/>
                      <w:lang w:val="en-US" w:eastAsia="zh-CN"/>
                    </w:rPr>
                  </w:pPr>
                </w:p>
              </w:tc>
              <w:tc>
                <w:tcPr>
                  <w:tcW w:w="1277" w:type="dxa"/>
                  <w:tcBorders>
                    <w:top w:val="single" w:color="auto" w:sz="4" w:space="0"/>
                    <w:left w:val="single" w:color="auto" w:sz="4" w:space="0"/>
                    <w:bottom w:val="single" w:color="auto" w:sz="4" w:space="0"/>
                    <w:right w:val="single" w:color="auto" w:sz="4" w:space="0"/>
                  </w:tcBorders>
                  <w:shd w:val="clear" w:color="auto" w:fill="auto"/>
                  <w:vAlign w:val="center"/>
                </w:tcPr>
                <w:p w14:paraId="17749E66">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val="0"/>
                      <w:bCs w:val="0"/>
                      <w:i w:val="0"/>
                      <w:iCs w:val="0"/>
                      <w:color w:val="auto"/>
                      <w:kern w:val="0"/>
                      <w:sz w:val="22"/>
                      <w:szCs w:val="22"/>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17.2</w:t>
                  </w:r>
                </w:p>
              </w:tc>
              <w:tc>
                <w:tcPr>
                  <w:tcW w:w="1322" w:type="dxa"/>
                  <w:tcBorders>
                    <w:top w:val="single" w:color="auto" w:sz="4" w:space="0"/>
                    <w:left w:val="single" w:color="auto" w:sz="4" w:space="0"/>
                    <w:bottom w:val="single" w:color="auto" w:sz="4" w:space="0"/>
                    <w:right w:val="single" w:color="auto" w:sz="4" w:space="0"/>
                  </w:tcBorders>
                  <w:shd w:val="clear" w:color="auto" w:fill="auto"/>
                  <w:vAlign w:val="center"/>
                </w:tcPr>
                <w:p w14:paraId="35991579">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val="0"/>
                      <w:bCs w:val="0"/>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1.154 </w:t>
                  </w:r>
                </w:p>
              </w:tc>
              <w:tc>
                <w:tcPr>
                  <w:tcW w:w="343" w:type="pct"/>
                  <w:vMerge w:val="continue"/>
                  <w:tcBorders>
                    <w:left w:val="single" w:color="auto" w:sz="4" w:space="0"/>
                    <w:right w:val="single" w:color="auto" w:sz="4" w:space="0"/>
                  </w:tcBorders>
                  <w:shd w:val="clear" w:color="auto" w:fill="auto"/>
                  <w:vAlign w:val="center"/>
                </w:tcPr>
                <w:p w14:paraId="243DBC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lang w:eastAsia="zh-CN"/>
                    </w:rPr>
                  </w:pPr>
                </w:p>
              </w:tc>
              <w:tc>
                <w:tcPr>
                  <w:tcW w:w="299" w:type="pct"/>
                  <w:tcBorders>
                    <w:top w:val="single" w:color="auto" w:sz="4" w:space="0"/>
                    <w:left w:val="single" w:color="auto" w:sz="4" w:space="0"/>
                    <w:bottom w:val="single" w:color="auto" w:sz="4" w:space="0"/>
                    <w:right w:val="single" w:color="auto" w:sz="4" w:space="0"/>
                  </w:tcBorders>
                  <w:shd w:val="clear" w:color="auto" w:fill="auto"/>
                  <w:vAlign w:val="center"/>
                </w:tcPr>
                <w:p w14:paraId="6E88AA61">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rPr>
                  </w:pPr>
                  <w:r>
                    <w:rPr>
                      <w:rFonts w:hint="default" w:ascii="Times New Roman" w:hAnsi="Times New Roman" w:cs="Times New Roman"/>
                      <w:i w:val="0"/>
                      <w:iCs w:val="0"/>
                      <w:color w:val="auto"/>
                      <w:kern w:val="0"/>
                      <w:sz w:val="21"/>
                      <w:szCs w:val="21"/>
                      <w:highlight w:val="none"/>
                      <w:u w:val="none"/>
                      <w:lang w:val="en-US" w:eastAsia="zh-CN"/>
                    </w:rPr>
                    <w:t>80</w:t>
                  </w:r>
                </w:p>
              </w:tc>
              <w:tc>
                <w:tcPr>
                  <w:tcW w:w="299" w:type="pct"/>
                  <w:vMerge w:val="continue"/>
                  <w:tcBorders>
                    <w:left w:val="single" w:color="auto" w:sz="4" w:space="0"/>
                    <w:right w:val="single" w:color="auto" w:sz="4" w:space="0"/>
                  </w:tcBorders>
                  <w:shd w:val="clear" w:color="auto" w:fill="auto"/>
                  <w:vAlign w:val="center"/>
                </w:tcPr>
                <w:p w14:paraId="6E9561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i w:val="0"/>
                      <w:iCs w:val="0"/>
                      <w:color w:val="auto"/>
                      <w:sz w:val="21"/>
                      <w:szCs w:val="21"/>
                      <w:highlight w:val="none"/>
                      <w:u w:val="none"/>
                      <w:lang w:val="en-US" w:eastAsia="zh-CN"/>
                    </w:rPr>
                  </w:pPr>
                </w:p>
              </w:tc>
              <w:tc>
                <w:tcPr>
                  <w:tcW w:w="232" w:type="pct"/>
                  <w:vMerge w:val="continue"/>
                  <w:tcBorders>
                    <w:left w:val="single" w:color="auto" w:sz="4" w:space="0"/>
                    <w:right w:val="single" w:color="auto" w:sz="4" w:space="0"/>
                  </w:tcBorders>
                  <w:shd w:val="clear" w:color="auto" w:fill="auto"/>
                  <w:vAlign w:val="center"/>
                </w:tcPr>
                <w:p w14:paraId="4D117C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i w:val="0"/>
                      <w:iCs w:val="0"/>
                      <w:color w:val="auto"/>
                      <w:sz w:val="21"/>
                      <w:szCs w:val="21"/>
                      <w:highlight w:val="none"/>
                      <w:u w:val="none"/>
                      <w:lang w:val="en-US" w:eastAsia="zh-CN"/>
                    </w:rPr>
                  </w:pPr>
                </w:p>
              </w:tc>
              <w:tc>
                <w:tcPr>
                  <w:tcW w:w="433" w:type="pct"/>
                  <w:vMerge w:val="continue"/>
                  <w:tcBorders>
                    <w:left w:val="single" w:color="auto" w:sz="4" w:space="0"/>
                    <w:right w:val="single" w:color="auto" w:sz="4" w:space="0"/>
                  </w:tcBorders>
                  <w:shd w:val="clear" w:color="auto" w:fill="auto"/>
                  <w:vAlign w:val="center"/>
                </w:tcPr>
                <w:p w14:paraId="0E6615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i w:val="0"/>
                      <w:iCs w:val="0"/>
                      <w:color w:val="auto"/>
                      <w:sz w:val="21"/>
                      <w:szCs w:val="21"/>
                      <w:highlight w:val="none"/>
                      <w:u w:val="none"/>
                      <w:lang w:val="en-US" w:eastAsia="zh-CN"/>
                    </w:rPr>
                  </w:pPr>
                </w:p>
              </w:tc>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14:paraId="773D1B37">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val="0"/>
                      <w:bCs w:val="0"/>
                      <w:i w:val="0"/>
                      <w:iCs w:val="0"/>
                      <w:color w:val="auto"/>
                      <w:kern w:val="0"/>
                      <w:sz w:val="21"/>
                      <w:szCs w:val="21"/>
                      <w:highlight w:val="none"/>
                      <w:u w:val="none"/>
                      <w:lang w:val="en-US" w:eastAsia="zh-CN"/>
                    </w:rPr>
                  </w:pPr>
                  <w:r>
                    <w:rPr>
                      <w:rFonts w:hint="default" w:ascii="Times New Roman" w:hAnsi="Times New Roman" w:eastAsia="宋体" w:cs="Times New Roman"/>
                      <w:b w:val="0"/>
                      <w:bCs w:val="0"/>
                      <w:i w:val="0"/>
                      <w:iCs w:val="0"/>
                      <w:color w:val="auto"/>
                      <w:kern w:val="0"/>
                      <w:sz w:val="21"/>
                      <w:szCs w:val="21"/>
                      <w:highlight w:val="none"/>
                      <w:u w:val="none"/>
                      <w:lang w:val="en-US" w:eastAsia="zh-CN"/>
                    </w:rPr>
                    <w:t>3.4</w:t>
                  </w: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14:paraId="71A8E4BD">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val="0"/>
                      <w:bCs w:val="0"/>
                      <w:i w:val="0"/>
                      <w:iCs w:val="0"/>
                      <w:color w:val="auto"/>
                      <w:kern w:val="0"/>
                      <w:sz w:val="21"/>
                      <w:szCs w:val="21"/>
                      <w:highlight w:val="none"/>
                      <w:u w:val="none"/>
                      <w:lang w:val="en-US" w:eastAsia="zh-CN"/>
                    </w:rPr>
                  </w:pPr>
                  <w:r>
                    <w:rPr>
                      <w:rFonts w:hint="default" w:ascii="Times New Roman" w:hAnsi="Times New Roman" w:eastAsia="宋体" w:cs="Times New Roman"/>
                      <w:b w:val="0"/>
                      <w:bCs w:val="0"/>
                      <w:i w:val="0"/>
                      <w:iCs w:val="0"/>
                      <w:color w:val="auto"/>
                      <w:kern w:val="0"/>
                      <w:sz w:val="21"/>
                      <w:szCs w:val="21"/>
                      <w:highlight w:val="none"/>
                      <w:u w:val="none"/>
                      <w:lang w:val="en-US" w:eastAsia="zh-CN"/>
                    </w:rPr>
                    <w:t>0.010</w:t>
                  </w:r>
                </w:p>
              </w:tc>
              <w:tc>
                <w:tcPr>
                  <w:tcW w:w="316" w:type="pct"/>
                  <w:vMerge w:val="continue"/>
                  <w:tcBorders>
                    <w:left w:val="single" w:color="auto" w:sz="4" w:space="0"/>
                    <w:right w:val="single" w:color="auto" w:sz="4" w:space="0"/>
                  </w:tcBorders>
                  <w:shd w:val="clear" w:color="auto" w:fill="auto"/>
                  <w:vAlign w:val="center"/>
                </w:tcPr>
                <w:p w14:paraId="57F6870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p>
              </w:tc>
            </w:tr>
            <w:tr w14:paraId="4A7D27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216"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97488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39" w:type="pct"/>
                  <w:tcBorders>
                    <w:top w:val="single" w:color="auto" w:sz="4" w:space="0"/>
                    <w:left w:val="single" w:color="auto" w:sz="4" w:space="0"/>
                    <w:bottom w:val="single" w:color="auto" w:sz="4" w:space="0"/>
                    <w:right w:val="single" w:color="auto" w:sz="4" w:space="0"/>
                  </w:tcBorders>
                  <w:shd w:val="clear" w:color="auto" w:fill="auto"/>
                  <w:vAlign w:val="center"/>
                </w:tcPr>
                <w:p w14:paraId="6E245088">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rPr>
                  </w:pPr>
                  <w:r>
                    <w:rPr>
                      <w:rFonts w:hint="default" w:ascii="Times New Roman" w:hAnsi="Times New Roman" w:cs="Times New Roman"/>
                      <w:i w:val="0"/>
                      <w:iCs w:val="0"/>
                      <w:color w:val="auto"/>
                      <w:kern w:val="0"/>
                      <w:sz w:val="21"/>
                      <w:szCs w:val="21"/>
                      <w:highlight w:val="none"/>
                      <w:u w:val="none"/>
                      <w:lang w:val="en-US" w:eastAsia="zh-CN"/>
                    </w:rPr>
                    <w:t>总</w:t>
                  </w:r>
                  <w:r>
                    <w:rPr>
                      <w:rFonts w:hint="default" w:ascii="Times New Roman" w:hAnsi="Times New Roman" w:eastAsia="宋体" w:cs="Times New Roman"/>
                      <w:i w:val="0"/>
                      <w:iCs w:val="0"/>
                      <w:color w:val="auto"/>
                      <w:kern w:val="0"/>
                      <w:sz w:val="21"/>
                      <w:szCs w:val="21"/>
                      <w:highlight w:val="none"/>
                      <w:u w:val="none"/>
                      <w:lang w:val="en-US" w:eastAsia="zh-CN"/>
                    </w:rPr>
                    <w:t>氮</w:t>
                  </w:r>
                </w:p>
              </w:tc>
              <w:tc>
                <w:tcPr>
                  <w:tcW w:w="208" w:type="pct"/>
                  <w:vMerge w:val="continue"/>
                  <w:tcBorders>
                    <w:left w:val="single" w:color="auto" w:sz="4" w:space="0"/>
                    <w:right w:val="single" w:color="auto" w:sz="4" w:space="0"/>
                  </w:tcBorders>
                  <w:shd w:val="clear" w:color="auto" w:fill="auto"/>
                  <w:vAlign w:val="center"/>
                </w:tcPr>
                <w:p w14:paraId="309F63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83" w:type="pct"/>
                  <w:vMerge w:val="continue"/>
                  <w:tcBorders>
                    <w:left w:val="single" w:color="auto" w:sz="4" w:space="0"/>
                    <w:right w:val="single" w:color="auto" w:sz="4" w:space="0"/>
                  </w:tcBorders>
                  <w:shd w:val="clear" w:color="auto" w:fill="auto"/>
                  <w:vAlign w:val="center"/>
                </w:tcPr>
                <w:p w14:paraId="794F36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277" w:type="dxa"/>
                  <w:tcBorders>
                    <w:top w:val="single" w:color="auto" w:sz="4" w:space="0"/>
                    <w:left w:val="single" w:color="auto" w:sz="4" w:space="0"/>
                    <w:bottom w:val="single" w:color="auto" w:sz="4" w:space="0"/>
                    <w:right w:val="single" w:color="auto" w:sz="4" w:space="0"/>
                  </w:tcBorders>
                  <w:shd w:val="clear" w:color="auto" w:fill="auto"/>
                  <w:vAlign w:val="center"/>
                </w:tcPr>
                <w:p w14:paraId="6A8B61AA">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val="0"/>
                      <w:bCs w:val="0"/>
                      <w:i w:val="0"/>
                      <w:iCs w:val="0"/>
                      <w:color w:val="auto"/>
                      <w:kern w:val="0"/>
                      <w:sz w:val="22"/>
                      <w:szCs w:val="22"/>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25.9</w:t>
                  </w:r>
                </w:p>
              </w:tc>
              <w:tc>
                <w:tcPr>
                  <w:tcW w:w="1322" w:type="dxa"/>
                  <w:tcBorders>
                    <w:top w:val="single" w:color="auto" w:sz="4" w:space="0"/>
                    <w:left w:val="single" w:color="auto" w:sz="4" w:space="0"/>
                    <w:bottom w:val="single" w:color="auto" w:sz="4" w:space="0"/>
                    <w:right w:val="single" w:color="auto" w:sz="4" w:space="0"/>
                  </w:tcBorders>
                  <w:shd w:val="clear" w:color="auto" w:fill="auto"/>
                  <w:vAlign w:val="center"/>
                </w:tcPr>
                <w:p w14:paraId="0F9A4D8C">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val="0"/>
                      <w:bCs w:val="0"/>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1.738 </w:t>
                  </w:r>
                </w:p>
              </w:tc>
              <w:tc>
                <w:tcPr>
                  <w:tcW w:w="343" w:type="pct"/>
                  <w:vMerge w:val="continue"/>
                  <w:tcBorders>
                    <w:left w:val="single" w:color="auto" w:sz="4" w:space="0"/>
                    <w:right w:val="single" w:color="auto" w:sz="4" w:space="0"/>
                  </w:tcBorders>
                  <w:shd w:val="clear" w:color="auto" w:fill="auto"/>
                  <w:vAlign w:val="center"/>
                </w:tcPr>
                <w:p w14:paraId="1A9C56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99" w:type="pct"/>
                  <w:tcBorders>
                    <w:top w:val="single" w:color="auto" w:sz="4" w:space="0"/>
                    <w:left w:val="single" w:color="auto" w:sz="4" w:space="0"/>
                    <w:bottom w:val="single" w:color="auto" w:sz="4" w:space="0"/>
                    <w:right w:val="single" w:color="auto" w:sz="4" w:space="0"/>
                  </w:tcBorders>
                  <w:shd w:val="clear" w:color="auto" w:fill="auto"/>
                  <w:vAlign w:val="center"/>
                </w:tcPr>
                <w:p w14:paraId="162A357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rPr>
                  </w:pPr>
                  <w:r>
                    <w:rPr>
                      <w:rFonts w:hint="default" w:ascii="Times New Roman" w:hAnsi="Times New Roman" w:cs="Times New Roman"/>
                      <w:i w:val="0"/>
                      <w:iCs w:val="0"/>
                      <w:color w:val="auto"/>
                      <w:kern w:val="0"/>
                      <w:sz w:val="21"/>
                      <w:szCs w:val="21"/>
                      <w:highlight w:val="none"/>
                      <w:u w:val="none"/>
                      <w:lang w:val="en-US" w:eastAsia="zh-CN"/>
                    </w:rPr>
                    <w:t>50</w:t>
                  </w:r>
                </w:p>
              </w:tc>
              <w:tc>
                <w:tcPr>
                  <w:tcW w:w="299" w:type="pct"/>
                  <w:vMerge w:val="continue"/>
                  <w:tcBorders>
                    <w:left w:val="single" w:color="auto" w:sz="4" w:space="0"/>
                    <w:right w:val="single" w:color="auto" w:sz="4" w:space="0"/>
                  </w:tcBorders>
                  <w:shd w:val="clear" w:color="auto" w:fill="auto"/>
                  <w:vAlign w:val="center"/>
                </w:tcPr>
                <w:p w14:paraId="30F9E6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32" w:type="pct"/>
                  <w:vMerge w:val="continue"/>
                  <w:tcBorders>
                    <w:left w:val="single" w:color="auto" w:sz="4" w:space="0"/>
                    <w:right w:val="single" w:color="auto" w:sz="4" w:space="0"/>
                  </w:tcBorders>
                  <w:shd w:val="clear" w:color="auto" w:fill="auto"/>
                  <w:vAlign w:val="center"/>
                </w:tcPr>
                <w:p w14:paraId="18F7E3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33" w:type="pct"/>
                  <w:vMerge w:val="continue"/>
                  <w:tcBorders>
                    <w:left w:val="single" w:color="auto" w:sz="4" w:space="0"/>
                    <w:right w:val="single" w:color="auto" w:sz="4" w:space="0"/>
                  </w:tcBorders>
                  <w:shd w:val="clear" w:color="auto" w:fill="auto"/>
                  <w:vAlign w:val="center"/>
                </w:tcPr>
                <w:p w14:paraId="2A45B2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14:paraId="3849FB3C">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val="0"/>
                      <w:bCs w:val="0"/>
                      <w:i w:val="0"/>
                      <w:iCs w:val="0"/>
                      <w:color w:val="auto"/>
                      <w:kern w:val="0"/>
                      <w:sz w:val="21"/>
                      <w:szCs w:val="21"/>
                      <w:highlight w:val="none"/>
                      <w:u w:val="none"/>
                      <w:lang w:val="en-US" w:eastAsia="zh-CN"/>
                    </w:rPr>
                  </w:pPr>
                  <w:r>
                    <w:rPr>
                      <w:rFonts w:hint="default" w:ascii="Times New Roman" w:hAnsi="Times New Roman" w:eastAsia="宋体" w:cs="Times New Roman"/>
                      <w:b w:val="0"/>
                      <w:bCs w:val="0"/>
                      <w:i w:val="0"/>
                      <w:iCs w:val="0"/>
                      <w:color w:val="auto"/>
                      <w:kern w:val="0"/>
                      <w:sz w:val="21"/>
                      <w:szCs w:val="21"/>
                      <w:highlight w:val="none"/>
                      <w:u w:val="none"/>
                      <w:lang w:val="en-US" w:eastAsia="zh-CN"/>
                    </w:rPr>
                    <w:t>13.0</w:t>
                  </w: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14:paraId="4C31F2A4">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val="0"/>
                      <w:bCs w:val="0"/>
                      <w:i w:val="0"/>
                      <w:iCs w:val="0"/>
                      <w:color w:val="auto"/>
                      <w:kern w:val="0"/>
                      <w:sz w:val="21"/>
                      <w:szCs w:val="21"/>
                      <w:highlight w:val="none"/>
                      <w:u w:val="none"/>
                      <w:lang w:val="en-US" w:eastAsia="zh-CN"/>
                    </w:rPr>
                  </w:pPr>
                  <w:r>
                    <w:rPr>
                      <w:rFonts w:hint="default" w:ascii="Times New Roman" w:hAnsi="Times New Roman" w:eastAsia="宋体" w:cs="Times New Roman"/>
                      <w:b w:val="0"/>
                      <w:bCs w:val="0"/>
                      <w:i w:val="0"/>
                      <w:iCs w:val="0"/>
                      <w:color w:val="auto"/>
                      <w:kern w:val="0"/>
                      <w:sz w:val="21"/>
                      <w:szCs w:val="21"/>
                      <w:highlight w:val="none"/>
                      <w:u w:val="none"/>
                      <w:lang w:val="en-US" w:eastAsia="zh-CN"/>
                    </w:rPr>
                    <w:t>0.038</w:t>
                  </w:r>
                </w:p>
              </w:tc>
              <w:tc>
                <w:tcPr>
                  <w:tcW w:w="316" w:type="pct"/>
                  <w:vMerge w:val="continue"/>
                  <w:tcBorders>
                    <w:left w:val="single" w:color="auto" w:sz="4" w:space="0"/>
                    <w:right w:val="single" w:color="auto" w:sz="4" w:space="0"/>
                  </w:tcBorders>
                  <w:shd w:val="clear" w:color="auto" w:fill="auto"/>
                  <w:vAlign w:val="center"/>
                </w:tcPr>
                <w:p w14:paraId="42B111E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p>
              </w:tc>
            </w:tr>
            <w:tr w14:paraId="34BA03F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216"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88A21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39" w:type="pct"/>
                  <w:tcBorders>
                    <w:top w:val="single" w:color="auto" w:sz="4" w:space="0"/>
                    <w:left w:val="single" w:color="auto" w:sz="4" w:space="0"/>
                    <w:bottom w:val="single" w:color="auto" w:sz="4" w:space="0"/>
                    <w:right w:val="single" w:color="auto" w:sz="4" w:space="0"/>
                  </w:tcBorders>
                  <w:shd w:val="clear" w:color="auto" w:fill="auto"/>
                  <w:vAlign w:val="center"/>
                </w:tcPr>
                <w:p w14:paraId="5592DBCE">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石油类</w:t>
                  </w:r>
                </w:p>
              </w:tc>
              <w:tc>
                <w:tcPr>
                  <w:tcW w:w="208" w:type="pct"/>
                  <w:vMerge w:val="continue"/>
                  <w:tcBorders>
                    <w:left w:val="single" w:color="auto" w:sz="4" w:space="0"/>
                    <w:right w:val="single" w:color="auto" w:sz="4" w:space="0"/>
                  </w:tcBorders>
                  <w:shd w:val="clear" w:color="auto" w:fill="auto"/>
                  <w:vAlign w:val="center"/>
                </w:tcPr>
                <w:p w14:paraId="6F1D3B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83" w:type="pct"/>
                  <w:vMerge w:val="continue"/>
                  <w:tcBorders>
                    <w:left w:val="single" w:color="auto" w:sz="4" w:space="0"/>
                    <w:right w:val="single" w:color="auto" w:sz="4" w:space="0"/>
                  </w:tcBorders>
                  <w:shd w:val="clear" w:color="auto" w:fill="auto"/>
                  <w:vAlign w:val="center"/>
                </w:tcPr>
                <w:p w14:paraId="08C54A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277" w:type="dxa"/>
                  <w:tcBorders>
                    <w:top w:val="single" w:color="auto" w:sz="4" w:space="0"/>
                    <w:left w:val="single" w:color="auto" w:sz="4" w:space="0"/>
                    <w:bottom w:val="single" w:color="auto" w:sz="4" w:space="0"/>
                    <w:right w:val="single" w:color="auto" w:sz="4" w:space="0"/>
                  </w:tcBorders>
                  <w:shd w:val="clear" w:color="auto" w:fill="auto"/>
                  <w:vAlign w:val="center"/>
                </w:tcPr>
                <w:p w14:paraId="3C242851">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val="0"/>
                      <w:bCs w:val="0"/>
                      <w:i w:val="0"/>
                      <w:iCs w:val="0"/>
                      <w:color w:val="auto"/>
                      <w:kern w:val="0"/>
                      <w:sz w:val="22"/>
                      <w:szCs w:val="22"/>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14.2</w:t>
                  </w:r>
                </w:p>
              </w:tc>
              <w:tc>
                <w:tcPr>
                  <w:tcW w:w="1322" w:type="dxa"/>
                  <w:tcBorders>
                    <w:top w:val="single" w:color="auto" w:sz="4" w:space="0"/>
                    <w:left w:val="single" w:color="auto" w:sz="4" w:space="0"/>
                    <w:bottom w:val="single" w:color="auto" w:sz="4" w:space="0"/>
                    <w:right w:val="single" w:color="auto" w:sz="4" w:space="0"/>
                  </w:tcBorders>
                  <w:shd w:val="clear" w:color="auto" w:fill="auto"/>
                  <w:vAlign w:val="center"/>
                </w:tcPr>
                <w:p w14:paraId="283E4ACB">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val="0"/>
                      <w:bCs w:val="0"/>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0.953 </w:t>
                  </w:r>
                </w:p>
              </w:tc>
              <w:tc>
                <w:tcPr>
                  <w:tcW w:w="343" w:type="pct"/>
                  <w:vMerge w:val="continue"/>
                  <w:tcBorders>
                    <w:left w:val="single" w:color="auto" w:sz="4" w:space="0"/>
                    <w:right w:val="single" w:color="auto" w:sz="4" w:space="0"/>
                  </w:tcBorders>
                  <w:shd w:val="clear" w:color="auto" w:fill="auto"/>
                  <w:vAlign w:val="center"/>
                </w:tcPr>
                <w:p w14:paraId="6028B3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99" w:type="pct"/>
                  <w:tcBorders>
                    <w:top w:val="single" w:color="auto" w:sz="4" w:space="0"/>
                    <w:left w:val="single" w:color="auto" w:sz="4" w:space="0"/>
                    <w:bottom w:val="single" w:color="auto" w:sz="4" w:space="0"/>
                    <w:right w:val="single" w:color="auto" w:sz="4" w:space="0"/>
                  </w:tcBorders>
                  <w:shd w:val="clear" w:color="auto" w:fill="auto"/>
                  <w:vAlign w:val="center"/>
                </w:tcPr>
                <w:p w14:paraId="7969DC59">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rPr>
                  </w:pPr>
                  <w:r>
                    <w:rPr>
                      <w:rFonts w:hint="default" w:ascii="Times New Roman" w:hAnsi="Times New Roman" w:cs="Times New Roman"/>
                      <w:i w:val="0"/>
                      <w:iCs w:val="0"/>
                      <w:color w:val="auto"/>
                      <w:kern w:val="0"/>
                      <w:sz w:val="21"/>
                      <w:szCs w:val="21"/>
                      <w:highlight w:val="none"/>
                      <w:u w:val="none"/>
                      <w:lang w:val="en-US" w:eastAsia="zh-CN"/>
                    </w:rPr>
                    <w:t>90</w:t>
                  </w:r>
                </w:p>
              </w:tc>
              <w:tc>
                <w:tcPr>
                  <w:tcW w:w="299" w:type="pct"/>
                  <w:vMerge w:val="continue"/>
                  <w:tcBorders>
                    <w:left w:val="single" w:color="auto" w:sz="4" w:space="0"/>
                    <w:right w:val="single" w:color="auto" w:sz="4" w:space="0"/>
                  </w:tcBorders>
                  <w:shd w:val="clear" w:color="auto" w:fill="auto"/>
                  <w:vAlign w:val="center"/>
                </w:tcPr>
                <w:p w14:paraId="304E88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32" w:type="pct"/>
                  <w:vMerge w:val="continue"/>
                  <w:tcBorders>
                    <w:left w:val="single" w:color="auto" w:sz="4" w:space="0"/>
                    <w:right w:val="single" w:color="auto" w:sz="4" w:space="0"/>
                  </w:tcBorders>
                  <w:shd w:val="clear" w:color="auto" w:fill="auto"/>
                  <w:vAlign w:val="center"/>
                </w:tcPr>
                <w:p w14:paraId="34826D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33" w:type="pct"/>
                  <w:vMerge w:val="continue"/>
                  <w:tcBorders>
                    <w:left w:val="single" w:color="auto" w:sz="4" w:space="0"/>
                    <w:right w:val="single" w:color="auto" w:sz="4" w:space="0"/>
                  </w:tcBorders>
                  <w:shd w:val="clear" w:color="auto" w:fill="auto"/>
                  <w:vAlign w:val="center"/>
                </w:tcPr>
                <w:p w14:paraId="1521A8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14:paraId="59EA0E4B">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val="0"/>
                      <w:bCs w:val="0"/>
                      <w:i w:val="0"/>
                      <w:iCs w:val="0"/>
                      <w:color w:val="auto"/>
                      <w:kern w:val="0"/>
                      <w:sz w:val="21"/>
                      <w:szCs w:val="21"/>
                      <w:highlight w:val="none"/>
                      <w:u w:val="none"/>
                      <w:lang w:val="en-US" w:eastAsia="zh-CN"/>
                    </w:rPr>
                  </w:pPr>
                  <w:r>
                    <w:rPr>
                      <w:rFonts w:hint="default" w:ascii="Times New Roman" w:hAnsi="Times New Roman" w:eastAsia="宋体" w:cs="Times New Roman"/>
                      <w:b w:val="0"/>
                      <w:bCs w:val="0"/>
                      <w:i w:val="0"/>
                      <w:iCs w:val="0"/>
                      <w:color w:val="auto"/>
                      <w:kern w:val="0"/>
                      <w:sz w:val="21"/>
                      <w:szCs w:val="21"/>
                      <w:highlight w:val="none"/>
                      <w:u w:val="none"/>
                      <w:lang w:val="en-US" w:eastAsia="zh-CN"/>
                    </w:rPr>
                    <w:t>1.</w:t>
                  </w:r>
                  <w:r>
                    <w:rPr>
                      <w:rFonts w:hint="eastAsia" w:cs="Times New Roman"/>
                      <w:b w:val="0"/>
                      <w:bCs w:val="0"/>
                      <w:i w:val="0"/>
                      <w:iCs w:val="0"/>
                      <w:color w:val="auto"/>
                      <w:kern w:val="0"/>
                      <w:sz w:val="21"/>
                      <w:szCs w:val="21"/>
                      <w:highlight w:val="none"/>
                      <w:u w:val="none"/>
                      <w:lang w:val="en-US" w:eastAsia="zh-CN"/>
                    </w:rPr>
                    <w:t>0</w:t>
                  </w: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14:paraId="0E5C957C">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val="0"/>
                      <w:bCs w:val="0"/>
                      <w:i w:val="0"/>
                      <w:iCs w:val="0"/>
                      <w:color w:val="auto"/>
                      <w:kern w:val="0"/>
                      <w:sz w:val="21"/>
                      <w:szCs w:val="21"/>
                      <w:highlight w:val="none"/>
                      <w:u w:val="none"/>
                      <w:lang w:val="en-US" w:eastAsia="zh-CN"/>
                    </w:rPr>
                  </w:pPr>
                  <w:r>
                    <w:rPr>
                      <w:rFonts w:hint="default" w:ascii="Times New Roman" w:hAnsi="Times New Roman" w:eastAsia="宋体" w:cs="Times New Roman"/>
                      <w:b w:val="0"/>
                      <w:bCs w:val="0"/>
                      <w:i w:val="0"/>
                      <w:iCs w:val="0"/>
                      <w:color w:val="auto"/>
                      <w:kern w:val="0"/>
                      <w:sz w:val="21"/>
                      <w:szCs w:val="21"/>
                      <w:highlight w:val="none"/>
                      <w:u w:val="none"/>
                      <w:lang w:val="en-US" w:eastAsia="zh-CN"/>
                    </w:rPr>
                    <w:t>0.00</w:t>
                  </w:r>
                  <w:r>
                    <w:rPr>
                      <w:rFonts w:hint="eastAsia" w:cs="Times New Roman"/>
                      <w:b w:val="0"/>
                      <w:bCs w:val="0"/>
                      <w:i w:val="0"/>
                      <w:iCs w:val="0"/>
                      <w:color w:val="auto"/>
                      <w:kern w:val="0"/>
                      <w:sz w:val="21"/>
                      <w:szCs w:val="21"/>
                      <w:highlight w:val="none"/>
                      <w:u w:val="none"/>
                      <w:lang w:val="en-US" w:eastAsia="zh-CN"/>
                    </w:rPr>
                    <w:t>3</w:t>
                  </w:r>
                </w:p>
              </w:tc>
              <w:tc>
                <w:tcPr>
                  <w:tcW w:w="316" w:type="pct"/>
                  <w:vMerge w:val="continue"/>
                  <w:tcBorders>
                    <w:left w:val="single" w:color="auto" w:sz="4" w:space="0"/>
                    <w:right w:val="single" w:color="auto" w:sz="4" w:space="0"/>
                  </w:tcBorders>
                  <w:shd w:val="clear" w:color="auto" w:fill="auto"/>
                  <w:vAlign w:val="center"/>
                </w:tcPr>
                <w:p w14:paraId="14B0B10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p>
              </w:tc>
            </w:tr>
            <w:tr w14:paraId="383A8DC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216"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C5131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39" w:type="pct"/>
                  <w:tcBorders>
                    <w:top w:val="single" w:color="auto" w:sz="4" w:space="0"/>
                    <w:left w:val="single" w:color="auto" w:sz="4" w:space="0"/>
                    <w:bottom w:val="single" w:color="auto" w:sz="4" w:space="0"/>
                    <w:right w:val="single" w:color="auto" w:sz="4" w:space="0"/>
                  </w:tcBorders>
                  <w:shd w:val="clear" w:color="auto" w:fill="auto"/>
                  <w:vAlign w:val="center"/>
                </w:tcPr>
                <w:p w14:paraId="6EFEFF3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LAS</w:t>
                  </w:r>
                </w:p>
              </w:tc>
              <w:tc>
                <w:tcPr>
                  <w:tcW w:w="208" w:type="pct"/>
                  <w:vMerge w:val="continue"/>
                  <w:tcBorders>
                    <w:left w:val="single" w:color="auto" w:sz="4" w:space="0"/>
                    <w:right w:val="single" w:color="auto" w:sz="4" w:space="0"/>
                  </w:tcBorders>
                  <w:shd w:val="clear" w:color="auto" w:fill="auto"/>
                  <w:vAlign w:val="center"/>
                </w:tcPr>
                <w:p w14:paraId="14C827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83" w:type="pct"/>
                  <w:vMerge w:val="continue"/>
                  <w:tcBorders>
                    <w:left w:val="single" w:color="auto" w:sz="4" w:space="0"/>
                    <w:right w:val="single" w:color="auto" w:sz="4" w:space="0"/>
                  </w:tcBorders>
                  <w:shd w:val="clear" w:color="auto" w:fill="auto"/>
                  <w:vAlign w:val="center"/>
                </w:tcPr>
                <w:p w14:paraId="54E976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277" w:type="dxa"/>
                  <w:tcBorders>
                    <w:top w:val="single" w:color="auto" w:sz="4" w:space="0"/>
                    <w:left w:val="single" w:color="auto" w:sz="4" w:space="0"/>
                    <w:bottom w:val="single" w:color="auto" w:sz="4" w:space="0"/>
                    <w:right w:val="single" w:color="auto" w:sz="4" w:space="0"/>
                  </w:tcBorders>
                  <w:shd w:val="clear" w:color="auto" w:fill="auto"/>
                  <w:vAlign w:val="center"/>
                </w:tcPr>
                <w:p w14:paraId="3E77722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2</w:t>
                  </w:r>
                </w:p>
              </w:tc>
              <w:tc>
                <w:tcPr>
                  <w:tcW w:w="1322" w:type="dxa"/>
                  <w:tcBorders>
                    <w:top w:val="single" w:color="auto" w:sz="4" w:space="0"/>
                    <w:left w:val="single" w:color="auto" w:sz="4" w:space="0"/>
                    <w:bottom w:val="single" w:color="auto" w:sz="4" w:space="0"/>
                    <w:right w:val="single" w:color="auto" w:sz="4" w:space="0"/>
                  </w:tcBorders>
                  <w:shd w:val="clear" w:color="auto" w:fill="auto"/>
                  <w:vAlign w:val="center"/>
                </w:tcPr>
                <w:p w14:paraId="7C327A0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bidi="ar"/>
                    </w:rPr>
                  </w:pPr>
                  <w:r>
                    <w:rPr>
                      <w:rFonts w:hint="eastAsia" w:cs="Times New Roman"/>
                      <w:i w:val="0"/>
                      <w:iCs w:val="0"/>
                      <w:color w:val="auto"/>
                      <w:kern w:val="0"/>
                      <w:sz w:val="20"/>
                      <w:szCs w:val="20"/>
                      <w:highlight w:val="none"/>
                      <w:u w:val="none"/>
                      <w:lang w:val="en-US" w:eastAsia="zh-CN" w:bidi="ar"/>
                    </w:rPr>
                    <w:t>0.134</w:t>
                  </w:r>
                </w:p>
              </w:tc>
              <w:tc>
                <w:tcPr>
                  <w:tcW w:w="343" w:type="pct"/>
                  <w:vMerge w:val="continue"/>
                  <w:tcBorders>
                    <w:left w:val="single" w:color="auto" w:sz="4" w:space="0"/>
                    <w:right w:val="single" w:color="auto" w:sz="4" w:space="0"/>
                  </w:tcBorders>
                  <w:shd w:val="clear" w:color="auto" w:fill="auto"/>
                  <w:vAlign w:val="center"/>
                </w:tcPr>
                <w:p w14:paraId="1E9B8A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99" w:type="pct"/>
                  <w:tcBorders>
                    <w:top w:val="single" w:color="auto" w:sz="4" w:space="0"/>
                    <w:left w:val="single" w:color="auto" w:sz="4" w:space="0"/>
                    <w:bottom w:val="single" w:color="auto" w:sz="4" w:space="0"/>
                    <w:right w:val="single" w:color="auto" w:sz="4" w:space="0"/>
                  </w:tcBorders>
                  <w:shd w:val="clear" w:color="auto" w:fill="auto"/>
                  <w:vAlign w:val="center"/>
                </w:tcPr>
                <w:p w14:paraId="5B6F8210">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80</w:t>
                  </w:r>
                </w:p>
              </w:tc>
              <w:tc>
                <w:tcPr>
                  <w:tcW w:w="299" w:type="pct"/>
                  <w:vMerge w:val="continue"/>
                  <w:tcBorders>
                    <w:left w:val="single" w:color="auto" w:sz="4" w:space="0"/>
                    <w:right w:val="single" w:color="auto" w:sz="4" w:space="0"/>
                  </w:tcBorders>
                  <w:shd w:val="clear" w:color="auto" w:fill="auto"/>
                  <w:vAlign w:val="center"/>
                </w:tcPr>
                <w:p w14:paraId="75EF7D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32" w:type="pct"/>
                  <w:vMerge w:val="continue"/>
                  <w:tcBorders>
                    <w:left w:val="single" w:color="auto" w:sz="4" w:space="0"/>
                    <w:right w:val="single" w:color="auto" w:sz="4" w:space="0"/>
                  </w:tcBorders>
                  <w:shd w:val="clear" w:color="auto" w:fill="auto"/>
                  <w:vAlign w:val="center"/>
                </w:tcPr>
                <w:p w14:paraId="0E56AB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33" w:type="pct"/>
                  <w:vMerge w:val="continue"/>
                  <w:tcBorders>
                    <w:left w:val="single" w:color="auto" w:sz="4" w:space="0"/>
                    <w:right w:val="single" w:color="auto" w:sz="4" w:space="0"/>
                  </w:tcBorders>
                  <w:shd w:val="clear" w:color="auto" w:fill="auto"/>
                  <w:vAlign w:val="center"/>
                </w:tcPr>
                <w:p w14:paraId="142FC3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14:paraId="22DEFFE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rPr>
                  </w:pPr>
                  <w:r>
                    <w:rPr>
                      <w:rFonts w:hint="eastAsia" w:cs="Times New Roman"/>
                      <w:b w:val="0"/>
                      <w:bCs w:val="0"/>
                      <w:i w:val="0"/>
                      <w:iCs w:val="0"/>
                      <w:color w:val="auto"/>
                      <w:kern w:val="0"/>
                      <w:sz w:val="21"/>
                      <w:szCs w:val="21"/>
                      <w:highlight w:val="none"/>
                      <w:u w:val="none"/>
                      <w:lang w:val="en-US" w:eastAsia="zh-CN"/>
                    </w:rPr>
                    <w:t>0.4</w:t>
                  </w: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14:paraId="6360410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rPr>
                  </w:pPr>
                  <w:r>
                    <w:rPr>
                      <w:rFonts w:hint="eastAsia" w:cs="Times New Roman"/>
                      <w:b w:val="0"/>
                      <w:bCs w:val="0"/>
                      <w:i w:val="0"/>
                      <w:iCs w:val="0"/>
                      <w:color w:val="auto"/>
                      <w:kern w:val="0"/>
                      <w:sz w:val="21"/>
                      <w:szCs w:val="21"/>
                      <w:highlight w:val="none"/>
                      <w:u w:val="none"/>
                      <w:lang w:val="en-US" w:eastAsia="zh-CN"/>
                    </w:rPr>
                    <w:t>0.001</w:t>
                  </w:r>
                </w:p>
              </w:tc>
              <w:tc>
                <w:tcPr>
                  <w:tcW w:w="316" w:type="pct"/>
                  <w:vMerge w:val="continue"/>
                  <w:tcBorders>
                    <w:left w:val="single" w:color="auto" w:sz="4" w:space="0"/>
                    <w:right w:val="single" w:color="auto" w:sz="4" w:space="0"/>
                  </w:tcBorders>
                  <w:shd w:val="clear" w:color="auto" w:fill="auto"/>
                  <w:vAlign w:val="center"/>
                </w:tcPr>
                <w:p w14:paraId="7BF7BEE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p>
              </w:tc>
            </w:tr>
            <w:tr w14:paraId="5F24A5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216"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4DF33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39" w:type="pct"/>
                  <w:tcBorders>
                    <w:top w:val="single" w:color="auto" w:sz="4" w:space="0"/>
                    <w:left w:val="single" w:color="auto" w:sz="4" w:space="0"/>
                    <w:bottom w:val="single" w:color="auto" w:sz="4" w:space="0"/>
                    <w:right w:val="single" w:color="auto" w:sz="4" w:space="0"/>
                  </w:tcBorders>
                  <w:shd w:val="clear" w:color="auto" w:fill="auto"/>
                  <w:vAlign w:val="center"/>
                </w:tcPr>
                <w:p w14:paraId="2E6F5B68">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rPr>
                  </w:pPr>
                  <w:r>
                    <w:rPr>
                      <w:rFonts w:hint="default" w:ascii="Times New Roman" w:hAnsi="Times New Roman" w:cs="Times New Roman"/>
                      <w:i w:val="0"/>
                      <w:iCs w:val="0"/>
                      <w:color w:val="auto"/>
                      <w:kern w:val="0"/>
                      <w:sz w:val="21"/>
                      <w:szCs w:val="21"/>
                      <w:highlight w:val="none"/>
                      <w:u w:val="none"/>
                      <w:lang w:val="en-US" w:eastAsia="zh-CN"/>
                    </w:rPr>
                    <w:t>总磷</w:t>
                  </w:r>
                </w:p>
              </w:tc>
              <w:tc>
                <w:tcPr>
                  <w:tcW w:w="208" w:type="pct"/>
                  <w:vMerge w:val="continue"/>
                  <w:tcBorders>
                    <w:left w:val="single" w:color="auto" w:sz="4" w:space="0"/>
                    <w:bottom w:val="single" w:color="auto" w:sz="4" w:space="0"/>
                    <w:right w:val="single" w:color="auto" w:sz="4" w:space="0"/>
                  </w:tcBorders>
                  <w:shd w:val="clear" w:color="auto" w:fill="auto"/>
                  <w:vAlign w:val="center"/>
                </w:tcPr>
                <w:p w14:paraId="513F81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83" w:type="pct"/>
                  <w:vMerge w:val="continue"/>
                  <w:tcBorders>
                    <w:left w:val="single" w:color="auto" w:sz="4" w:space="0"/>
                    <w:bottom w:val="single" w:color="auto" w:sz="4" w:space="0"/>
                    <w:right w:val="single" w:color="auto" w:sz="4" w:space="0"/>
                  </w:tcBorders>
                  <w:shd w:val="clear" w:color="auto" w:fill="auto"/>
                  <w:vAlign w:val="center"/>
                </w:tcPr>
                <w:p w14:paraId="3264A0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277" w:type="dxa"/>
                  <w:tcBorders>
                    <w:top w:val="single" w:color="auto" w:sz="4" w:space="0"/>
                    <w:left w:val="single" w:color="auto" w:sz="4" w:space="0"/>
                    <w:bottom w:val="single" w:color="auto" w:sz="4" w:space="0"/>
                    <w:right w:val="single" w:color="auto" w:sz="4" w:space="0"/>
                  </w:tcBorders>
                  <w:shd w:val="clear" w:color="auto" w:fill="auto"/>
                  <w:vAlign w:val="center"/>
                </w:tcPr>
                <w:p w14:paraId="1C2305B4">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val="0"/>
                      <w:bCs w:val="0"/>
                      <w:i w:val="0"/>
                      <w:iCs w:val="0"/>
                      <w:color w:val="auto"/>
                      <w:kern w:val="0"/>
                      <w:sz w:val="22"/>
                      <w:szCs w:val="22"/>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322" w:type="dxa"/>
                  <w:tcBorders>
                    <w:top w:val="single" w:color="auto" w:sz="4" w:space="0"/>
                    <w:left w:val="single" w:color="auto" w:sz="4" w:space="0"/>
                    <w:bottom w:val="single" w:color="auto" w:sz="4" w:space="0"/>
                    <w:right w:val="single" w:color="auto" w:sz="4" w:space="0"/>
                  </w:tcBorders>
                  <w:shd w:val="clear" w:color="auto" w:fill="auto"/>
                  <w:vAlign w:val="center"/>
                </w:tcPr>
                <w:p w14:paraId="7A58D290">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val="0"/>
                      <w:bCs w:val="0"/>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0.067 </w:t>
                  </w:r>
                </w:p>
              </w:tc>
              <w:tc>
                <w:tcPr>
                  <w:tcW w:w="343" w:type="pct"/>
                  <w:vMerge w:val="continue"/>
                  <w:tcBorders>
                    <w:left w:val="single" w:color="auto" w:sz="4" w:space="0"/>
                    <w:bottom w:val="single" w:color="auto" w:sz="4" w:space="0"/>
                    <w:right w:val="single" w:color="auto" w:sz="4" w:space="0"/>
                  </w:tcBorders>
                  <w:shd w:val="clear" w:color="auto" w:fill="auto"/>
                  <w:vAlign w:val="center"/>
                </w:tcPr>
                <w:p w14:paraId="59F630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99" w:type="pct"/>
                  <w:tcBorders>
                    <w:top w:val="single" w:color="auto" w:sz="4" w:space="0"/>
                    <w:left w:val="single" w:color="auto" w:sz="4" w:space="0"/>
                    <w:bottom w:val="single" w:color="auto" w:sz="4" w:space="0"/>
                    <w:right w:val="single" w:color="auto" w:sz="4" w:space="0"/>
                  </w:tcBorders>
                  <w:shd w:val="clear" w:color="auto" w:fill="auto"/>
                  <w:vAlign w:val="center"/>
                </w:tcPr>
                <w:p w14:paraId="116ECEE3">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rPr>
                  </w:pPr>
                  <w:r>
                    <w:rPr>
                      <w:rFonts w:hint="default" w:ascii="Times New Roman" w:hAnsi="Times New Roman" w:cs="Times New Roman"/>
                      <w:i w:val="0"/>
                      <w:iCs w:val="0"/>
                      <w:color w:val="auto"/>
                      <w:kern w:val="0"/>
                      <w:sz w:val="21"/>
                      <w:szCs w:val="21"/>
                      <w:highlight w:val="none"/>
                      <w:u w:val="none"/>
                      <w:lang w:val="en-US" w:eastAsia="zh-CN"/>
                    </w:rPr>
                    <w:t>45</w:t>
                  </w:r>
                </w:p>
              </w:tc>
              <w:tc>
                <w:tcPr>
                  <w:tcW w:w="299" w:type="pct"/>
                  <w:vMerge w:val="continue"/>
                  <w:tcBorders>
                    <w:left w:val="single" w:color="auto" w:sz="4" w:space="0"/>
                    <w:bottom w:val="single" w:color="auto" w:sz="4" w:space="0"/>
                    <w:right w:val="single" w:color="auto" w:sz="4" w:space="0"/>
                  </w:tcBorders>
                  <w:shd w:val="clear" w:color="auto" w:fill="auto"/>
                  <w:vAlign w:val="center"/>
                </w:tcPr>
                <w:p w14:paraId="100345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32" w:type="pct"/>
                  <w:vMerge w:val="continue"/>
                  <w:tcBorders>
                    <w:left w:val="single" w:color="auto" w:sz="4" w:space="0"/>
                    <w:bottom w:val="single" w:color="auto" w:sz="4" w:space="0"/>
                    <w:right w:val="single" w:color="auto" w:sz="4" w:space="0"/>
                  </w:tcBorders>
                  <w:shd w:val="clear" w:color="auto" w:fill="auto"/>
                  <w:vAlign w:val="center"/>
                </w:tcPr>
                <w:p w14:paraId="5862F8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33" w:type="pct"/>
                  <w:vMerge w:val="continue"/>
                  <w:tcBorders>
                    <w:left w:val="single" w:color="auto" w:sz="4" w:space="0"/>
                    <w:bottom w:val="single" w:color="auto" w:sz="4" w:space="0"/>
                    <w:right w:val="single" w:color="auto" w:sz="4" w:space="0"/>
                  </w:tcBorders>
                  <w:shd w:val="clear" w:color="auto" w:fill="auto"/>
                  <w:vAlign w:val="center"/>
                </w:tcPr>
                <w:p w14:paraId="21AC9B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14:paraId="69BACF17">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val="0"/>
                      <w:bCs w:val="0"/>
                      <w:i w:val="0"/>
                      <w:iCs w:val="0"/>
                      <w:color w:val="auto"/>
                      <w:kern w:val="0"/>
                      <w:sz w:val="21"/>
                      <w:szCs w:val="21"/>
                      <w:highlight w:val="none"/>
                      <w:u w:val="none"/>
                      <w:lang w:val="en-US" w:eastAsia="zh-CN"/>
                    </w:rPr>
                  </w:pPr>
                  <w:r>
                    <w:rPr>
                      <w:rFonts w:hint="default" w:ascii="Times New Roman" w:hAnsi="Times New Roman" w:eastAsia="宋体" w:cs="Times New Roman"/>
                      <w:b w:val="0"/>
                      <w:bCs w:val="0"/>
                      <w:i w:val="0"/>
                      <w:iCs w:val="0"/>
                      <w:color w:val="auto"/>
                      <w:kern w:val="0"/>
                      <w:sz w:val="21"/>
                      <w:szCs w:val="21"/>
                      <w:highlight w:val="none"/>
                      <w:u w:val="none"/>
                      <w:lang w:val="en-US" w:eastAsia="zh-CN"/>
                    </w:rPr>
                    <w:t>0.</w:t>
                  </w:r>
                  <w:r>
                    <w:rPr>
                      <w:rFonts w:hint="eastAsia" w:cs="Times New Roman"/>
                      <w:b w:val="0"/>
                      <w:bCs w:val="0"/>
                      <w:i w:val="0"/>
                      <w:iCs w:val="0"/>
                      <w:color w:val="auto"/>
                      <w:kern w:val="0"/>
                      <w:sz w:val="21"/>
                      <w:szCs w:val="21"/>
                      <w:highlight w:val="none"/>
                      <w:u w:val="none"/>
                      <w:lang w:val="en-US" w:eastAsia="zh-CN"/>
                    </w:rPr>
                    <w:t>3</w:t>
                  </w: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14:paraId="55A66C9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val="0"/>
                      <w:bCs w:val="0"/>
                      <w:i w:val="0"/>
                      <w:iCs w:val="0"/>
                      <w:color w:val="auto"/>
                      <w:kern w:val="0"/>
                      <w:sz w:val="21"/>
                      <w:szCs w:val="21"/>
                      <w:highlight w:val="none"/>
                      <w:u w:val="none"/>
                      <w:lang w:val="en-US" w:eastAsia="zh-CN"/>
                    </w:rPr>
                  </w:pPr>
                  <w:r>
                    <w:rPr>
                      <w:rFonts w:hint="default" w:ascii="Times New Roman" w:hAnsi="Times New Roman" w:eastAsia="宋体" w:cs="Times New Roman"/>
                      <w:b w:val="0"/>
                      <w:bCs w:val="0"/>
                      <w:i w:val="0"/>
                      <w:iCs w:val="0"/>
                      <w:color w:val="auto"/>
                      <w:kern w:val="0"/>
                      <w:sz w:val="21"/>
                      <w:szCs w:val="21"/>
                      <w:highlight w:val="none"/>
                      <w:u w:val="none"/>
                      <w:lang w:val="en-US" w:eastAsia="zh-CN"/>
                    </w:rPr>
                    <w:t>0.00</w:t>
                  </w:r>
                  <w:r>
                    <w:rPr>
                      <w:rFonts w:hint="eastAsia" w:cs="Times New Roman"/>
                      <w:b w:val="0"/>
                      <w:bCs w:val="0"/>
                      <w:i w:val="0"/>
                      <w:iCs w:val="0"/>
                      <w:color w:val="auto"/>
                      <w:kern w:val="0"/>
                      <w:sz w:val="21"/>
                      <w:szCs w:val="21"/>
                      <w:highlight w:val="none"/>
                      <w:u w:val="none"/>
                      <w:lang w:val="en-US" w:eastAsia="zh-CN"/>
                    </w:rPr>
                    <w:t>1</w:t>
                  </w:r>
                </w:p>
              </w:tc>
              <w:tc>
                <w:tcPr>
                  <w:tcW w:w="316" w:type="pct"/>
                  <w:vMerge w:val="continue"/>
                  <w:tcBorders>
                    <w:left w:val="single" w:color="auto" w:sz="4" w:space="0"/>
                    <w:bottom w:val="single" w:color="auto" w:sz="4" w:space="0"/>
                    <w:right w:val="single" w:color="auto" w:sz="4" w:space="0"/>
                  </w:tcBorders>
                  <w:shd w:val="clear" w:color="auto" w:fill="auto"/>
                  <w:vAlign w:val="center"/>
                </w:tcPr>
                <w:p w14:paraId="51AE516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p>
              </w:tc>
            </w:tr>
          </w:tbl>
          <w:p w14:paraId="6BD39235">
            <w:pPr>
              <w:keepNext/>
              <w:keepLines/>
              <w:suppressLineNumbers w:val="0"/>
              <w:tabs>
                <w:tab w:val="left" w:pos="0"/>
              </w:tabs>
              <w:spacing w:before="0" w:beforeAutospacing="0" w:after="0" w:afterAutospacing="0"/>
              <w:ind w:left="0" w:right="0" w:firstLine="480" w:firstLineChars="200"/>
              <w:outlineLvl w:val="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2、废水收集处理情况</w:t>
            </w:r>
          </w:p>
          <w:p w14:paraId="33E2E152">
            <w:pPr>
              <w:pStyle w:val="46"/>
              <w:keepNext w:val="0"/>
              <w:keepLines w:val="0"/>
              <w:suppressLineNumbers w:val="0"/>
              <w:spacing w:before="0" w:beforeAutospacing="0" w:after="0" w:afterAutospacing="0"/>
              <w:ind w:left="0" w:right="0" w:firstLine="480" w:firstLineChars="200"/>
              <w:jc w:val="left"/>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项目生产废水经“</w:t>
            </w:r>
            <w:r>
              <w:rPr>
                <w:rFonts w:hint="default" w:ascii="Times New Roman" w:hAnsi="Times New Roman" w:cs="Times New Roman"/>
                <w:color w:val="auto"/>
                <w:highlight w:val="none"/>
                <w:lang w:eastAsia="zh-CN"/>
              </w:rPr>
              <w:t>中和</w:t>
            </w:r>
            <w:r>
              <w:rPr>
                <w:rFonts w:hint="eastAsia" w:ascii="Times New Roman" w:cs="Times New Roman"/>
                <w:color w:val="auto"/>
                <w:highlight w:val="none"/>
                <w:lang w:eastAsia="zh-CN"/>
              </w:rPr>
              <w:t>调节+絮凝沉淀+A/O+二沉池+消毒</w:t>
            </w:r>
            <w:r>
              <w:rPr>
                <w:rFonts w:hint="default" w:ascii="Times New Roman" w:hAnsi="Times New Roman" w:cs="Times New Roman"/>
                <w:color w:val="auto"/>
                <w:highlight w:val="none"/>
              </w:rPr>
              <w:t>”处理</w:t>
            </w:r>
            <w:r>
              <w:rPr>
                <w:rFonts w:hint="default" w:ascii="Times New Roman" w:hAnsi="Times New Roman" w:cs="Times New Roman"/>
                <w:color w:val="auto"/>
                <w:highlight w:val="none"/>
                <w:lang w:val="en-US" w:eastAsia="zh-CN"/>
              </w:rPr>
              <w:t>，生活污水经“三级化粪池、隔油隔渣池”处理，两股外排废水处理达到广东省地方标准《水污染物排放限值》（DB44/26-2001）第二时段三级标准及园区污水处理厂接管水质要求两者较严值要求后，</w:t>
            </w:r>
            <w:r>
              <w:rPr>
                <w:rFonts w:hint="default" w:ascii="Times New Roman" w:hAnsi="Times New Roman" w:cs="Times New Roman"/>
                <w:color w:val="auto"/>
                <w:highlight w:val="none"/>
              </w:rPr>
              <w:t>排入园区污水处理厂处理，园区污水处理厂处理后达到广东省《</w:t>
            </w:r>
            <w:r>
              <w:rPr>
                <w:rFonts w:hint="default" w:ascii="Times New Roman" w:hAnsi="Times New Roman" w:cs="Times New Roman"/>
                <w:color w:val="auto"/>
                <w:highlight w:val="none"/>
                <w:lang w:eastAsia="zh-CN"/>
              </w:rPr>
              <w:t>水污染物排放限值</w:t>
            </w:r>
            <w:r>
              <w:rPr>
                <w:rFonts w:hint="default" w:ascii="Times New Roman" w:hAnsi="Times New Roman" w:cs="Times New Roman"/>
                <w:color w:val="auto"/>
                <w:highlight w:val="none"/>
              </w:rPr>
              <w:t>》（DB44/26-2001）第二时段一级标准和《城镇污水处理厂污染物排放标准》（GB18919-2002）一级B标准中严者后</w:t>
            </w:r>
            <w:r>
              <w:rPr>
                <w:rFonts w:hint="default" w:ascii="Times New Roman" w:hAnsi="Times New Roman" w:cs="Times New Roman"/>
                <w:color w:val="auto"/>
                <w:highlight w:val="none"/>
                <w:lang w:eastAsia="zh-CN"/>
              </w:rPr>
              <w:t>排</w:t>
            </w:r>
            <w:r>
              <w:rPr>
                <w:rFonts w:hint="default" w:ascii="Times New Roman" w:hAnsi="Times New Roman" w:cs="Times New Roman"/>
                <w:color w:val="auto"/>
                <w:highlight w:val="none"/>
              </w:rPr>
              <w:t>入武江。</w:t>
            </w:r>
            <w:r>
              <w:rPr>
                <w:rFonts w:hint="default" w:ascii="Times New Roman" w:hAnsi="Times New Roman" w:cs="Times New Roman"/>
                <w:color w:val="auto"/>
                <w:highlight w:val="none"/>
                <w:lang w:val="en-US" w:eastAsia="zh-CN"/>
              </w:rPr>
              <w:t>生产废水回用水水质执行《城市污水再生利用 工业用水水质》《GB/T19923-2024》要求。</w:t>
            </w:r>
          </w:p>
          <w:p w14:paraId="5C33B84D">
            <w:pPr>
              <w:keepNext/>
              <w:keepLines/>
              <w:suppressLineNumbers w:val="0"/>
              <w:tabs>
                <w:tab w:val="left" w:pos="0"/>
              </w:tabs>
              <w:spacing w:before="0" w:beforeAutospacing="0" w:after="0" w:afterAutospacing="0"/>
              <w:ind w:left="0" w:right="0" w:firstLine="480" w:firstLineChars="200"/>
              <w:outlineLvl w:val="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3、排放口基本情况</w:t>
            </w:r>
          </w:p>
          <w:p w14:paraId="62827E06">
            <w:pPr>
              <w:keepNext w:val="0"/>
              <w:keepLines w:val="0"/>
              <w:suppressLineNumbers w:val="0"/>
              <w:spacing w:before="0" w:beforeAutospacing="0" w:after="0" w:afterAutospacing="0"/>
              <w:ind w:left="0" w:right="0"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营运期排放的废水主要为</w:t>
            </w:r>
            <w:r>
              <w:rPr>
                <w:rFonts w:hint="default" w:ascii="Times New Roman" w:hAnsi="Times New Roman" w:cs="Times New Roman"/>
                <w:color w:val="auto"/>
                <w:highlight w:val="none"/>
                <w:lang w:val="en-US" w:eastAsia="zh-CN"/>
              </w:rPr>
              <w:t>生产废水2970t/a、</w:t>
            </w:r>
            <w:r>
              <w:rPr>
                <w:rFonts w:hint="default" w:ascii="Times New Roman" w:hAnsi="Times New Roman" w:cs="Times New Roman"/>
                <w:color w:val="auto"/>
                <w:highlight w:val="none"/>
              </w:rPr>
              <w:t>生活污水</w:t>
            </w:r>
            <w:r>
              <w:rPr>
                <w:rFonts w:hint="default" w:ascii="Times New Roman" w:hAnsi="Times New Roman" w:cs="Times New Roman"/>
                <w:color w:val="auto"/>
                <w:highlight w:val="none"/>
                <w:lang w:val="en-US" w:eastAsia="zh-CN"/>
              </w:rPr>
              <w:t>3420</w:t>
            </w:r>
            <w:r>
              <w:rPr>
                <w:rFonts w:hint="default" w:ascii="Times New Roman" w:hAnsi="Times New Roman" w:cs="Times New Roman"/>
                <w:color w:val="auto"/>
                <w:highlight w:val="none"/>
              </w:rPr>
              <w:t>t/a</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排放</w:t>
            </w:r>
            <w:r>
              <w:rPr>
                <w:rFonts w:hint="default" w:ascii="Times New Roman" w:hAnsi="Times New Roman" w:cs="Times New Roman"/>
                <w:color w:val="auto"/>
                <w:highlight w:val="none"/>
              </w:rPr>
              <w:t>量</w:t>
            </w:r>
            <w:r>
              <w:rPr>
                <w:rFonts w:hint="default" w:ascii="Times New Roman" w:hAnsi="Times New Roman" w:cs="Times New Roman"/>
                <w:color w:val="auto"/>
                <w:highlight w:val="none"/>
                <w:lang w:val="en-US" w:eastAsia="zh-CN"/>
              </w:rPr>
              <w:t>合计</w:t>
            </w:r>
            <w:r>
              <w:rPr>
                <w:rFonts w:hint="default" w:ascii="Times New Roman" w:hAnsi="Times New Roman" w:cs="Times New Roman"/>
                <w:color w:val="auto"/>
                <w:highlight w:val="none"/>
              </w:rPr>
              <w:t>为</w:t>
            </w:r>
            <w:r>
              <w:rPr>
                <w:rFonts w:hint="default" w:ascii="Times New Roman" w:hAnsi="Times New Roman" w:cs="Times New Roman"/>
                <w:color w:val="auto"/>
                <w:highlight w:val="none"/>
                <w:lang w:val="en-US" w:eastAsia="zh-CN"/>
              </w:rPr>
              <w:t>6390t/a</w:t>
            </w:r>
            <w:r>
              <w:rPr>
                <w:rFonts w:hint="default" w:ascii="Times New Roman" w:hAnsi="Times New Roman" w:cs="Times New Roman"/>
                <w:color w:val="auto"/>
                <w:highlight w:val="none"/>
              </w:rPr>
              <w:t>，主要污染物为COD</w:t>
            </w:r>
            <w:r>
              <w:rPr>
                <w:rFonts w:hint="default" w:ascii="Times New Roman" w:hAnsi="Times New Roman" w:cs="Times New Roman"/>
                <w:color w:val="auto"/>
                <w:highlight w:val="none"/>
                <w:vertAlign w:val="subscript"/>
              </w:rPr>
              <w:t>Cr</w:t>
            </w:r>
            <w:r>
              <w:rPr>
                <w:rFonts w:hint="default" w:ascii="Times New Roman" w:hAnsi="Times New Roman" w:cs="Times New Roman"/>
                <w:color w:val="auto"/>
                <w:highlight w:val="none"/>
              </w:rPr>
              <w:t>、BOD</w:t>
            </w:r>
            <w:r>
              <w:rPr>
                <w:rFonts w:hint="default" w:ascii="Times New Roman" w:hAnsi="Times New Roman" w:cs="Times New Roman"/>
                <w:color w:val="auto"/>
                <w:highlight w:val="none"/>
                <w:vertAlign w:val="subscript"/>
              </w:rPr>
              <w:t>5</w:t>
            </w:r>
            <w:r>
              <w:rPr>
                <w:rFonts w:hint="default" w:ascii="Times New Roman" w:hAnsi="Times New Roman" w:cs="Times New Roman"/>
                <w:color w:val="auto"/>
                <w:highlight w:val="none"/>
              </w:rPr>
              <w:t>、SS、氨氮</w:t>
            </w:r>
            <w:r>
              <w:rPr>
                <w:rFonts w:hint="default" w:ascii="Times New Roman" w:hAnsi="Times New Roman" w:cs="Times New Roman"/>
                <w:color w:val="auto"/>
                <w:highlight w:val="none"/>
                <w:lang w:val="en-US" w:eastAsia="zh-CN"/>
              </w:rPr>
              <w:t>等。</w:t>
            </w:r>
            <w:r>
              <w:rPr>
                <w:rFonts w:hint="default" w:ascii="Times New Roman" w:hAnsi="Times New Roman" w:cs="Times New Roman"/>
                <w:color w:val="auto"/>
                <w:highlight w:val="none"/>
              </w:rPr>
              <w:t>本项目生产废水经自建污水处理站处理</w:t>
            </w:r>
            <w:r>
              <w:rPr>
                <w:rFonts w:hint="default" w:ascii="Times New Roman" w:hAnsi="Times New Roman" w:cs="Times New Roman"/>
                <w:color w:val="auto"/>
                <w:highlight w:val="none"/>
                <w:lang w:val="en-US" w:eastAsia="zh-CN"/>
              </w:rPr>
              <w:t>达标后部分回用于生产，部分外排。</w:t>
            </w:r>
            <w:r>
              <w:rPr>
                <w:rFonts w:hint="default" w:ascii="Times New Roman" w:hAnsi="Times New Roman" w:cs="Times New Roman"/>
                <w:color w:val="auto"/>
                <w:highlight w:val="none"/>
              </w:rPr>
              <w:t>生活污水经三级化粪池</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隔油隔渣池</w:t>
            </w:r>
            <w:r>
              <w:rPr>
                <w:rFonts w:hint="default" w:ascii="Times New Roman" w:hAnsi="Times New Roman" w:cs="Times New Roman"/>
                <w:color w:val="auto"/>
                <w:highlight w:val="none"/>
              </w:rPr>
              <w:t>处理</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两股外排废水</w:t>
            </w:r>
            <w:r>
              <w:rPr>
                <w:rFonts w:hint="default" w:ascii="Times New Roman" w:hAnsi="Times New Roman" w:cs="Times New Roman"/>
                <w:color w:val="auto"/>
                <w:highlight w:val="none"/>
              </w:rPr>
              <w:t>排入园区污水处理</w:t>
            </w:r>
            <w:r>
              <w:rPr>
                <w:rFonts w:hint="default" w:ascii="Times New Roman" w:hAnsi="Times New Roman" w:cs="Times New Roman"/>
                <w:color w:val="auto"/>
                <w:highlight w:val="none"/>
                <w:lang w:eastAsia="zh-CN"/>
              </w:rPr>
              <w:t>厂</w:t>
            </w:r>
            <w:r>
              <w:rPr>
                <w:rFonts w:hint="default" w:ascii="Times New Roman" w:hAnsi="Times New Roman" w:cs="Times New Roman"/>
                <w:color w:val="auto"/>
                <w:highlight w:val="none"/>
              </w:rPr>
              <w:t>进一步处理后排放，不新增污水排放口，属于一般排放口。</w:t>
            </w:r>
          </w:p>
          <w:p w14:paraId="25B3D954">
            <w:pPr>
              <w:pStyle w:val="20"/>
              <w:keepNext w:val="0"/>
              <w:keepLines w:val="0"/>
              <w:numPr>
                <w:ilvl w:val="0"/>
                <w:numId w:val="0"/>
              </w:numPr>
              <w:suppressLineNumbers w:val="0"/>
              <w:tabs>
                <w:tab w:val="left" w:pos="0"/>
              </w:tabs>
              <w:spacing w:before="0" w:beforeAutospacing="0" w:after="0" w:afterAutospacing="0" w:line="240" w:lineRule="auto"/>
              <w:ind w:left="0" w:leftChars="0" w:right="0" w:rightChars="0" w:firstLine="40" w:firstLineChars="0"/>
              <w:rPr>
                <w:rFonts w:hint="default" w:ascii="Times New Roman" w:hAnsi="Times New Roman" w:cs="Times New Roman"/>
                <w:color w:val="auto"/>
                <w:highlight w:val="none"/>
              </w:rPr>
            </w:pPr>
            <w:r>
              <w:rPr>
                <w:rFonts w:hint="default" w:ascii="Times New Roman" w:hAnsi="Times New Roman" w:eastAsia="宋体" w:cs="Times New Roman"/>
                <w:b/>
                <w:bCs/>
                <w:color w:val="auto"/>
                <w:kern w:val="2"/>
                <w:sz w:val="21"/>
                <w:szCs w:val="21"/>
                <w:highlight w:val="none"/>
                <w:lang w:val="en-US" w:eastAsia="zh-CN" w:bidi="ar-SA"/>
              </w:rPr>
              <w:t>表4-</w:t>
            </w:r>
            <w:r>
              <w:rPr>
                <w:rFonts w:hint="default" w:ascii="Times New Roman" w:hAnsi="Times New Roman" w:cs="Times New Roman"/>
                <w:b/>
                <w:bCs/>
                <w:color w:val="auto"/>
                <w:kern w:val="2"/>
                <w:sz w:val="21"/>
                <w:szCs w:val="21"/>
                <w:highlight w:val="none"/>
                <w:lang w:val="en-US" w:eastAsia="zh-CN" w:bidi="ar-SA"/>
              </w:rPr>
              <w:t xml:space="preserve">16 </w:t>
            </w:r>
            <w:r>
              <w:rPr>
                <w:rFonts w:hint="default" w:ascii="Times New Roman" w:hAnsi="Times New Roman" w:cs="Times New Roman"/>
                <w:color w:val="auto"/>
                <w:highlight w:val="none"/>
              </w:rPr>
              <w:t>项目废水排放口基本情况表</w:t>
            </w:r>
          </w:p>
          <w:tbl>
            <w:tblPr>
              <w:tblStyle w:val="4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03"/>
              <w:gridCol w:w="868"/>
              <w:gridCol w:w="1055"/>
              <w:gridCol w:w="955"/>
              <w:gridCol w:w="969"/>
              <w:gridCol w:w="1190"/>
              <w:gridCol w:w="1627"/>
              <w:gridCol w:w="904"/>
              <w:gridCol w:w="807"/>
              <w:gridCol w:w="1743"/>
              <w:gridCol w:w="2568"/>
            </w:tblGrid>
            <w:tr w14:paraId="20CDB9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9" w:hRule="atLeast"/>
                <w:jc w:val="center"/>
              </w:trPr>
              <w:tc>
                <w:tcPr>
                  <w:tcW w:w="298" w:type="pct"/>
                  <w:vMerge w:val="restart"/>
                  <w:vAlign w:val="center"/>
                </w:tcPr>
                <w:p w14:paraId="5292130C">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排放口编号</w:t>
                  </w:r>
                </w:p>
              </w:tc>
              <w:tc>
                <w:tcPr>
                  <w:tcW w:w="322" w:type="pct"/>
                  <w:vMerge w:val="restart"/>
                  <w:vAlign w:val="center"/>
                </w:tcPr>
                <w:p w14:paraId="4096FA8B">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排放口名称</w:t>
                  </w:r>
                </w:p>
              </w:tc>
              <w:tc>
                <w:tcPr>
                  <w:tcW w:w="745" w:type="pct"/>
                  <w:gridSpan w:val="2"/>
                  <w:vAlign w:val="center"/>
                </w:tcPr>
                <w:p w14:paraId="27588159">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排放口坐标</w:t>
                  </w:r>
                </w:p>
              </w:tc>
              <w:tc>
                <w:tcPr>
                  <w:tcW w:w="359" w:type="pct"/>
                  <w:vMerge w:val="restart"/>
                  <w:vAlign w:val="center"/>
                </w:tcPr>
                <w:p w14:paraId="297FA320">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废水排放量/（万t/a）</w:t>
                  </w:r>
                </w:p>
              </w:tc>
              <w:tc>
                <w:tcPr>
                  <w:tcW w:w="441" w:type="pct"/>
                  <w:vMerge w:val="restart"/>
                  <w:vAlign w:val="center"/>
                </w:tcPr>
                <w:p w14:paraId="18105DA9">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排放去向</w:t>
                  </w:r>
                </w:p>
              </w:tc>
              <w:tc>
                <w:tcPr>
                  <w:tcW w:w="603" w:type="pct"/>
                  <w:vMerge w:val="restart"/>
                  <w:vAlign w:val="center"/>
                </w:tcPr>
                <w:p w14:paraId="344218DD">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排放规律</w:t>
                  </w:r>
                </w:p>
              </w:tc>
              <w:tc>
                <w:tcPr>
                  <w:tcW w:w="335" w:type="pct"/>
                  <w:vMerge w:val="restart"/>
                  <w:vAlign w:val="center"/>
                </w:tcPr>
                <w:p w14:paraId="08B4F242">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排放口类型</w:t>
                  </w:r>
                </w:p>
              </w:tc>
              <w:tc>
                <w:tcPr>
                  <w:tcW w:w="1895" w:type="pct"/>
                  <w:gridSpan w:val="3"/>
                  <w:vAlign w:val="center"/>
                </w:tcPr>
                <w:p w14:paraId="6E29BB0E">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受纳污水处理厂信息</w:t>
                  </w:r>
                </w:p>
              </w:tc>
            </w:tr>
            <w:tr w14:paraId="6F1B9D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9" w:hRule="atLeast"/>
                <w:jc w:val="center"/>
              </w:trPr>
              <w:tc>
                <w:tcPr>
                  <w:tcW w:w="298" w:type="pct"/>
                  <w:vMerge w:val="continue"/>
                  <w:vAlign w:val="center"/>
                </w:tcPr>
                <w:p w14:paraId="1FC242AE">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p>
              </w:tc>
              <w:tc>
                <w:tcPr>
                  <w:tcW w:w="322" w:type="pct"/>
                  <w:vMerge w:val="continue"/>
                  <w:vAlign w:val="center"/>
                </w:tcPr>
                <w:p w14:paraId="7A7DE129">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p>
              </w:tc>
              <w:tc>
                <w:tcPr>
                  <w:tcW w:w="391" w:type="pct"/>
                  <w:vAlign w:val="center"/>
                </w:tcPr>
                <w:p w14:paraId="23C3E9DE">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X</w:t>
                  </w:r>
                </w:p>
              </w:tc>
              <w:tc>
                <w:tcPr>
                  <w:tcW w:w="353" w:type="pct"/>
                  <w:vAlign w:val="center"/>
                </w:tcPr>
                <w:p w14:paraId="1C54A3E7">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Y</w:t>
                  </w:r>
                </w:p>
              </w:tc>
              <w:tc>
                <w:tcPr>
                  <w:tcW w:w="359" w:type="pct"/>
                  <w:vMerge w:val="continue"/>
                  <w:vAlign w:val="center"/>
                </w:tcPr>
                <w:p w14:paraId="3D980BBC">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p>
              </w:tc>
              <w:tc>
                <w:tcPr>
                  <w:tcW w:w="441" w:type="pct"/>
                  <w:vMerge w:val="continue"/>
                  <w:vAlign w:val="center"/>
                </w:tcPr>
                <w:p w14:paraId="0B32780F">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p>
              </w:tc>
              <w:tc>
                <w:tcPr>
                  <w:tcW w:w="603" w:type="pct"/>
                  <w:vMerge w:val="continue"/>
                  <w:vAlign w:val="center"/>
                </w:tcPr>
                <w:p w14:paraId="2DADAE2A">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p>
              </w:tc>
              <w:tc>
                <w:tcPr>
                  <w:tcW w:w="335" w:type="pct"/>
                  <w:vMerge w:val="continue"/>
                  <w:vAlign w:val="center"/>
                </w:tcPr>
                <w:p w14:paraId="7D6F2B11">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p>
              </w:tc>
              <w:tc>
                <w:tcPr>
                  <w:tcW w:w="299" w:type="pct"/>
                  <w:vAlign w:val="center"/>
                </w:tcPr>
                <w:p w14:paraId="173B122E">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名称</w:t>
                  </w:r>
                </w:p>
              </w:tc>
              <w:tc>
                <w:tcPr>
                  <w:tcW w:w="646" w:type="pct"/>
                  <w:vAlign w:val="center"/>
                </w:tcPr>
                <w:p w14:paraId="470ED491">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污染物种类</w:t>
                  </w:r>
                </w:p>
              </w:tc>
              <w:tc>
                <w:tcPr>
                  <w:tcW w:w="950" w:type="pct"/>
                  <w:vAlign w:val="center"/>
                </w:tcPr>
                <w:p w14:paraId="634F1535">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国家或地方污染物排放标准浓度限值/(mg/L)</w:t>
                  </w:r>
                </w:p>
              </w:tc>
            </w:tr>
            <w:tr w14:paraId="1CB0C1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9" w:hRule="atLeast"/>
                <w:jc w:val="center"/>
              </w:trPr>
              <w:tc>
                <w:tcPr>
                  <w:tcW w:w="298" w:type="pct"/>
                  <w:vMerge w:val="restart"/>
                  <w:vAlign w:val="center"/>
                </w:tcPr>
                <w:p w14:paraId="20BA7CF2">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DW0</w:t>
                  </w:r>
                  <w:r>
                    <w:rPr>
                      <w:rFonts w:hint="default" w:ascii="Times New Roman" w:hAnsi="Times New Roman" w:cs="Times New Roman"/>
                      <w:color w:val="auto"/>
                      <w:kern w:val="2"/>
                      <w:sz w:val="21"/>
                      <w:szCs w:val="21"/>
                      <w:highlight w:val="none"/>
                      <w:lang w:val="en-US" w:eastAsia="zh-CN"/>
                    </w:rPr>
                    <w:t>0</w:t>
                  </w:r>
                  <w:r>
                    <w:rPr>
                      <w:rFonts w:hint="default" w:ascii="Times New Roman" w:hAnsi="Times New Roman" w:cs="Times New Roman"/>
                      <w:color w:val="auto"/>
                      <w:kern w:val="2"/>
                      <w:sz w:val="21"/>
                      <w:szCs w:val="21"/>
                      <w:highlight w:val="none"/>
                    </w:rPr>
                    <w:t>1</w:t>
                  </w:r>
                </w:p>
              </w:tc>
              <w:tc>
                <w:tcPr>
                  <w:tcW w:w="322" w:type="pct"/>
                  <w:vMerge w:val="restart"/>
                  <w:vAlign w:val="center"/>
                </w:tcPr>
                <w:p w14:paraId="11D81495">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综合废水排放口</w:t>
                  </w:r>
                </w:p>
              </w:tc>
              <w:tc>
                <w:tcPr>
                  <w:tcW w:w="391" w:type="pct"/>
                  <w:vMerge w:val="restart"/>
                  <w:vAlign w:val="center"/>
                </w:tcPr>
                <w:p w14:paraId="31EA6B56">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w:t>
                  </w:r>
                </w:p>
              </w:tc>
              <w:tc>
                <w:tcPr>
                  <w:tcW w:w="353" w:type="pct"/>
                  <w:vMerge w:val="restart"/>
                  <w:vAlign w:val="center"/>
                </w:tcPr>
                <w:p w14:paraId="0B205B1D">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w:t>
                  </w:r>
                </w:p>
              </w:tc>
              <w:tc>
                <w:tcPr>
                  <w:tcW w:w="359" w:type="pct"/>
                  <w:vMerge w:val="restart"/>
                  <w:shd w:val="clear" w:color="auto" w:fill="auto"/>
                  <w:vAlign w:val="center"/>
                </w:tcPr>
                <w:p w14:paraId="13ABEC4D">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kern w:val="0"/>
                      <w:sz w:val="21"/>
                      <w:szCs w:val="21"/>
                      <w:highlight w:val="none"/>
                      <w:u w:val="none"/>
                      <w:lang w:val="en-US" w:eastAsia="zh-CN"/>
                    </w:rPr>
                    <w:t>0.6</w:t>
                  </w:r>
                  <w:r>
                    <w:rPr>
                      <w:rFonts w:hint="eastAsia" w:cs="Times New Roman"/>
                      <w:i w:val="0"/>
                      <w:iCs w:val="0"/>
                      <w:color w:val="auto"/>
                      <w:kern w:val="0"/>
                      <w:sz w:val="21"/>
                      <w:szCs w:val="21"/>
                      <w:highlight w:val="none"/>
                      <w:u w:val="none"/>
                      <w:lang w:val="en-US" w:eastAsia="zh-CN"/>
                    </w:rPr>
                    <w:t>4</w:t>
                  </w:r>
                </w:p>
              </w:tc>
              <w:tc>
                <w:tcPr>
                  <w:tcW w:w="441" w:type="pct"/>
                  <w:vMerge w:val="restart"/>
                  <w:vAlign w:val="center"/>
                </w:tcPr>
                <w:p w14:paraId="575F1F0C">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集中式工业污水处理厂</w:t>
                  </w:r>
                </w:p>
                <w:p w14:paraId="53DD9D3E">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603" w:type="pct"/>
                  <w:vMerge w:val="restart"/>
                  <w:vAlign w:val="center"/>
                </w:tcPr>
                <w:p w14:paraId="7ACEEDDC">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间歇排放，流量不稳定，但不属于冲击型排放</w:t>
                  </w:r>
                </w:p>
              </w:tc>
              <w:tc>
                <w:tcPr>
                  <w:tcW w:w="335" w:type="pct"/>
                  <w:vMerge w:val="restart"/>
                  <w:vAlign w:val="center"/>
                </w:tcPr>
                <w:p w14:paraId="1ED29F1F">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一般排放口</w:t>
                  </w:r>
                </w:p>
              </w:tc>
              <w:tc>
                <w:tcPr>
                  <w:tcW w:w="299" w:type="pct"/>
                  <w:vMerge w:val="restart"/>
                  <w:vAlign w:val="center"/>
                </w:tcPr>
                <w:p w14:paraId="0FD7CAD7">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r>
                    <w:rPr>
                      <w:rFonts w:hint="default" w:ascii="Times New Roman" w:hAnsi="Times New Roman" w:cs="Times New Roman"/>
                      <w:b w:val="0"/>
                      <w:bCs w:val="0"/>
                      <w:color w:val="auto"/>
                      <w:kern w:val="2"/>
                      <w:sz w:val="21"/>
                      <w:szCs w:val="21"/>
                      <w:highlight w:val="none"/>
                    </w:rPr>
                    <w:t>园区污水处理厂</w:t>
                  </w:r>
                </w:p>
              </w:tc>
              <w:tc>
                <w:tcPr>
                  <w:tcW w:w="646" w:type="pct"/>
                  <w:vAlign w:val="center"/>
                </w:tcPr>
                <w:p w14:paraId="15F261AD">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r>
                    <w:rPr>
                      <w:rFonts w:hint="default" w:ascii="Times New Roman" w:hAnsi="Times New Roman" w:cs="Times New Roman"/>
                      <w:b w:val="0"/>
                      <w:bCs w:val="0"/>
                      <w:color w:val="auto"/>
                      <w:kern w:val="2"/>
                      <w:sz w:val="21"/>
                      <w:szCs w:val="21"/>
                      <w:highlight w:val="none"/>
                    </w:rPr>
                    <w:t>pH</w:t>
                  </w:r>
                </w:p>
              </w:tc>
              <w:tc>
                <w:tcPr>
                  <w:tcW w:w="950" w:type="pct"/>
                  <w:vAlign w:val="center"/>
                </w:tcPr>
                <w:p w14:paraId="0EEB8788">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6~9</w:t>
                  </w:r>
                </w:p>
              </w:tc>
            </w:tr>
            <w:tr w14:paraId="5C3C97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9" w:hRule="atLeast"/>
                <w:jc w:val="center"/>
              </w:trPr>
              <w:tc>
                <w:tcPr>
                  <w:tcW w:w="298" w:type="pct"/>
                  <w:vMerge w:val="continue"/>
                  <w:vAlign w:val="center"/>
                </w:tcPr>
                <w:p w14:paraId="06CECED7">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22" w:type="pct"/>
                  <w:vMerge w:val="continue"/>
                  <w:vAlign w:val="center"/>
                </w:tcPr>
                <w:p w14:paraId="2F3F04D1">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91" w:type="pct"/>
                  <w:vMerge w:val="continue"/>
                  <w:vAlign w:val="center"/>
                </w:tcPr>
                <w:p w14:paraId="4AE44A3C">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53" w:type="pct"/>
                  <w:vMerge w:val="continue"/>
                  <w:vAlign w:val="center"/>
                </w:tcPr>
                <w:p w14:paraId="162B4D6B">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59" w:type="pct"/>
                  <w:vMerge w:val="continue"/>
                  <w:vAlign w:val="center"/>
                </w:tcPr>
                <w:p w14:paraId="1E300B99">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441" w:type="pct"/>
                  <w:vMerge w:val="continue"/>
                  <w:vAlign w:val="center"/>
                </w:tcPr>
                <w:p w14:paraId="6EC800C5">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603" w:type="pct"/>
                  <w:vMerge w:val="continue"/>
                  <w:vAlign w:val="center"/>
                </w:tcPr>
                <w:p w14:paraId="6A1C542C">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35" w:type="pct"/>
                  <w:vMerge w:val="continue"/>
                  <w:vAlign w:val="center"/>
                </w:tcPr>
                <w:p w14:paraId="6A2077B0">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299" w:type="pct"/>
                  <w:vMerge w:val="continue"/>
                  <w:vAlign w:val="center"/>
                </w:tcPr>
                <w:p w14:paraId="43A03334">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646" w:type="pct"/>
                  <w:vAlign w:val="center"/>
                </w:tcPr>
                <w:p w14:paraId="78733F66">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r>
                    <w:rPr>
                      <w:rFonts w:hint="default" w:ascii="Times New Roman" w:hAnsi="Times New Roman" w:cs="Times New Roman"/>
                      <w:b w:val="0"/>
                      <w:bCs w:val="0"/>
                      <w:color w:val="auto"/>
                      <w:kern w:val="2"/>
                      <w:sz w:val="21"/>
                      <w:szCs w:val="21"/>
                      <w:highlight w:val="none"/>
                    </w:rPr>
                    <w:t>COD</w:t>
                  </w:r>
                  <w:r>
                    <w:rPr>
                      <w:rFonts w:hint="default" w:ascii="Times New Roman" w:hAnsi="Times New Roman" w:cs="Times New Roman"/>
                      <w:b w:val="0"/>
                      <w:bCs w:val="0"/>
                      <w:color w:val="auto"/>
                      <w:kern w:val="2"/>
                      <w:sz w:val="21"/>
                      <w:szCs w:val="21"/>
                      <w:highlight w:val="none"/>
                      <w:vertAlign w:val="subscript"/>
                    </w:rPr>
                    <w:t>Cr</w:t>
                  </w:r>
                </w:p>
              </w:tc>
              <w:tc>
                <w:tcPr>
                  <w:tcW w:w="950" w:type="pct"/>
                  <w:vAlign w:val="center"/>
                </w:tcPr>
                <w:p w14:paraId="0ED53654">
                  <w:pPr>
                    <w:keepNext w:val="0"/>
                    <w:keepLines w:val="0"/>
                    <w:pageBreakBefore w:val="0"/>
                    <w:suppressLineNumbers w:val="0"/>
                    <w:kinsoku/>
                    <w:overflowPunct/>
                    <w:topLinePunct w:val="0"/>
                    <w:bidi w:val="0"/>
                    <w:adjustRightInd/>
                    <w:snapToGrid w:val="0"/>
                    <w:spacing w:before="0" w:beforeAutospacing="0" w:after="0" w:afterAutospacing="0" w:line="276"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bCs/>
                      <w:color w:val="auto"/>
                      <w:sz w:val="21"/>
                      <w:szCs w:val="21"/>
                      <w:highlight w:val="none"/>
                    </w:rPr>
                    <w:t>3</w:t>
                  </w:r>
                  <w:r>
                    <w:rPr>
                      <w:rFonts w:hint="default" w:ascii="Times New Roman" w:hAnsi="Times New Roman" w:cs="Times New Roman"/>
                      <w:bCs/>
                      <w:color w:val="auto"/>
                      <w:sz w:val="21"/>
                      <w:szCs w:val="21"/>
                      <w:highlight w:val="none"/>
                      <w:lang w:val="en-US" w:eastAsia="zh-CN"/>
                    </w:rPr>
                    <w:t>00</w:t>
                  </w:r>
                </w:p>
              </w:tc>
            </w:tr>
            <w:tr w14:paraId="20F62B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9" w:hRule="atLeast"/>
                <w:jc w:val="center"/>
              </w:trPr>
              <w:tc>
                <w:tcPr>
                  <w:tcW w:w="298" w:type="pct"/>
                  <w:vMerge w:val="continue"/>
                  <w:vAlign w:val="center"/>
                </w:tcPr>
                <w:p w14:paraId="1C68DF34">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22" w:type="pct"/>
                  <w:vMerge w:val="continue"/>
                  <w:vAlign w:val="center"/>
                </w:tcPr>
                <w:p w14:paraId="03B2510F">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91" w:type="pct"/>
                  <w:vMerge w:val="continue"/>
                  <w:vAlign w:val="center"/>
                </w:tcPr>
                <w:p w14:paraId="22EDE047">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53" w:type="pct"/>
                  <w:vMerge w:val="continue"/>
                  <w:vAlign w:val="center"/>
                </w:tcPr>
                <w:p w14:paraId="3A2FABC0">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59" w:type="pct"/>
                  <w:vMerge w:val="continue"/>
                  <w:vAlign w:val="center"/>
                </w:tcPr>
                <w:p w14:paraId="385F7130">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441" w:type="pct"/>
                  <w:vMerge w:val="continue"/>
                  <w:vAlign w:val="center"/>
                </w:tcPr>
                <w:p w14:paraId="401B67A6">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603" w:type="pct"/>
                  <w:vMerge w:val="continue"/>
                  <w:vAlign w:val="center"/>
                </w:tcPr>
                <w:p w14:paraId="7A039100">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35" w:type="pct"/>
                  <w:vMerge w:val="continue"/>
                  <w:vAlign w:val="center"/>
                </w:tcPr>
                <w:p w14:paraId="5FCBA627">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299" w:type="pct"/>
                  <w:vMerge w:val="continue"/>
                  <w:vAlign w:val="center"/>
                </w:tcPr>
                <w:p w14:paraId="63F4206C">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646" w:type="pct"/>
                  <w:vAlign w:val="center"/>
                </w:tcPr>
                <w:p w14:paraId="5B97C883">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r>
                    <w:rPr>
                      <w:rFonts w:hint="default" w:ascii="Times New Roman" w:hAnsi="Times New Roman" w:cs="Times New Roman"/>
                      <w:b w:val="0"/>
                      <w:bCs w:val="0"/>
                      <w:color w:val="auto"/>
                      <w:kern w:val="2"/>
                      <w:sz w:val="21"/>
                      <w:szCs w:val="21"/>
                      <w:highlight w:val="none"/>
                    </w:rPr>
                    <w:t>BOD</w:t>
                  </w:r>
                  <w:r>
                    <w:rPr>
                      <w:rFonts w:hint="default" w:ascii="Times New Roman" w:hAnsi="Times New Roman" w:cs="Times New Roman"/>
                      <w:b w:val="0"/>
                      <w:bCs w:val="0"/>
                      <w:color w:val="auto"/>
                      <w:kern w:val="2"/>
                      <w:sz w:val="21"/>
                      <w:szCs w:val="21"/>
                      <w:highlight w:val="none"/>
                      <w:vertAlign w:val="subscript"/>
                    </w:rPr>
                    <w:t>5</w:t>
                  </w:r>
                </w:p>
              </w:tc>
              <w:tc>
                <w:tcPr>
                  <w:tcW w:w="950" w:type="pct"/>
                  <w:vAlign w:val="center"/>
                </w:tcPr>
                <w:p w14:paraId="05345932">
                  <w:pPr>
                    <w:keepNext w:val="0"/>
                    <w:keepLines w:val="0"/>
                    <w:pageBreakBefore w:val="0"/>
                    <w:suppressLineNumbers w:val="0"/>
                    <w:kinsoku/>
                    <w:overflowPunct/>
                    <w:topLinePunct w:val="0"/>
                    <w:bidi w:val="0"/>
                    <w:adjustRightInd/>
                    <w:snapToGrid w:val="0"/>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150</w:t>
                  </w:r>
                </w:p>
              </w:tc>
            </w:tr>
            <w:tr w14:paraId="0CEC8A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9" w:hRule="atLeast"/>
                <w:jc w:val="center"/>
              </w:trPr>
              <w:tc>
                <w:tcPr>
                  <w:tcW w:w="298" w:type="pct"/>
                  <w:vMerge w:val="continue"/>
                  <w:vAlign w:val="center"/>
                </w:tcPr>
                <w:p w14:paraId="1B686600">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22" w:type="pct"/>
                  <w:vMerge w:val="continue"/>
                  <w:vAlign w:val="center"/>
                </w:tcPr>
                <w:p w14:paraId="6C683F87">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91" w:type="pct"/>
                  <w:vMerge w:val="continue"/>
                  <w:vAlign w:val="center"/>
                </w:tcPr>
                <w:p w14:paraId="380ACD0B">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53" w:type="pct"/>
                  <w:vMerge w:val="continue"/>
                  <w:vAlign w:val="center"/>
                </w:tcPr>
                <w:p w14:paraId="4F5E0CE0">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59" w:type="pct"/>
                  <w:vMerge w:val="continue"/>
                  <w:vAlign w:val="center"/>
                </w:tcPr>
                <w:p w14:paraId="2CB2CE24">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441" w:type="pct"/>
                  <w:vMerge w:val="continue"/>
                  <w:vAlign w:val="center"/>
                </w:tcPr>
                <w:p w14:paraId="3F98BBBE">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603" w:type="pct"/>
                  <w:vMerge w:val="continue"/>
                  <w:vAlign w:val="center"/>
                </w:tcPr>
                <w:p w14:paraId="3B4E8E29">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35" w:type="pct"/>
                  <w:vMerge w:val="continue"/>
                  <w:vAlign w:val="center"/>
                </w:tcPr>
                <w:p w14:paraId="25895253">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299" w:type="pct"/>
                  <w:vMerge w:val="continue"/>
                  <w:vAlign w:val="center"/>
                </w:tcPr>
                <w:p w14:paraId="34B2DD75">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646" w:type="pct"/>
                  <w:vAlign w:val="center"/>
                </w:tcPr>
                <w:p w14:paraId="5A1884D7">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SS</w:t>
                  </w:r>
                </w:p>
              </w:tc>
              <w:tc>
                <w:tcPr>
                  <w:tcW w:w="950" w:type="pct"/>
                  <w:vAlign w:val="center"/>
                </w:tcPr>
                <w:p w14:paraId="4C5AC8AD">
                  <w:pPr>
                    <w:keepNext w:val="0"/>
                    <w:keepLines w:val="0"/>
                    <w:pageBreakBefore w:val="0"/>
                    <w:suppressLineNumbers w:val="0"/>
                    <w:kinsoku/>
                    <w:overflowPunct/>
                    <w:topLinePunct w:val="0"/>
                    <w:bidi w:val="0"/>
                    <w:adjustRightInd/>
                    <w:snapToGrid w:val="0"/>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250</w:t>
                  </w:r>
                </w:p>
              </w:tc>
            </w:tr>
            <w:tr w14:paraId="24DA97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9" w:hRule="atLeast"/>
                <w:jc w:val="center"/>
              </w:trPr>
              <w:tc>
                <w:tcPr>
                  <w:tcW w:w="298" w:type="pct"/>
                  <w:vMerge w:val="continue"/>
                  <w:vAlign w:val="center"/>
                </w:tcPr>
                <w:p w14:paraId="6000A6E2">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22" w:type="pct"/>
                  <w:vMerge w:val="continue"/>
                  <w:vAlign w:val="center"/>
                </w:tcPr>
                <w:p w14:paraId="082CA315">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91" w:type="pct"/>
                  <w:vMerge w:val="continue"/>
                  <w:vAlign w:val="center"/>
                </w:tcPr>
                <w:p w14:paraId="617C550D">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53" w:type="pct"/>
                  <w:vMerge w:val="continue"/>
                  <w:vAlign w:val="center"/>
                </w:tcPr>
                <w:p w14:paraId="6994AD5E">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59" w:type="pct"/>
                  <w:vMerge w:val="continue"/>
                  <w:vAlign w:val="center"/>
                </w:tcPr>
                <w:p w14:paraId="1AB5006E">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441" w:type="pct"/>
                  <w:vMerge w:val="continue"/>
                  <w:vAlign w:val="center"/>
                </w:tcPr>
                <w:p w14:paraId="79C2D148">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603" w:type="pct"/>
                  <w:vMerge w:val="continue"/>
                  <w:vAlign w:val="center"/>
                </w:tcPr>
                <w:p w14:paraId="430F0C2A">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35" w:type="pct"/>
                  <w:vMerge w:val="continue"/>
                  <w:vAlign w:val="center"/>
                </w:tcPr>
                <w:p w14:paraId="70909D6E">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299" w:type="pct"/>
                  <w:vMerge w:val="continue"/>
                  <w:vAlign w:val="center"/>
                </w:tcPr>
                <w:p w14:paraId="06CE33DE">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646" w:type="pct"/>
                  <w:vAlign w:val="center"/>
                </w:tcPr>
                <w:p w14:paraId="6E11A11C">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氨氮</w:t>
                  </w:r>
                </w:p>
              </w:tc>
              <w:tc>
                <w:tcPr>
                  <w:tcW w:w="950" w:type="pct"/>
                  <w:vAlign w:val="center"/>
                </w:tcPr>
                <w:p w14:paraId="7D693AB8">
                  <w:pPr>
                    <w:keepNext w:val="0"/>
                    <w:keepLines w:val="0"/>
                    <w:pageBreakBefore w:val="0"/>
                    <w:suppressLineNumbers w:val="0"/>
                    <w:kinsoku/>
                    <w:overflowPunct/>
                    <w:topLinePunct w:val="0"/>
                    <w:bidi w:val="0"/>
                    <w:adjustRightInd/>
                    <w:snapToGrid w:val="0"/>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40</w:t>
                  </w:r>
                </w:p>
              </w:tc>
            </w:tr>
            <w:tr w14:paraId="224E26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9" w:hRule="atLeast"/>
                <w:jc w:val="center"/>
              </w:trPr>
              <w:tc>
                <w:tcPr>
                  <w:tcW w:w="298" w:type="pct"/>
                  <w:vMerge w:val="continue"/>
                  <w:vAlign w:val="center"/>
                </w:tcPr>
                <w:p w14:paraId="3B62F42D">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22" w:type="pct"/>
                  <w:vMerge w:val="continue"/>
                  <w:vAlign w:val="center"/>
                </w:tcPr>
                <w:p w14:paraId="345C276E">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91" w:type="pct"/>
                  <w:vMerge w:val="continue"/>
                  <w:vAlign w:val="center"/>
                </w:tcPr>
                <w:p w14:paraId="3305C1AF">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53" w:type="pct"/>
                  <w:vMerge w:val="continue"/>
                  <w:vAlign w:val="center"/>
                </w:tcPr>
                <w:p w14:paraId="24DD3134">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59" w:type="pct"/>
                  <w:vMerge w:val="continue"/>
                  <w:vAlign w:val="center"/>
                </w:tcPr>
                <w:p w14:paraId="44B4FFA2">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441" w:type="pct"/>
                  <w:vMerge w:val="continue"/>
                  <w:vAlign w:val="center"/>
                </w:tcPr>
                <w:p w14:paraId="304AA894">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603" w:type="pct"/>
                  <w:vMerge w:val="continue"/>
                  <w:vAlign w:val="center"/>
                </w:tcPr>
                <w:p w14:paraId="63749CA7">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35" w:type="pct"/>
                  <w:vMerge w:val="continue"/>
                  <w:vAlign w:val="center"/>
                </w:tcPr>
                <w:p w14:paraId="32C00E89">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299" w:type="pct"/>
                  <w:vMerge w:val="continue"/>
                  <w:vAlign w:val="center"/>
                </w:tcPr>
                <w:p w14:paraId="77917036">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646" w:type="pct"/>
                  <w:vAlign w:val="center"/>
                </w:tcPr>
                <w:p w14:paraId="3B44C5B5">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总磷</w:t>
                  </w:r>
                </w:p>
              </w:tc>
              <w:tc>
                <w:tcPr>
                  <w:tcW w:w="950" w:type="pct"/>
                  <w:vAlign w:val="center"/>
                </w:tcPr>
                <w:p w14:paraId="6C24DBB7">
                  <w:pPr>
                    <w:keepNext w:val="0"/>
                    <w:keepLines w:val="0"/>
                    <w:pageBreakBefore w:val="0"/>
                    <w:suppressLineNumbers w:val="0"/>
                    <w:kinsoku/>
                    <w:overflowPunct/>
                    <w:topLinePunct w:val="0"/>
                    <w:bidi w:val="0"/>
                    <w:adjustRightInd/>
                    <w:snapToGrid w:val="0"/>
                    <w:spacing w:before="0" w:beforeAutospacing="0" w:after="0" w:afterAutospacing="0" w:line="276" w:lineRule="auto"/>
                    <w:ind w:left="0" w:right="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5</w:t>
                  </w:r>
                </w:p>
              </w:tc>
            </w:tr>
            <w:tr w14:paraId="746F1C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9" w:hRule="atLeast"/>
                <w:jc w:val="center"/>
              </w:trPr>
              <w:tc>
                <w:tcPr>
                  <w:tcW w:w="298" w:type="pct"/>
                  <w:vMerge w:val="continue"/>
                  <w:vAlign w:val="center"/>
                </w:tcPr>
                <w:p w14:paraId="28A3B476">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22" w:type="pct"/>
                  <w:vMerge w:val="continue"/>
                  <w:vAlign w:val="center"/>
                </w:tcPr>
                <w:p w14:paraId="443A7DE9">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91" w:type="pct"/>
                  <w:vMerge w:val="continue"/>
                  <w:vAlign w:val="center"/>
                </w:tcPr>
                <w:p w14:paraId="38A53B26">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53" w:type="pct"/>
                  <w:vMerge w:val="continue"/>
                  <w:vAlign w:val="center"/>
                </w:tcPr>
                <w:p w14:paraId="0B3E6142">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59" w:type="pct"/>
                  <w:vMerge w:val="continue"/>
                  <w:vAlign w:val="center"/>
                </w:tcPr>
                <w:p w14:paraId="0F8505AE">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441" w:type="pct"/>
                  <w:vMerge w:val="continue"/>
                  <w:vAlign w:val="center"/>
                </w:tcPr>
                <w:p w14:paraId="34568065">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603" w:type="pct"/>
                  <w:vMerge w:val="continue"/>
                  <w:vAlign w:val="center"/>
                </w:tcPr>
                <w:p w14:paraId="2B396FFD">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35" w:type="pct"/>
                  <w:vMerge w:val="continue"/>
                  <w:vAlign w:val="center"/>
                </w:tcPr>
                <w:p w14:paraId="190EAFD8">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299" w:type="pct"/>
                  <w:vMerge w:val="continue"/>
                  <w:vAlign w:val="center"/>
                </w:tcPr>
                <w:p w14:paraId="4C54CB23">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646" w:type="pct"/>
                  <w:vAlign w:val="center"/>
                </w:tcPr>
                <w:p w14:paraId="19C36032">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总氮</w:t>
                  </w:r>
                </w:p>
              </w:tc>
              <w:tc>
                <w:tcPr>
                  <w:tcW w:w="950" w:type="pct"/>
                  <w:vAlign w:val="center"/>
                </w:tcPr>
                <w:p w14:paraId="5823C0C5">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kern w:val="2"/>
                      <w:highlight w:val="none"/>
                      <w:lang w:val="en-US" w:eastAsia="zh-CN"/>
                    </w:rPr>
                    <w:t>/</w:t>
                  </w:r>
                </w:p>
              </w:tc>
            </w:tr>
            <w:tr w14:paraId="69C856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9" w:hRule="atLeast"/>
                <w:jc w:val="center"/>
              </w:trPr>
              <w:tc>
                <w:tcPr>
                  <w:tcW w:w="298" w:type="pct"/>
                  <w:vMerge w:val="continue"/>
                  <w:vAlign w:val="center"/>
                </w:tcPr>
                <w:p w14:paraId="1967C230">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22" w:type="pct"/>
                  <w:vMerge w:val="continue"/>
                  <w:vAlign w:val="center"/>
                </w:tcPr>
                <w:p w14:paraId="77881513">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91" w:type="pct"/>
                  <w:vMerge w:val="continue"/>
                  <w:vAlign w:val="center"/>
                </w:tcPr>
                <w:p w14:paraId="65B727FD">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53" w:type="pct"/>
                  <w:vMerge w:val="continue"/>
                  <w:vAlign w:val="center"/>
                </w:tcPr>
                <w:p w14:paraId="1DC4EAC5">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59" w:type="pct"/>
                  <w:vMerge w:val="continue"/>
                  <w:vAlign w:val="center"/>
                </w:tcPr>
                <w:p w14:paraId="0FD99141">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441" w:type="pct"/>
                  <w:vMerge w:val="continue"/>
                  <w:vAlign w:val="center"/>
                </w:tcPr>
                <w:p w14:paraId="7E5E7163">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603" w:type="pct"/>
                  <w:vMerge w:val="continue"/>
                  <w:vAlign w:val="center"/>
                </w:tcPr>
                <w:p w14:paraId="42CD7DE3">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35" w:type="pct"/>
                  <w:vMerge w:val="continue"/>
                  <w:vAlign w:val="center"/>
                </w:tcPr>
                <w:p w14:paraId="2321073F">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299" w:type="pct"/>
                  <w:vMerge w:val="continue"/>
                  <w:vAlign w:val="center"/>
                </w:tcPr>
                <w:p w14:paraId="4BCFEF93">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646" w:type="pct"/>
                  <w:vAlign w:val="center"/>
                </w:tcPr>
                <w:p w14:paraId="1D08B707">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石油类</w:t>
                  </w:r>
                </w:p>
              </w:tc>
              <w:tc>
                <w:tcPr>
                  <w:tcW w:w="950" w:type="pct"/>
                  <w:vAlign w:val="center"/>
                </w:tcPr>
                <w:p w14:paraId="789B6914">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20</w:t>
                  </w:r>
                </w:p>
              </w:tc>
            </w:tr>
            <w:tr w14:paraId="4CDDF5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9" w:hRule="atLeast"/>
                <w:jc w:val="center"/>
              </w:trPr>
              <w:tc>
                <w:tcPr>
                  <w:tcW w:w="298" w:type="pct"/>
                  <w:vMerge w:val="continue"/>
                  <w:vAlign w:val="center"/>
                </w:tcPr>
                <w:p w14:paraId="2B6C581A">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22" w:type="pct"/>
                  <w:vMerge w:val="continue"/>
                  <w:vAlign w:val="center"/>
                </w:tcPr>
                <w:p w14:paraId="39BEB3E5">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91" w:type="pct"/>
                  <w:vMerge w:val="continue"/>
                  <w:vAlign w:val="center"/>
                </w:tcPr>
                <w:p w14:paraId="2D6B6A3D">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53" w:type="pct"/>
                  <w:vMerge w:val="continue"/>
                  <w:vAlign w:val="center"/>
                </w:tcPr>
                <w:p w14:paraId="3D981FC1">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59" w:type="pct"/>
                  <w:vMerge w:val="continue"/>
                  <w:vAlign w:val="center"/>
                </w:tcPr>
                <w:p w14:paraId="5FD314DE">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441" w:type="pct"/>
                  <w:vMerge w:val="continue"/>
                  <w:vAlign w:val="center"/>
                </w:tcPr>
                <w:p w14:paraId="43EAE23B">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603" w:type="pct"/>
                  <w:vMerge w:val="continue"/>
                  <w:vAlign w:val="center"/>
                </w:tcPr>
                <w:p w14:paraId="555D1756">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35" w:type="pct"/>
                  <w:vMerge w:val="continue"/>
                  <w:vAlign w:val="center"/>
                </w:tcPr>
                <w:p w14:paraId="51DA1E7B">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299" w:type="pct"/>
                  <w:vMerge w:val="continue"/>
                  <w:vAlign w:val="center"/>
                </w:tcPr>
                <w:p w14:paraId="1B055157">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646" w:type="pct"/>
                  <w:vAlign w:val="center"/>
                </w:tcPr>
                <w:p w14:paraId="62057CCD">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LAS</w:t>
                  </w:r>
                </w:p>
              </w:tc>
              <w:tc>
                <w:tcPr>
                  <w:tcW w:w="950" w:type="pct"/>
                  <w:vAlign w:val="center"/>
                </w:tcPr>
                <w:p w14:paraId="4D3E16E4">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0.5</w:t>
                  </w:r>
                </w:p>
              </w:tc>
            </w:tr>
            <w:tr w14:paraId="314AE3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7" w:hRule="atLeast"/>
                <w:jc w:val="center"/>
              </w:trPr>
              <w:tc>
                <w:tcPr>
                  <w:tcW w:w="5000" w:type="pct"/>
                  <w:gridSpan w:val="11"/>
                  <w:vAlign w:val="center"/>
                </w:tcPr>
                <w:p w14:paraId="028782D6">
                  <w:pPr>
                    <w:pStyle w:val="60"/>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jc w:val="left"/>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注：项目废水排放执行广东省地方标准《水污染物排放限值》（DB44/26-2001）第二时段三级标准及园区污水处理厂接管水质要求两者较严值。</w:t>
                  </w:r>
                </w:p>
              </w:tc>
            </w:tr>
          </w:tbl>
          <w:p w14:paraId="00E5E452">
            <w:pPr>
              <w:keepNext w:val="0"/>
              <w:keepLines w:val="0"/>
              <w:numPr>
                <w:ilvl w:val="0"/>
                <w:numId w:val="0"/>
              </w:numPr>
              <w:suppressLineNumbers w:val="0"/>
              <w:tabs>
                <w:tab w:val="left" w:pos="0"/>
              </w:tabs>
              <w:autoSpaceDE w:val="0"/>
              <w:autoSpaceDN w:val="0"/>
              <w:spacing w:before="0" w:beforeAutospacing="0" w:after="0" w:afterAutospacing="0"/>
              <w:ind w:left="0" w:leftChars="0" w:right="0" w:rightChars="0" w:firstLine="40" w:firstLineChars="0"/>
              <w:jc w:val="center"/>
              <w:textAlignment w:val="baseline"/>
              <w:rPr>
                <w:rFonts w:hint="default" w:ascii="Times New Roman" w:hAnsi="Times New Roman" w:cs="Times New Roman"/>
                <w:b/>
                <w:color w:val="auto"/>
                <w:sz w:val="21"/>
                <w:szCs w:val="21"/>
                <w:highlight w:val="none"/>
              </w:rPr>
            </w:pPr>
            <w:r>
              <w:rPr>
                <w:rFonts w:hint="default" w:ascii="Times New Roman" w:hAnsi="Times New Roman" w:eastAsia="宋体" w:cs="Times New Roman"/>
                <w:b/>
                <w:color w:val="auto"/>
                <w:kern w:val="2"/>
                <w:sz w:val="21"/>
                <w:szCs w:val="21"/>
                <w:highlight w:val="none"/>
                <w:lang w:val="en-US" w:eastAsia="zh-CN" w:bidi="ar-SA"/>
              </w:rPr>
              <w:t>表4-</w:t>
            </w:r>
            <w:r>
              <w:rPr>
                <w:rFonts w:hint="default" w:ascii="Times New Roman" w:hAnsi="Times New Roman" w:cs="Times New Roman"/>
                <w:b/>
                <w:color w:val="auto"/>
                <w:kern w:val="2"/>
                <w:sz w:val="21"/>
                <w:szCs w:val="21"/>
                <w:highlight w:val="none"/>
                <w:lang w:val="en-US" w:eastAsia="zh-CN" w:bidi="ar-SA"/>
              </w:rPr>
              <w:t xml:space="preserve">17 </w:t>
            </w:r>
            <w:r>
              <w:rPr>
                <w:rFonts w:hint="default" w:ascii="Times New Roman" w:hAnsi="Times New Roman" w:cs="Times New Roman"/>
                <w:b/>
                <w:color w:val="auto"/>
                <w:sz w:val="21"/>
                <w:szCs w:val="21"/>
                <w:highlight w:val="none"/>
              </w:rPr>
              <w:t>废水污染物排放信息表</w:t>
            </w:r>
          </w:p>
          <w:tbl>
            <w:tblPr>
              <w:tblStyle w:val="39"/>
              <w:tblW w:w="1368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42"/>
              <w:gridCol w:w="2037"/>
              <w:gridCol w:w="2759"/>
              <w:gridCol w:w="2587"/>
              <w:gridCol w:w="2685"/>
              <w:gridCol w:w="2672"/>
            </w:tblGrid>
            <w:tr w14:paraId="037618D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2" w:hRule="atLeast"/>
              </w:trPr>
              <w:tc>
                <w:tcPr>
                  <w:tcW w:w="34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1D3E7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序号</w:t>
                  </w:r>
                </w:p>
              </w:tc>
              <w:tc>
                <w:tcPr>
                  <w:tcW w:w="74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079DB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排放口编号</w:t>
                  </w:r>
                </w:p>
              </w:tc>
              <w:tc>
                <w:tcPr>
                  <w:tcW w:w="100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6EE2A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污染物种类</w:t>
                  </w:r>
                </w:p>
              </w:tc>
              <w:tc>
                <w:tcPr>
                  <w:tcW w:w="9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E1C3F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排放浓度/（mg/L）</w:t>
                  </w:r>
                </w:p>
              </w:tc>
              <w:tc>
                <w:tcPr>
                  <w:tcW w:w="98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32E77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全厂日排放量/（</w:t>
                  </w:r>
                  <w:r>
                    <w:rPr>
                      <w:rFonts w:hint="default" w:ascii="Times New Roman" w:hAnsi="Times New Roman" w:cs="Times New Roman"/>
                      <w:b/>
                      <w:bCs/>
                      <w:i w:val="0"/>
                      <w:iCs w:val="0"/>
                      <w:color w:val="auto"/>
                      <w:kern w:val="0"/>
                      <w:sz w:val="21"/>
                      <w:szCs w:val="21"/>
                      <w:highlight w:val="none"/>
                      <w:u w:val="none"/>
                      <w:lang w:val="en-US" w:eastAsia="zh-CN"/>
                    </w:rPr>
                    <w:t>kg</w:t>
                  </w:r>
                  <w:r>
                    <w:rPr>
                      <w:rFonts w:hint="default" w:ascii="Times New Roman" w:hAnsi="Times New Roman" w:eastAsia="宋体" w:cs="Times New Roman"/>
                      <w:b/>
                      <w:bCs/>
                      <w:i w:val="0"/>
                      <w:iCs w:val="0"/>
                      <w:color w:val="auto"/>
                      <w:kern w:val="0"/>
                      <w:sz w:val="21"/>
                      <w:szCs w:val="21"/>
                      <w:highlight w:val="none"/>
                      <w:u w:val="none"/>
                      <w:lang w:val="en-US" w:eastAsia="zh-CN"/>
                    </w:rPr>
                    <w:t>/d）</w:t>
                  </w:r>
                </w:p>
              </w:tc>
              <w:tc>
                <w:tcPr>
                  <w:tcW w:w="97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2E122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全厂年排放量/（t/a）</w:t>
                  </w:r>
                </w:p>
              </w:tc>
            </w:tr>
            <w:tr w14:paraId="148CAA8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9" w:hRule="atLeast"/>
              </w:trPr>
              <w:tc>
                <w:tcPr>
                  <w:tcW w:w="34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A4E33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1</w:t>
                  </w:r>
                </w:p>
              </w:tc>
              <w:tc>
                <w:tcPr>
                  <w:tcW w:w="743" w:type="pct"/>
                  <w:vMerge w:val="restart"/>
                  <w:tcBorders>
                    <w:top w:val="single" w:color="000000" w:sz="4" w:space="0"/>
                    <w:left w:val="single" w:color="000000" w:sz="4" w:space="0"/>
                    <w:right w:val="single" w:color="000000" w:sz="4" w:space="0"/>
                  </w:tcBorders>
                  <w:shd w:val="clear" w:color="auto" w:fill="FFFFFF"/>
                  <w:vAlign w:val="center"/>
                </w:tcPr>
                <w:p w14:paraId="27052F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DW001</w:t>
                  </w:r>
                </w:p>
              </w:tc>
              <w:tc>
                <w:tcPr>
                  <w:tcW w:w="275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2A6BEF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COD</w:t>
                  </w:r>
                  <w:r>
                    <w:rPr>
                      <w:rFonts w:hint="default" w:ascii="Times New Roman" w:hAnsi="Times New Roman" w:eastAsia="宋体" w:cs="Times New Roman"/>
                      <w:i w:val="0"/>
                      <w:iCs w:val="0"/>
                      <w:color w:val="auto"/>
                      <w:kern w:val="0"/>
                      <w:sz w:val="20"/>
                      <w:szCs w:val="20"/>
                      <w:highlight w:val="none"/>
                      <w:u w:val="none"/>
                      <w:vertAlign w:val="subscript"/>
                      <w:lang w:val="en-US" w:eastAsia="zh-CN" w:bidi="ar"/>
                    </w:rPr>
                    <w:t>Cr</w:t>
                  </w:r>
                </w:p>
              </w:tc>
              <w:tc>
                <w:tcPr>
                  <w:tcW w:w="258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24D1F8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121.8 </w:t>
                  </w:r>
                </w:p>
              </w:tc>
              <w:tc>
                <w:tcPr>
                  <w:tcW w:w="268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F619A67">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2.359 </w:t>
                  </w:r>
                </w:p>
              </w:tc>
              <w:tc>
                <w:tcPr>
                  <w:tcW w:w="267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EC4CF9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0.778 </w:t>
                  </w:r>
                </w:p>
              </w:tc>
            </w:tr>
            <w:tr w14:paraId="2639DF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9" w:hRule="atLeast"/>
              </w:trPr>
              <w:tc>
                <w:tcPr>
                  <w:tcW w:w="34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931F2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2</w:t>
                  </w:r>
                </w:p>
              </w:tc>
              <w:tc>
                <w:tcPr>
                  <w:tcW w:w="743" w:type="pct"/>
                  <w:vMerge w:val="continue"/>
                  <w:tcBorders>
                    <w:left w:val="single" w:color="000000" w:sz="4" w:space="0"/>
                    <w:right w:val="single" w:color="000000" w:sz="4" w:space="0"/>
                  </w:tcBorders>
                  <w:shd w:val="clear" w:color="auto" w:fill="FFFFFF"/>
                  <w:vAlign w:val="center"/>
                </w:tcPr>
                <w:p w14:paraId="478582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75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60616E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BOD</w:t>
                  </w:r>
                  <w:r>
                    <w:rPr>
                      <w:rFonts w:hint="default" w:ascii="Times New Roman" w:hAnsi="Times New Roman" w:eastAsia="宋体" w:cs="Times New Roman"/>
                      <w:i w:val="0"/>
                      <w:iCs w:val="0"/>
                      <w:color w:val="auto"/>
                      <w:kern w:val="0"/>
                      <w:sz w:val="20"/>
                      <w:szCs w:val="20"/>
                      <w:highlight w:val="none"/>
                      <w:u w:val="none"/>
                      <w:vertAlign w:val="subscript"/>
                      <w:lang w:val="en-US" w:eastAsia="zh-CN" w:bidi="ar"/>
                    </w:rPr>
                    <w:t>5</w:t>
                  </w:r>
                </w:p>
              </w:tc>
              <w:tc>
                <w:tcPr>
                  <w:tcW w:w="258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00F8AC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79.8 </w:t>
                  </w:r>
                </w:p>
              </w:tc>
              <w:tc>
                <w:tcPr>
                  <w:tcW w:w="268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0DDE688">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1.544 </w:t>
                  </w:r>
                </w:p>
              </w:tc>
              <w:tc>
                <w:tcPr>
                  <w:tcW w:w="267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92F0CE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0.510 </w:t>
                  </w:r>
                </w:p>
              </w:tc>
            </w:tr>
            <w:tr w14:paraId="6117A9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9" w:hRule="atLeast"/>
              </w:trPr>
              <w:tc>
                <w:tcPr>
                  <w:tcW w:w="34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351BD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3</w:t>
                  </w:r>
                </w:p>
              </w:tc>
              <w:tc>
                <w:tcPr>
                  <w:tcW w:w="743" w:type="pct"/>
                  <w:vMerge w:val="continue"/>
                  <w:tcBorders>
                    <w:left w:val="single" w:color="000000" w:sz="4" w:space="0"/>
                    <w:right w:val="single" w:color="000000" w:sz="4" w:space="0"/>
                  </w:tcBorders>
                  <w:shd w:val="clear" w:color="auto" w:fill="FFFFFF"/>
                  <w:vAlign w:val="center"/>
                </w:tcPr>
                <w:p w14:paraId="594D79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75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AB6463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NH</w:t>
                  </w:r>
                  <w:r>
                    <w:rPr>
                      <w:rFonts w:hint="default" w:ascii="Times New Roman" w:hAnsi="Times New Roman" w:eastAsia="宋体" w:cs="Times New Roman"/>
                      <w:i w:val="0"/>
                      <w:iCs w:val="0"/>
                      <w:color w:val="auto"/>
                      <w:kern w:val="0"/>
                      <w:sz w:val="20"/>
                      <w:szCs w:val="20"/>
                      <w:highlight w:val="none"/>
                      <w:u w:val="none"/>
                      <w:vertAlign w:val="subscript"/>
                      <w:lang w:val="en-US" w:eastAsia="zh-CN" w:bidi="ar"/>
                    </w:rPr>
                    <w:t>3</w:t>
                  </w:r>
                  <w:r>
                    <w:rPr>
                      <w:rFonts w:hint="default" w:ascii="Times New Roman" w:hAnsi="Times New Roman" w:eastAsia="宋体" w:cs="Times New Roman"/>
                      <w:i w:val="0"/>
                      <w:iCs w:val="0"/>
                      <w:color w:val="auto"/>
                      <w:kern w:val="0"/>
                      <w:sz w:val="20"/>
                      <w:szCs w:val="20"/>
                      <w:highlight w:val="none"/>
                      <w:u w:val="none"/>
                      <w:lang w:val="en-US" w:eastAsia="zh-CN" w:bidi="ar"/>
                    </w:rPr>
                    <w:t>-N</w:t>
                  </w:r>
                </w:p>
              </w:tc>
              <w:tc>
                <w:tcPr>
                  <w:tcW w:w="258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03B06A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17.7 </w:t>
                  </w:r>
                </w:p>
              </w:tc>
              <w:tc>
                <w:tcPr>
                  <w:tcW w:w="268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87A3A6A">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0.342 </w:t>
                  </w:r>
                </w:p>
              </w:tc>
              <w:tc>
                <w:tcPr>
                  <w:tcW w:w="267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954FEF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0.113 </w:t>
                  </w:r>
                </w:p>
              </w:tc>
            </w:tr>
            <w:tr w14:paraId="2C30BA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9" w:hRule="atLeast"/>
              </w:trPr>
              <w:tc>
                <w:tcPr>
                  <w:tcW w:w="34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70AF0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4</w:t>
                  </w:r>
                </w:p>
              </w:tc>
              <w:tc>
                <w:tcPr>
                  <w:tcW w:w="743" w:type="pct"/>
                  <w:vMerge w:val="continue"/>
                  <w:tcBorders>
                    <w:left w:val="single" w:color="000000" w:sz="4" w:space="0"/>
                    <w:right w:val="single" w:color="000000" w:sz="4" w:space="0"/>
                  </w:tcBorders>
                  <w:shd w:val="clear" w:color="auto" w:fill="FFFFFF"/>
                  <w:vAlign w:val="center"/>
                </w:tcPr>
                <w:p w14:paraId="6E24B6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75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F5815B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eastAsia="宋体" w:cs="宋体"/>
                      <w:i w:val="0"/>
                      <w:iCs w:val="0"/>
                      <w:color w:val="auto"/>
                      <w:kern w:val="0"/>
                      <w:sz w:val="20"/>
                      <w:szCs w:val="20"/>
                      <w:highlight w:val="none"/>
                      <w:u w:val="none"/>
                      <w:lang w:val="en-US" w:eastAsia="zh-CN" w:bidi="ar"/>
                    </w:rPr>
                    <w:t>总磷</w:t>
                  </w:r>
                </w:p>
              </w:tc>
              <w:tc>
                <w:tcPr>
                  <w:tcW w:w="258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928118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2.3 </w:t>
                  </w:r>
                </w:p>
              </w:tc>
              <w:tc>
                <w:tcPr>
                  <w:tcW w:w="268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E59044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0.044 </w:t>
                  </w:r>
                </w:p>
              </w:tc>
              <w:tc>
                <w:tcPr>
                  <w:tcW w:w="267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B4C6DA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0.015 </w:t>
                  </w:r>
                </w:p>
              </w:tc>
            </w:tr>
            <w:tr w14:paraId="21CDB1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9" w:hRule="atLeast"/>
              </w:trPr>
              <w:tc>
                <w:tcPr>
                  <w:tcW w:w="34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A770A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p>
              </w:tc>
              <w:tc>
                <w:tcPr>
                  <w:tcW w:w="743" w:type="pct"/>
                  <w:vMerge w:val="continue"/>
                  <w:tcBorders>
                    <w:left w:val="single" w:color="000000" w:sz="4" w:space="0"/>
                    <w:right w:val="single" w:color="000000" w:sz="4" w:space="0"/>
                  </w:tcBorders>
                  <w:shd w:val="clear" w:color="auto" w:fill="FFFFFF"/>
                  <w:vAlign w:val="center"/>
                </w:tcPr>
                <w:p w14:paraId="26AABA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75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284E34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0"/>
                      <w:szCs w:val="20"/>
                      <w:highlight w:val="none"/>
                      <w:u w:val="none"/>
                      <w:lang w:val="en-US" w:eastAsia="zh-CN" w:bidi="ar"/>
                    </w:rPr>
                    <w:t>动植物油</w:t>
                  </w:r>
                </w:p>
              </w:tc>
              <w:tc>
                <w:tcPr>
                  <w:tcW w:w="258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2701B1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10.7 </w:t>
                  </w:r>
                </w:p>
              </w:tc>
              <w:tc>
                <w:tcPr>
                  <w:tcW w:w="268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C47684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0.207 </w:t>
                  </w:r>
                </w:p>
              </w:tc>
              <w:tc>
                <w:tcPr>
                  <w:tcW w:w="267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810E3F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0.068 </w:t>
                  </w:r>
                </w:p>
              </w:tc>
            </w:tr>
            <w:tr w14:paraId="240DCA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9" w:hRule="atLeast"/>
              </w:trPr>
              <w:tc>
                <w:tcPr>
                  <w:tcW w:w="34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280F6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rPr>
                    <w:t>5</w:t>
                  </w:r>
                </w:p>
              </w:tc>
              <w:tc>
                <w:tcPr>
                  <w:tcW w:w="743" w:type="pct"/>
                  <w:vMerge w:val="continue"/>
                  <w:tcBorders>
                    <w:left w:val="single" w:color="000000" w:sz="4" w:space="0"/>
                    <w:right w:val="single" w:color="000000" w:sz="4" w:space="0"/>
                  </w:tcBorders>
                  <w:shd w:val="clear" w:color="auto" w:fill="FFFFFF"/>
                  <w:vAlign w:val="center"/>
                </w:tcPr>
                <w:p w14:paraId="63A1E0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75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6ECEDB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0"/>
                      <w:szCs w:val="20"/>
                      <w:highlight w:val="none"/>
                      <w:u w:val="none"/>
                      <w:lang w:val="en-US" w:eastAsia="zh-CN" w:bidi="ar"/>
                    </w:rPr>
                    <w:t>石油类</w:t>
                  </w:r>
                </w:p>
              </w:tc>
              <w:tc>
                <w:tcPr>
                  <w:tcW w:w="258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B87C1A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0.4 </w:t>
                  </w:r>
                </w:p>
              </w:tc>
              <w:tc>
                <w:tcPr>
                  <w:tcW w:w="268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B4F77E8">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0.009 </w:t>
                  </w:r>
                </w:p>
              </w:tc>
              <w:tc>
                <w:tcPr>
                  <w:tcW w:w="267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9B784E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0.003 </w:t>
                  </w:r>
                </w:p>
              </w:tc>
            </w:tr>
            <w:tr w14:paraId="78BB028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9" w:hRule="atLeast"/>
              </w:trPr>
              <w:tc>
                <w:tcPr>
                  <w:tcW w:w="34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C81AC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0"/>
                      <w:szCs w:val="20"/>
                      <w:highlight w:val="none"/>
                      <w:u w:val="none"/>
                      <w:lang w:val="en-US" w:eastAsia="zh-CN"/>
                    </w:rPr>
                  </w:pPr>
                </w:p>
              </w:tc>
              <w:tc>
                <w:tcPr>
                  <w:tcW w:w="743" w:type="pct"/>
                  <w:vMerge w:val="continue"/>
                  <w:tcBorders>
                    <w:left w:val="single" w:color="000000" w:sz="4" w:space="0"/>
                    <w:right w:val="single" w:color="000000" w:sz="4" w:space="0"/>
                  </w:tcBorders>
                  <w:shd w:val="clear" w:color="auto" w:fill="FFFFFF"/>
                  <w:vAlign w:val="center"/>
                </w:tcPr>
                <w:p w14:paraId="3A7230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75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ADE2FF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SS</w:t>
                  </w:r>
                </w:p>
              </w:tc>
              <w:tc>
                <w:tcPr>
                  <w:tcW w:w="258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C34AE3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66.7 </w:t>
                  </w:r>
                </w:p>
              </w:tc>
              <w:tc>
                <w:tcPr>
                  <w:tcW w:w="268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02CDFF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1.292 </w:t>
                  </w:r>
                </w:p>
              </w:tc>
              <w:tc>
                <w:tcPr>
                  <w:tcW w:w="267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F7FAA6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0.426 </w:t>
                  </w:r>
                </w:p>
              </w:tc>
            </w:tr>
            <w:tr w14:paraId="632288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9" w:hRule="atLeast"/>
              </w:trPr>
              <w:tc>
                <w:tcPr>
                  <w:tcW w:w="34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47183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cs="Times New Roman"/>
                      <w:i w:val="0"/>
                      <w:iCs w:val="0"/>
                      <w:color w:val="auto"/>
                      <w:kern w:val="0"/>
                      <w:sz w:val="20"/>
                      <w:szCs w:val="20"/>
                      <w:highlight w:val="none"/>
                      <w:u w:val="none"/>
                      <w:lang w:val="en-US" w:eastAsia="zh-CN"/>
                    </w:rPr>
                    <w:t>6</w:t>
                  </w:r>
                </w:p>
              </w:tc>
              <w:tc>
                <w:tcPr>
                  <w:tcW w:w="743" w:type="pct"/>
                  <w:vMerge w:val="continue"/>
                  <w:tcBorders>
                    <w:left w:val="single" w:color="000000" w:sz="4" w:space="0"/>
                    <w:right w:val="single" w:color="000000" w:sz="4" w:space="0"/>
                  </w:tcBorders>
                  <w:shd w:val="clear" w:color="auto" w:fill="FFFFFF"/>
                  <w:vAlign w:val="center"/>
                </w:tcPr>
                <w:p w14:paraId="47F6ED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75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966C94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rPr>
                  </w:pPr>
                  <w:r>
                    <w:rPr>
                      <w:rFonts w:hint="eastAsia" w:ascii="宋体" w:hAnsi="宋体" w:eastAsia="宋体" w:cs="宋体"/>
                      <w:b w:val="0"/>
                      <w:bCs w:val="0"/>
                      <w:i w:val="0"/>
                      <w:iCs w:val="0"/>
                      <w:color w:val="auto"/>
                      <w:kern w:val="0"/>
                      <w:sz w:val="22"/>
                      <w:szCs w:val="22"/>
                      <w:highlight w:val="none"/>
                      <w:u w:val="none"/>
                      <w:lang w:val="en-US" w:eastAsia="zh-CN" w:bidi="ar"/>
                    </w:rPr>
                    <w:t>总氮</w:t>
                  </w:r>
                </w:p>
              </w:tc>
              <w:tc>
                <w:tcPr>
                  <w:tcW w:w="258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180122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27.4 </w:t>
                  </w:r>
                </w:p>
              </w:tc>
              <w:tc>
                <w:tcPr>
                  <w:tcW w:w="268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049C3B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0.531 </w:t>
                  </w:r>
                </w:p>
              </w:tc>
              <w:tc>
                <w:tcPr>
                  <w:tcW w:w="267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EF576B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0.175 </w:t>
                  </w:r>
                </w:p>
              </w:tc>
            </w:tr>
            <w:tr w14:paraId="3916C62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9" w:hRule="atLeast"/>
              </w:trPr>
              <w:tc>
                <w:tcPr>
                  <w:tcW w:w="34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FF4FB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0"/>
                      <w:szCs w:val="20"/>
                      <w:highlight w:val="none"/>
                      <w:u w:val="none"/>
                      <w:lang w:val="en-US" w:eastAsia="zh-CN"/>
                    </w:rPr>
                  </w:pPr>
                  <w:r>
                    <w:rPr>
                      <w:rFonts w:hint="default" w:ascii="Times New Roman" w:hAnsi="Times New Roman" w:cs="Times New Roman"/>
                      <w:i w:val="0"/>
                      <w:iCs w:val="0"/>
                      <w:color w:val="auto"/>
                      <w:kern w:val="0"/>
                      <w:sz w:val="20"/>
                      <w:szCs w:val="20"/>
                      <w:highlight w:val="none"/>
                      <w:u w:val="none"/>
                      <w:lang w:val="en-US" w:eastAsia="zh-CN"/>
                    </w:rPr>
                    <w:t>7</w:t>
                  </w:r>
                </w:p>
              </w:tc>
              <w:tc>
                <w:tcPr>
                  <w:tcW w:w="743" w:type="pct"/>
                  <w:vMerge w:val="continue"/>
                  <w:tcBorders>
                    <w:left w:val="single" w:color="000000" w:sz="4" w:space="0"/>
                    <w:right w:val="single" w:color="000000" w:sz="4" w:space="0"/>
                  </w:tcBorders>
                  <w:shd w:val="clear" w:color="auto" w:fill="FFFFFF"/>
                  <w:vAlign w:val="center"/>
                </w:tcPr>
                <w:p w14:paraId="479FB6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75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9E5E2B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rPr>
                  </w:pPr>
                  <w:r>
                    <w:rPr>
                      <w:rFonts w:hint="eastAsia" w:ascii="宋体" w:hAnsi="宋体" w:eastAsia="宋体" w:cs="宋体"/>
                      <w:b w:val="0"/>
                      <w:bCs w:val="0"/>
                      <w:i w:val="0"/>
                      <w:iCs w:val="0"/>
                      <w:color w:val="auto"/>
                      <w:kern w:val="0"/>
                      <w:sz w:val="22"/>
                      <w:szCs w:val="22"/>
                      <w:highlight w:val="none"/>
                      <w:u w:val="none"/>
                      <w:lang w:val="en-US" w:eastAsia="zh-CN" w:bidi="ar"/>
                    </w:rPr>
                    <w:t>LAS</w:t>
                  </w:r>
                </w:p>
              </w:tc>
              <w:tc>
                <w:tcPr>
                  <w:tcW w:w="258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63C088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2.9 </w:t>
                  </w:r>
                </w:p>
              </w:tc>
              <w:tc>
                <w:tcPr>
                  <w:tcW w:w="268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D7C9EB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0.055 </w:t>
                  </w:r>
                </w:p>
              </w:tc>
              <w:tc>
                <w:tcPr>
                  <w:tcW w:w="267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FB9163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0.018 </w:t>
                  </w:r>
                </w:p>
              </w:tc>
            </w:tr>
            <w:tr w14:paraId="56B9E1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9" w:hRule="atLeast"/>
              </w:trPr>
              <w:tc>
                <w:tcPr>
                  <w:tcW w:w="1088" w:type="pct"/>
                  <w:gridSpan w:val="2"/>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41AA26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全厂排放口合计</w:t>
                  </w:r>
                </w:p>
              </w:tc>
              <w:tc>
                <w:tcPr>
                  <w:tcW w:w="8031"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14:paraId="522C791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COD</w:t>
                  </w:r>
                  <w:r>
                    <w:rPr>
                      <w:rFonts w:hint="default" w:ascii="Times New Roman" w:hAnsi="Times New Roman" w:eastAsia="宋体" w:cs="Times New Roman"/>
                      <w:i w:val="0"/>
                      <w:iCs w:val="0"/>
                      <w:color w:val="auto"/>
                      <w:kern w:val="0"/>
                      <w:sz w:val="20"/>
                      <w:szCs w:val="20"/>
                      <w:highlight w:val="none"/>
                      <w:u w:val="none"/>
                      <w:vertAlign w:val="subscript"/>
                      <w:lang w:val="en-US" w:eastAsia="zh-CN" w:bidi="ar"/>
                    </w:rPr>
                    <w:t>Cr</w:t>
                  </w:r>
                </w:p>
              </w:tc>
              <w:tc>
                <w:tcPr>
                  <w:tcW w:w="267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0FA817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0.778 </w:t>
                  </w:r>
                </w:p>
              </w:tc>
            </w:tr>
            <w:tr w14:paraId="57A4D6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9" w:hRule="atLeast"/>
              </w:trPr>
              <w:tc>
                <w:tcPr>
                  <w:tcW w:w="1088" w:type="pct"/>
                  <w:gridSpan w:val="2"/>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C7E8A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8031"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14:paraId="03D2B3D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BOD</w:t>
                  </w:r>
                  <w:r>
                    <w:rPr>
                      <w:rFonts w:hint="default" w:ascii="Times New Roman" w:hAnsi="Times New Roman" w:eastAsia="宋体" w:cs="Times New Roman"/>
                      <w:i w:val="0"/>
                      <w:iCs w:val="0"/>
                      <w:color w:val="auto"/>
                      <w:kern w:val="0"/>
                      <w:sz w:val="20"/>
                      <w:szCs w:val="20"/>
                      <w:highlight w:val="none"/>
                      <w:u w:val="none"/>
                      <w:vertAlign w:val="subscript"/>
                      <w:lang w:val="en-US" w:eastAsia="zh-CN" w:bidi="ar"/>
                    </w:rPr>
                    <w:t>5</w:t>
                  </w:r>
                </w:p>
              </w:tc>
              <w:tc>
                <w:tcPr>
                  <w:tcW w:w="267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DCCF1A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0.510 </w:t>
                  </w:r>
                </w:p>
              </w:tc>
            </w:tr>
            <w:tr w14:paraId="2F84AE4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9" w:hRule="atLeast"/>
              </w:trPr>
              <w:tc>
                <w:tcPr>
                  <w:tcW w:w="1088" w:type="pct"/>
                  <w:gridSpan w:val="2"/>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0C992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8031"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14:paraId="40D9CC2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NH</w:t>
                  </w:r>
                  <w:r>
                    <w:rPr>
                      <w:rFonts w:hint="default" w:ascii="Times New Roman" w:hAnsi="Times New Roman" w:eastAsia="宋体" w:cs="Times New Roman"/>
                      <w:i w:val="0"/>
                      <w:iCs w:val="0"/>
                      <w:color w:val="auto"/>
                      <w:kern w:val="0"/>
                      <w:sz w:val="20"/>
                      <w:szCs w:val="20"/>
                      <w:highlight w:val="none"/>
                      <w:u w:val="none"/>
                      <w:vertAlign w:val="subscript"/>
                      <w:lang w:val="en-US" w:eastAsia="zh-CN" w:bidi="ar"/>
                    </w:rPr>
                    <w:t>3</w:t>
                  </w:r>
                  <w:r>
                    <w:rPr>
                      <w:rFonts w:hint="default" w:ascii="Times New Roman" w:hAnsi="Times New Roman" w:eastAsia="宋体" w:cs="Times New Roman"/>
                      <w:i w:val="0"/>
                      <w:iCs w:val="0"/>
                      <w:color w:val="auto"/>
                      <w:kern w:val="0"/>
                      <w:sz w:val="20"/>
                      <w:szCs w:val="20"/>
                      <w:highlight w:val="none"/>
                      <w:u w:val="none"/>
                      <w:lang w:val="en-US" w:eastAsia="zh-CN" w:bidi="ar"/>
                    </w:rPr>
                    <w:t>-N</w:t>
                  </w:r>
                </w:p>
              </w:tc>
              <w:tc>
                <w:tcPr>
                  <w:tcW w:w="267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A298C0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0.113 </w:t>
                  </w:r>
                </w:p>
              </w:tc>
            </w:tr>
            <w:tr w14:paraId="7F1720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9" w:hRule="atLeast"/>
              </w:trPr>
              <w:tc>
                <w:tcPr>
                  <w:tcW w:w="1088" w:type="pct"/>
                  <w:gridSpan w:val="2"/>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46D544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8031"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14:paraId="0A3DE19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eastAsia="宋体" w:cs="宋体"/>
                      <w:i w:val="0"/>
                      <w:iCs w:val="0"/>
                      <w:color w:val="auto"/>
                      <w:kern w:val="0"/>
                      <w:sz w:val="20"/>
                      <w:szCs w:val="20"/>
                      <w:highlight w:val="none"/>
                      <w:u w:val="none"/>
                      <w:lang w:val="en-US" w:eastAsia="zh-CN" w:bidi="ar"/>
                    </w:rPr>
                    <w:t>总磷</w:t>
                  </w:r>
                </w:p>
              </w:tc>
              <w:tc>
                <w:tcPr>
                  <w:tcW w:w="267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85AA77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2"/>
                      <w:szCs w:val="22"/>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0.015 </w:t>
                  </w:r>
                </w:p>
              </w:tc>
            </w:tr>
            <w:tr w14:paraId="4F1CD5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9" w:hRule="atLeast"/>
              </w:trPr>
              <w:tc>
                <w:tcPr>
                  <w:tcW w:w="1088" w:type="pct"/>
                  <w:gridSpan w:val="2"/>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48DF9F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8031"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14:paraId="59756C7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0"/>
                      <w:szCs w:val="20"/>
                      <w:highlight w:val="none"/>
                      <w:u w:val="none"/>
                      <w:lang w:val="en-US" w:eastAsia="zh-CN" w:bidi="ar"/>
                    </w:rPr>
                    <w:t>动植物油</w:t>
                  </w:r>
                </w:p>
              </w:tc>
              <w:tc>
                <w:tcPr>
                  <w:tcW w:w="267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16ACC0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2"/>
                      <w:szCs w:val="22"/>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0.068 </w:t>
                  </w:r>
                </w:p>
              </w:tc>
            </w:tr>
            <w:tr w14:paraId="493B0A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9" w:hRule="atLeast"/>
              </w:trPr>
              <w:tc>
                <w:tcPr>
                  <w:tcW w:w="1088" w:type="pct"/>
                  <w:gridSpan w:val="2"/>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624744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8031"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14:paraId="74CC873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0"/>
                      <w:szCs w:val="20"/>
                      <w:highlight w:val="none"/>
                      <w:u w:val="none"/>
                      <w:lang w:val="en-US" w:eastAsia="zh-CN" w:bidi="ar"/>
                    </w:rPr>
                    <w:t>石油类</w:t>
                  </w:r>
                </w:p>
              </w:tc>
              <w:tc>
                <w:tcPr>
                  <w:tcW w:w="267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3E424D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2"/>
                      <w:szCs w:val="22"/>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0.003 </w:t>
                  </w:r>
                </w:p>
              </w:tc>
            </w:tr>
            <w:tr w14:paraId="2915A9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9" w:hRule="atLeast"/>
              </w:trPr>
              <w:tc>
                <w:tcPr>
                  <w:tcW w:w="1088" w:type="pct"/>
                  <w:gridSpan w:val="2"/>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6DCC55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8031"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14:paraId="0CA073F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SS</w:t>
                  </w:r>
                </w:p>
              </w:tc>
              <w:tc>
                <w:tcPr>
                  <w:tcW w:w="267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31A322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0.426 </w:t>
                  </w:r>
                </w:p>
              </w:tc>
            </w:tr>
            <w:tr w14:paraId="0F2620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9" w:hRule="atLeast"/>
              </w:trPr>
              <w:tc>
                <w:tcPr>
                  <w:tcW w:w="1088" w:type="pct"/>
                  <w:gridSpan w:val="2"/>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3B4AE6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8031"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14:paraId="616A786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2"/>
                      <w:szCs w:val="22"/>
                      <w:highlight w:val="none"/>
                      <w:u w:val="none"/>
                      <w:lang w:val="en-US" w:eastAsia="zh-CN" w:bidi="ar"/>
                    </w:rPr>
                    <w:t>总氮</w:t>
                  </w:r>
                </w:p>
              </w:tc>
              <w:tc>
                <w:tcPr>
                  <w:tcW w:w="267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4D0348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2"/>
                      <w:szCs w:val="22"/>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0.175 </w:t>
                  </w:r>
                </w:p>
              </w:tc>
            </w:tr>
            <w:tr w14:paraId="4C1995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4" w:hRule="atLeast"/>
              </w:trPr>
              <w:tc>
                <w:tcPr>
                  <w:tcW w:w="1088" w:type="pct"/>
                  <w:gridSpan w:val="2"/>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405C0B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8031"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14:paraId="470B946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2"/>
                      <w:szCs w:val="22"/>
                      <w:highlight w:val="none"/>
                      <w:u w:val="none"/>
                      <w:lang w:val="en-US" w:eastAsia="zh-CN" w:bidi="ar"/>
                    </w:rPr>
                    <w:t>LAS</w:t>
                  </w:r>
                </w:p>
              </w:tc>
              <w:tc>
                <w:tcPr>
                  <w:tcW w:w="267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50C96C9">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i w:val="0"/>
                      <w:iCs w:val="0"/>
                      <w:color w:val="auto"/>
                      <w:kern w:val="2"/>
                      <w:sz w:val="22"/>
                      <w:szCs w:val="22"/>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0.018 </w:t>
                  </w:r>
                </w:p>
              </w:tc>
            </w:tr>
          </w:tbl>
          <w:p w14:paraId="79A4E9B0">
            <w:pPr>
              <w:keepNext/>
              <w:keepLines/>
              <w:suppressLineNumbers w:val="0"/>
              <w:tabs>
                <w:tab w:val="left" w:pos="0"/>
              </w:tabs>
              <w:spacing w:before="0" w:beforeAutospacing="0" w:after="0" w:afterAutospacing="0"/>
              <w:ind w:left="0" w:right="0" w:firstLine="480" w:firstLineChars="200"/>
              <w:outlineLvl w:val="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4、污染治理设施情况</w:t>
            </w:r>
          </w:p>
          <w:p w14:paraId="1B0B9E36">
            <w:pPr>
              <w:keepNext w:val="0"/>
              <w:keepLines w:val="0"/>
              <w:suppressLineNumbers w:val="0"/>
              <w:adjustRightInd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本项目位于园区污水处理厂纳污范围内，生活污水经三级化粪池</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隔油隔渣池</w:t>
            </w:r>
            <w:r>
              <w:rPr>
                <w:rFonts w:hint="default" w:ascii="Times New Roman" w:hAnsi="Times New Roman" w:cs="Times New Roman"/>
                <w:color w:val="auto"/>
                <w:highlight w:val="none"/>
              </w:rPr>
              <w:t>预处理、生产废水经自建污水处理处理后经综合废水排放口DW001进入园区污水处理</w:t>
            </w:r>
            <w:r>
              <w:rPr>
                <w:rFonts w:hint="default" w:ascii="Times New Roman" w:hAnsi="Times New Roman" w:cs="Times New Roman"/>
                <w:color w:val="auto"/>
                <w:highlight w:val="none"/>
                <w:lang w:eastAsia="zh-CN"/>
              </w:rPr>
              <w:t>厂</w:t>
            </w:r>
            <w:r>
              <w:rPr>
                <w:rFonts w:hint="default" w:ascii="Times New Roman" w:hAnsi="Times New Roman" w:cs="Times New Roman"/>
                <w:color w:val="auto"/>
                <w:highlight w:val="none"/>
              </w:rPr>
              <w:t>处理。处理后达到广东省地方标准《水污染物排放限值》（DB44/26-2001）第二时段三级标准及园区污水处理厂接管水质要求两者较严值后排入园区污水处理厂。</w:t>
            </w:r>
          </w:p>
          <w:p w14:paraId="26C5B86C">
            <w:pPr>
              <w:pStyle w:val="20"/>
              <w:keepNext w:val="0"/>
              <w:keepLines w:val="0"/>
              <w:pageBreakBefore w:val="0"/>
              <w:widowControl w:val="0"/>
              <w:numPr>
                <w:ilvl w:val="0"/>
                <w:numId w:val="0"/>
              </w:numPr>
              <w:suppressLineNumbers w:val="0"/>
              <w:tabs>
                <w:tab w:val="left" w:pos="0"/>
              </w:tabs>
              <w:kinsoku/>
              <w:wordWrap w:val="0"/>
              <w:overflowPunct/>
              <w:topLinePunct w:val="0"/>
              <w:autoSpaceDE/>
              <w:autoSpaceDN/>
              <w:bidi w:val="0"/>
              <w:adjustRightInd/>
              <w:snapToGrid/>
              <w:spacing w:before="0" w:beforeAutospacing="0" w:after="0" w:afterAutospacing="0" w:line="360" w:lineRule="auto"/>
              <w:ind w:left="0" w:leftChars="0" w:right="0" w:rightChars="0" w:firstLine="0" w:firstLineChars="0"/>
              <w:textAlignment w:val="auto"/>
              <w:rPr>
                <w:rFonts w:hint="default" w:ascii="Times New Roman" w:hAnsi="Times New Roman" w:cs="Times New Roman"/>
                <w:color w:val="auto"/>
                <w:highlight w:val="none"/>
              </w:rPr>
            </w:pPr>
            <w:r>
              <w:rPr>
                <w:rFonts w:hint="default" w:ascii="Times New Roman" w:hAnsi="Times New Roman" w:eastAsia="宋体" w:cs="Times New Roman"/>
                <w:b/>
                <w:bCs/>
                <w:color w:val="auto"/>
                <w:kern w:val="2"/>
                <w:sz w:val="21"/>
                <w:szCs w:val="21"/>
                <w:highlight w:val="none"/>
                <w:lang w:val="en-US" w:eastAsia="zh-CN" w:bidi="ar-SA"/>
              </w:rPr>
              <w:t>表4-</w:t>
            </w:r>
            <w:r>
              <w:rPr>
                <w:rFonts w:hint="default" w:ascii="Times New Roman" w:hAnsi="Times New Roman" w:cs="Times New Roman"/>
                <w:b/>
                <w:bCs/>
                <w:color w:val="auto"/>
                <w:kern w:val="2"/>
                <w:sz w:val="21"/>
                <w:szCs w:val="21"/>
                <w:highlight w:val="none"/>
                <w:lang w:val="en-US" w:eastAsia="zh-CN" w:bidi="ar-SA"/>
              </w:rPr>
              <w:t xml:space="preserve">18 </w:t>
            </w:r>
            <w:r>
              <w:rPr>
                <w:rFonts w:hint="default" w:ascii="Times New Roman" w:hAnsi="Times New Roman" w:cs="Times New Roman"/>
                <w:color w:val="auto"/>
                <w:highlight w:val="none"/>
              </w:rPr>
              <w:t>废水类别、污染物及污染治理设施信息表</w:t>
            </w:r>
          </w:p>
          <w:tbl>
            <w:tblPr>
              <w:tblStyle w:val="39"/>
              <w:tblW w:w="4997" w:type="pct"/>
              <w:jc w:val="center"/>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autofit"/>
              <w:tblCellMar>
                <w:top w:w="0" w:type="dxa"/>
                <w:left w:w="0" w:type="dxa"/>
                <w:bottom w:w="0" w:type="dxa"/>
                <w:right w:w="0" w:type="dxa"/>
              </w:tblCellMar>
            </w:tblPr>
            <w:tblGrid>
              <w:gridCol w:w="901"/>
              <w:gridCol w:w="1849"/>
              <w:gridCol w:w="874"/>
              <w:gridCol w:w="1517"/>
              <w:gridCol w:w="1144"/>
              <w:gridCol w:w="1339"/>
              <w:gridCol w:w="1277"/>
              <w:gridCol w:w="893"/>
              <w:gridCol w:w="1320"/>
              <w:gridCol w:w="2372"/>
            </w:tblGrid>
            <w:tr w14:paraId="03068D19">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50" w:hRule="atLeast"/>
                <w:jc w:val="center"/>
              </w:trPr>
              <w:tc>
                <w:tcPr>
                  <w:tcW w:w="334" w:type="pct"/>
                  <w:vMerge w:val="restart"/>
                  <w:vAlign w:val="center"/>
                </w:tcPr>
                <w:p w14:paraId="624FF9F9">
                  <w:pPr>
                    <w:pStyle w:val="60"/>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废水类别</w:t>
                  </w:r>
                </w:p>
              </w:tc>
              <w:tc>
                <w:tcPr>
                  <w:tcW w:w="685" w:type="pct"/>
                  <w:vMerge w:val="restart"/>
                  <w:vAlign w:val="center"/>
                </w:tcPr>
                <w:p w14:paraId="7F328AE1">
                  <w:pPr>
                    <w:pStyle w:val="60"/>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污染物种类</w:t>
                  </w:r>
                </w:p>
              </w:tc>
              <w:tc>
                <w:tcPr>
                  <w:tcW w:w="324" w:type="pct"/>
                  <w:vMerge w:val="restart"/>
                  <w:vAlign w:val="center"/>
                </w:tcPr>
                <w:p w14:paraId="29303FC9">
                  <w:pPr>
                    <w:pStyle w:val="60"/>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排放去向</w:t>
                  </w:r>
                </w:p>
              </w:tc>
              <w:tc>
                <w:tcPr>
                  <w:tcW w:w="562" w:type="pct"/>
                  <w:vMerge w:val="restart"/>
                  <w:vAlign w:val="center"/>
                </w:tcPr>
                <w:p w14:paraId="721E6443">
                  <w:pPr>
                    <w:pStyle w:val="60"/>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排放规律</w:t>
                  </w:r>
                </w:p>
              </w:tc>
              <w:tc>
                <w:tcPr>
                  <w:tcW w:w="1393" w:type="pct"/>
                  <w:gridSpan w:val="3"/>
                  <w:vAlign w:val="center"/>
                </w:tcPr>
                <w:p w14:paraId="7283BEA1">
                  <w:pPr>
                    <w:pStyle w:val="60"/>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污染治理设施</w:t>
                  </w:r>
                </w:p>
              </w:tc>
              <w:tc>
                <w:tcPr>
                  <w:tcW w:w="331" w:type="pct"/>
                  <w:vMerge w:val="restart"/>
                  <w:vAlign w:val="center"/>
                </w:tcPr>
                <w:p w14:paraId="282309BC">
                  <w:pPr>
                    <w:pStyle w:val="60"/>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排放口编号</w:t>
                  </w:r>
                </w:p>
              </w:tc>
              <w:tc>
                <w:tcPr>
                  <w:tcW w:w="489" w:type="pct"/>
                  <w:vMerge w:val="restart"/>
                  <w:vAlign w:val="center"/>
                </w:tcPr>
                <w:p w14:paraId="1AF7FC08">
                  <w:pPr>
                    <w:pStyle w:val="60"/>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排放口设置是否符合要求</w:t>
                  </w:r>
                </w:p>
              </w:tc>
              <w:tc>
                <w:tcPr>
                  <w:tcW w:w="879" w:type="pct"/>
                  <w:vMerge w:val="restart"/>
                  <w:vAlign w:val="center"/>
                </w:tcPr>
                <w:p w14:paraId="77F75975">
                  <w:pPr>
                    <w:pStyle w:val="60"/>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排放口类型</w:t>
                  </w:r>
                </w:p>
              </w:tc>
            </w:tr>
            <w:tr w14:paraId="58091E52">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689" w:hRule="atLeast"/>
                <w:jc w:val="center"/>
              </w:trPr>
              <w:tc>
                <w:tcPr>
                  <w:tcW w:w="334" w:type="pct"/>
                  <w:vMerge w:val="continue"/>
                  <w:vAlign w:val="center"/>
                </w:tcPr>
                <w:p w14:paraId="1B76EC45">
                  <w:pPr>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685" w:type="pct"/>
                  <w:vMerge w:val="continue"/>
                  <w:vAlign w:val="center"/>
                </w:tcPr>
                <w:p w14:paraId="397AAC6E">
                  <w:pPr>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324" w:type="pct"/>
                  <w:vMerge w:val="continue"/>
                  <w:vAlign w:val="center"/>
                </w:tcPr>
                <w:p w14:paraId="052DBA26">
                  <w:pPr>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562" w:type="pct"/>
                  <w:vMerge w:val="continue"/>
                  <w:vAlign w:val="center"/>
                </w:tcPr>
                <w:p w14:paraId="7FE00E95">
                  <w:pPr>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424" w:type="pct"/>
                  <w:vAlign w:val="center"/>
                </w:tcPr>
                <w:p w14:paraId="502B235D">
                  <w:pPr>
                    <w:pStyle w:val="60"/>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污染治理设施编号</w:t>
                  </w:r>
                </w:p>
              </w:tc>
              <w:tc>
                <w:tcPr>
                  <w:tcW w:w="496" w:type="pct"/>
                  <w:vAlign w:val="center"/>
                </w:tcPr>
                <w:p w14:paraId="75E84879">
                  <w:pPr>
                    <w:pStyle w:val="60"/>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污染治理设施名称</w:t>
                  </w:r>
                </w:p>
              </w:tc>
              <w:tc>
                <w:tcPr>
                  <w:tcW w:w="473" w:type="pct"/>
                  <w:vAlign w:val="center"/>
                </w:tcPr>
                <w:p w14:paraId="2F1DD816">
                  <w:pPr>
                    <w:pStyle w:val="60"/>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污染治理设施工艺</w:t>
                  </w:r>
                </w:p>
              </w:tc>
              <w:tc>
                <w:tcPr>
                  <w:tcW w:w="331" w:type="pct"/>
                  <w:vMerge w:val="continue"/>
                  <w:vAlign w:val="center"/>
                </w:tcPr>
                <w:p w14:paraId="6D66998F">
                  <w:pPr>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489" w:type="pct"/>
                  <w:vMerge w:val="continue"/>
                  <w:vAlign w:val="center"/>
                </w:tcPr>
                <w:p w14:paraId="601685A7">
                  <w:pPr>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879" w:type="pct"/>
                  <w:vMerge w:val="continue"/>
                  <w:vAlign w:val="center"/>
                </w:tcPr>
                <w:p w14:paraId="2667E797">
                  <w:pPr>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r>
            <w:tr w14:paraId="6C812FE0">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738" w:hRule="atLeast"/>
                <w:jc w:val="center"/>
              </w:trPr>
              <w:tc>
                <w:tcPr>
                  <w:tcW w:w="334" w:type="pct"/>
                  <w:vAlign w:val="center"/>
                </w:tcPr>
                <w:p w14:paraId="6E206515">
                  <w:pPr>
                    <w:pStyle w:val="60"/>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生活污水</w:t>
                  </w:r>
                </w:p>
              </w:tc>
              <w:tc>
                <w:tcPr>
                  <w:tcW w:w="685" w:type="pct"/>
                  <w:vAlign w:val="center"/>
                </w:tcPr>
                <w:p w14:paraId="73BF87B4">
                  <w:pPr>
                    <w:pStyle w:val="60"/>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eastAsia="宋体" w:cs="Times New Roman"/>
                      <w:color w:val="auto"/>
                      <w:kern w:val="2"/>
                      <w:highlight w:val="none"/>
                      <w:lang w:val="en-US" w:eastAsia="zh-CN"/>
                    </w:rPr>
                  </w:pPr>
                  <w:r>
                    <w:rPr>
                      <w:rFonts w:hint="default" w:ascii="Times New Roman" w:hAnsi="Times New Roman" w:cs="Times New Roman"/>
                      <w:color w:val="auto"/>
                      <w:kern w:val="2"/>
                      <w:highlight w:val="none"/>
                    </w:rPr>
                    <w:t>pH、COD</w:t>
                  </w:r>
                  <w:r>
                    <w:rPr>
                      <w:rFonts w:hint="default" w:ascii="Times New Roman" w:hAnsi="Times New Roman" w:cs="Times New Roman"/>
                      <w:color w:val="auto"/>
                      <w:kern w:val="2"/>
                      <w:highlight w:val="none"/>
                      <w:vertAlign w:val="subscript"/>
                    </w:rPr>
                    <w:t>Cr</w:t>
                  </w:r>
                  <w:r>
                    <w:rPr>
                      <w:rFonts w:hint="default" w:ascii="Times New Roman" w:hAnsi="Times New Roman" w:cs="Times New Roman"/>
                      <w:color w:val="auto"/>
                      <w:kern w:val="2"/>
                      <w:highlight w:val="none"/>
                    </w:rPr>
                    <w:t>、BOD</w:t>
                  </w:r>
                  <w:r>
                    <w:rPr>
                      <w:rFonts w:hint="default" w:ascii="Times New Roman" w:hAnsi="Times New Roman" w:cs="Times New Roman"/>
                      <w:color w:val="auto"/>
                      <w:kern w:val="2"/>
                      <w:highlight w:val="none"/>
                      <w:vertAlign w:val="subscript"/>
                    </w:rPr>
                    <w:t>5</w:t>
                  </w:r>
                  <w:r>
                    <w:rPr>
                      <w:rFonts w:hint="default" w:ascii="Times New Roman" w:hAnsi="Times New Roman" w:cs="Times New Roman"/>
                      <w:color w:val="auto"/>
                      <w:kern w:val="2"/>
                      <w:highlight w:val="none"/>
                    </w:rPr>
                    <w:t>、SS、氨氮</w:t>
                  </w:r>
                  <w:r>
                    <w:rPr>
                      <w:rFonts w:hint="default" w:ascii="Times New Roman" w:hAnsi="Times New Roman" w:cs="Times New Roman"/>
                      <w:color w:val="auto"/>
                      <w:kern w:val="2"/>
                      <w:highlight w:val="none"/>
                      <w:lang w:eastAsia="zh-CN"/>
                    </w:rPr>
                    <w:t>、</w:t>
                  </w:r>
                  <w:r>
                    <w:rPr>
                      <w:rFonts w:hint="default" w:ascii="Times New Roman" w:hAnsi="Times New Roman" w:cs="Times New Roman"/>
                      <w:color w:val="auto"/>
                      <w:kern w:val="2"/>
                      <w:highlight w:val="none"/>
                      <w:lang w:val="en-US" w:eastAsia="zh-CN"/>
                    </w:rPr>
                    <w:t>总磷、动植物油</w:t>
                  </w:r>
                </w:p>
              </w:tc>
              <w:tc>
                <w:tcPr>
                  <w:tcW w:w="324" w:type="pct"/>
                  <w:vMerge w:val="restart"/>
                  <w:vAlign w:val="center"/>
                </w:tcPr>
                <w:p w14:paraId="38F88B17">
                  <w:pPr>
                    <w:pStyle w:val="60"/>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进入园区污水处理厂</w:t>
                  </w:r>
                </w:p>
              </w:tc>
              <w:tc>
                <w:tcPr>
                  <w:tcW w:w="562" w:type="pct"/>
                  <w:vMerge w:val="restart"/>
                  <w:vAlign w:val="center"/>
                </w:tcPr>
                <w:p w14:paraId="789C3F8B">
                  <w:pPr>
                    <w:pStyle w:val="60"/>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间歇排放，流量不稳定，但不属于冲击型排放</w:t>
                  </w:r>
                </w:p>
              </w:tc>
              <w:tc>
                <w:tcPr>
                  <w:tcW w:w="424" w:type="pct"/>
                  <w:vAlign w:val="center"/>
                </w:tcPr>
                <w:p w14:paraId="3B8E8301">
                  <w:pPr>
                    <w:pStyle w:val="60"/>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TW001</w:t>
                  </w:r>
                </w:p>
              </w:tc>
              <w:tc>
                <w:tcPr>
                  <w:tcW w:w="496" w:type="pct"/>
                  <w:vAlign w:val="center"/>
                </w:tcPr>
                <w:p w14:paraId="0DD2C59E">
                  <w:pPr>
                    <w:pStyle w:val="60"/>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三级化粪池</w:t>
                  </w:r>
                </w:p>
              </w:tc>
              <w:tc>
                <w:tcPr>
                  <w:tcW w:w="473" w:type="pct"/>
                  <w:vAlign w:val="center"/>
                </w:tcPr>
                <w:p w14:paraId="08E4FA78">
                  <w:pPr>
                    <w:pStyle w:val="60"/>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化粪池</w:t>
                  </w:r>
                </w:p>
              </w:tc>
              <w:tc>
                <w:tcPr>
                  <w:tcW w:w="331" w:type="pct"/>
                  <w:vMerge w:val="restart"/>
                  <w:vAlign w:val="center"/>
                </w:tcPr>
                <w:p w14:paraId="0BE74259">
                  <w:pPr>
                    <w:pStyle w:val="60"/>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DW001</w:t>
                  </w:r>
                </w:p>
              </w:tc>
              <w:tc>
                <w:tcPr>
                  <w:tcW w:w="489" w:type="pct"/>
                  <w:vMerge w:val="restart"/>
                  <w:vAlign w:val="center"/>
                </w:tcPr>
                <w:p w14:paraId="4EDBEBF4">
                  <w:pPr>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sym w:font="Wingdings 2" w:char="0052"/>
                  </w:r>
                  <w:r>
                    <w:rPr>
                      <w:rFonts w:hint="default" w:ascii="Times New Roman" w:hAnsi="Times New Roman" w:cs="Times New Roman"/>
                      <w:color w:val="auto"/>
                      <w:sz w:val="21"/>
                      <w:szCs w:val="21"/>
                      <w:highlight w:val="none"/>
                    </w:rPr>
                    <w:t>是</w:t>
                  </w:r>
                </w:p>
                <w:p w14:paraId="2AB8DCE5">
                  <w:pPr>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sym w:font="Wingdings 2" w:char="00A3"/>
                  </w:r>
                  <w:r>
                    <w:rPr>
                      <w:rFonts w:hint="default" w:ascii="Times New Roman" w:hAnsi="Times New Roman" w:cs="Times New Roman"/>
                      <w:color w:val="auto"/>
                      <w:sz w:val="21"/>
                      <w:szCs w:val="21"/>
                      <w:highlight w:val="none"/>
                    </w:rPr>
                    <w:t>否</w:t>
                  </w:r>
                </w:p>
              </w:tc>
              <w:tc>
                <w:tcPr>
                  <w:tcW w:w="879" w:type="pct"/>
                  <w:vMerge w:val="restart"/>
                  <w:vAlign w:val="center"/>
                </w:tcPr>
                <w:p w14:paraId="1B5338B9">
                  <w:pPr>
                    <w:keepNext/>
                    <w:keepLines/>
                    <w:pageBreakBefore w:val="0"/>
                    <w:widowControl w:val="0"/>
                    <w:suppressLineNumbers w:val="0"/>
                    <w:kinsoku/>
                    <w:wordWrap/>
                    <w:overflowPunct/>
                    <w:topLinePunct w:val="0"/>
                    <w:autoSpaceDE/>
                    <w:autoSpaceDN/>
                    <w:bidi w:val="0"/>
                    <w:adjustRightInd w:val="0"/>
                    <w:snapToGrid w:val="0"/>
                    <w:spacing w:before="0" w:beforeAutospacing="0" w:after="0" w:afterAutospacing="0" w:line="276" w:lineRule="auto"/>
                    <w:ind w:left="0" w:right="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sym w:font="Wingdings 2" w:char="0052"/>
                  </w:r>
                  <w:r>
                    <w:rPr>
                      <w:rFonts w:hint="default" w:ascii="Times New Roman" w:hAnsi="Times New Roman" w:cs="Times New Roman"/>
                      <w:color w:val="auto"/>
                      <w:sz w:val="21"/>
                      <w:szCs w:val="21"/>
                      <w:highlight w:val="none"/>
                    </w:rPr>
                    <w:t>企业总排</w:t>
                  </w:r>
                </w:p>
                <w:p w14:paraId="133BAEB3">
                  <w:pPr>
                    <w:keepNext/>
                    <w:keepLines/>
                    <w:pageBreakBefore w:val="0"/>
                    <w:widowControl w:val="0"/>
                    <w:suppressLineNumbers w:val="0"/>
                    <w:kinsoku/>
                    <w:wordWrap/>
                    <w:overflowPunct/>
                    <w:topLinePunct w:val="0"/>
                    <w:autoSpaceDE/>
                    <w:autoSpaceDN/>
                    <w:bidi w:val="0"/>
                    <w:adjustRightInd w:val="0"/>
                    <w:snapToGrid w:val="0"/>
                    <w:spacing w:before="0" w:beforeAutospacing="0" w:after="0" w:afterAutospacing="0" w:line="276" w:lineRule="auto"/>
                    <w:ind w:left="0" w:right="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sym w:font="Wingdings 2" w:char="00A3"/>
                  </w:r>
                  <w:r>
                    <w:rPr>
                      <w:rFonts w:hint="default" w:ascii="Times New Roman" w:hAnsi="Times New Roman" w:cs="Times New Roman"/>
                      <w:color w:val="auto"/>
                      <w:sz w:val="21"/>
                      <w:szCs w:val="21"/>
                      <w:highlight w:val="none"/>
                    </w:rPr>
                    <w:t>雨水排放</w:t>
                  </w:r>
                </w:p>
                <w:p w14:paraId="57B236F6">
                  <w:pPr>
                    <w:keepNext/>
                    <w:keepLines/>
                    <w:pageBreakBefore w:val="0"/>
                    <w:widowControl w:val="0"/>
                    <w:suppressLineNumbers w:val="0"/>
                    <w:kinsoku/>
                    <w:wordWrap/>
                    <w:overflowPunct/>
                    <w:topLinePunct w:val="0"/>
                    <w:autoSpaceDE/>
                    <w:autoSpaceDN/>
                    <w:bidi w:val="0"/>
                    <w:adjustRightInd w:val="0"/>
                    <w:snapToGrid w:val="0"/>
                    <w:spacing w:before="0" w:beforeAutospacing="0" w:after="0" w:afterAutospacing="0" w:line="276" w:lineRule="auto"/>
                    <w:ind w:left="0" w:right="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sym w:font="Wingdings 2" w:char="00A3"/>
                  </w:r>
                  <w:r>
                    <w:rPr>
                      <w:rFonts w:hint="default" w:ascii="Times New Roman" w:hAnsi="Times New Roman" w:cs="Times New Roman"/>
                      <w:color w:val="auto"/>
                      <w:sz w:val="21"/>
                      <w:szCs w:val="21"/>
                      <w:highlight w:val="none"/>
                    </w:rPr>
                    <w:t>清净下水排放</w:t>
                  </w:r>
                </w:p>
                <w:p w14:paraId="35F26BCB">
                  <w:pPr>
                    <w:keepNext/>
                    <w:keepLines/>
                    <w:pageBreakBefore w:val="0"/>
                    <w:widowControl w:val="0"/>
                    <w:suppressLineNumbers w:val="0"/>
                    <w:kinsoku/>
                    <w:wordWrap/>
                    <w:overflowPunct/>
                    <w:topLinePunct w:val="0"/>
                    <w:autoSpaceDE/>
                    <w:autoSpaceDN/>
                    <w:bidi w:val="0"/>
                    <w:adjustRightInd w:val="0"/>
                    <w:snapToGrid w:val="0"/>
                    <w:spacing w:before="0" w:beforeAutospacing="0" w:after="0" w:afterAutospacing="0" w:line="276" w:lineRule="auto"/>
                    <w:ind w:left="0" w:right="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sym w:font="Wingdings 2" w:char="00A3"/>
                  </w:r>
                  <w:r>
                    <w:rPr>
                      <w:rFonts w:hint="default" w:ascii="Times New Roman" w:hAnsi="Times New Roman" w:cs="Times New Roman"/>
                      <w:color w:val="auto"/>
                      <w:sz w:val="21"/>
                      <w:szCs w:val="21"/>
                      <w:highlight w:val="none"/>
                    </w:rPr>
                    <w:t>温排水排放</w:t>
                  </w:r>
                </w:p>
                <w:p w14:paraId="68D31296">
                  <w:pPr>
                    <w:keepNext/>
                    <w:keepLines/>
                    <w:pageBreakBefore w:val="0"/>
                    <w:widowControl w:val="0"/>
                    <w:suppressLineNumbers w:val="0"/>
                    <w:kinsoku/>
                    <w:wordWrap/>
                    <w:overflowPunct/>
                    <w:topLinePunct w:val="0"/>
                    <w:autoSpaceDE/>
                    <w:autoSpaceDN/>
                    <w:bidi w:val="0"/>
                    <w:adjustRightInd w:val="0"/>
                    <w:snapToGrid w:val="0"/>
                    <w:spacing w:before="0" w:beforeAutospacing="0" w:after="0" w:afterAutospacing="0" w:line="276" w:lineRule="auto"/>
                    <w:ind w:left="0" w:right="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sym w:font="Wingdings 2" w:char="00A3"/>
                  </w:r>
                  <w:r>
                    <w:rPr>
                      <w:rFonts w:hint="default" w:ascii="Times New Roman" w:hAnsi="Times New Roman" w:cs="Times New Roman"/>
                      <w:color w:val="auto"/>
                      <w:sz w:val="21"/>
                      <w:szCs w:val="21"/>
                      <w:highlight w:val="none"/>
                    </w:rPr>
                    <w:t>车间或车间处理设施排放口</w:t>
                  </w:r>
                </w:p>
              </w:tc>
            </w:tr>
            <w:tr w14:paraId="71CD32B8">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1320" w:hRule="atLeast"/>
                <w:jc w:val="center"/>
              </w:trPr>
              <w:tc>
                <w:tcPr>
                  <w:tcW w:w="334" w:type="pct"/>
                  <w:tcBorders>
                    <w:bottom w:val="single" w:color="auto" w:sz="4" w:space="0"/>
                  </w:tcBorders>
                  <w:vAlign w:val="center"/>
                </w:tcPr>
                <w:p w14:paraId="0CC83A27">
                  <w:pPr>
                    <w:pStyle w:val="60"/>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生产废水</w:t>
                  </w:r>
                </w:p>
              </w:tc>
              <w:tc>
                <w:tcPr>
                  <w:tcW w:w="685" w:type="pct"/>
                  <w:tcBorders>
                    <w:bottom w:val="single" w:color="auto" w:sz="4" w:space="0"/>
                  </w:tcBorders>
                  <w:vAlign w:val="center"/>
                </w:tcPr>
                <w:p w14:paraId="49EE2745">
                  <w:pPr>
                    <w:pStyle w:val="60"/>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pH、COD</w:t>
                  </w:r>
                  <w:r>
                    <w:rPr>
                      <w:rFonts w:hint="default" w:ascii="Times New Roman" w:hAnsi="Times New Roman" w:cs="Times New Roman"/>
                      <w:color w:val="auto"/>
                      <w:kern w:val="2"/>
                      <w:highlight w:val="none"/>
                      <w:vertAlign w:val="subscript"/>
                    </w:rPr>
                    <w:t>Cr</w:t>
                  </w:r>
                  <w:r>
                    <w:rPr>
                      <w:rFonts w:hint="default" w:ascii="Times New Roman" w:hAnsi="Times New Roman" w:cs="Times New Roman"/>
                      <w:color w:val="auto"/>
                      <w:kern w:val="2"/>
                      <w:highlight w:val="none"/>
                    </w:rPr>
                    <w:t>、氨氮</w:t>
                  </w:r>
                  <w:r>
                    <w:rPr>
                      <w:rFonts w:hint="default" w:ascii="Times New Roman" w:hAnsi="Times New Roman" w:cs="Times New Roman"/>
                      <w:color w:val="auto"/>
                      <w:kern w:val="2"/>
                      <w:highlight w:val="none"/>
                      <w:lang w:eastAsia="zh-CN"/>
                    </w:rPr>
                    <w:t>、</w:t>
                  </w:r>
                  <w:r>
                    <w:rPr>
                      <w:rFonts w:hint="default" w:ascii="Times New Roman" w:hAnsi="Times New Roman" w:cs="Times New Roman"/>
                      <w:color w:val="auto"/>
                      <w:kern w:val="2"/>
                      <w:highlight w:val="none"/>
                      <w:lang w:val="en-US" w:eastAsia="zh-CN"/>
                    </w:rPr>
                    <w:t>总氮、石油类、总磷</w:t>
                  </w:r>
                </w:p>
              </w:tc>
              <w:tc>
                <w:tcPr>
                  <w:tcW w:w="324" w:type="pct"/>
                  <w:vMerge w:val="continue"/>
                  <w:tcBorders>
                    <w:bottom w:val="single" w:color="auto" w:sz="4" w:space="0"/>
                  </w:tcBorders>
                  <w:vAlign w:val="center"/>
                </w:tcPr>
                <w:p w14:paraId="039A7734">
                  <w:pPr>
                    <w:pStyle w:val="60"/>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jc w:val="both"/>
                    <w:rPr>
                      <w:rFonts w:hint="default" w:ascii="Times New Roman" w:hAnsi="Times New Roman" w:eastAsia="宋体" w:cs="Times New Roman"/>
                      <w:color w:val="auto"/>
                      <w:kern w:val="2"/>
                      <w:highlight w:val="none"/>
                      <w:lang w:val="en-US" w:eastAsia="zh-CN"/>
                    </w:rPr>
                  </w:pPr>
                </w:p>
              </w:tc>
              <w:tc>
                <w:tcPr>
                  <w:tcW w:w="562" w:type="pct"/>
                  <w:vMerge w:val="continue"/>
                  <w:tcBorders>
                    <w:bottom w:val="single" w:color="auto" w:sz="4" w:space="0"/>
                  </w:tcBorders>
                  <w:vAlign w:val="center"/>
                </w:tcPr>
                <w:p w14:paraId="09DE8B9E">
                  <w:pPr>
                    <w:pStyle w:val="60"/>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color w:val="auto"/>
                      <w:kern w:val="2"/>
                      <w:highlight w:val="none"/>
                    </w:rPr>
                  </w:pPr>
                </w:p>
              </w:tc>
              <w:tc>
                <w:tcPr>
                  <w:tcW w:w="424" w:type="pct"/>
                  <w:tcBorders>
                    <w:bottom w:val="single" w:color="auto" w:sz="4" w:space="0"/>
                  </w:tcBorders>
                  <w:vAlign w:val="center"/>
                </w:tcPr>
                <w:p w14:paraId="7DC01C4E">
                  <w:pPr>
                    <w:pStyle w:val="60"/>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TW002</w:t>
                  </w:r>
                </w:p>
              </w:tc>
              <w:tc>
                <w:tcPr>
                  <w:tcW w:w="496" w:type="pct"/>
                  <w:tcBorders>
                    <w:bottom w:val="single" w:color="auto" w:sz="4" w:space="0"/>
                  </w:tcBorders>
                  <w:vAlign w:val="center"/>
                </w:tcPr>
                <w:p w14:paraId="6FDE731E">
                  <w:pPr>
                    <w:pStyle w:val="60"/>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废水处理站</w:t>
                  </w:r>
                </w:p>
              </w:tc>
              <w:tc>
                <w:tcPr>
                  <w:tcW w:w="473" w:type="pct"/>
                  <w:tcBorders>
                    <w:bottom w:val="single" w:color="auto" w:sz="4" w:space="0"/>
                  </w:tcBorders>
                  <w:vAlign w:val="center"/>
                </w:tcPr>
                <w:p w14:paraId="6C78E844">
                  <w:pPr>
                    <w:pStyle w:val="60"/>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eastAsia="宋体" w:cs="Times New Roman"/>
                      <w:color w:val="auto"/>
                      <w:kern w:val="2"/>
                      <w:highlight w:val="none"/>
                      <w:lang w:eastAsia="zh-CN"/>
                    </w:rPr>
                  </w:pPr>
                  <w:r>
                    <w:rPr>
                      <w:rFonts w:hint="default" w:ascii="Times New Roman" w:hAnsi="Times New Roman" w:cs="Times New Roman"/>
                      <w:color w:val="auto"/>
                      <w:kern w:val="2"/>
                      <w:highlight w:val="none"/>
                      <w:lang w:eastAsia="zh-CN"/>
                    </w:rPr>
                    <w:t>中和</w:t>
                  </w:r>
                  <w:r>
                    <w:rPr>
                      <w:rFonts w:hint="eastAsia" w:cs="Times New Roman"/>
                      <w:color w:val="auto"/>
                      <w:kern w:val="2"/>
                      <w:highlight w:val="none"/>
                      <w:lang w:eastAsia="zh-CN"/>
                    </w:rPr>
                    <w:t>调节+絮凝沉淀+A/O+二沉池+消毒</w:t>
                  </w:r>
                </w:p>
              </w:tc>
              <w:tc>
                <w:tcPr>
                  <w:tcW w:w="331" w:type="pct"/>
                  <w:vMerge w:val="continue"/>
                  <w:tcBorders>
                    <w:bottom w:val="single" w:color="auto" w:sz="4" w:space="0"/>
                  </w:tcBorders>
                  <w:vAlign w:val="center"/>
                </w:tcPr>
                <w:p w14:paraId="1ECEA512">
                  <w:pPr>
                    <w:pStyle w:val="60"/>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eastAsia="宋体" w:cs="Times New Roman"/>
                      <w:color w:val="auto"/>
                      <w:kern w:val="2"/>
                      <w:highlight w:val="none"/>
                      <w:lang w:val="en-US" w:eastAsia="zh-CN"/>
                    </w:rPr>
                  </w:pPr>
                </w:p>
              </w:tc>
              <w:tc>
                <w:tcPr>
                  <w:tcW w:w="489" w:type="pct"/>
                  <w:vMerge w:val="continue"/>
                  <w:tcBorders>
                    <w:bottom w:val="single" w:color="auto" w:sz="4" w:space="0"/>
                  </w:tcBorders>
                  <w:vAlign w:val="center"/>
                </w:tcPr>
                <w:p w14:paraId="25B802D1">
                  <w:pPr>
                    <w:pStyle w:val="60"/>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color w:val="auto"/>
                      <w:kern w:val="2"/>
                      <w:highlight w:val="none"/>
                    </w:rPr>
                  </w:pPr>
                </w:p>
              </w:tc>
              <w:tc>
                <w:tcPr>
                  <w:tcW w:w="879" w:type="pct"/>
                  <w:vMerge w:val="continue"/>
                  <w:tcBorders>
                    <w:bottom w:val="single" w:color="auto" w:sz="4" w:space="0"/>
                  </w:tcBorders>
                  <w:vAlign w:val="center"/>
                </w:tcPr>
                <w:p w14:paraId="0B9A4CFA">
                  <w:pPr>
                    <w:pStyle w:val="60"/>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color w:val="auto"/>
                      <w:kern w:val="2"/>
                      <w:highlight w:val="none"/>
                    </w:rPr>
                  </w:pPr>
                </w:p>
              </w:tc>
            </w:tr>
          </w:tbl>
          <w:p w14:paraId="31A55005">
            <w:pPr>
              <w:keepNext/>
              <w:keepLines/>
              <w:suppressLineNumbers w:val="0"/>
              <w:tabs>
                <w:tab w:val="left" w:pos="0"/>
              </w:tabs>
              <w:spacing w:before="0" w:beforeAutospacing="0" w:after="0" w:afterAutospacing="0"/>
              <w:ind w:left="0" w:right="0" w:firstLine="480" w:firstLineChars="200"/>
              <w:outlineLvl w:val="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5、达标情况分析</w:t>
            </w:r>
          </w:p>
          <w:p w14:paraId="1DBB894B">
            <w:pPr>
              <w:pStyle w:val="6"/>
              <w:widowControl/>
              <w:numPr>
                <w:ilvl w:val="4"/>
                <w:numId w:val="0"/>
              </w:numPr>
              <w:suppressLineNumbers w:val="0"/>
              <w:spacing w:before="0" w:beforeAutospacing="0" w:after="0" w:afterAutospacing="0"/>
              <w:ind w:left="48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（1）可行性技术分析</w:t>
            </w:r>
          </w:p>
          <w:p w14:paraId="3C5CB362">
            <w:pPr>
              <w:pStyle w:val="12"/>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kern w:val="2"/>
                <w:sz w:val="24"/>
                <w:szCs w:val="24"/>
                <w:highlight w:val="none"/>
                <w:lang w:val="en-US" w:eastAsia="zh-CN"/>
              </w:rPr>
            </w:pPr>
            <w:r>
              <w:rPr>
                <w:rFonts w:hint="default" w:ascii="Times New Roman" w:hAnsi="Times New Roman" w:eastAsia="宋体" w:cs="Times New Roman"/>
                <w:color w:val="auto"/>
                <w:sz w:val="24"/>
                <w:szCs w:val="24"/>
                <w:highlight w:val="none"/>
              </w:rPr>
              <w:t>本项目生产过程中废水产生量</w:t>
            </w:r>
            <w:r>
              <w:rPr>
                <w:rFonts w:hint="default" w:ascii="Times New Roman" w:hAnsi="Times New Roman" w:eastAsia="宋体" w:cs="Times New Roman"/>
                <w:color w:val="auto"/>
                <w:kern w:val="2"/>
                <w:sz w:val="24"/>
                <w:szCs w:val="24"/>
                <w:highlight w:val="none"/>
              </w:rPr>
              <w:t>即</w:t>
            </w:r>
            <w:r>
              <w:rPr>
                <w:rFonts w:hint="default" w:ascii="Times New Roman" w:hAnsi="Times New Roman" w:cs="Times New Roman"/>
                <w:color w:val="auto"/>
                <w:kern w:val="2"/>
                <w:sz w:val="24"/>
                <w:szCs w:val="24"/>
                <w:highlight w:val="none"/>
                <w:lang w:val="en-US" w:eastAsia="zh-CN"/>
              </w:rPr>
              <w:t>203.32</w:t>
            </w:r>
            <w:r>
              <w:rPr>
                <w:rFonts w:hint="default" w:ascii="Times New Roman" w:hAnsi="Times New Roman" w:eastAsia="宋体" w:cs="Times New Roman"/>
                <w:color w:val="auto"/>
                <w:kern w:val="2"/>
                <w:sz w:val="24"/>
                <w:szCs w:val="24"/>
                <w:highlight w:val="none"/>
              </w:rPr>
              <w:t>m</w:t>
            </w:r>
            <w:r>
              <w:rPr>
                <w:rFonts w:hint="default" w:ascii="Times New Roman" w:hAnsi="Times New Roman" w:eastAsia="宋体" w:cs="Times New Roman"/>
                <w:color w:val="auto"/>
                <w:kern w:val="2"/>
                <w:sz w:val="24"/>
                <w:szCs w:val="24"/>
                <w:highlight w:val="none"/>
                <w:vertAlign w:val="superscript"/>
              </w:rPr>
              <w:t>3</w:t>
            </w:r>
            <w:r>
              <w:rPr>
                <w:rFonts w:hint="default" w:ascii="Times New Roman" w:hAnsi="Times New Roman" w:eastAsia="宋体" w:cs="Times New Roman"/>
                <w:color w:val="auto"/>
                <w:kern w:val="2"/>
                <w:sz w:val="24"/>
                <w:szCs w:val="24"/>
                <w:highlight w:val="none"/>
              </w:rPr>
              <w:t>/d</w:t>
            </w:r>
            <w:r>
              <w:rPr>
                <w:rFonts w:hint="default" w:ascii="Times New Roman" w:hAnsi="Times New Roman" w:cs="Times New Roman"/>
                <w:color w:val="auto"/>
                <w:kern w:val="2"/>
                <w:sz w:val="24"/>
                <w:szCs w:val="24"/>
                <w:highlight w:val="none"/>
                <w:lang w:eastAsia="zh-CN"/>
              </w:rPr>
              <w:t>（</w:t>
            </w:r>
            <w:r>
              <w:rPr>
                <w:rFonts w:hint="default" w:ascii="Times New Roman" w:hAnsi="Times New Roman" w:cs="Times New Roman"/>
                <w:color w:val="auto"/>
                <w:kern w:val="2"/>
                <w:sz w:val="24"/>
                <w:szCs w:val="24"/>
                <w:highlight w:val="none"/>
                <w:lang w:val="en-US" w:eastAsia="zh-CN"/>
              </w:rPr>
              <w:t>项目</w:t>
            </w:r>
            <w:r>
              <w:rPr>
                <w:rFonts w:hint="default" w:ascii="Times New Roman" w:hAnsi="Times New Roman" w:eastAsia="宋体" w:cs="Times New Roman"/>
                <w:color w:val="auto"/>
                <w:kern w:val="2"/>
                <w:sz w:val="24"/>
                <w:szCs w:val="24"/>
                <w:highlight w:val="none"/>
                <w:lang w:val="en-US" w:eastAsia="zh-CN"/>
              </w:rPr>
              <w:t>年工作时间330天，三班制，每班8小时），则</w:t>
            </w:r>
            <w:r>
              <w:rPr>
                <w:rFonts w:hint="default" w:ascii="Times New Roman" w:hAnsi="Times New Roman" w:cs="Times New Roman"/>
                <w:color w:val="auto"/>
                <w:kern w:val="2"/>
                <w:sz w:val="24"/>
                <w:szCs w:val="24"/>
                <w:highlight w:val="none"/>
                <w:lang w:val="en-US" w:eastAsia="zh-CN"/>
              </w:rPr>
              <w:t>洗料</w:t>
            </w:r>
            <w:r>
              <w:rPr>
                <w:rFonts w:hint="default" w:ascii="Times New Roman" w:hAnsi="Times New Roman" w:eastAsia="宋体" w:cs="Times New Roman"/>
                <w:color w:val="auto"/>
                <w:kern w:val="2"/>
                <w:sz w:val="24"/>
                <w:szCs w:val="24"/>
                <w:highlight w:val="none"/>
              </w:rPr>
              <w:t>废水</w:t>
            </w:r>
            <w:r>
              <w:rPr>
                <w:rFonts w:hint="default" w:ascii="Times New Roman" w:hAnsi="Times New Roman" w:cs="Times New Roman"/>
                <w:color w:val="auto"/>
                <w:kern w:val="2"/>
                <w:sz w:val="24"/>
                <w:szCs w:val="24"/>
                <w:highlight w:val="none"/>
                <w:lang w:val="en-US" w:eastAsia="zh-CN"/>
              </w:rPr>
              <w:t>产生量为8.47</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/h</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通过自建污水处理站</w:t>
            </w:r>
            <w:r>
              <w:rPr>
                <w:rFonts w:hint="default"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污水站24h运行，</w:t>
            </w:r>
            <w:r>
              <w:rPr>
                <w:rFonts w:hint="default" w:ascii="Times New Roman" w:hAnsi="Times New Roman" w:eastAsia="宋体" w:cs="Times New Roman"/>
                <w:color w:val="auto"/>
                <w:sz w:val="24"/>
                <w:szCs w:val="24"/>
                <w:highlight w:val="none"/>
              </w:rPr>
              <w:t>拟设计处理能力</w:t>
            </w:r>
            <w:r>
              <w:rPr>
                <w:rFonts w:hint="default" w:ascii="Times New Roman" w:hAnsi="Times New Roman" w:cs="Times New Roman"/>
                <w:color w:val="auto"/>
                <w:sz w:val="24"/>
                <w:szCs w:val="24"/>
                <w:highlight w:val="none"/>
                <w:lang w:val="en-US" w:eastAsia="zh-CN"/>
              </w:rPr>
              <w:t>250</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d</w:t>
            </w:r>
            <w:r>
              <w:rPr>
                <w:rFonts w:hint="default" w:ascii="Times New Roman" w:hAnsi="Times New Roman" w:eastAsia="宋体" w:cs="Times New Roman"/>
                <w:color w:val="auto"/>
                <w:sz w:val="24"/>
                <w:szCs w:val="24"/>
                <w:highlight w:val="none"/>
              </w:rPr>
              <w:t>，能够满足容积需求。处理工艺：</w:t>
            </w:r>
            <w:r>
              <w:rPr>
                <w:rFonts w:hint="eastAsia" w:cs="Times New Roman"/>
                <w:color w:val="auto"/>
                <w:kern w:val="2"/>
                <w:sz w:val="24"/>
                <w:szCs w:val="24"/>
                <w:highlight w:val="none"/>
                <w:lang w:val="en-US" w:eastAsia="zh-CN"/>
              </w:rPr>
              <w:t>调节+絮凝沉淀+A/O+二沉池+消毒</w:t>
            </w:r>
            <w:r>
              <w:rPr>
                <w:rFonts w:hint="default" w:ascii="Times New Roman" w:hAnsi="Times New Roman" w:eastAsia="宋体" w:cs="Times New Roman"/>
                <w:color w:val="auto"/>
                <w:kern w:val="2"/>
                <w:sz w:val="24"/>
                <w:szCs w:val="24"/>
                <w:highlight w:val="none"/>
                <w:lang w:val="en-US" w:eastAsia="zh-CN"/>
              </w:rPr>
              <w:t>）处理后，</w:t>
            </w:r>
            <w:r>
              <w:rPr>
                <w:rFonts w:hint="default" w:ascii="Times New Roman" w:hAnsi="Times New Roman" w:cs="Times New Roman"/>
                <w:color w:val="auto"/>
                <w:kern w:val="2"/>
                <w:sz w:val="24"/>
                <w:szCs w:val="24"/>
                <w:highlight w:val="none"/>
                <w:lang w:val="en-US" w:eastAsia="zh-CN"/>
              </w:rPr>
              <w:t>194.</w:t>
            </w:r>
            <w:r>
              <w:rPr>
                <w:rFonts w:hint="eastAsia" w:cs="Times New Roman"/>
                <w:color w:val="auto"/>
                <w:kern w:val="2"/>
                <w:sz w:val="24"/>
                <w:szCs w:val="24"/>
                <w:highlight w:val="none"/>
                <w:lang w:val="en-US" w:eastAsia="zh-CN"/>
              </w:rPr>
              <w:t>06</w:t>
            </w:r>
            <w:r>
              <w:rPr>
                <w:rFonts w:hint="default" w:ascii="Times New Roman" w:hAnsi="Times New Roman" w:eastAsia="宋体" w:cs="Times New Roman"/>
                <w:color w:val="auto"/>
                <w:kern w:val="2"/>
                <w:sz w:val="24"/>
                <w:szCs w:val="24"/>
                <w:highlight w:val="none"/>
              </w:rPr>
              <w:t>m</w:t>
            </w:r>
            <w:r>
              <w:rPr>
                <w:rFonts w:hint="default" w:ascii="Times New Roman" w:hAnsi="Times New Roman" w:eastAsia="宋体" w:cs="Times New Roman"/>
                <w:color w:val="auto"/>
                <w:kern w:val="2"/>
                <w:sz w:val="24"/>
                <w:szCs w:val="24"/>
                <w:highlight w:val="none"/>
                <w:vertAlign w:val="superscript"/>
              </w:rPr>
              <w:t>3</w:t>
            </w:r>
            <w:r>
              <w:rPr>
                <w:rFonts w:hint="default" w:ascii="Times New Roman" w:hAnsi="Times New Roman" w:eastAsia="宋体" w:cs="Times New Roman"/>
                <w:color w:val="auto"/>
                <w:kern w:val="2"/>
                <w:sz w:val="24"/>
                <w:szCs w:val="24"/>
                <w:highlight w:val="none"/>
              </w:rPr>
              <w:t>/d</w:t>
            </w:r>
            <w:r>
              <w:rPr>
                <w:rFonts w:hint="default" w:ascii="Times New Roman" w:hAnsi="Times New Roman" w:eastAsia="宋体" w:cs="Times New Roman"/>
                <w:color w:val="auto"/>
                <w:kern w:val="2"/>
                <w:sz w:val="24"/>
                <w:szCs w:val="24"/>
                <w:highlight w:val="none"/>
                <w:lang w:val="en-US" w:eastAsia="zh-CN"/>
              </w:rPr>
              <w:t>回用于</w:t>
            </w:r>
            <w:r>
              <w:rPr>
                <w:rFonts w:hint="default" w:ascii="Times New Roman" w:hAnsi="Times New Roman" w:cs="Times New Roman"/>
                <w:color w:val="auto"/>
                <w:kern w:val="2"/>
                <w:sz w:val="24"/>
                <w:szCs w:val="24"/>
                <w:highlight w:val="none"/>
                <w:lang w:val="en-US" w:eastAsia="zh-CN"/>
              </w:rPr>
              <w:t>生产</w:t>
            </w:r>
            <w:r>
              <w:rPr>
                <w:rFonts w:hint="default" w:ascii="Times New Roman" w:hAnsi="Times New Roman" w:eastAsia="宋体" w:cs="Times New Roman"/>
                <w:color w:val="auto"/>
                <w:kern w:val="2"/>
                <w:sz w:val="24"/>
                <w:szCs w:val="24"/>
                <w:highlight w:val="none"/>
                <w:lang w:val="en-US" w:eastAsia="zh-CN"/>
              </w:rPr>
              <w:t>原料清洗、湿法破碎生产工序</w:t>
            </w:r>
            <w:r>
              <w:rPr>
                <w:rFonts w:hint="default" w:ascii="Times New Roman" w:hAnsi="Times New Roman" w:cs="Times New Roman"/>
                <w:color w:val="auto"/>
                <w:kern w:val="2"/>
                <w:sz w:val="24"/>
                <w:szCs w:val="24"/>
                <w:highlight w:val="none"/>
                <w:lang w:val="en-US" w:eastAsia="zh-CN"/>
              </w:rPr>
              <w:t>，9</w:t>
            </w:r>
            <w:r>
              <w:rPr>
                <w:rFonts w:hint="default" w:ascii="Times New Roman" w:hAnsi="Times New Roman" w:eastAsia="宋体" w:cs="Times New Roman"/>
                <w:color w:val="auto"/>
                <w:kern w:val="2"/>
                <w:sz w:val="24"/>
                <w:szCs w:val="24"/>
                <w:highlight w:val="none"/>
              </w:rPr>
              <w:t>m</w:t>
            </w:r>
            <w:r>
              <w:rPr>
                <w:rFonts w:hint="default" w:ascii="Times New Roman" w:hAnsi="Times New Roman" w:eastAsia="宋体" w:cs="Times New Roman"/>
                <w:color w:val="auto"/>
                <w:kern w:val="2"/>
                <w:sz w:val="24"/>
                <w:szCs w:val="24"/>
                <w:highlight w:val="none"/>
                <w:vertAlign w:val="superscript"/>
              </w:rPr>
              <w:t>3</w:t>
            </w:r>
            <w:r>
              <w:rPr>
                <w:rFonts w:hint="default" w:ascii="Times New Roman" w:hAnsi="Times New Roman" w:eastAsia="宋体" w:cs="Times New Roman"/>
                <w:color w:val="auto"/>
                <w:kern w:val="2"/>
                <w:sz w:val="24"/>
                <w:szCs w:val="24"/>
                <w:highlight w:val="none"/>
              </w:rPr>
              <w:t>/d</w:t>
            </w:r>
            <w:r>
              <w:rPr>
                <w:rFonts w:hint="default" w:ascii="Times New Roman" w:hAnsi="Times New Roman" w:cs="Times New Roman"/>
                <w:color w:val="auto"/>
                <w:kern w:val="2"/>
                <w:sz w:val="24"/>
                <w:szCs w:val="24"/>
                <w:highlight w:val="none"/>
                <w:lang w:val="en-US" w:eastAsia="zh-CN"/>
              </w:rPr>
              <w:t>送至园区污水处理厂进一步处理</w:t>
            </w:r>
            <w:r>
              <w:rPr>
                <w:rFonts w:hint="default" w:ascii="Times New Roman" w:hAnsi="Times New Roman" w:eastAsia="宋体" w:cs="Times New Roman"/>
                <w:color w:val="auto"/>
                <w:kern w:val="2"/>
                <w:sz w:val="24"/>
                <w:szCs w:val="24"/>
                <w:highlight w:val="none"/>
                <w:lang w:val="en-US" w:eastAsia="zh-CN"/>
              </w:rPr>
              <w:t>。</w:t>
            </w:r>
          </w:p>
          <w:p w14:paraId="54176638">
            <w:pPr>
              <w:pStyle w:val="12"/>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kern w:val="2"/>
                <w:sz w:val="24"/>
                <w:szCs w:val="24"/>
                <w:highlight w:val="none"/>
                <w:lang w:val="en-US" w:eastAsia="zh-CN"/>
              </w:rPr>
            </w:pPr>
            <w:r>
              <w:rPr>
                <w:rFonts w:hint="default" w:ascii="Times New Roman" w:hAnsi="Times New Roman" w:eastAsia="宋体" w:cs="Times New Roman"/>
                <w:color w:val="auto"/>
                <w:kern w:val="2"/>
                <w:sz w:val="24"/>
                <w:szCs w:val="24"/>
                <w:highlight w:val="none"/>
                <w:lang w:val="en-US" w:eastAsia="zh-CN"/>
              </w:rPr>
              <w:t>污水处理工艺流程：</w:t>
            </w:r>
          </w:p>
          <w:p w14:paraId="40980FE3">
            <w:pPr>
              <w:pStyle w:val="12"/>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kern w:val="2"/>
                <w:sz w:val="24"/>
                <w:szCs w:val="24"/>
                <w:highlight w:val="none"/>
                <w:lang w:val="en-US" w:eastAsia="zh-CN"/>
              </w:rPr>
            </w:pPr>
            <w:r>
              <w:rPr>
                <w:rFonts w:hint="default" w:ascii="Times New Roman" w:hAnsi="Times New Roman" w:eastAsia="宋体" w:cs="Times New Roman"/>
                <w:color w:val="auto"/>
                <w:kern w:val="2"/>
                <w:sz w:val="24"/>
                <w:szCs w:val="24"/>
                <w:highlight w:val="none"/>
                <w:lang w:val="en-US" w:eastAsia="zh-CN"/>
              </w:rPr>
              <w:t>A.格栅</w:t>
            </w:r>
          </w:p>
          <w:p w14:paraId="4D34C1A6">
            <w:pPr>
              <w:pStyle w:val="12"/>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kern w:val="2"/>
                <w:sz w:val="24"/>
                <w:szCs w:val="24"/>
                <w:highlight w:val="none"/>
                <w:lang w:val="en-US" w:eastAsia="zh-CN"/>
              </w:rPr>
            </w:pPr>
            <w:r>
              <w:rPr>
                <w:rFonts w:hint="default" w:ascii="Times New Roman" w:hAnsi="Times New Roman" w:cs="Times New Roman"/>
                <w:color w:val="auto"/>
                <w:kern w:val="2"/>
                <w:sz w:val="24"/>
                <w:szCs w:val="24"/>
                <w:highlight w:val="none"/>
                <w:lang w:val="en-US" w:eastAsia="zh-CN"/>
              </w:rPr>
              <w:t>包括粗格栅和细格栅。</w:t>
            </w:r>
            <w:r>
              <w:rPr>
                <w:rFonts w:hint="default" w:ascii="Times New Roman" w:hAnsi="Times New Roman" w:eastAsia="宋体" w:cs="Times New Roman"/>
                <w:color w:val="auto"/>
                <w:kern w:val="2"/>
                <w:sz w:val="24"/>
                <w:szCs w:val="24"/>
                <w:highlight w:val="none"/>
                <w:lang w:val="en-US" w:eastAsia="zh-CN"/>
              </w:rPr>
              <w:t>粗格栅是用来去除可能堵塞水泵机组及管道阀门的较粗大悬浮物，并保证后续处理设施能正常运行。粗格栅是由一组(或多组)相平行的金属栅条与框架组成，倾斜安装在进水的渠道，或进水泵站集水井的进口处，以拦截污水中粗大的悬浮物及杂质。细格栅是一种可连续清除流体中杂物的固液分离设备，进一步去除水中的漂浮物质。</w:t>
            </w:r>
          </w:p>
          <w:p w14:paraId="480DD7E4">
            <w:pPr>
              <w:pStyle w:val="12"/>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kern w:val="2"/>
                <w:sz w:val="24"/>
                <w:szCs w:val="24"/>
                <w:highlight w:val="none"/>
                <w:lang w:val="en-US" w:eastAsia="zh-CN"/>
              </w:rPr>
            </w:pPr>
            <w:r>
              <w:rPr>
                <w:rFonts w:hint="default" w:ascii="Times New Roman" w:hAnsi="Times New Roman" w:cs="Times New Roman"/>
                <w:color w:val="auto"/>
                <w:kern w:val="2"/>
                <w:sz w:val="24"/>
                <w:szCs w:val="24"/>
                <w:highlight w:val="none"/>
                <w:lang w:val="en-US" w:eastAsia="zh-CN"/>
              </w:rPr>
              <w:t>B</w:t>
            </w:r>
            <w:r>
              <w:rPr>
                <w:rFonts w:hint="default" w:ascii="Times New Roman" w:hAnsi="Times New Roman" w:eastAsia="宋体" w:cs="Times New Roman"/>
                <w:color w:val="auto"/>
                <w:kern w:val="2"/>
                <w:sz w:val="24"/>
                <w:szCs w:val="24"/>
                <w:highlight w:val="none"/>
                <w:lang w:val="en-US" w:eastAsia="zh-CN"/>
              </w:rPr>
              <w:t>.调节池</w:t>
            </w:r>
          </w:p>
          <w:p w14:paraId="1289896D">
            <w:pPr>
              <w:pStyle w:val="12"/>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kern w:val="2"/>
                <w:sz w:val="24"/>
                <w:szCs w:val="24"/>
                <w:highlight w:val="none"/>
                <w:lang w:val="en-US" w:eastAsia="zh-CN"/>
              </w:rPr>
            </w:pPr>
            <w:r>
              <w:rPr>
                <w:rFonts w:hint="default" w:ascii="Times New Roman" w:hAnsi="Times New Roman" w:eastAsia="宋体" w:cs="Times New Roman"/>
                <w:color w:val="auto"/>
                <w:kern w:val="2"/>
                <w:sz w:val="24"/>
                <w:szCs w:val="24"/>
                <w:highlight w:val="none"/>
                <w:lang w:val="en-US" w:eastAsia="zh-CN"/>
              </w:rPr>
              <w:t>为了使管渠和构筑物正常工作，不受废水高峰流量或浓度变化的影响，需在废水处理设施之前设置调节池。调节池主要有调节水量、均衡水质和预处理三大作用。</w:t>
            </w:r>
          </w:p>
          <w:p w14:paraId="100E6FCA">
            <w:pPr>
              <w:pStyle w:val="12"/>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kern w:val="2"/>
                <w:sz w:val="24"/>
                <w:szCs w:val="24"/>
                <w:highlight w:val="none"/>
                <w:lang w:val="en-US" w:eastAsia="zh-CN"/>
              </w:rPr>
            </w:pPr>
            <w:r>
              <w:rPr>
                <w:rFonts w:hint="default" w:ascii="Times New Roman" w:hAnsi="Times New Roman" w:cs="Times New Roman"/>
                <w:color w:val="auto"/>
                <w:kern w:val="2"/>
                <w:sz w:val="24"/>
                <w:szCs w:val="24"/>
                <w:highlight w:val="none"/>
                <w:lang w:val="en-US" w:eastAsia="zh-CN"/>
              </w:rPr>
              <w:t>C</w:t>
            </w:r>
            <w:r>
              <w:rPr>
                <w:rFonts w:hint="default" w:ascii="Times New Roman" w:hAnsi="Times New Roman" w:eastAsia="宋体" w:cs="Times New Roman"/>
                <w:color w:val="auto"/>
                <w:kern w:val="2"/>
                <w:sz w:val="24"/>
                <w:szCs w:val="24"/>
                <w:highlight w:val="none"/>
                <w:lang w:val="en-US" w:eastAsia="zh-CN"/>
              </w:rPr>
              <w:t>.混凝沉淀池</w:t>
            </w:r>
          </w:p>
          <w:p w14:paraId="5F8B83B1">
            <w:pPr>
              <w:pStyle w:val="12"/>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kern w:val="2"/>
                <w:sz w:val="24"/>
                <w:szCs w:val="24"/>
                <w:highlight w:val="none"/>
                <w:lang w:val="en-US" w:eastAsia="zh-CN"/>
              </w:rPr>
            </w:pPr>
            <w:r>
              <w:rPr>
                <w:rFonts w:hint="default" w:ascii="Times New Roman" w:hAnsi="Times New Roman" w:eastAsia="宋体" w:cs="Times New Roman"/>
                <w:color w:val="auto"/>
                <w:kern w:val="2"/>
                <w:sz w:val="24"/>
                <w:szCs w:val="24"/>
                <w:highlight w:val="none"/>
                <w:lang w:val="en-US" w:eastAsia="zh-CN"/>
              </w:rPr>
              <w:t>混凝沉淀池通过向水中投加一些药剂(通常称为混凝剂及助凝剂)，使水中难以沉淀的颗粒能互相聚合而形成胶体，然后与水体中的杂质结合形成更大的絮凝体。凝体具有强大吸附力，不仅能吸附悬浮物，还能吸附部分细菌和溶解性物质。絮体通过吸附，体积增大而下沉。</w:t>
            </w:r>
          </w:p>
          <w:p w14:paraId="3B39ACB3">
            <w:pPr>
              <w:pStyle w:val="12"/>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kern w:val="2"/>
                <w:sz w:val="24"/>
                <w:szCs w:val="24"/>
                <w:highlight w:val="none"/>
                <w:lang w:val="en-US" w:eastAsia="zh-CN"/>
              </w:rPr>
            </w:pPr>
            <w:r>
              <w:rPr>
                <w:rFonts w:hint="default" w:ascii="Times New Roman" w:hAnsi="Times New Roman" w:cs="Times New Roman"/>
                <w:color w:val="auto"/>
                <w:kern w:val="2"/>
                <w:sz w:val="24"/>
                <w:szCs w:val="24"/>
                <w:highlight w:val="none"/>
                <w:lang w:val="en-US" w:eastAsia="zh-CN"/>
              </w:rPr>
              <w:t>D</w:t>
            </w:r>
            <w:r>
              <w:rPr>
                <w:rFonts w:hint="default" w:ascii="Times New Roman" w:hAnsi="Times New Roman" w:eastAsia="宋体" w:cs="Times New Roman"/>
                <w:color w:val="auto"/>
                <w:kern w:val="2"/>
                <w:sz w:val="24"/>
                <w:szCs w:val="24"/>
                <w:highlight w:val="none"/>
                <w:lang w:val="en-US" w:eastAsia="zh-CN"/>
              </w:rPr>
              <w:t>.A/O</w:t>
            </w:r>
          </w:p>
          <w:p w14:paraId="79DBF6D9">
            <w:pPr>
              <w:pStyle w:val="12"/>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kern w:val="2"/>
                <w:sz w:val="24"/>
                <w:szCs w:val="24"/>
                <w:highlight w:val="none"/>
                <w:lang w:val="en-US" w:eastAsia="zh-CN"/>
              </w:rPr>
            </w:pPr>
            <w:r>
              <w:rPr>
                <w:rFonts w:hint="default" w:ascii="Times New Roman" w:hAnsi="Times New Roman" w:eastAsia="宋体" w:cs="Times New Roman"/>
                <w:color w:val="auto"/>
                <w:kern w:val="2"/>
                <w:sz w:val="24"/>
                <w:szCs w:val="24"/>
                <w:highlight w:val="none"/>
                <w:lang w:val="en-US" w:eastAsia="zh-CN"/>
              </w:rPr>
              <w:t>A/O生物脱氮工艺是由缺氧和好氧两部分反应组成的污水生物处理系统。污水进入缺氧池后，依次经历缺氧反硝化、好氧去有机物和硝化的阶段，流程的特点是前置反硝化，硝化后部分出水回流到反硝化池，以提供硝酸盐。除了使有机污染物得到降解之外，还具有一定的脱氮除磷功能。</w:t>
            </w:r>
          </w:p>
          <w:p w14:paraId="2591CA9C">
            <w:pPr>
              <w:pStyle w:val="12"/>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kern w:val="2"/>
                <w:sz w:val="24"/>
                <w:szCs w:val="24"/>
                <w:highlight w:val="none"/>
                <w:lang w:val="en-US" w:eastAsia="zh-CN"/>
              </w:rPr>
            </w:pPr>
            <w:r>
              <w:rPr>
                <w:rFonts w:hint="default" w:ascii="Times New Roman" w:hAnsi="Times New Roman" w:eastAsia="宋体" w:cs="Times New Roman"/>
                <w:color w:val="auto"/>
                <w:kern w:val="2"/>
                <w:sz w:val="24"/>
                <w:szCs w:val="24"/>
                <w:highlight w:val="none"/>
                <w:lang w:val="en-US" w:eastAsia="zh-CN"/>
              </w:rPr>
              <w:t>缺氧池在前，污水中的有机碳被反硝化菌所利用，可减轻其后好氧池的有机负荷反硝化反应产生的碱度可以补偿好氧池中进行硝化反应对碱度的需求。好氧在缺氧池之后，可以使反硝化残留的有机污染物得到进一步去除，提高出水水质。</w:t>
            </w:r>
          </w:p>
          <w:p w14:paraId="64203F50">
            <w:pPr>
              <w:pStyle w:val="12"/>
              <w:keepNext w:val="0"/>
              <w:keepLines w:val="0"/>
              <w:suppressLineNumbers w:val="0"/>
              <w:spacing w:before="0" w:beforeAutospacing="0" w:after="0" w:afterAutospacing="0" w:line="360" w:lineRule="auto"/>
              <w:ind w:left="0" w:right="0" w:firstLine="480" w:firstLineChars="200"/>
              <w:rPr>
                <w:rFonts w:hint="eastAsia" w:cs="Times New Roman"/>
                <w:color w:val="auto"/>
                <w:kern w:val="2"/>
                <w:sz w:val="24"/>
                <w:szCs w:val="24"/>
                <w:highlight w:val="none"/>
                <w:lang w:val="en-US" w:eastAsia="zh-CN"/>
              </w:rPr>
            </w:pPr>
            <w:r>
              <w:rPr>
                <w:rFonts w:hint="eastAsia" w:cs="Times New Roman"/>
                <w:color w:val="auto"/>
                <w:kern w:val="2"/>
                <w:sz w:val="24"/>
                <w:szCs w:val="24"/>
                <w:highlight w:val="none"/>
                <w:lang w:val="en-US" w:eastAsia="zh-CN"/>
              </w:rPr>
              <w:t>E.二沉池</w:t>
            </w:r>
          </w:p>
          <w:p w14:paraId="3A1993BE">
            <w:pPr>
              <w:pStyle w:val="12"/>
              <w:keepNext w:val="0"/>
              <w:keepLines w:val="0"/>
              <w:suppressLineNumbers w:val="0"/>
              <w:spacing w:before="0" w:beforeAutospacing="0" w:after="0" w:afterAutospacing="0" w:line="360" w:lineRule="auto"/>
              <w:ind w:left="0" w:right="0" w:firstLine="480" w:firstLineChars="200"/>
              <w:rPr>
                <w:rFonts w:hint="eastAsia" w:cs="Times New Roman"/>
                <w:color w:val="auto"/>
                <w:kern w:val="2"/>
                <w:sz w:val="24"/>
                <w:szCs w:val="24"/>
                <w:highlight w:val="none"/>
                <w:lang w:val="en-US" w:eastAsia="zh-CN"/>
              </w:rPr>
            </w:pPr>
            <w:r>
              <w:rPr>
                <w:rFonts w:hint="eastAsia" w:cs="Times New Roman"/>
                <w:color w:val="auto"/>
                <w:kern w:val="2"/>
                <w:sz w:val="24"/>
                <w:szCs w:val="24"/>
                <w:highlight w:val="none"/>
                <w:lang w:val="en-US" w:eastAsia="zh-CN"/>
              </w:rPr>
              <w:t>经过生化处理的混合液（泥+水）流入二沉池。池内水流速度被设计得非常缓慢（处于层流状态），利用重力作用，密度比水大的活性污泥颗粒会自然下沉到池底。上层的清水则变得澄清，从池子四周的溢流堰流出，进入下一道工序（通常是消毒池）。</w:t>
            </w:r>
          </w:p>
          <w:p w14:paraId="1BB132D2">
            <w:pPr>
              <w:pStyle w:val="12"/>
              <w:keepNext w:val="0"/>
              <w:keepLines w:val="0"/>
              <w:suppressLineNumbers w:val="0"/>
              <w:spacing w:before="0" w:beforeAutospacing="0" w:after="0" w:afterAutospacing="0" w:line="360" w:lineRule="auto"/>
              <w:ind w:left="0" w:right="0" w:firstLine="480" w:firstLineChars="200"/>
              <w:rPr>
                <w:rFonts w:hint="eastAsia" w:cs="Times New Roman"/>
                <w:color w:val="auto"/>
                <w:kern w:val="2"/>
                <w:sz w:val="24"/>
                <w:szCs w:val="24"/>
                <w:highlight w:val="none"/>
                <w:lang w:val="en-US" w:eastAsia="zh-CN"/>
              </w:rPr>
            </w:pPr>
            <w:r>
              <w:rPr>
                <w:rFonts w:hint="eastAsia" w:cs="Times New Roman"/>
                <w:color w:val="auto"/>
                <w:kern w:val="2"/>
                <w:sz w:val="24"/>
                <w:szCs w:val="24"/>
                <w:highlight w:val="none"/>
                <w:lang w:val="en-US" w:eastAsia="zh-CN"/>
              </w:rPr>
              <w:t>二沉池的一个重要功能是将沉到池底的污泥进行浓缩。绝大部分浓缩后的污泥通过泵送回生物反应池（前端），称为回流污泥，以维持系统中足够的微生物浓度。多余的一部分污泥（剩余污泥）会被排入污泥池进行进一步处理。由于石油类物质往往吸附在污泥絮体上，或者形成密度较轻的浮渣层，因此随着污泥的沉淀和浮渣的撇除，石油类物质被大幅去除。二沉池通常能去除水中 80%～95% 的悬浮油和乳化油，整体生物除磷效率可达 50%～70%。去除的物质：主要去除的是悬浮固体（SS）、吸附在污泥上的有机物以及部分吸附了磷的污泥。</w:t>
            </w:r>
          </w:p>
          <w:p w14:paraId="5620CF61">
            <w:pPr>
              <w:pStyle w:val="12"/>
              <w:keepNext w:val="0"/>
              <w:keepLines w:val="0"/>
              <w:numPr>
                <w:ilvl w:val="0"/>
                <w:numId w:val="10"/>
              </w:numPr>
              <w:suppressLineNumbers w:val="0"/>
              <w:spacing w:before="0" w:beforeAutospacing="0" w:after="0" w:afterAutospacing="0" w:line="360" w:lineRule="auto"/>
              <w:ind w:left="0" w:right="0" w:firstLine="480" w:firstLineChars="200"/>
              <w:rPr>
                <w:rFonts w:hint="eastAsia" w:cs="Times New Roman"/>
                <w:color w:val="auto"/>
                <w:kern w:val="2"/>
                <w:sz w:val="24"/>
                <w:szCs w:val="24"/>
                <w:highlight w:val="none"/>
                <w:lang w:val="en-US" w:eastAsia="zh-CN"/>
              </w:rPr>
            </w:pPr>
            <w:r>
              <w:rPr>
                <w:rFonts w:hint="eastAsia" w:cs="Times New Roman"/>
                <w:color w:val="auto"/>
                <w:kern w:val="2"/>
                <w:sz w:val="24"/>
                <w:szCs w:val="24"/>
                <w:highlight w:val="none"/>
                <w:lang w:val="en-US" w:eastAsia="zh-CN"/>
              </w:rPr>
              <w:t>消毒池</w:t>
            </w:r>
          </w:p>
          <w:p w14:paraId="40055A10">
            <w:pPr>
              <w:pStyle w:val="12"/>
              <w:keepNext w:val="0"/>
              <w:keepLines w:val="0"/>
              <w:numPr>
                <w:ilvl w:val="0"/>
                <w:numId w:val="0"/>
              </w:numPr>
              <w:suppressLineNumbers w:val="0"/>
              <w:spacing w:before="0" w:beforeAutospacing="0" w:after="0" w:afterAutospacing="0" w:line="360" w:lineRule="auto"/>
              <w:ind w:left="0" w:right="0" w:rightChars="0" w:firstLine="480" w:firstLineChars="200"/>
              <w:rPr>
                <w:rFonts w:hint="eastAsia" w:cs="Times New Roman"/>
                <w:color w:val="auto"/>
                <w:kern w:val="2"/>
                <w:sz w:val="24"/>
                <w:szCs w:val="24"/>
                <w:highlight w:val="none"/>
                <w:lang w:val="en-US" w:eastAsia="zh-CN"/>
              </w:rPr>
            </w:pPr>
            <w:r>
              <w:rPr>
                <w:rFonts w:hint="eastAsia" w:cs="Times New Roman"/>
                <w:color w:val="auto"/>
                <w:kern w:val="2"/>
                <w:sz w:val="24"/>
                <w:szCs w:val="24"/>
                <w:highlight w:val="none"/>
                <w:lang w:val="en-US" w:eastAsia="zh-CN"/>
              </w:rPr>
              <w:t>加氯消毒（如次氯酸钠、二氧化氯、液氯）： 消毒剂溶于水后，会产生具有强氧化性的次氯酸（HClO）。作用机制： 次氯酸分子体积小，电荷中性，容易穿透微生物的细胞壁/细胞膜，破坏其体内的酶系统（氧化酶）或遗传物质，从而导致微生物死亡（灭活）。主要去除的是细菌总数、大肠杆菌群、病原微生物。</w:t>
            </w:r>
          </w:p>
          <w:p w14:paraId="11A1C665">
            <w:pPr>
              <w:pStyle w:val="11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Chars="0" w:right="0"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val="en-US" w:eastAsia="zh-CN"/>
              </w:rPr>
              <w:t>根据《排放源统计调查产排污核算方法和系数手册》，本项目适用的废水治理技术为“</w:t>
            </w:r>
            <w:r>
              <w:rPr>
                <w:rFonts w:hint="eastAsia" w:ascii="宋体" w:hAnsi="宋体" w:eastAsia="宋体" w:cs="宋体"/>
                <w:color w:val="auto"/>
                <w:sz w:val="24"/>
                <w:szCs w:val="24"/>
                <w:highlight w:val="none"/>
              </w:rPr>
              <w:t>物理处理法 +好氧生物处理法</w:t>
            </w:r>
            <w:r>
              <w:rPr>
                <w:rFonts w:hint="eastAsia" w:ascii="宋体" w:hAnsi="宋体" w:eastAsia="宋体" w:cs="宋体"/>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同时</w:t>
            </w:r>
            <w:r>
              <w:rPr>
                <w:rFonts w:hint="eastAsia" w:cs="Times New Roman"/>
                <w:color w:val="auto"/>
                <w:sz w:val="24"/>
                <w:szCs w:val="24"/>
                <w:highlight w:val="none"/>
                <w:lang w:val="en-US" w:eastAsia="zh-CN"/>
              </w:rPr>
              <w:t>对照</w:t>
            </w:r>
            <w:r>
              <w:rPr>
                <w:rFonts w:hint="default" w:ascii="Times New Roman" w:hAnsi="Times New Roman" w:eastAsia="宋体" w:cs="Times New Roman"/>
                <w:color w:val="auto"/>
                <w:sz w:val="24"/>
                <w:szCs w:val="24"/>
                <w:highlight w:val="none"/>
              </w:rPr>
              <w:t>《排污许可证申请与核发技术规范</w:t>
            </w:r>
            <w:r>
              <w:rPr>
                <w:rFonts w:hint="default"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废弃资源加工工业》 （HJ1034-2019）附表A.2废弃资源加工工业排污单位废水污染防治可行技术参考表中废塑料综合废水处理可行性技术</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本项目使用</w:t>
            </w:r>
            <w:r>
              <w:rPr>
                <w:rFonts w:hint="eastAsia" w:cs="Times New Roman"/>
                <w:color w:val="auto"/>
                <w:sz w:val="24"/>
                <w:szCs w:val="24"/>
                <w:highlight w:val="none"/>
                <w:lang w:eastAsia="zh-CN"/>
              </w:rPr>
              <w:t>“调节+絮凝沉淀+A/O+二沉池+消毒”</w:t>
            </w:r>
            <w:r>
              <w:rPr>
                <w:rFonts w:hint="default" w:ascii="Times New Roman" w:hAnsi="Times New Roman" w:eastAsia="宋体" w:cs="Times New Roman"/>
                <w:color w:val="auto"/>
                <w:sz w:val="24"/>
                <w:szCs w:val="24"/>
                <w:highlight w:val="none"/>
              </w:rPr>
              <w:t>处理技术是可行的。</w:t>
            </w:r>
          </w:p>
          <w:p w14:paraId="63E74968">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drawing>
                <wp:inline distT="0" distB="0" distL="0" distR="0">
                  <wp:extent cx="5491480" cy="2808605"/>
                  <wp:effectExtent l="0" t="0" r="13970" b="10795"/>
                  <wp:docPr id="1030" name="图片 50" descr="ddd61d87886a5215ae08860324ec74a5~tplv-be4g95zd3a-image (1)"/>
                  <wp:cNvGraphicFramePr/>
                  <a:graphic xmlns:a="http://schemas.openxmlformats.org/drawingml/2006/main">
                    <a:graphicData uri="http://schemas.openxmlformats.org/drawingml/2006/picture">
                      <pic:pic xmlns:pic="http://schemas.openxmlformats.org/drawingml/2006/picture">
                        <pic:nvPicPr>
                          <pic:cNvPr id="1030" name="图片 50" descr="ddd61d87886a5215ae08860324ec74a5~tplv-be4g95zd3a-image (1)"/>
                          <pic:cNvPicPr/>
                        </pic:nvPicPr>
                        <pic:blipFill>
                          <a:blip r:embed="rId15" cstate="print"/>
                          <a:srcRect/>
                          <a:stretch>
                            <a:fillRect/>
                          </a:stretch>
                        </pic:blipFill>
                        <pic:spPr>
                          <a:xfrm>
                            <a:off x="0" y="0"/>
                            <a:ext cx="5491480" cy="2808605"/>
                          </a:xfrm>
                          <a:prstGeom prst="rect">
                            <a:avLst/>
                          </a:prstGeom>
                        </pic:spPr>
                      </pic:pic>
                    </a:graphicData>
                  </a:graphic>
                </wp:inline>
              </w:drawing>
            </w:r>
          </w:p>
          <w:p w14:paraId="64BBA41D">
            <w:pPr>
              <w:keepNext/>
              <w:keepLines/>
              <w:pageBreakBefore w:val="0"/>
              <w:widowControl w:val="0"/>
              <w:numPr>
                <w:ilvl w:val="0"/>
                <w:numId w:val="11"/>
              </w:numPr>
              <w:suppressLineNumbers w:val="0"/>
              <w:kinsoku/>
              <w:wordWrap/>
              <w:overflowPunct/>
              <w:topLinePunct w:val="0"/>
              <w:bidi w:val="0"/>
              <w:snapToGrid w:val="0"/>
              <w:spacing w:before="0" w:beforeAutospacing="0" w:after="0" w:afterAutospacing="0"/>
              <w:ind w:left="0" w:leftChars="0" w:right="0" w:firstLine="0" w:firstLineChars="0"/>
              <w:jc w:val="center"/>
              <w:textAlignment w:val="auto"/>
              <w:outlineLvl w:val="3"/>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项目生产废水处理流程图</w:t>
            </w:r>
          </w:p>
          <w:p w14:paraId="567A4A5E">
            <w:pPr>
              <w:keepNext/>
              <w:keepLines/>
              <w:numPr>
                <w:ilvl w:val="0"/>
                <w:numId w:val="0"/>
              </w:numPr>
              <w:suppressLineNumbers w:val="0"/>
              <w:tabs>
                <w:tab w:val="left" w:pos="0"/>
              </w:tabs>
              <w:spacing w:before="0" w:beforeAutospacing="0" w:after="0" w:afterAutospacing="0"/>
              <w:ind w:left="0" w:leftChars="0" w:right="0" w:rightChars="0" w:firstLine="40" w:firstLineChars="0"/>
              <w:jc w:val="center"/>
              <w:outlineLvl w:val="3"/>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bCs/>
                <w:color w:val="auto"/>
                <w:kern w:val="2"/>
                <w:sz w:val="21"/>
                <w:szCs w:val="21"/>
                <w:highlight w:val="none"/>
                <w:lang w:val="en-US" w:eastAsia="zh-CN" w:bidi="ar-SA"/>
              </w:rPr>
              <w:t>表4-</w:t>
            </w:r>
            <w:r>
              <w:rPr>
                <w:rFonts w:hint="default" w:ascii="Times New Roman" w:hAnsi="Times New Roman" w:cs="Times New Roman"/>
                <w:b/>
                <w:bCs/>
                <w:color w:val="auto"/>
                <w:kern w:val="2"/>
                <w:sz w:val="21"/>
                <w:szCs w:val="21"/>
                <w:highlight w:val="none"/>
                <w:lang w:val="en-US" w:eastAsia="zh-CN" w:bidi="ar-SA"/>
              </w:rPr>
              <w:t xml:space="preserve">19 </w:t>
            </w:r>
            <w:r>
              <w:rPr>
                <w:rFonts w:hint="default" w:ascii="Times New Roman" w:hAnsi="Times New Roman" w:cs="Times New Roman"/>
                <w:b/>
                <w:bCs/>
                <w:color w:val="auto"/>
                <w:sz w:val="21"/>
                <w:szCs w:val="21"/>
                <w:highlight w:val="none"/>
              </w:rPr>
              <w:t>项目污水处理站废水处理设施主要构筑物参数</w:t>
            </w:r>
          </w:p>
          <w:tbl>
            <w:tblPr>
              <w:tblStyle w:val="39"/>
              <w:tblW w:w="1349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766"/>
              <w:gridCol w:w="3600"/>
              <w:gridCol w:w="1461"/>
              <w:gridCol w:w="1542"/>
              <w:gridCol w:w="1321"/>
              <w:gridCol w:w="1280"/>
              <w:gridCol w:w="1418"/>
              <w:gridCol w:w="1111"/>
            </w:tblGrid>
            <w:tr w14:paraId="70BF245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41" w:hRule="atLeast"/>
              </w:trPr>
              <w:tc>
                <w:tcPr>
                  <w:tcW w:w="1987"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6413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各级处理效果各项指标</w:t>
                  </w:r>
                </w:p>
              </w:tc>
              <w:tc>
                <w:tcPr>
                  <w:tcW w:w="5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F633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水量(m³/a)</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894E3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COD</w:t>
                  </w:r>
                  <w:r>
                    <w:rPr>
                      <w:rFonts w:hint="default" w:ascii="Times New Roman" w:hAnsi="Times New Roman" w:eastAsia="宋体" w:cs="Times New Roman"/>
                      <w:b/>
                      <w:bCs/>
                      <w:i w:val="0"/>
                      <w:iCs w:val="0"/>
                      <w:color w:val="auto"/>
                      <w:kern w:val="0"/>
                      <w:sz w:val="21"/>
                      <w:szCs w:val="21"/>
                      <w:highlight w:val="none"/>
                      <w:u w:val="none"/>
                      <w:vertAlign w:val="subscript"/>
                      <w:lang w:val="en-US" w:eastAsia="zh-CN"/>
                    </w:rPr>
                    <w:t>cr</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D6FD0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eastAsia" w:cs="Times New Roman"/>
                      <w:b/>
                      <w:bCs/>
                      <w:i w:val="0"/>
                      <w:iCs w:val="0"/>
                      <w:color w:val="auto"/>
                      <w:kern w:val="0"/>
                      <w:sz w:val="22"/>
                      <w:szCs w:val="22"/>
                      <w:highlight w:val="none"/>
                      <w:u w:val="none"/>
                      <w:lang w:val="en-US" w:eastAsia="zh-CN"/>
                    </w:rPr>
                    <w:t>氨氮</w:t>
                  </w:r>
                </w:p>
              </w:tc>
              <w:tc>
                <w:tcPr>
                  <w:tcW w:w="4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BA026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lang w:val="en-US"/>
                    </w:rPr>
                  </w:pPr>
                  <w:r>
                    <w:rPr>
                      <w:rFonts w:hint="eastAsia" w:cs="Times New Roman"/>
                      <w:b/>
                      <w:bCs/>
                      <w:i w:val="0"/>
                      <w:iCs w:val="0"/>
                      <w:color w:val="auto"/>
                      <w:kern w:val="0"/>
                      <w:sz w:val="21"/>
                      <w:szCs w:val="21"/>
                      <w:highlight w:val="none"/>
                      <w:u w:val="none"/>
                      <w:lang w:val="en-US" w:eastAsia="zh-CN"/>
                    </w:rPr>
                    <w:t>总氮</w:t>
                  </w:r>
                </w:p>
              </w:tc>
              <w:tc>
                <w:tcPr>
                  <w:tcW w:w="5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C913D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rPr>
                  </w:pPr>
                  <w:r>
                    <w:rPr>
                      <w:rFonts w:hint="default" w:ascii="Times New Roman" w:hAnsi="Times New Roman" w:eastAsia="宋体" w:cs="Times New Roman"/>
                      <w:b/>
                      <w:bCs/>
                      <w:i w:val="0"/>
                      <w:iCs w:val="0"/>
                      <w:color w:val="auto"/>
                      <w:kern w:val="0"/>
                      <w:sz w:val="21"/>
                      <w:szCs w:val="21"/>
                      <w:highlight w:val="none"/>
                      <w:u w:val="none"/>
                      <w:lang w:val="en-US" w:eastAsia="zh-CN"/>
                    </w:rPr>
                    <w:t>石油类</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67096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rPr>
                  </w:pPr>
                  <w:r>
                    <w:rPr>
                      <w:rFonts w:hint="eastAsia" w:cs="Times New Roman"/>
                      <w:b/>
                      <w:bCs/>
                      <w:i w:val="0"/>
                      <w:iCs w:val="0"/>
                      <w:color w:val="auto"/>
                      <w:kern w:val="0"/>
                      <w:sz w:val="21"/>
                      <w:szCs w:val="21"/>
                      <w:highlight w:val="none"/>
                      <w:u w:val="none"/>
                      <w:lang w:val="en-US" w:eastAsia="zh-CN"/>
                    </w:rPr>
                    <w:t>总磷</w:t>
                  </w:r>
                </w:p>
              </w:tc>
            </w:tr>
            <w:tr w14:paraId="49E7B9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4" w:hRule="atLeast"/>
              </w:trPr>
              <w:tc>
                <w:tcPr>
                  <w:tcW w:w="65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407C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生产废水</w:t>
                  </w:r>
                </w:p>
              </w:tc>
              <w:tc>
                <w:tcPr>
                  <w:tcW w:w="13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316B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进水(mg/L)</w:t>
                  </w:r>
                </w:p>
              </w:tc>
              <w:tc>
                <w:tcPr>
                  <w:tcW w:w="54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3A9D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rPr>
                    <w:t>67095.6</w:t>
                  </w:r>
                </w:p>
              </w:tc>
              <w:tc>
                <w:tcPr>
                  <w:tcW w:w="15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9BE8E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rPr>
                    <w:t>318.1</w:t>
                  </w:r>
                </w:p>
              </w:tc>
              <w:tc>
                <w:tcPr>
                  <w:tcW w:w="132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96E92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17.2</w:t>
                  </w:r>
                </w:p>
              </w:tc>
              <w:tc>
                <w:tcPr>
                  <w:tcW w:w="12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62E31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25.9</w:t>
                  </w:r>
                </w:p>
              </w:tc>
              <w:tc>
                <w:tcPr>
                  <w:tcW w:w="14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CB2C4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14.2</w:t>
                  </w:r>
                </w:p>
              </w:tc>
              <w:tc>
                <w:tcPr>
                  <w:tcW w:w="11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F77DF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w:t>
                  </w:r>
                </w:p>
              </w:tc>
            </w:tr>
            <w:tr w14:paraId="5C5CF2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5" w:hRule="atLeast"/>
              </w:trPr>
              <w:tc>
                <w:tcPr>
                  <w:tcW w:w="65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B30A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3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FAC1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rPr>
                    <w:t>调节+絮凝沉淀+A/O</w:t>
                  </w:r>
                </w:p>
              </w:tc>
              <w:tc>
                <w:tcPr>
                  <w:tcW w:w="54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DEA4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5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3C21D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90%</w:t>
                  </w:r>
                </w:p>
              </w:tc>
              <w:tc>
                <w:tcPr>
                  <w:tcW w:w="132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CD043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80%</w:t>
                  </w:r>
                </w:p>
              </w:tc>
              <w:tc>
                <w:tcPr>
                  <w:tcW w:w="12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5178D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50%</w:t>
                  </w:r>
                </w:p>
              </w:tc>
              <w:tc>
                <w:tcPr>
                  <w:tcW w:w="14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1F6D3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55%</w:t>
                  </w:r>
                </w:p>
              </w:tc>
              <w:tc>
                <w:tcPr>
                  <w:tcW w:w="11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6E656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40%</w:t>
                  </w:r>
                </w:p>
              </w:tc>
            </w:tr>
            <w:tr w14:paraId="5FE7BA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4" w:hRule="atLeast"/>
              </w:trPr>
              <w:tc>
                <w:tcPr>
                  <w:tcW w:w="65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26B3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3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8F53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处理后浓度（mg/L）</w:t>
                  </w:r>
                </w:p>
              </w:tc>
              <w:tc>
                <w:tcPr>
                  <w:tcW w:w="54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5C3B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5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FA53E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0"/>
                      <w:szCs w:val="20"/>
                      <w:highlight w:val="none"/>
                      <w:u w:val="none"/>
                      <w:lang w:val="en-US" w:eastAsia="zh-CN"/>
                    </w:rPr>
                    <w:t xml:space="preserve">31.8 </w:t>
                  </w:r>
                </w:p>
              </w:tc>
              <w:tc>
                <w:tcPr>
                  <w:tcW w:w="132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6358F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 xml:space="preserve">3.4 </w:t>
                  </w:r>
                </w:p>
              </w:tc>
              <w:tc>
                <w:tcPr>
                  <w:tcW w:w="12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F04AC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 xml:space="preserve">13.0 </w:t>
                  </w:r>
                </w:p>
              </w:tc>
              <w:tc>
                <w:tcPr>
                  <w:tcW w:w="14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F758B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rPr>
                    <w:t xml:space="preserve">6.4 </w:t>
                  </w:r>
                </w:p>
              </w:tc>
              <w:tc>
                <w:tcPr>
                  <w:tcW w:w="11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BBAA1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rPr>
                    <w:t xml:space="preserve">0.6 </w:t>
                  </w:r>
                </w:p>
              </w:tc>
            </w:tr>
            <w:tr w14:paraId="3BC8E4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4" w:hRule="atLeast"/>
              </w:trPr>
              <w:tc>
                <w:tcPr>
                  <w:tcW w:w="65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9C94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3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1E1F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rPr>
                    <w:t>二沉池+消毒</w:t>
                  </w:r>
                  <w:r>
                    <w:rPr>
                      <w:rFonts w:hint="default" w:ascii="Times New Roman" w:hAnsi="Times New Roman" w:eastAsia="宋体" w:cs="Times New Roman"/>
                      <w:i w:val="0"/>
                      <w:iCs w:val="0"/>
                      <w:color w:val="auto"/>
                      <w:kern w:val="0"/>
                      <w:sz w:val="21"/>
                      <w:szCs w:val="21"/>
                      <w:highlight w:val="none"/>
                      <w:u w:val="none"/>
                      <w:lang w:val="en-US" w:eastAsia="zh-CN"/>
                    </w:rPr>
                    <w:t>池去除效率</w:t>
                  </w:r>
                </w:p>
              </w:tc>
              <w:tc>
                <w:tcPr>
                  <w:tcW w:w="54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03EB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5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141E2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rPr>
                    <w:t>10</w:t>
                  </w: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32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30839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rPr>
                    <w:t>1</w:t>
                  </w: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2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C8F9A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rPr>
                    <w:t>15</w:t>
                  </w: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4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DE158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85%</w:t>
                  </w:r>
                </w:p>
              </w:tc>
              <w:tc>
                <w:tcPr>
                  <w:tcW w:w="11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D8AEF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50%</w:t>
                  </w:r>
                </w:p>
              </w:tc>
            </w:tr>
            <w:tr w14:paraId="58839E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4" w:hRule="atLeast"/>
              </w:trPr>
              <w:tc>
                <w:tcPr>
                  <w:tcW w:w="65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AAA8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3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9043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处理后浓度（mg/L）</w:t>
                  </w:r>
                </w:p>
              </w:tc>
              <w:tc>
                <w:tcPr>
                  <w:tcW w:w="54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D8EC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5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0F573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 xml:space="preserve">12.7 </w:t>
                  </w:r>
                </w:p>
              </w:tc>
              <w:tc>
                <w:tcPr>
                  <w:tcW w:w="132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3FCE0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 xml:space="preserve">1.4 </w:t>
                  </w:r>
                </w:p>
              </w:tc>
              <w:tc>
                <w:tcPr>
                  <w:tcW w:w="12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D59EA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 xml:space="preserve">6.5 </w:t>
                  </w:r>
                </w:p>
              </w:tc>
              <w:tc>
                <w:tcPr>
                  <w:tcW w:w="14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22797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rPr>
                    <w:t xml:space="preserve">1.0 </w:t>
                  </w:r>
                </w:p>
              </w:tc>
              <w:tc>
                <w:tcPr>
                  <w:tcW w:w="11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14DF7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rPr>
                    <w:t xml:space="preserve">0.3 </w:t>
                  </w:r>
                </w:p>
              </w:tc>
            </w:tr>
            <w:tr w14:paraId="55CD8DE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4" w:hRule="atLeast"/>
              </w:trPr>
              <w:tc>
                <w:tcPr>
                  <w:tcW w:w="2528"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D9FA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执行标准排放限值（mg/L）</w:t>
                  </w:r>
                </w:p>
              </w:tc>
              <w:tc>
                <w:tcPr>
                  <w:tcW w:w="5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86C8A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rPr>
                    <w:t>≤</w:t>
                  </w:r>
                  <w:r>
                    <w:rPr>
                      <w:rFonts w:hint="eastAsia" w:cs="Times New Roman"/>
                      <w:i w:val="0"/>
                      <w:iCs w:val="0"/>
                      <w:color w:val="auto"/>
                      <w:kern w:val="0"/>
                      <w:sz w:val="21"/>
                      <w:szCs w:val="21"/>
                      <w:highlight w:val="none"/>
                      <w:u w:val="none"/>
                      <w:lang w:val="en-US" w:eastAsia="zh-CN"/>
                    </w:rPr>
                    <w:t>30</w:t>
                  </w: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F9D27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rPr>
                    <w:t>≤</w:t>
                  </w:r>
                  <w:r>
                    <w:rPr>
                      <w:rFonts w:hint="eastAsia" w:cs="Times New Roman"/>
                      <w:i w:val="0"/>
                      <w:iCs w:val="0"/>
                      <w:color w:val="auto"/>
                      <w:kern w:val="0"/>
                      <w:sz w:val="21"/>
                      <w:szCs w:val="21"/>
                      <w:highlight w:val="none"/>
                      <w:u w:val="none"/>
                      <w:lang w:val="en-US" w:eastAsia="zh-CN"/>
                    </w:rPr>
                    <w:t>4</w:t>
                  </w: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4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B9EC8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rPr>
                    <w:t>/</w:t>
                  </w:r>
                </w:p>
              </w:tc>
              <w:tc>
                <w:tcPr>
                  <w:tcW w:w="5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F4D54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w:t>
                  </w:r>
                  <w:r>
                    <w:rPr>
                      <w:rFonts w:hint="eastAsia" w:cs="Times New Roman"/>
                      <w:i w:val="0"/>
                      <w:iCs w:val="0"/>
                      <w:color w:val="auto"/>
                      <w:kern w:val="0"/>
                      <w:sz w:val="21"/>
                      <w:szCs w:val="21"/>
                      <w:highlight w:val="none"/>
                      <w:u w:val="none"/>
                      <w:lang w:val="en-US" w:eastAsia="zh-CN"/>
                    </w:rPr>
                    <w:t>0</w:t>
                  </w:r>
                </w:p>
              </w:tc>
              <w:tc>
                <w:tcPr>
                  <w:tcW w:w="4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26E31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1.0</w:t>
                  </w:r>
                </w:p>
              </w:tc>
            </w:tr>
            <w:tr w14:paraId="4D7501A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4" w:hRule="atLeast"/>
              </w:trPr>
              <w:tc>
                <w:tcPr>
                  <w:tcW w:w="2528"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D9D69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《城市污水再生利用 工业用水水质》（GB/T 19923-2024）</w:t>
                  </w:r>
                </w:p>
              </w:tc>
              <w:tc>
                <w:tcPr>
                  <w:tcW w:w="5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85C1C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≤50</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3301C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≤5</w:t>
                  </w:r>
                </w:p>
              </w:tc>
              <w:tc>
                <w:tcPr>
                  <w:tcW w:w="4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A1C68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≤15</w:t>
                  </w:r>
                </w:p>
              </w:tc>
              <w:tc>
                <w:tcPr>
                  <w:tcW w:w="5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BF79D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≤1</w:t>
                  </w:r>
                </w:p>
              </w:tc>
              <w:tc>
                <w:tcPr>
                  <w:tcW w:w="4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628DD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≤0.5</w:t>
                  </w:r>
                </w:p>
              </w:tc>
            </w:tr>
          </w:tbl>
          <w:p w14:paraId="606B88E0">
            <w:pPr>
              <w:pStyle w:val="24"/>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b w:val="0"/>
                <w:bCs w:val="0"/>
                <w:color w:val="auto"/>
                <w:highlight w:val="none"/>
                <w:lang w:val="en-US" w:eastAsia="zh-CN"/>
              </w:rPr>
              <w:t>根据上表计算，本项目生产废水经</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eastAsia="zh-CN"/>
              </w:rPr>
              <w:t>中和</w:t>
            </w:r>
            <w:r>
              <w:rPr>
                <w:rFonts w:hint="eastAsia" w:cs="Times New Roman"/>
                <w:color w:val="auto"/>
                <w:highlight w:val="none"/>
                <w:lang w:eastAsia="zh-CN"/>
              </w:rPr>
              <w:t>调节+絮凝沉淀+A/O+二沉池+消毒</w:t>
            </w:r>
            <w:r>
              <w:rPr>
                <w:rFonts w:hint="default" w:ascii="Times New Roman" w:hAnsi="Times New Roman" w:cs="Times New Roman"/>
                <w:color w:val="auto"/>
                <w:highlight w:val="none"/>
              </w:rPr>
              <w:t>”处理</w:t>
            </w:r>
            <w:r>
              <w:rPr>
                <w:rFonts w:hint="default" w:ascii="Times New Roman" w:hAnsi="Times New Roman" w:cs="Times New Roman"/>
                <w:color w:val="auto"/>
                <w:highlight w:val="none"/>
                <w:lang w:val="en-US" w:eastAsia="zh-CN"/>
              </w:rPr>
              <w:t>后达到广东省地方标准《水污染物排放限值》（DB44/26-2001）第二时段三级标准及园区污水处理厂接管水质要求两者较严值要求，满足进入园区污水处理厂的要求。</w:t>
            </w:r>
            <w:r>
              <w:rPr>
                <w:rFonts w:hint="default" w:ascii="Times New Roman" w:hAnsi="Times New Roman" w:cs="Times New Roman"/>
                <w:color w:val="auto"/>
                <w:highlight w:val="none"/>
              </w:rPr>
              <w:t>因此，项目废水处理措施可行。</w:t>
            </w:r>
          </w:p>
          <w:p w14:paraId="01064B10">
            <w:pPr>
              <w:pStyle w:val="6"/>
              <w:widowControl/>
              <w:numPr>
                <w:ilvl w:val="4"/>
                <w:numId w:val="0"/>
              </w:numPr>
              <w:suppressLineNumbers w:val="0"/>
              <w:spacing w:before="0" w:beforeAutospacing="0" w:after="0" w:afterAutospacing="0"/>
              <w:ind w:left="48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（2）水污染物控制和水环境影响减缓措施有效性评价</w:t>
            </w:r>
          </w:p>
          <w:p w14:paraId="5BCD5329">
            <w:pPr>
              <w:pStyle w:val="19"/>
              <w:keepNext w:val="0"/>
              <w:keepLines w:val="0"/>
              <w:suppressLineNumbers w:val="0"/>
              <w:spacing w:before="0" w:beforeAutospacing="0" w:after="0" w:afterAutospacing="0"/>
              <w:ind w:left="0" w:right="0"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本项目位于广东省韶关市乐昌市乐昌产业转移工业园内，属于园区污水处理范围。项目生活污水经三级化粪池预处理</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生产废水经</w:t>
            </w:r>
            <w:r>
              <w:rPr>
                <w:rFonts w:hint="eastAsia" w:cs="Times New Roman"/>
                <w:color w:val="auto"/>
                <w:sz w:val="24"/>
                <w:szCs w:val="24"/>
                <w:highlight w:val="none"/>
                <w:lang w:eastAsia="zh-CN"/>
              </w:rPr>
              <w:t>“中和调节+絮凝沉淀+A/O+二沉池+消毒”处理，</w:t>
            </w:r>
            <w:r>
              <w:rPr>
                <w:rFonts w:hint="eastAsia" w:cs="Times New Roman"/>
                <w:color w:val="auto"/>
                <w:sz w:val="24"/>
                <w:szCs w:val="24"/>
                <w:highlight w:val="none"/>
                <w:lang w:val="en-US" w:eastAsia="zh-CN"/>
              </w:rPr>
              <w:t>两股废水处理</w:t>
            </w:r>
            <w:r>
              <w:rPr>
                <w:rFonts w:hint="default" w:ascii="Times New Roman" w:hAnsi="Times New Roman" w:cs="Times New Roman"/>
                <w:color w:val="auto"/>
                <w:sz w:val="24"/>
                <w:szCs w:val="24"/>
                <w:highlight w:val="none"/>
              </w:rPr>
              <w:t>达到广东省地方标准《水污染物排放限值》（DB44/26-2001）第二时段三级标准及园区污水处理厂接管水质要求两者较严值要求后，进入园区污水处理厂深度处理，处理后的尾水排入武江（乐昌城-犁市河段）。</w:t>
            </w:r>
            <w:r>
              <w:rPr>
                <w:rFonts w:hint="default" w:ascii="Times New Roman" w:hAnsi="Times New Roman" w:cs="Times New Roman"/>
                <w:color w:val="auto"/>
                <w:kern w:val="0"/>
                <w:sz w:val="24"/>
                <w:szCs w:val="24"/>
                <w:highlight w:val="none"/>
              </w:rPr>
              <w:t>园区污水处理厂出水水质执行《城镇污水处理厂污染物排放标准》（GB18918-2002）中一级B标准和广东省《水污染物排放限值》（DB44/26-2001）中的第二时段一级排放标准较严者，对周围环境影响较小。</w:t>
            </w:r>
          </w:p>
          <w:p w14:paraId="2A72F80C">
            <w:pPr>
              <w:pStyle w:val="12"/>
              <w:keepNext w:val="0"/>
              <w:keepLines w:val="0"/>
              <w:suppressLineNumbers w:val="0"/>
              <w:spacing w:before="0" w:beforeAutospacing="0" w:after="0" w:afterAutospacing="0"/>
              <w:ind w:left="0" w:right="0"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（3）依托污水设施的环境可行性评价</w:t>
            </w:r>
          </w:p>
          <w:p w14:paraId="2A73E8F4">
            <w:pPr>
              <w:pStyle w:val="12"/>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产业园范围内已有乐昌产业转移工业园污水处理厂，</w:t>
            </w:r>
            <w:r>
              <w:rPr>
                <w:rFonts w:hint="default" w:ascii="Times New Roman" w:hAnsi="Times New Roman" w:cs="Times New Roman"/>
                <w:color w:val="auto"/>
                <w:highlight w:val="none"/>
                <w:lang w:val="en-US" w:eastAsia="zh-CN"/>
              </w:rPr>
              <w:t>根据乐昌产业转移工业园管网分布图（附图15）可知，本项目所在地块已纳入现状排污管收集范围内。</w:t>
            </w:r>
            <w:r>
              <w:rPr>
                <w:rFonts w:hint="default" w:ascii="Times New Roman" w:hAnsi="Times New Roman" w:cs="Times New Roman"/>
                <w:color w:val="auto"/>
                <w:highlight w:val="none"/>
              </w:rPr>
              <w:t>污水工艺采用循环式活性污泥法（CASS）工艺。出水水质标准执行广东省地方标准《水污染物排放限值》(DB44/26-2001)第二时段一级标准及国家《城镇污水处理厂污染物排放标准》(GB18918-2002)一级B标准中较严标准，处理达标后由污水处理厂内提升泵通过已建成6392米长的出水管道输送至武江排放。</w:t>
            </w:r>
          </w:p>
          <w:p w14:paraId="1ED2B332">
            <w:pPr>
              <w:pStyle w:val="12"/>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园区污水处理厂主体工艺采用为CASS，该工艺运行灵活、耐冲击能力强等优点。对于产业转移工业园工业废水，现状各企业基本无生产废水产生，只产生生活污水。可能对污水厂处理工艺产生影响的主要为产业转移工业园规划引进的企业的生产废水，园区主导行业电子信息、机械、金属制品、轻纺等产业可能产生的生产废水中部分指标较高，对于接入污水厂的生产废水，产业转移工业园要求企业根据生产废水的水质情况进行预处理。其中，如有集成电路生产企业，其生产废水经pH值调节、投药、絮凝沉淀，重点去除F</w:t>
            </w:r>
            <w:r>
              <w:rPr>
                <w:rFonts w:hint="default" w:ascii="Times New Roman" w:hAnsi="Times New Roman" w:cs="Times New Roman"/>
                <w:color w:val="auto"/>
                <w:highlight w:val="none"/>
                <w:vertAlign w:val="superscript"/>
              </w:rPr>
              <w:t>-</w:t>
            </w:r>
            <w:r>
              <w:rPr>
                <w:rFonts w:hint="default" w:ascii="Times New Roman" w:hAnsi="Times New Roman" w:cs="Times New Roman"/>
                <w:color w:val="auto"/>
                <w:highlight w:val="none"/>
              </w:rPr>
              <w:t>后，预处理达到广东省《水污染</w:t>
            </w:r>
            <w:r>
              <w:rPr>
                <w:rFonts w:hint="default" w:ascii="Times New Roman" w:hAnsi="Times New Roman" w:cs="Times New Roman"/>
                <w:color w:val="auto"/>
                <w:highlight w:val="none"/>
                <w:lang w:val="en-US" w:eastAsia="zh-CN"/>
              </w:rPr>
              <w:t>物</w:t>
            </w:r>
            <w:r>
              <w:rPr>
                <w:rFonts w:hint="default" w:ascii="Times New Roman" w:hAnsi="Times New Roman" w:cs="Times New Roman"/>
                <w:color w:val="auto"/>
                <w:highlight w:val="none"/>
              </w:rPr>
              <w:t>排放限值》(DB44/26-2001)第二时段三级标准</w:t>
            </w:r>
            <w:r>
              <w:rPr>
                <w:rFonts w:hint="default" w:ascii="Times New Roman" w:hAnsi="Times New Roman" w:cs="Times New Roman"/>
                <w:color w:val="auto"/>
                <w:highlight w:val="none"/>
                <w:lang w:eastAsia="zh-CN"/>
              </w:rPr>
              <w:t>。</w:t>
            </w:r>
          </w:p>
          <w:p w14:paraId="0EA3CC9E">
            <w:pPr>
              <w:pStyle w:val="19"/>
              <w:keepNext w:val="0"/>
              <w:keepLines w:val="0"/>
              <w:suppressLineNumbers w:val="0"/>
              <w:spacing w:before="0" w:beforeAutospacing="0" w:after="0" w:afterAutospacing="0"/>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产业园污水处理厂目前已建成正常运行，并安装了在线监控设施并</w:t>
            </w:r>
            <w:r>
              <w:rPr>
                <w:rFonts w:hint="default" w:ascii="Times New Roman" w:hAnsi="Times New Roman" w:cs="Times New Roman"/>
                <w:color w:val="auto"/>
                <w:sz w:val="24"/>
                <w:highlight w:val="none"/>
                <w:lang w:eastAsia="zh-CN"/>
              </w:rPr>
              <w:t>与</w:t>
            </w:r>
            <w:r>
              <w:rPr>
                <w:rFonts w:hint="default" w:ascii="Times New Roman" w:hAnsi="Times New Roman" w:cs="Times New Roman"/>
                <w:color w:val="auto"/>
                <w:sz w:val="24"/>
                <w:highlight w:val="none"/>
              </w:rPr>
              <w:t>环保部门联网，园区污水处理厂占地面积15400m²，设计处理能力为10000m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/d，分两期建设，一期处理能力5000m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/d，二期处理能力5000m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/d，现状首期5000m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/d已经建成运行。</w:t>
            </w:r>
          </w:p>
          <w:p w14:paraId="21687775">
            <w:pPr>
              <w:keepNext w:val="0"/>
              <w:keepLines w:val="0"/>
              <w:widowControl/>
              <w:suppressLineNumbers w:val="0"/>
              <w:spacing w:before="0" w:beforeAutospacing="0" w:after="0" w:afterAutospacing="0"/>
              <w:ind w:left="0" w:right="0" w:firstLine="480" w:firstLineChars="200"/>
              <w:jc w:val="both"/>
              <w:rPr>
                <w:rFonts w:hint="default" w:ascii="Times New Roman" w:hAnsi="Times New Roman" w:cs="Times New Roman"/>
                <w:color w:val="auto"/>
                <w:sz w:val="24"/>
                <w:highlight w:val="none"/>
              </w:rPr>
            </w:pPr>
            <w:r>
              <w:rPr>
                <w:rFonts w:hint="default" w:ascii="Times New Roman" w:hAnsi="Times New Roman" w:cs="Times New Roman"/>
                <w:color w:val="auto"/>
                <w:highlight w:val="none"/>
                <w:lang w:val="en-US" w:eastAsia="zh-CN"/>
              </w:rPr>
              <w:t>根据乐昌产业转移工业园管委会提供的资料显示：2025年1月至6月期间，乐昌市产业转移工业园污水处理厂接纳污水总量为404312</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vertAlign w:val="baseline"/>
                <w:lang w:eastAsia="zh-CN"/>
              </w:rPr>
              <w:t>，</w:t>
            </w:r>
            <w:r>
              <w:rPr>
                <w:rFonts w:hint="default" w:ascii="Times New Roman" w:hAnsi="Times New Roman" w:cs="Times New Roman"/>
                <w:color w:val="auto"/>
                <w:sz w:val="24"/>
                <w:highlight w:val="none"/>
                <w:vertAlign w:val="baseline"/>
                <w:lang w:val="en-US" w:eastAsia="zh-CN"/>
              </w:rPr>
              <w:t>最大接纳污水量为6月</w:t>
            </w:r>
            <w:r>
              <w:rPr>
                <w:rFonts w:hint="default" w:ascii="Times New Roman" w:hAnsi="Times New Roman" w:cs="Times New Roman"/>
                <w:color w:val="auto"/>
                <w:highlight w:val="none"/>
                <w:lang w:val="en-US" w:eastAsia="zh-CN"/>
              </w:rPr>
              <w:t>110739</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vertAlign w:val="baseline"/>
                <w:lang w:eastAsia="zh-CN"/>
              </w:rPr>
              <w:t>，</w:t>
            </w:r>
            <w:r>
              <w:rPr>
                <w:rFonts w:hint="default" w:ascii="Times New Roman" w:hAnsi="Times New Roman" w:cs="Times New Roman"/>
                <w:color w:val="auto"/>
                <w:sz w:val="24"/>
                <w:highlight w:val="none"/>
                <w:vertAlign w:val="baseline"/>
                <w:lang w:val="en-US" w:eastAsia="zh-CN"/>
              </w:rPr>
              <w:t>最小接纳污水量为1月</w:t>
            </w:r>
            <w:r>
              <w:rPr>
                <w:rFonts w:hint="default" w:ascii="Times New Roman" w:hAnsi="Times New Roman" w:cs="Times New Roman"/>
                <w:color w:val="auto"/>
                <w:highlight w:val="none"/>
                <w:lang w:val="en-US" w:eastAsia="zh-CN"/>
              </w:rPr>
              <w:t>32168</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vertAlign w:val="baseline"/>
                <w:lang w:eastAsia="zh-CN"/>
              </w:rPr>
              <w:t>，</w:t>
            </w:r>
            <w:r>
              <w:rPr>
                <w:rFonts w:hint="default" w:ascii="Times New Roman" w:hAnsi="Times New Roman" w:cs="Times New Roman"/>
                <w:color w:val="auto"/>
                <w:sz w:val="24"/>
                <w:highlight w:val="none"/>
                <w:vertAlign w:val="baseline"/>
                <w:lang w:val="en-US" w:eastAsia="zh-CN"/>
              </w:rPr>
              <w:t>平均每月接纳污水总量为80862.4</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vertAlign w:val="baseline"/>
                <w:lang w:val="en-US" w:eastAsia="zh-CN"/>
              </w:rPr>
              <w:t>，按每月30日折算</w:t>
            </w:r>
            <w:r>
              <w:rPr>
                <w:rFonts w:hint="default" w:ascii="Times New Roman" w:hAnsi="Times New Roman" w:cs="Times New Roman"/>
                <w:color w:val="auto"/>
                <w:kern w:val="0"/>
                <w:sz w:val="24"/>
                <w:szCs w:val="24"/>
                <w:highlight w:val="none"/>
                <w:lang w:val="en-US" w:eastAsia="zh-CN"/>
              </w:rPr>
              <w:t>日处理量约为2695.4</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kern w:val="0"/>
                <w:sz w:val="24"/>
                <w:szCs w:val="24"/>
                <w:highlight w:val="none"/>
                <w:lang w:val="en-US" w:eastAsia="zh-CN"/>
              </w:rPr>
              <w:t>/d，则剩余接纳污水能力为</w:t>
            </w:r>
            <w:r>
              <w:rPr>
                <w:rFonts w:hint="default" w:ascii="Times New Roman" w:hAnsi="Times New Roman" w:cs="Times New Roman"/>
                <w:color w:val="auto"/>
                <w:sz w:val="24"/>
                <w:highlight w:val="none"/>
              </w:rPr>
              <w:t>5000m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/d</w:t>
            </w:r>
            <w:r>
              <w:rPr>
                <w:rFonts w:hint="default" w:ascii="Times New Roman" w:hAnsi="Times New Roman" w:cs="Times New Roman"/>
                <w:color w:val="auto"/>
                <w:sz w:val="24"/>
                <w:highlight w:val="none"/>
                <w:lang w:val="en-US" w:eastAsia="zh-CN"/>
              </w:rPr>
              <w:t>-</w:t>
            </w:r>
            <w:r>
              <w:rPr>
                <w:rFonts w:hint="default" w:ascii="Times New Roman" w:hAnsi="Times New Roman" w:cs="Times New Roman"/>
                <w:color w:val="auto"/>
                <w:kern w:val="0"/>
                <w:sz w:val="24"/>
                <w:szCs w:val="24"/>
                <w:highlight w:val="none"/>
                <w:lang w:val="en-US" w:eastAsia="zh-CN"/>
              </w:rPr>
              <w:t>2695.4</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kern w:val="0"/>
                <w:sz w:val="24"/>
                <w:szCs w:val="24"/>
                <w:highlight w:val="none"/>
                <w:lang w:val="en-US" w:eastAsia="zh-CN"/>
              </w:rPr>
              <w:t>/d=2304.6</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kern w:val="0"/>
                <w:sz w:val="24"/>
                <w:szCs w:val="24"/>
                <w:highlight w:val="none"/>
                <w:lang w:val="en-US" w:eastAsia="zh-CN"/>
              </w:rPr>
              <w:t>/d。</w:t>
            </w:r>
          </w:p>
          <w:p w14:paraId="10D49C63">
            <w:pPr>
              <w:pStyle w:val="19"/>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本项目纳入污水处理厂的污水排放量为</w:t>
            </w:r>
            <w:r>
              <w:rPr>
                <w:rFonts w:hint="default" w:ascii="Times New Roman" w:hAnsi="Times New Roman" w:cs="Times New Roman"/>
                <w:color w:val="auto"/>
                <w:sz w:val="24"/>
                <w:highlight w:val="none"/>
                <w:lang w:val="en-US" w:eastAsia="zh-CN"/>
              </w:rPr>
              <w:t>19.36</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/d，</w:t>
            </w:r>
            <w:r>
              <w:rPr>
                <w:rFonts w:hint="default" w:ascii="Times New Roman" w:hAnsi="Times New Roman" w:cs="Times New Roman"/>
                <w:color w:val="auto"/>
                <w:sz w:val="24"/>
                <w:highlight w:val="none"/>
                <w:lang w:val="en-US" w:eastAsia="zh-CN"/>
              </w:rPr>
              <w:t>约</w:t>
            </w:r>
            <w:r>
              <w:rPr>
                <w:rFonts w:hint="default" w:ascii="Times New Roman" w:hAnsi="Times New Roman" w:cs="Times New Roman"/>
                <w:color w:val="auto"/>
                <w:sz w:val="24"/>
                <w:highlight w:val="none"/>
                <w:lang w:eastAsia="zh-CN"/>
              </w:rPr>
              <w:t>占剩余处理能力的</w:t>
            </w:r>
            <w:r>
              <w:rPr>
                <w:rFonts w:hint="default" w:ascii="Times New Roman" w:hAnsi="Times New Roman" w:cs="Times New Roman"/>
                <w:color w:val="auto"/>
                <w:sz w:val="24"/>
                <w:highlight w:val="none"/>
                <w:lang w:val="en-US" w:eastAsia="zh-CN"/>
              </w:rPr>
              <w:t>0.</w:t>
            </w:r>
            <w:r>
              <w:rPr>
                <w:rFonts w:hint="eastAsia" w:cs="Times New Roman"/>
                <w:color w:val="auto"/>
                <w:sz w:val="24"/>
                <w:highlight w:val="none"/>
                <w:lang w:val="en-US" w:eastAsia="zh-CN"/>
              </w:rPr>
              <w:t>84</w:t>
            </w:r>
            <w:r>
              <w:rPr>
                <w:rFonts w:hint="default"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rPr>
              <w:t>污水中的污染物主要为SS、COD</w:t>
            </w:r>
            <w:r>
              <w:rPr>
                <w:rFonts w:hint="default" w:ascii="Times New Roman" w:hAnsi="Times New Roman" w:cs="Times New Roman"/>
                <w:color w:val="auto"/>
                <w:sz w:val="24"/>
                <w:highlight w:val="none"/>
                <w:vertAlign w:val="subscript"/>
                <w:lang w:val="en-US" w:eastAsia="zh-CN"/>
              </w:rPr>
              <w:t>Cr</w:t>
            </w:r>
            <w:r>
              <w:rPr>
                <w:rFonts w:hint="default" w:ascii="Times New Roman" w:hAnsi="Times New Roman" w:cs="Times New Roman"/>
                <w:color w:val="auto"/>
                <w:sz w:val="24"/>
                <w:highlight w:val="none"/>
              </w:rPr>
              <w:t>、BOD</w:t>
            </w:r>
            <w:r>
              <w:rPr>
                <w:rFonts w:hint="default" w:ascii="Times New Roman" w:hAnsi="Times New Roman" w:cs="Times New Roman"/>
                <w:color w:val="auto"/>
                <w:sz w:val="24"/>
                <w:highlight w:val="none"/>
                <w:vertAlign w:val="subscript"/>
                <w:lang w:val="en-US" w:eastAsia="zh-CN"/>
              </w:rPr>
              <w:t>5</w:t>
            </w:r>
            <w:r>
              <w:rPr>
                <w:rFonts w:hint="default" w:ascii="Times New Roman" w:hAnsi="Times New Roman" w:cs="Times New Roman"/>
                <w:color w:val="auto"/>
                <w:sz w:val="24"/>
                <w:highlight w:val="none"/>
              </w:rPr>
              <w:t>、NH</w:t>
            </w:r>
            <w:r>
              <w:rPr>
                <w:rFonts w:hint="default" w:ascii="Times New Roman" w:hAnsi="Times New Roman" w:cs="Times New Roman"/>
                <w:color w:val="auto"/>
                <w:sz w:val="24"/>
                <w:highlight w:val="none"/>
                <w:vertAlign w:val="subscript"/>
              </w:rPr>
              <w:t>3</w:t>
            </w:r>
            <w:r>
              <w:rPr>
                <w:rFonts w:hint="default" w:ascii="Times New Roman" w:hAnsi="Times New Roman" w:cs="Times New Roman"/>
                <w:color w:val="auto"/>
                <w:sz w:val="24"/>
                <w:highlight w:val="none"/>
              </w:rPr>
              <w:t>-N、</w:t>
            </w:r>
            <w:r>
              <w:rPr>
                <w:rFonts w:hint="default" w:ascii="Times New Roman" w:hAnsi="Times New Roman" w:cs="Times New Roman"/>
                <w:color w:val="auto"/>
                <w:sz w:val="24"/>
                <w:highlight w:val="none"/>
                <w:lang w:val="en-US" w:eastAsia="zh-CN"/>
              </w:rPr>
              <w:t>动植物油</w:t>
            </w:r>
            <w:r>
              <w:rPr>
                <w:rFonts w:hint="default" w:ascii="Times New Roman" w:hAnsi="Times New Roman" w:cs="Times New Roman"/>
                <w:color w:val="auto"/>
                <w:sz w:val="24"/>
                <w:highlight w:val="none"/>
              </w:rPr>
              <w:t>等，污染物种类较简单</w:t>
            </w:r>
            <w:r>
              <w:rPr>
                <w:rFonts w:hint="default" w:ascii="Times New Roman" w:hAnsi="Times New Roman" w:cs="Times New Roman"/>
                <w:color w:val="auto"/>
                <w:sz w:val="24"/>
                <w:highlight w:val="none"/>
                <w:lang w:eastAsia="zh-CN"/>
              </w:rPr>
              <w:t>。</w:t>
            </w:r>
          </w:p>
          <w:p w14:paraId="3419AEB1">
            <w:pPr>
              <w:pStyle w:val="19"/>
              <w:keepNext w:val="0"/>
              <w:keepLines w:val="0"/>
              <w:suppressLineNumbers w:val="0"/>
              <w:spacing w:before="0" w:beforeAutospacing="0" w:after="0" w:afterAutospacing="0"/>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根据前</w:t>
            </w:r>
            <w:r>
              <w:rPr>
                <w:rFonts w:hint="default" w:ascii="Times New Roman" w:hAnsi="Times New Roman" w:cs="Times New Roman"/>
                <w:color w:val="auto"/>
                <w:sz w:val="24"/>
                <w:highlight w:val="none"/>
                <w:lang w:val="en-US" w:eastAsia="zh-CN"/>
              </w:rPr>
              <w:t>文</w:t>
            </w:r>
            <w:r>
              <w:rPr>
                <w:rFonts w:hint="default" w:ascii="Times New Roman" w:hAnsi="Times New Roman" w:cs="Times New Roman"/>
                <w:color w:val="auto"/>
                <w:sz w:val="24"/>
                <w:highlight w:val="none"/>
              </w:rPr>
              <w:t>分析，</w:t>
            </w:r>
            <w:bookmarkStart w:id="144" w:name="OLE_LINK51"/>
            <w:r>
              <w:rPr>
                <w:rFonts w:hint="default" w:ascii="Times New Roman" w:hAnsi="Times New Roman" w:cs="Times New Roman"/>
                <w:color w:val="auto"/>
                <w:sz w:val="24"/>
                <w:highlight w:val="none"/>
              </w:rPr>
              <w:t>园区污水处理厂剩余污水处理能力完全可以容纳处理本项目排入的污水，且与园区处理能力匹配</w:t>
            </w:r>
            <w:r>
              <w:rPr>
                <w:rFonts w:hint="eastAsia" w:cs="Times New Roman"/>
                <w:color w:val="auto"/>
                <w:sz w:val="24"/>
                <w:highlight w:val="none"/>
                <w:lang w:eastAsia="zh-CN"/>
              </w:rPr>
              <w:t>，</w:t>
            </w:r>
            <w:r>
              <w:rPr>
                <w:rFonts w:hint="eastAsia" w:cs="Times New Roman"/>
                <w:color w:val="auto"/>
                <w:sz w:val="24"/>
                <w:highlight w:val="none"/>
                <w:lang w:val="en-US" w:eastAsia="zh-CN"/>
              </w:rPr>
              <w:t>园区排污管道已敷设至本项目位置</w:t>
            </w:r>
            <w:r>
              <w:rPr>
                <w:rFonts w:hint="default" w:ascii="Times New Roman" w:hAnsi="Times New Roman" w:cs="Times New Roman"/>
                <w:color w:val="auto"/>
                <w:sz w:val="24"/>
                <w:highlight w:val="none"/>
                <w:lang w:eastAsia="zh-CN"/>
              </w:rPr>
              <w:t>。</w:t>
            </w:r>
            <w:bookmarkEnd w:id="144"/>
            <w:r>
              <w:rPr>
                <w:rFonts w:hint="default" w:ascii="Times New Roman" w:hAnsi="Times New Roman" w:cs="Times New Roman"/>
                <w:color w:val="auto"/>
                <w:sz w:val="24"/>
                <w:highlight w:val="none"/>
              </w:rPr>
              <w:t>因此，本</w:t>
            </w:r>
            <w:bookmarkStart w:id="145" w:name="OLE_LINK52"/>
            <w:r>
              <w:rPr>
                <w:rFonts w:hint="default" w:ascii="Times New Roman" w:hAnsi="Times New Roman" w:cs="Times New Roman"/>
                <w:color w:val="auto"/>
                <w:sz w:val="24"/>
                <w:highlight w:val="none"/>
              </w:rPr>
              <w:t>项目产生的</w:t>
            </w:r>
            <w:r>
              <w:rPr>
                <w:rFonts w:hint="default" w:ascii="Times New Roman" w:hAnsi="Times New Roman" w:cs="Times New Roman"/>
                <w:color w:val="auto"/>
                <w:sz w:val="24"/>
                <w:highlight w:val="none"/>
                <w:lang w:val="en-US" w:eastAsia="zh-CN"/>
              </w:rPr>
              <w:t>废</w:t>
            </w:r>
            <w:r>
              <w:rPr>
                <w:rFonts w:hint="default" w:ascii="Times New Roman" w:hAnsi="Times New Roman" w:cs="Times New Roman"/>
                <w:color w:val="auto"/>
                <w:sz w:val="24"/>
                <w:highlight w:val="none"/>
              </w:rPr>
              <w:t>水经预处理后排入园区污水处理厂处理具有环境可行性</w:t>
            </w:r>
            <w:bookmarkEnd w:id="145"/>
            <w:r>
              <w:rPr>
                <w:rFonts w:hint="default" w:ascii="Times New Roman" w:hAnsi="Times New Roman" w:cs="Times New Roman"/>
                <w:color w:val="auto"/>
                <w:sz w:val="24"/>
                <w:highlight w:val="none"/>
              </w:rPr>
              <w:t>。</w:t>
            </w:r>
          </w:p>
          <w:p w14:paraId="70607749">
            <w:pPr>
              <w:pStyle w:val="53"/>
              <w:keepNext w:val="0"/>
              <w:keepLines w:val="0"/>
              <w:pageBreakBefore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0" distR="0">
                  <wp:extent cx="5625465" cy="2303780"/>
                  <wp:effectExtent l="0" t="0" r="13334" b="1270"/>
                  <wp:docPr id="1031" name="图片 4"/>
                  <wp:cNvGraphicFramePr/>
                  <a:graphic xmlns:a="http://schemas.openxmlformats.org/drawingml/2006/main">
                    <a:graphicData uri="http://schemas.openxmlformats.org/drawingml/2006/picture">
                      <pic:pic xmlns:pic="http://schemas.openxmlformats.org/drawingml/2006/picture">
                        <pic:nvPicPr>
                          <pic:cNvPr id="1031" name="图片 4"/>
                          <pic:cNvPicPr/>
                        </pic:nvPicPr>
                        <pic:blipFill>
                          <a:blip r:embed="rId16" cstate="print"/>
                          <a:srcRect/>
                          <a:stretch>
                            <a:fillRect/>
                          </a:stretch>
                        </pic:blipFill>
                        <pic:spPr>
                          <a:xfrm>
                            <a:off x="0" y="0"/>
                            <a:ext cx="5625465" cy="2303780"/>
                          </a:xfrm>
                          <a:prstGeom prst="rect">
                            <a:avLst/>
                          </a:prstGeom>
                          <a:ln>
                            <a:noFill/>
                          </a:ln>
                        </pic:spPr>
                      </pic:pic>
                    </a:graphicData>
                  </a:graphic>
                </wp:inline>
              </w:drawing>
            </w:r>
          </w:p>
          <w:p w14:paraId="3895F72E">
            <w:pPr>
              <w:keepNext w:val="0"/>
              <w:keepLines w:val="0"/>
              <w:pageBreakBefore w:val="0"/>
              <w:widowControl/>
              <w:numPr>
                <w:ilvl w:val="0"/>
                <w:numId w:val="11"/>
              </w:numPr>
              <w:suppressLineNumbers w:val="0"/>
              <w:kinsoku/>
              <w:wordWrap/>
              <w:overflowPunct/>
              <w:topLinePunct w:val="0"/>
              <w:autoSpaceDE/>
              <w:autoSpaceDN/>
              <w:bidi w:val="0"/>
              <w:adjustRightInd/>
              <w:snapToGrid w:val="0"/>
              <w:spacing w:before="0" w:beforeAutospacing="0" w:after="0" w:afterAutospacing="0"/>
              <w:ind w:left="0" w:leftChars="0" w:right="0"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lang w:val="en-US" w:eastAsia="zh-CN"/>
              </w:rPr>
              <w:t>园区</w:t>
            </w:r>
            <w:r>
              <w:rPr>
                <w:rFonts w:hint="default" w:ascii="Times New Roman" w:hAnsi="Times New Roman" w:eastAsia="宋体" w:cs="Times New Roman"/>
                <w:b/>
                <w:bCs/>
                <w:color w:val="auto"/>
                <w:kern w:val="0"/>
                <w:sz w:val="21"/>
                <w:szCs w:val="21"/>
                <w:highlight w:val="none"/>
                <w:lang w:val="en-US" w:eastAsia="zh-CN"/>
              </w:rPr>
              <w:t>污水处理厂工艺流程图</w:t>
            </w:r>
          </w:p>
          <w:p w14:paraId="1C108F10">
            <w:pPr>
              <w:pStyle w:val="12"/>
              <w:keepNext w:val="0"/>
              <w:keepLines w:val="0"/>
              <w:suppressLineNumbers w:val="0"/>
              <w:spacing w:before="0" w:beforeAutospacing="0" w:after="0" w:afterAutospacing="0"/>
              <w:ind w:left="0" w:right="0"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5、监测要求</w:t>
            </w:r>
          </w:p>
          <w:p w14:paraId="44E1758B">
            <w:pPr>
              <w:pStyle w:val="24"/>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根据《排污单位自行监测技术指南</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总则》(HJ819-2017)，制定本项目生产废水自行监测计划，监测要求见下表。</w:t>
            </w:r>
          </w:p>
          <w:p w14:paraId="2EACFE73">
            <w:pPr>
              <w:pStyle w:val="20"/>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spacing w:before="0" w:beforeAutospacing="0" w:after="0" w:afterAutospacing="0" w:line="360" w:lineRule="auto"/>
              <w:ind w:left="0" w:leftChars="0" w:right="0" w:rightChars="0" w:firstLine="40" w:firstLineChars="0"/>
              <w:textAlignment w:val="auto"/>
              <w:rPr>
                <w:rFonts w:hint="default" w:ascii="Times New Roman" w:hAnsi="Times New Roman" w:cs="Times New Roman"/>
                <w:color w:val="auto"/>
                <w:highlight w:val="none"/>
              </w:rPr>
            </w:pPr>
            <w:r>
              <w:rPr>
                <w:rFonts w:hint="default" w:ascii="Times New Roman" w:hAnsi="Times New Roman" w:eastAsia="宋体" w:cs="Times New Roman"/>
                <w:b/>
                <w:bCs/>
                <w:color w:val="auto"/>
                <w:kern w:val="2"/>
                <w:sz w:val="21"/>
                <w:szCs w:val="21"/>
                <w:highlight w:val="none"/>
                <w:lang w:val="en-US" w:eastAsia="zh-CN" w:bidi="ar-SA"/>
              </w:rPr>
              <w:t>表4-</w:t>
            </w:r>
            <w:r>
              <w:rPr>
                <w:rFonts w:hint="default" w:ascii="Times New Roman" w:hAnsi="Times New Roman" w:cs="Times New Roman"/>
                <w:b/>
                <w:bCs/>
                <w:color w:val="auto"/>
                <w:kern w:val="2"/>
                <w:sz w:val="21"/>
                <w:szCs w:val="21"/>
                <w:highlight w:val="none"/>
                <w:lang w:val="en-US" w:eastAsia="zh-CN" w:bidi="ar-SA"/>
              </w:rPr>
              <w:t>2</w:t>
            </w:r>
            <w:r>
              <w:rPr>
                <w:rFonts w:hint="default" w:ascii="Times New Roman" w:hAnsi="Times New Roman" w:eastAsia="宋体" w:cs="Times New Roman"/>
                <w:b/>
                <w:bCs/>
                <w:color w:val="auto"/>
                <w:kern w:val="2"/>
                <w:sz w:val="21"/>
                <w:szCs w:val="21"/>
                <w:highlight w:val="none"/>
                <w:lang w:val="en-US" w:eastAsia="zh-CN" w:bidi="ar-SA"/>
              </w:rPr>
              <w:t>0</w:t>
            </w:r>
            <w:r>
              <w:rPr>
                <w:rFonts w:hint="default" w:ascii="Times New Roman" w:hAnsi="Times New Roman" w:cs="Times New Roman"/>
                <w:b/>
                <w:bCs/>
                <w:color w:val="auto"/>
                <w:kern w:val="2"/>
                <w:sz w:val="21"/>
                <w:szCs w:val="21"/>
                <w:highlight w:val="none"/>
                <w:lang w:val="en-US" w:eastAsia="zh-CN" w:bidi="ar-SA"/>
              </w:rPr>
              <w:t xml:space="preserve"> </w:t>
            </w:r>
            <w:r>
              <w:rPr>
                <w:rFonts w:hint="default" w:ascii="Times New Roman" w:hAnsi="Times New Roman" w:cs="Times New Roman"/>
                <w:color w:val="auto"/>
                <w:highlight w:val="none"/>
              </w:rPr>
              <w:t>监测要求</w:t>
            </w:r>
          </w:p>
          <w:tbl>
            <w:tblPr>
              <w:tblStyle w:val="3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33"/>
              <w:gridCol w:w="2951"/>
              <w:gridCol w:w="2017"/>
              <w:gridCol w:w="6093"/>
            </w:tblGrid>
            <w:tr w14:paraId="160A63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trPr>
              <w:tc>
                <w:tcPr>
                  <w:tcW w:w="901" w:type="pct"/>
                  <w:vAlign w:val="center"/>
                </w:tcPr>
                <w:p w14:paraId="52680B0D">
                  <w:pPr>
                    <w:pStyle w:val="60"/>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监测点位</w:t>
                  </w:r>
                </w:p>
              </w:tc>
              <w:tc>
                <w:tcPr>
                  <w:tcW w:w="1093" w:type="pct"/>
                  <w:vAlign w:val="center"/>
                </w:tcPr>
                <w:p w14:paraId="5964CD67">
                  <w:pPr>
                    <w:pStyle w:val="60"/>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监测指标</w:t>
                  </w:r>
                </w:p>
              </w:tc>
              <w:tc>
                <w:tcPr>
                  <w:tcW w:w="747" w:type="pct"/>
                  <w:vAlign w:val="center"/>
                </w:tcPr>
                <w:p w14:paraId="1C04DED4">
                  <w:pPr>
                    <w:pStyle w:val="60"/>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监测频次</w:t>
                  </w:r>
                </w:p>
              </w:tc>
              <w:tc>
                <w:tcPr>
                  <w:tcW w:w="2257" w:type="pct"/>
                  <w:vAlign w:val="center"/>
                </w:tcPr>
                <w:p w14:paraId="1A7D289B">
                  <w:pPr>
                    <w:pStyle w:val="60"/>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监测标准</w:t>
                  </w:r>
                </w:p>
              </w:tc>
            </w:tr>
            <w:tr w14:paraId="0C08A2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3" w:hRule="atLeast"/>
              </w:trPr>
              <w:tc>
                <w:tcPr>
                  <w:tcW w:w="901" w:type="pct"/>
                  <w:vAlign w:val="center"/>
                </w:tcPr>
                <w:p w14:paraId="51A87D7E">
                  <w:pPr>
                    <w:pStyle w:val="60"/>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综合废水排放口</w:t>
                  </w:r>
                </w:p>
                <w:p w14:paraId="2CED01DF">
                  <w:pPr>
                    <w:pStyle w:val="60"/>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kern w:val="2"/>
                      <w:highlight w:val="none"/>
                      <w:lang w:val="en-US" w:eastAsia="zh-CN"/>
                    </w:rPr>
                  </w:pPr>
                  <w:r>
                    <w:rPr>
                      <w:rFonts w:hint="default" w:ascii="Times New Roman" w:hAnsi="Times New Roman" w:cs="Times New Roman"/>
                      <w:color w:val="auto"/>
                      <w:kern w:val="2"/>
                      <w:highlight w:val="none"/>
                      <w:lang w:val="en-US" w:eastAsia="zh-CN"/>
                    </w:rPr>
                    <w:t>DW001</w:t>
                  </w:r>
                </w:p>
              </w:tc>
              <w:tc>
                <w:tcPr>
                  <w:tcW w:w="1093" w:type="pct"/>
                  <w:vAlign w:val="center"/>
                </w:tcPr>
                <w:p w14:paraId="6EC4062B">
                  <w:pPr>
                    <w:pStyle w:val="24"/>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pH、COD</w:t>
                  </w:r>
                  <w:r>
                    <w:rPr>
                      <w:rFonts w:hint="default" w:ascii="Times New Roman" w:hAnsi="Times New Roman" w:cs="Times New Roman"/>
                      <w:color w:val="auto"/>
                      <w:sz w:val="21"/>
                      <w:szCs w:val="21"/>
                      <w:highlight w:val="none"/>
                      <w:vertAlign w:val="subscript"/>
                    </w:rPr>
                    <w:t>Cr</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BOD</w:t>
                  </w:r>
                  <w:r>
                    <w:rPr>
                      <w:rFonts w:hint="default" w:ascii="Times New Roman" w:hAnsi="Times New Roman" w:cs="Times New Roman"/>
                      <w:color w:val="auto"/>
                      <w:sz w:val="21"/>
                      <w:szCs w:val="21"/>
                      <w:highlight w:val="none"/>
                      <w:vertAlign w:val="subscript"/>
                      <w:lang w:val="en-US" w:eastAsia="zh-CN"/>
                    </w:rPr>
                    <w:t>5</w:t>
                  </w:r>
                  <w:r>
                    <w:rPr>
                      <w:rFonts w:hint="default" w:ascii="Times New Roman" w:hAnsi="Times New Roman" w:cs="Times New Roman"/>
                      <w:color w:val="auto"/>
                      <w:sz w:val="21"/>
                      <w:szCs w:val="21"/>
                      <w:highlight w:val="none"/>
                    </w:rPr>
                    <w:t>、SS、氨氮</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总氮、总磷、动植物油、石油类</w:t>
                  </w:r>
                </w:p>
              </w:tc>
              <w:tc>
                <w:tcPr>
                  <w:tcW w:w="747" w:type="pct"/>
                  <w:vAlign w:val="center"/>
                </w:tcPr>
                <w:p w14:paraId="0A9000FC">
                  <w:pPr>
                    <w:pStyle w:val="60"/>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highlight w:val="none"/>
                    </w:rPr>
                    <w:t>1次/</w:t>
                  </w:r>
                  <w:r>
                    <w:rPr>
                      <w:rFonts w:hint="default" w:ascii="Times New Roman" w:hAnsi="Times New Roman" w:cs="Times New Roman"/>
                      <w:color w:val="auto"/>
                      <w:kern w:val="2"/>
                      <w:highlight w:val="none"/>
                      <w:lang w:val="en-US" w:eastAsia="zh-CN"/>
                    </w:rPr>
                    <w:t>年</w:t>
                  </w:r>
                </w:p>
              </w:tc>
              <w:tc>
                <w:tcPr>
                  <w:tcW w:w="2257" w:type="pct"/>
                  <w:vAlign w:val="center"/>
                </w:tcPr>
                <w:p w14:paraId="1D6F6E9F">
                  <w:pPr>
                    <w:pStyle w:val="60"/>
                    <w:keepNext w:val="0"/>
                    <w:keepLines w:val="0"/>
                    <w:widowControl/>
                    <w:suppressLineNumbers w:val="0"/>
                    <w:spacing w:before="0" w:beforeAutospacing="0" w:after="0" w:afterAutospacing="0"/>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highlight w:val="none"/>
                    </w:rPr>
                    <w:t>广东省地方标准《水污染物排放限值》（DB44/26-2001）第二时段三级标准及园区污水处理厂接管水质要求两者较严值</w:t>
                  </w:r>
                </w:p>
              </w:tc>
            </w:tr>
          </w:tbl>
          <w:p w14:paraId="2A47FC14">
            <w:pPr>
              <w:keepNext/>
              <w:keepLines/>
              <w:suppressLineNumbers w:val="0"/>
              <w:tabs>
                <w:tab w:val="left" w:pos="0"/>
              </w:tabs>
              <w:spacing w:before="0" w:beforeAutospacing="0" w:after="0" w:afterAutospacing="0"/>
              <w:ind w:left="0" w:right="0" w:firstLine="480" w:firstLineChars="200"/>
              <w:outlineLvl w:val="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三、噪声污染源</w:t>
            </w:r>
          </w:p>
          <w:p w14:paraId="2AE21A60">
            <w:pPr>
              <w:keepNext/>
              <w:keepLines/>
              <w:suppressLineNumbers w:val="0"/>
              <w:tabs>
                <w:tab w:val="left" w:pos="0"/>
              </w:tabs>
              <w:spacing w:before="0" w:beforeAutospacing="0" w:after="0" w:afterAutospacing="0"/>
              <w:ind w:left="0" w:right="0" w:firstLine="480" w:firstLineChars="200"/>
              <w:outlineLvl w:val="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1、污染源源强分析</w:t>
            </w:r>
          </w:p>
          <w:p w14:paraId="1346A90F">
            <w:pPr>
              <w:keepNext w:val="0"/>
              <w:keepLines w:val="0"/>
              <w:suppressLineNumbers w:val="0"/>
              <w:adjustRightInd w:val="0"/>
              <w:spacing w:before="0" w:beforeAutospacing="0" w:after="0" w:afterAutospacing="0"/>
              <w:ind w:left="0" w:right="0" w:firstLine="480" w:firstLineChars="20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本项目运营期主要噪声为</w:t>
            </w:r>
            <w:r>
              <w:rPr>
                <w:rFonts w:hint="default" w:ascii="Times New Roman" w:hAnsi="Times New Roman" w:cs="Times New Roman"/>
                <w:bCs/>
                <w:color w:val="auto"/>
                <w:highlight w:val="none"/>
                <w:lang w:val="en-US" w:eastAsia="zh-CN"/>
              </w:rPr>
              <w:t>锤破机、破碎机、分选机等</w:t>
            </w:r>
            <w:r>
              <w:rPr>
                <w:rFonts w:hint="default" w:ascii="Times New Roman" w:hAnsi="Times New Roman" w:cs="Times New Roman"/>
                <w:bCs/>
                <w:color w:val="auto"/>
                <w:highlight w:val="none"/>
              </w:rPr>
              <w:t>机械噪声，根据建设单位提供的设备资料，噪声级从60~85dB(A)不等，</w:t>
            </w:r>
            <w:r>
              <w:rPr>
                <w:rFonts w:hint="default" w:ascii="Times New Roman" w:hAnsi="Times New Roman" w:cs="Times New Roman"/>
                <w:bCs/>
                <w:color w:val="auto"/>
                <w:kern w:val="0"/>
                <w:highlight w:val="none"/>
              </w:rPr>
              <w:t>噪声特征以连续性噪声为主，间歇性噪声为辅，</w:t>
            </w:r>
            <w:r>
              <w:rPr>
                <w:rFonts w:hint="default" w:ascii="Times New Roman" w:hAnsi="Times New Roman" w:cs="Times New Roman"/>
                <w:bCs/>
                <w:color w:val="auto"/>
                <w:highlight w:val="none"/>
              </w:rPr>
              <w:t>噪声污染源源强核算结果见下表。</w:t>
            </w:r>
          </w:p>
          <w:p w14:paraId="719FEE98">
            <w:pPr>
              <w:pStyle w:val="20"/>
              <w:keepNext w:val="0"/>
              <w:keepLines w:val="0"/>
              <w:numPr>
                <w:ilvl w:val="0"/>
                <w:numId w:val="0"/>
              </w:numPr>
              <w:suppressLineNumbers w:val="0"/>
              <w:tabs>
                <w:tab w:val="left" w:pos="0"/>
              </w:tabs>
              <w:spacing w:before="0" w:beforeAutospacing="0" w:after="0" w:afterAutospacing="0"/>
              <w:ind w:left="0" w:leftChars="0" w:right="0" w:rightChars="0" w:firstLine="40" w:firstLineChars="0"/>
              <w:rPr>
                <w:rFonts w:hint="default" w:ascii="Times New Roman" w:hAnsi="Times New Roman" w:cs="Times New Roman"/>
                <w:color w:val="auto"/>
                <w:highlight w:val="none"/>
              </w:rPr>
            </w:pPr>
            <w:r>
              <w:rPr>
                <w:rFonts w:hint="default" w:ascii="Times New Roman" w:hAnsi="Times New Roman" w:eastAsia="宋体" w:cs="Times New Roman"/>
                <w:b/>
                <w:bCs/>
                <w:color w:val="auto"/>
                <w:kern w:val="2"/>
                <w:sz w:val="21"/>
                <w:szCs w:val="21"/>
                <w:highlight w:val="none"/>
                <w:lang w:val="en-US" w:eastAsia="zh-CN" w:bidi="ar-SA"/>
              </w:rPr>
              <w:t>表4-</w:t>
            </w:r>
            <w:r>
              <w:rPr>
                <w:rFonts w:hint="default" w:ascii="Times New Roman" w:hAnsi="Times New Roman" w:cs="Times New Roman"/>
                <w:b/>
                <w:bCs/>
                <w:color w:val="auto"/>
                <w:kern w:val="2"/>
                <w:sz w:val="21"/>
                <w:szCs w:val="21"/>
                <w:highlight w:val="none"/>
                <w:lang w:val="en-US" w:eastAsia="zh-CN" w:bidi="ar-SA"/>
              </w:rPr>
              <w:t>2</w:t>
            </w:r>
            <w:r>
              <w:rPr>
                <w:rFonts w:hint="default" w:ascii="Times New Roman" w:hAnsi="Times New Roman" w:eastAsia="宋体" w:cs="Times New Roman"/>
                <w:b/>
                <w:bCs/>
                <w:color w:val="auto"/>
                <w:kern w:val="2"/>
                <w:sz w:val="21"/>
                <w:szCs w:val="21"/>
                <w:highlight w:val="none"/>
                <w:lang w:val="en-US" w:eastAsia="zh-CN" w:bidi="ar-SA"/>
              </w:rPr>
              <w:t>1</w:t>
            </w:r>
            <w:r>
              <w:rPr>
                <w:rFonts w:hint="default" w:ascii="Times New Roman" w:hAnsi="Times New Roman" w:cs="Times New Roman"/>
                <w:b/>
                <w:bCs/>
                <w:color w:val="auto"/>
                <w:kern w:val="2"/>
                <w:sz w:val="21"/>
                <w:szCs w:val="21"/>
                <w:highlight w:val="none"/>
                <w:lang w:val="en-US" w:eastAsia="zh-CN" w:bidi="ar-SA"/>
              </w:rPr>
              <w:t xml:space="preserve"> </w:t>
            </w:r>
            <w:r>
              <w:rPr>
                <w:rFonts w:hint="default" w:ascii="Times New Roman" w:hAnsi="Times New Roman" w:cs="Times New Roman"/>
                <w:color w:val="auto"/>
                <w:highlight w:val="none"/>
              </w:rPr>
              <w:t>工业企业噪声源强调查清单（室内声源）</w:t>
            </w:r>
          </w:p>
          <w:tbl>
            <w:tblPr>
              <w:tblStyle w:val="39"/>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532"/>
              <w:gridCol w:w="705"/>
              <w:gridCol w:w="1425"/>
              <w:gridCol w:w="570"/>
              <w:gridCol w:w="1095"/>
              <w:gridCol w:w="840"/>
              <w:gridCol w:w="600"/>
              <w:gridCol w:w="630"/>
              <w:gridCol w:w="769"/>
              <w:gridCol w:w="911"/>
              <w:gridCol w:w="911"/>
              <w:gridCol w:w="694"/>
              <w:gridCol w:w="1155"/>
              <w:gridCol w:w="885"/>
              <w:gridCol w:w="930"/>
              <w:gridCol w:w="756"/>
            </w:tblGrid>
            <w:tr w14:paraId="396B683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0" w:hRule="atLeast"/>
                <w:jc w:val="center"/>
              </w:trPr>
              <w:tc>
                <w:tcPr>
                  <w:tcW w:w="532"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21F3D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rPr>
                    <w:t>序号</w:t>
                  </w:r>
                </w:p>
              </w:tc>
              <w:tc>
                <w:tcPr>
                  <w:tcW w:w="705"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39CA5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rPr>
                    <w:t>建筑物名称</w:t>
                  </w:r>
                </w:p>
              </w:tc>
              <w:tc>
                <w:tcPr>
                  <w:tcW w:w="1425"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3E948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rPr>
                    <w:t xml:space="preserve">   噪声源名称    </w:t>
                  </w:r>
                </w:p>
              </w:tc>
              <w:tc>
                <w:tcPr>
                  <w:tcW w:w="57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2264A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rPr>
                    <w:t>型号</w:t>
                  </w:r>
                </w:p>
              </w:tc>
              <w:tc>
                <w:tcPr>
                  <w:tcW w:w="1095"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80EED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rPr>
                    <w:t>声源源强dB(A)/1m</w:t>
                  </w:r>
                </w:p>
              </w:tc>
              <w:tc>
                <w:tcPr>
                  <w:tcW w:w="84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E3F48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rPr>
                    <w:t>声源控制措施</w:t>
                  </w:r>
                </w:p>
              </w:tc>
              <w:tc>
                <w:tcPr>
                  <w:tcW w:w="1999"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C2211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rPr>
                    <w:t>空间相对位置/m</w:t>
                  </w:r>
                </w:p>
              </w:tc>
              <w:tc>
                <w:tcPr>
                  <w:tcW w:w="91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34426A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rPr>
                    <w:t>距室内边界距离/m</w:t>
                  </w:r>
                </w:p>
              </w:tc>
              <w:tc>
                <w:tcPr>
                  <w:tcW w:w="91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A34831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rPr>
                    <w:t>室内边界声级/dB(A)</w:t>
                  </w:r>
                </w:p>
              </w:tc>
              <w:tc>
                <w:tcPr>
                  <w:tcW w:w="69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537F31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rPr>
                    <w:t>运行时段</w:t>
                  </w:r>
                </w:p>
              </w:tc>
              <w:tc>
                <w:tcPr>
                  <w:tcW w:w="115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696161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rPr>
                    <w:t>建筑物插入损失/dB(A)</w:t>
                  </w:r>
                </w:p>
              </w:tc>
              <w:tc>
                <w:tcPr>
                  <w:tcW w:w="1815" w:type="dxa"/>
                  <w:gridSpan w:val="2"/>
                  <w:tcBorders>
                    <w:top w:val="single" w:color="000000" w:sz="4" w:space="0"/>
                    <w:left w:val="single" w:color="000000" w:sz="4" w:space="0"/>
                    <w:bottom w:val="nil"/>
                    <w:right w:val="single" w:color="000000" w:sz="4" w:space="0"/>
                  </w:tcBorders>
                  <w:shd w:val="clear" w:color="auto" w:fill="auto"/>
                  <w:vAlign w:val="center"/>
                </w:tcPr>
                <w:p w14:paraId="1D35843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rPr>
                    <w:t>建筑物外噪声</w:t>
                  </w:r>
                </w:p>
              </w:tc>
              <w:tc>
                <w:tcPr>
                  <w:tcW w:w="75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1D5A05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rPr>
                    <w:t>备注</w:t>
                  </w:r>
                </w:p>
              </w:tc>
            </w:tr>
            <w:tr w14:paraId="2A70E29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532"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2CF33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0"/>
                      <w:szCs w:val="20"/>
                      <w:highlight w:val="none"/>
                      <w:u w:val="none"/>
                    </w:rPr>
                  </w:pPr>
                </w:p>
              </w:tc>
              <w:tc>
                <w:tcPr>
                  <w:tcW w:w="70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75EE1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0"/>
                      <w:szCs w:val="20"/>
                      <w:highlight w:val="none"/>
                      <w:u w:val="none"/>
                    </w:rPr>
                  </w:pPr>
                </w:p>
              </w:tc>
              <w:tc>
                <w:tcPr>
                  <w:tcW w:w="142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1B55E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0"/>
                      <w:szCs w:val="20"/>
                      <w:highlight w:val="none"/>
                      <w:u w:val="none"/>
                    </w:rPr>
                  </w:pPr>
                </w:p>
              </w:tc>
              <w:tc>
                <w:tcPr>
                  <w:tcW w:w="57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FA239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0"/>
                      <w:szCs w:val="20"/>
                      <w:highlight w:val="none"/>
                      <w:u w:val="none"/>
                    </w:rPr>
                  </w:pPr>
                </w:p>
              </w:tc>
              <w:tc>
                <w:tcPr>
                  <w:tcW w:w="109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74D7F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0"/>
                      <w:szCs w:val="20"/>
                      <w:highlight w:val="none"/>
                      <w:u w:val="none"/>
                    </w:rPr>
                  </w:pPr>
                </w:p>
              </w:tc>
              <w:tc>
                <w:tcPr>
                  <w:tcW w:w="84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F6796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0"/>
                      <w:szCs w:val="20"/>
                      <w:highlight w:val="none"/>
                      <w:u w:val="none"/>
                    </w:rPr>
                  </w:pPr>
                </w:p>
              </w:tc>
              <w:tc>
                <w:tcPr>
                  <w:tcW w:w="6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5F19C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rPr>
                    <w:t>X</w:t>
                  </w:r>
                </w:p>
              </w:tc>
              <w:tc>
                <w:tcPr>
                  <w:tcW w:w="6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7172F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rPr>
                    <w:t xml:space="preserve">  Y  </w:t>
                  </w:r>
                </w:p>
              </w:tc>
              <w:tc>
                <w:tcPr>
                  <w:tcW w:w="7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3E00F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rPr>
                    <w:t>离地高度</w:t>
                  </w:r>
                </w:p>
              </w:tc>
              <w:tc>
                <w:tcPr>
                  <w:tcW w:w="91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1C7986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0"/>
                      <w:szCs w:val="20"/>
                      <w:highlight w:val="none"/>
                      <w:u w:val="none"/>
                    </w:rPr>
                  </w:pPr>
                </w:p>
              </w:tc>
              <w:tc>
                <w:tcPr>
                  <w:tcW w:w="91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3ABE4B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0"/>
                      <w:szCs w:val="20"/>
                      <w:highlight w:val="none"/>
                      <w:u w:val="none"/>
                    </w:rPr>
                  </w:pPr>
                </w:p>
              </w:tc>
              <w:tc>
                <w:tcPr>
                  <w:tcW w:w="6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7905EE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0"/>
                      <w:szCs w:val="20"/>
                      <w:highlight w:val="none"/>
                      <w:u w:val="none"/>
                    </w:rPr>
                  </w:pPr>
                </w:p>
              </w:tc>
              <w:tc>
                <w:tcPr>
                  <w:tcW w:w="115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56B3DD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0"/>
                      <w:szCs w:val="20"/>
                      <w:highlight w:val="none"/>
                      <w:u w:val="none"/>
                    </w:rPr>
                  </w:pP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45CC9F">
                  <w:pPr>
                    <w:keepNext w:val="0"/>
                    <w:keepLines w:val="0"/>
                    <w:widowControl/>
                    <w:suppressLineNumbers w:val="0"/>
                    <w:spacing w:before="0" w:beforeAutospacing="0" w:after="0" w:afterAutospacing="0" w:line="240" w:lineRule="auto"/>
                    <w:ind w:left="0" w:right="0"/>
                    <w:jc w:val="left"/>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rPr>
                    <w:t>声压级/dB(A)</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BD5E65">
                  <w:pPr>
                    <w:keepNext w:val="0"/>
                    <w:keepLines w:val="0"/>
                    <w:widowControl/>
                    <w:suppressLineNumbers w:val="0"/>
                    <w:spacing w:before="0" w:beforeAutospacing="0" w:after="0" w:afterAutospacing="0" w:line="240" w:lineRule="auto"/>
                    <w:ind w:left="0" w:right="0"/>
                    <w:jc w:val="left"/>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rPr>
                    <w:t>建筑外距离/m</w:t>
                  </w:r>
                </w:p>
              </w:tc>
              <w:tc>
                <w:tcPr>
                  <w:tcW w:w="75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AFB60F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0"/>
                      <w:szCs w:val="20"/>
                      <w:highlight w:val="none"/>
                      <w:u w:val="none"/>
                    </w:rPr>
                  </w:pPr>
                </w:p>
              </w:tc>
            </w:tr>
            <w:tr w14:paraId="4DAF4EA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5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A7FD4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1</w:t>
                  </w:r>
                </w:p>
              </w:tc>
              <w:tc>
                <w:tcPr>
                  <w:tcW w:w="705"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7887E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4#厂房</w:t>
                  </w:r>
                </w:p>
              </w:tc>
              <w:tc>
                <w:tcPr>
                  <w:tcW w:w="14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A9979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锤破机</w:t>
                  </w:r>
                </w:p>
              </w:tc>
              <w:tc>
                <w:tcPr>
                  <w:tcW w:w="5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739FE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120</w:t>
                  </w:r>
                </w:p>
              </w:tc>
              <w:tc>
                <w:tcPr>
                  <w:tcW w:w="10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037A8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85</w:t>
                  </w:r>
                </w:p>
              </w:tc>
              <w:tc>
                <w:tcPr>
                  <w:tcW w:w="840" w:type="dxa"/>
                  <w:vMerge w:val="restart"/>
                  <w:tcBorders>
                    <w:top w:val="single" w:color="000000" w:sz="4" w:space="0"/>
                    <w:left w:val="single" w:color="000000" w:sz="4" w:space="0"/>
                    <w:right w:val="single" w:color="000000" w:sz="4" w:space="0"/>
                  </w:tcBorders>
                  <w:shd w:val="clear" w:color="auto" w:fill="auto"/>
                  <w:noWrap/>
                  <w:vAlign w:val="center"/>
                </w:tcPr>
                <w:p w14:paraId="42C10C6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cs="Times New Roman"/>
                      <w:color w:val="auto"/>
                      <w:kern w:val="2"/>
                      <w:sz w:val="20"/>
                      <w:szCs w:val="20"/>
                      <w:highlight w:val="none"/>
                    </w:rPr>
                    <w:t>减振、吸声、</w:t>
                  </w:r>
                  <w:r>
                    <w:rPr>
                      <w:rFonts w:hint="default" w:ascii="Times New Roman" w:hAnsi="Times New Roman" w:cs="Times New Roman"/>
                      <w:color w:val="auto"/>
                      <w:kern w:val="2"/>
                      <w:sz w:val="20"/>
                      <w:szCs w:val="20"/>
                      <w:highlight w:val="none"/>
                      <w:lang w:val="en-US" w:eastAsia="zh-CN"/>
                    </w:rPr>
                    <w:t xml:space="preserve">  </w:t>
                  </w:r>
                  <w:r>
                    <w:rPr>
                      <w:rFonts w:hint="default" w:ascii="Times New Roman" w:hAnsi="Times New Roman" w:cs="Times New Roman"/>
                      <w:color w:val="auto"/>
                      <w:kern w:val="2"/>
                      <w:sz w:val="20"/>
                      <w:szCs w:val="20"/>
                      <w:highlight w:val="none"/>
                    </w:rPr>
                    <w:t>隔声</w:t>
                  </w:r>
                </w:p>
              </w:tc>
              <w:tc>
                <w:tcPr>
                  <w:tcW w:w="6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DBFEC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91</w:t>
                  </w:r>
                </w:p>
              </w:tc>
              <w:tc>
                <w:tcPr>
                  <w:tcW w:w="6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F7AC4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76</w:t>
                  </w:r>
                </w:p>
              </w:tc>
              <w:tc>
                <w:tcPr>
                  <w:tcW w:w="7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89BAD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1.2</w:t>
                  </w:r>
                </w:p>
              </w:tc>
              <w:tc>
                <w:tcPr>
                  <w:tcW w:w="9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64538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50</w:t>
                  </w:r>
                </w:p>
              </w:tc>
              <w:tc>
                <w:tcPr>
                  <w:tcW w:w="9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72680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 xml:space="preserve">51.02 </w:t>
                  </w:r>
                </w:p>
              </w:tc>
              <w:tc>
                <w:tcPr>
                  <w:tcW w:w="694"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4CD85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连续运行</w:t>
                  </w:r>
                </w:p>
              </w:tc>
              <w:tc>
                <w:tcPr>
                  <w:tcW w:w="11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B987F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22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6B007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 xml:space="preserve">29.0 </w:t>
                  </w:r>
                </w:p>
              </w:tc>
              <w:tc>
                <w:tcPr>
                  <w:tcW w:w="9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58965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 xml:space="preserve">13.0 </w:t>
                  </w:r>
                </w:p>
              </w:tc>
              <w:tc>
                <w:tcPr>
                  <w:tcW w:w="756"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7E1D2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硅胶机设备分布较为集中，等效为1个点声源计算</w:t>
                  </w:r>
                </w:p>
              </w:tc>
            </w:tr>
            <w:tr w14:paraId="4A39733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5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66503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2</w:t>
                  </w:r>
                </w:p>
              </w:tc>
              <w:tc>
                <w:tcPr>
                  <w:tcW w:w="70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97810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0"/>
                      <w:szCs w:val="20"/>
                      <w:highlight w:val="none"/>
                      <w:u w:val="none"/>
                    </w:rPr>
                  </w:pPr>
                </w:p>
              </w:tc>
              <w:tc>
                <w:tcPr>
                  <w:tcW w:w="14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4F4BF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锤破机</w:t>
                  </w:r>
                </w:p>
              </w:tc>
              <w:tc>
                <w:tcPr>
                  <w:tcW w:w="5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D632C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120</w:t>
                  </w:r>
                </w:p>
              </w:tc>
              <w:tc>
                <w:tcPr>
                  <w:tcW w:w="10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23506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85</w:t>
                  </w:r>
                </w:p>
              </w:tc>
              <w:tc>
                <w:tcPr>
                  <w:tcW w:w="840" w:type="dxa"/>
                  <w:vMerge w:val="continue"/>
                  <w:tcBorders>
                    <w:left w:val="single" w:color="000000" w:sz="4" w:space="0"/>
                    <w:right w:val="single" w:color="000000" w:sz="4" w:space="0"/>
                  </w:tcBorders>
                  <w:shd w:val="clear" w:color="auto" w:fill="auto"/>
                  <w:noWrap/>
                  <w:vAlign w:val="center"/>
                </w:tcPr>
                <w:p w14:paraId="4BD0531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0"/>
                      <w:szCs w:val="20"/>
                      <w:highlight w:val="none"/>
                      <w:u w:val="none"/>
                    </w:rPr>
                  </w:pPr>
                </w:p>
              </w:tc>
              <w:tc>
                <w:tcPr>
                  <w:tcW w:w="6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8DF23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92</w:t>
                  </w:r>
                </w:p>
              </w:tc>
              <w:tc>
                <w:tcPr>
                  <w:tcW w:w="6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C9472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47</w:t>
                  </w:r>
                </w:p>
              </w:tc>
              <w:tc>
                <w:tcPr>
                  <w:tcW w:w="7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90D90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1.2</w:t>
                  </w:r>
                </w:p>
              </w:tc>
              <w:tc>
                <w:tcPr>
                  <w:tcW w:w="9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1C4AF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45</w:t>
                  </w:r>
                </w:p>
              </w:tc>
              <w:tc>
                <w:tcPr>
                  <w:tcW w:w="9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9EE15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 xml:space="preserve">51.94 </w:t>
                  </w:r>
                </w:p>
              </w:tc>
              <w:tc>
                <w:tcPr>
                  <w:tcW w:w="69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1D13D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0"/>
                      <w:szCs w:val="20"/>
                      <w:highlight w:val="none"/>
                      <w:u w:val="none"/>
                    </w:rPr>
                  </w:pPr>
                </w:p>
              </w:tc>
              <w:tc>
                <w:tcPr>
                  <w:tcW w:w="11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0ED74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22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CB5A0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 xml:space="preserve">29.9 </w:t>
                  </w:r>
                </w:p>
              </w:tc>
              <w:tc>
                <w:tcPr>
                  <w:tcW w:w="9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AF006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 xml:space="preserve">13.0 </w:t>
                  </w:r>
                </w:p>
              </w:tc>
              <w:tc>
                <w:tcPr>
                  <w:tcW w:w="75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8458C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0"/>
                      <w:szCs w:val="20"/>
                      <w:highlight w:val="none"/>
                      <w:u w:val="none"/>
                    </w:rPr>
                  </w:pPr>
                </w:p>
              </w:tc>
            </w:tr>
            <w:tr w14:paraId="1B41FE1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5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A0F74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3</w:t>
                  </w:r>
                </w:p>
              </w:tc>
              <w:tc>
                <w:tcPr>
                  <w:tcW w:w="70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DFD6F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0"/>
                      <w:szCs w:val="20"/>
                      <w:highlight w:val="none"/>
                      <w:u w:val="none"/>
                    </w:rPr>
                  </w:pPr>
                </w:p>
              </w:tc>
              <w:tc>
                <w:tcPr>
                  <w:tcW w:w="14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731B4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破碎机</w:t>
                  </w:r>
                </w:p>
              </w:tc>
              <w:tc>
                <w:tcPr>
                  <w:tcW w:w="5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1EC93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120</w:t>
                  </w:r>
                </w:p>
              </w:tc>
              <w:tc>
                <w:tcPr>
                  <w:tcW w:w="10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18698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85</w:t>
                  </w:r>
                </w:p>
              </w:tc>
              <w:tc>
                <w:tcPr>
                  <w:tcW w:w="840" w:type="dxa"/>
                  <w:vMerge w:val="continue"/>
                  <w:tcBorders>
                    <w:left w:val="single" w:color="000000" w:sz="4" w:space="0"/>
                    <w:right w:val="single" w:color="000000" w:sz="4" w:space="0"/>
                  </w:tcBorders>
                  <w:shd w:val="clear" w:color="auto" w:fill="auto"/>
                  <w:noWrap/>
                  <w:vAlign w:val="center"/>
                </w:tcPr>
                <w:p w14:paraId="479FB8D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0"/>
                      <w:szCs w:val="20"/>
                      <w:highlight w:val="none"/>
                      <w:u w:val="none"/>
                    </w:rPr>
                  </w:pPr>
                </w:p>
              </w:tc>
              <w:tc>
                <w:tcPr>
                  <w:tcW w:w="6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BDA2E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70</w:t>
                  </w:r>
                </w:p>
              </w:tc>
              <w:tc>
                <w:tcPr>
                  <w:tcW w:w="6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895AD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77</w:t>
                  </w:r>
                </w:p>
              </w:tc>
              <w:tc>
                <w:tcPr>
                  <w:tcW w:w="7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EF4D5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1</w:t>
                  </w:r>
                </w:p>
              </w:tc>
              <w:tc>
                <w:tcPr>
                  <w:tcW w:w="9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86A2C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45</w:t>
                  </w:r>
                </w:p>
              </w:tc>
              <w:tc>
                <w:tcPr>
                  <w:tcW w:w="9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29358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 xml:space="preserve">51.94 </w:t>
                  </w:r>
                </w:p>
              </w:tc>
              <w:tc>
                <w:tcPr>
                  <w:tcW w:w="69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16EAC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0"/>
                      <w:szCs w:val="20"/>
                      <w:highlight w:val="none"/>
                      <w:u w:val="none"/>
                    </w:rPr>
                  </w:pPr>
                </w:p>
              </w:tc>
              <w:tc>
                <w:tcPr>
                  <w:tcW w:w="11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92749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22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8C0DC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 xml:space="preserve">29.9 </w:t>
                  </w:r>
                </w:p>
              </w:tc>
              <w:tc>
                <w:tcPr>
                  <w:tcW w:w="9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2FDF8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 xml:space="preserve">13.0 </w:t>
                  </w:r>
                </w:p>
              </w:tc>
              <w:tc>
                <w:tcPr>
                  <w:tcW w:w="75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20FF7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0"/>
                      <w:szCs w:val="20"/>
                      <w:highlight w:val="none"/>
                      <w:u w:val="none"/>
                    </w:rPr>
                  </w:pPr>
                </w:p>
              </w:tc>
            </w:tr>
            <w:tr w14:paraId="3FD06F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5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B21CD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4</w:t>
                  </w:r>
                </w:p>
              </w:tc>
              <w:tc>
                <w:tcPr>
                  <w:tcW w:w="70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A3FB1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0"/>
                      <w:szCs w:val="20"/>
                      <w:highlight w:val="none"/>
                      <w:u w:val="none"/>
                    </w:rPr>
                  </w:pPr>
                </w:p>
              </w:tc>
              <w:tc>
                <w:tcPr>
                  <w:tcW w:w="14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E2B15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破碎机</w:t>
                  </w:r>
                </w:p>
              </w:tc>
              <w:tc>
                <w:tcPr>
                  <w:tcW w:w="5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A450B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120</w:t>
                  </w:r>
                </w:p>
              </w:tc>
              <w:tc>
                <w:tcPr>
                  <w:tcW w:w="10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EF021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85</w:t>
                  </w:r>
                </w:p>
              </w:tc>
              <w:tc>
                <w:tcPr>
                  <w:tcW w:w="840" w:type="dxa"/>
                  <w:vMerge w:val="continue"/>
                  <w:tcBorders>
                    <w:left w:val="single" w:color="000000" w:sz="4" w:space="0"/>
                    <w:right w:val="single" w:color="000000" w:sz="4" w:space="0"/>
                  </w:tcBorders>
                  <w:shd w:val="clear" w:color="auto" w:fill="auto"/>
                  <w:noWrap/>
                  <w:vAlign w:val="center"/>
                </w:tcPr>
                <w:p w14:paraId="6242FC2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0"/>
                      <w:szCs w:val="20"/>
                      <w:highlight w:val="none"/>
                      <w:u w:val="none"/>
                    </w:rPr>
                  </w:pPr>
                </w:p>
              </w:tc>
              <w:tc>
                <w:tcPr>
                  <w:tcW w:w="6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CBFF9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71</w:t>
                  </w:r>
                </w:p>
              </w:tc>
              <w:tc>
                <w:tcPr>
                  <w:tcW w:w="6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47BC5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43</w:t>
                  </w:r>
                </w:p>
              </w:tc>
              <w:tc>
                <w:tcPr>
                  <w:tcW w:w="7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BFD45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1</w:t>
                  </w:r>
                </w:p>
              </w:tc>
              <w:tc>
                <w:tcPr>
                  <w:tcW w:w="9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3A20B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50</w:t>
                  </w:r>
                </w:p>
              </w:tc>
              <w:tc>
                <w:tcPr>
                  <w:tcW w:w="9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04457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 xml:space="preserve">51.02 </w:t>
                  </w:r>
                </w:p>
              </w:tc>
              <w:tc>
                <w:tcPr>
                  <w:tcW w:w="69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A3534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0"/>
                      <w:szCs w:val="20"/>
                      <w:highlight w:val="none"/>
                      <w:u w:val="none"/>
                    </w:rPr>
                  </w:pPr>
                </w:p>
              </w:tc>
              <w:tc>
                <w:tcPr>
                  <w:tcW w:w="11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66344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22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2AE33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 xml:space="preserve">29.0 </w:t>
                  </w:r>
                </w:p>
              </w:tc>
              <w:tc>
                <w:tcPr>
                  <w:tcW w:w="9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F12AD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 xml:space="preserve">12.0 </w:t>
                  </w:r>
                </w:p>
              </w:tc>
              <w:tc>
                <w:tcPr>
                  <w:tcW w:w="75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6AACC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0"/>
                      <w:szCs w:val="20"/>
                      <w:highlight w:val="none"/>
                      <w:u w:val="none"/>
                    </w:rPr>
                  </w:pPr>
                </w:p>
              </w:tc>
            </w:tr>
            <w:tr w14:paraId="494A0CD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5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4CA13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5</w:t>
                  </w:r>
                </w:p>
              </w:tc>
              <w:tc>
                <w:tcPr>
                  <w:tcW w:w="70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96EAA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0"/>
                      <w:szCs w:val="20"/>
                      <w:highlight w:val="none"/>
                      <w:u w:val="none"/>
                    </w:rPr>
                  </w:pPr>
                </w:p>
              </w:tc>
              <w:tc>
                <w:tcPr>
                  <w:tcW w:w="14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86C67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破碎机</w:t>
                  </w:r>
                </w:p>
              </w:tc>
              <w:tc>
                <w:tcPr>
                  <w:tcW w:w="5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DD404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120</w:t>
                  </w:r>
                </w:p>
              </w:tc>
              <w:tc>
                <w:tcPr>
                  <w:tcW w:w="10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221A6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85</w:t>
                  </w:r>
                </w:p>
              </w:tc>
              <w:tc>
                <w:tcPr>
                  <w:tcW w:w="840" w:type="dxa"/>
                  <w:vMerge w:val="continue"/>
                  <w:tcBorders>
                    <w:left w:val="single" w:color="000000" w:sz="4" w:space="0"/>
                    <w:right w:val="single" w:color="000000" w:sz="4" w:space="0"/>
                  </w:tcBorders>
                  <w:shd w:val="clear" w:color="auto" w:fill="auto"/>
                  <w:noWrap/>
                  <w:vAlign w:val="center"/>
                </w:tcPr>
                <w:p w14:paraId="0DDA545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0"/>
                      <w:szCs w:val="20"/>
                      <w:highlight w:val="none"/>
                      <w:u w:val="none"/>
                    </w:rPr>
                  </w:pPr>
                </w:p>
              </w:tc>
              <w:tc>
                <w:tcPr>
                  <w:tcW w:w="6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93FA9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26</w:t>
                  </w:r>
                </w:p>
              </w:tc>
              <w:tc>
                <w:tcPr>
                  <w:tcW w:w="6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C32D1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165</w:t>
                  </w:r>
                </w:p>
              </w:tc>
              <w:tc>
                <w:tcPr>
                  <w:tcW w:w="7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6F43E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1</w:t>
                  </w:r>
                </w:p>
              </w:tc>
              <w:tc>
                <w:tcPr>
                  <w:tcW w:w="9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A419A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50</w:t>
                  </w:r>
                </w:p>
              </w:tc>
              <w:tc>
                <w:tcPr>
                  <w:tcW w:w="9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C3184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 xml:space="preserve">51.02 </w:t>
                  </w:r>
                </w:p>
              </w:tc>
              <w:tc>
                <w:tcPr>
                  <w:tcW w:w="69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D29DA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0"/>
                      <w:szCs w:val="20"/>
                      <w:highlight w:val="none"/>
                      <w:u w:val="none"/>
                    </w:rPr>
                  </w:pPr>
                </w:p>
              </w:tc>
              <w:tc>
                <w:tcPr>
                  <w:tcW w:w="11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4A909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22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78B48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 xml:space="preserve">29.0 </w:t>
                  </w:r>
                </w:p>
              </w:tc>
              <w:tc>
                <w:tcPr>
                  <w:tcW w:w="9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1D610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 xml:space="preserve">12.0 </w:t>
                  </w:r>
                </w:p>
              </w:tc>
              <w:tc>
                <w:tcPr>
                  <w:tcW w:w="75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614ED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0"/>
                      <w:szCs w:val="20"/>
                      <w:highlight w:val="none"/>
                      <w:u w:val="none"/>
                    </w:rPr>
                  </w:pPr>
                </w:p>
              </w:tc>
            </w:tr>
            <w:tr w14:paraId="47681AC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5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6714D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6</w:t>
                  </w:r>
                </w:p>
              </w:tc>
              <w:tc>
                <w:tcPr>
                  <w:tcW w:w="70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0F1B1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0"/>
                      <w:szCs w:val="20"/>
                      <w:highlight w:val="none"/>
                      <w:u w:val="none"/>
                    </w:rPr>
                  </w:pPr>
                </w:p>
              </w:tc>
              <w:tc>
                <w:tcPr>
                  <w:tcW w:w="14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BBD2B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破碎机</w:t>
                  </w:r>
                </w:p>
              </w:tc>
              <w:tc>
                <w:tcPr>
                  <w:tcW w:w="5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C02AC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120</w:t>
                  </w:r>
                </w:p>
              </w:tc>
              <w:tc>
                <w:tcPr>
                  <w:tcW w:w="10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F4636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85</w:t>
                  </w:r>
                </w:p>
              </w:tc>
              <w:tc>
                <w:tcPr>
                  <w:tcW w:w="840" w:type="dxa"/>
                  <w:vMerge w:val="continue"/>
                  <w:tcBorders>
                    <w:left w:val="single" w:color="000000" w:sz="4" w:space="0"/>
                    <w:right w:val="single" w:color="000000" w:sz="4" w:space="0"/>
                  </w:tcBorders>
                  <w:shd w:val="clear" w:color="auto" w:fill="auto"/>
                  <w:noWrap/>
                  <w:vAlign w:val="center"/>
                </w:tcPr>
                <w:p w14:paraId="0F12793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0"/>
                      <w:szCs w:val="20"/>
                      <w:highlight w:val="none"/>
                      <w:u w:val="none"/>
                    </w:rPr>
                  </w:pPr>
                </w:p>
              </w:tc>
              <w:tc>
                <w:tcPr>
                  <w:tcW w:w="6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6C7F4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61</w:t>
                  </w:r>
                </w:p>
              </w:tc>
              <w:tc>
                <w:tcPr>
                  <w:tcW w:w="6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1D5CE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79</w:t>
                  </w:r>
                </w:p>
              </w:tc>
              <w:tc>
                <w:tcPr>
                  <w:tcW w:w="7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F3A68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1</w:t>
                  </w:r>
                </w:p>
              </w:tc>
              <w:tc>
                <w:tcPr>
                  <w:tcW w:w="9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E278F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43</w:t>
                  </w:r>
                </w:p>
              </w:tc>
              <w:tc>
                <w:tcPr>
                  <w:tcW w:w="9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4FB17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 xml:space="preserve">52.33 </w:t>
                  </w:r>
                </w:p>
              </w:tc>
              <w:tc>
                <w:tcPr>
                  <w:tcW w:w="69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3317E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0"/>
                      <w:szCs w:val="20"/>
                      <w:highlight w:val="none"/>
                      <w:u w:val="none"/>
                    </w:rPr>
                  </w:pPr>
                </w:p>
              </w:tc>
              <w:tc>
                <w:tcPr>
                  <w:tcW w:w="11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A49FB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22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9BB23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 xml:space="preserve">30.3 </w:t>
                  </w:r>
                </w:p>
              </w:tc>
              <w:tc>
                <w:tcPr>
                  <w:tcW w:w="9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C7C68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 xml:space="preserve">13.0 </w:t>
                  </w:r>
                </w:p>
              </w:tc>
              <w:tc>
                <w:tcPr>
                  <w:tcW w:w="75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2F2F6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0"/>
                      <w:szCs w:val="20"/>
                      <w:highlight w:val="none"/>
                      <w:u w:val="none"/>
                    </w:rPr>
                  </w:pPr>
                </w:p>
              </w:tc>
            </w:tr>
            <w:tr w14:paraId="465C3FD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5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F0F64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7</w:t>
                  </w:r>
                </w:p>
              </w:tc>
              <w:tc>
                <w:tcPr>
                  <w:tcW w:w="70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745C2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0"/>
                      <w:szCs w:val="20"/>
                      <w:highlight w:val="none"/>
                      <w:u w:val="none"/>
                    </w:rPr>
                  </w:pPr>
                </w:p>
              </w:tc>
              <w:tc>
                <w:tcPr>
                  <w:tcW w:w="14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57B35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洗料设备</w:t>
                  </w:r>
                </w:p>
              </w:tc>
              <w:tc>
                <w:tcPr>
                  <w:tcW w:w="5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CFBF5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w:t>
                  </w:r>
                </w:p>
              </w:tc>
              <w:tc>
                <w:tcPr>
                  <w:tcW w:w="10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15861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80</w:t>
                  </w:r>
                </w:p>
              </w:tc>
              <w:tc>
                <w:tcPr>
                  <w:tcW w:w="840" w:type="dxa"/>
                  <w:vMerge w:val="continue"/>
                  <w:tcBorders>
                    <w:left w:val="single" w:color="000000" w:sz="4" w:space="0"/>
                    <w:right w:val="single" w:color="000000" w:sz="4" w:space="0"/>
                  </w:tcBorders>
                  <w:shd w:val="clear" w:color="auto" w:fill="auto"/>
                  <w:noWrap/>
                  <w:vAlign w:val="center"/>
                </w:tcPr>
                <w:p w14:paraId="035FEB4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0"/>
                      <w:szCs w:val="20"/>
                      <w:highlight w:val="none"/>
                      <w:u w:val="none"/>
                    </w:rPr>
                  </w:pPr>
                </w:p>
              </w:tc>
              <w:tc>
                <w:tcPr>
                  <w:tcW w:w="6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B2F0A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53</w:t>
                  </w:r>
                </w:p>
              </w:tc>
              <w:tc>
                <w:tcPr>
                  <w:tcW w:w="6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F196A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137</w:t>
                  </w:r>
                </w:p>
              </w:tc>
              <w:tc>
                <w:tcPr>
                  <w:tcW w:w="7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F0AAE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1.2</w:t>
                  </w:r>
                </w:p>
              </w:tc>
              <w:tc>
                <w:tcPr>
                  <w:tcW w:w="9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E71D3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60</w:t>
                  </w:r>
                </w:p>
              </w:tc>
              <w:tc>
                <w:tcPr>
                  <w:tcW w:w="9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E8ABD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 xml:space="preserve">44.44 </w:t>
                  </w:r>
                </w:p>
              </w:tc>
              <w:tc>
                <w:tcPr>
                  <w:tcW w:w="69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F80B7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0"/>
                      <w:szCs w:val="20"/>
                      <w:highlight w:val="none"/>
                      <w:u w:val="none"/>
                    </w:rPr>
                  </w:pPr>
                </w:p>
              </w:tc>
              <w:tc>
                <w:tcPr>
                  <w:tcW w:w="11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F1584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22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BC0B1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 xml:space="preserve">22.4 </w:t>
                  </w:r>
                </w:p>
              </w:tc>
              <w:tc>
                <w:tcPr>
                  <w:tcW w:w="9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5F235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 xml:space="preserve">12.0 </w:t>
                  </w:r>
                </w:p>
              </w:tc>
              <w:tc>
                <w:tcPr>
                  <w:tcW w:w="75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ECA69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0"/>
                      <w:szCs w:val="20"/>
                      <w:highlight w:val="none"/>
                      <w:u w:val="none"/>
                    </w:rPr>
                  </w:pPr>
                </w:p>
              </w:tc>
            </w:tr>
            <w:tr w14:paraId="1A96BA1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5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CC82E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8</w:t>
                  </w:r>
                </w:p>
              </w:tc>
              <w:tc>
                <w:tcPr>
                  <w:tcW w:w="70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D1B73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0"/>
                      <w:szCs w:val="20"/>
                      <w:highlight w:val="none"/>
                      <w:u w:val="none"/>
                    </w:rPr>
                  </w:pPr>
                </w:p>
              </w:tc>
              <w:tc>
                <w:tcPr>
                  <w:tcW w:w="14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6CD28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洗料设备</w:t>
                  </w:r>
                </w:p>
              </w:tc>
              <w:tc>
                <w:tcPr>
                  <w:tcW w:w="5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E636D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w:t>
                  </w:r>
                </w:p>
              </w:tc>
              <w:tc>
                <w:tcPr>
                  <w:tcW w:w="10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9C0A8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80</w:t>
                  </w:r>
                </w:p>
              </w:tc>
              <w:tc>
                <w:tcPr>
                  <w:tcW w:w="840" w:type="dxa"/>
                  <w:vMerge w:val="continue"/>
                  <w:tcBorders>
                    <w:left w:val="single" w:color="000000" w:sz="4" w:space="0"/>
                    <w:right w:val="single" w:color="000000" w:sz="4" w:space="0"/>
                  </w:tcBorders>
                  <w:shd w:val="clear" w:color="auto" w:fill="auto"/>
                  <w:noWrap/>
                  <w:vAlign w:val="center"/>
                </w:tcPr>
                <w:p w14:paraId="26863CB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0"/>
                      <w:szCs w:val="20"/>
                      <w:highlight w:val="none"/>
                      <w:u w:val="none"/>
                    </w:rPr>
                  </w:pPr>
                </w:p>
              </w:tc>
              <w:tc>
                <w:tcPr>
                  <w:tcW w:w="6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46761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28</w:t>
                  </w:r>
                </w:p>
              </w:tc>
              <w:tc>
                <w:tcPr>
                  <w:tcW w:w="6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BCBD7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79</w:t>
                  </w:r>
                </w:p>
              </w:tc>
              <w:tc>
                <w:tcPr>
                  <w:tcW w:w="7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DE8ED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1.2</w:t>
                  </w:r>
                </w:p>
              </w:tc>
              <w:tc>
                <w:tcPr>
                  <w:tcW w:w="9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12B7B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40</w:t>
                  </w:r>
                </w:p>
              </w:tc>
              <w:tc>
                <w:tcPr>
                  <w:tcW w:w="9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6B557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 xml:space="preserve">47.96 </w:t>
                  </w:r>
                </w:p>
              </w:tc>
              <w:tc>
                <w:tcPr>
                  <w:tcW w:w="69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1E8F2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0"/>
                      <w:szCs w:val="20"/>
                      <w:highlight w:val="none"/>
                      <w:u w:val="none"/>
                    </w:rPr>
                  </w:pPr>
                </w:p>
              </w:tc>
              <w:tc>
                <w:tcPr>
                  <w:tcW w:w="11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C6C97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22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F2DD5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 xml:space="preserve">26.0 </w:t>
                  </w:r>
                </w:p>
              </w:tc>
              <w:tc>
                <w:tcPr>
                  <w:tcW w:w="9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CFD33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 xml:space="preserve">12.0 </w:t>
                  </w:r>
                </w:p>
              </w:tc>
              <w:tc>
                <w:tcPr>
                  <w:tcW w:w="75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76D1C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0"/>
                      <w:szCs w:val="20"/>
                      <w:highlight w:val="none"/>
                      <w:u w:val="none"/>
                    </w:rPr>
                  </w:pPr>
                </w:p>
              </w:tc>
            </w:tr>
            <w:tr w14:paraId="3F2FA39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5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2CF38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9</w:t>
                  </w:r>
                </w:p>
              </w:tc>
              <w:tc>
                <w:tcPr>
                  <w:tcW w:w="70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DEE98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0"/>
                      <w:szCs w:val="20"/>
                      <w:highlight w:val="none"/>
                      <w:u w:val="none"/>
                    </w:rPr>
                  </w:pPr>
                </w:p>
              </w:tc>
              <w:tc>
                <w:tcPr>
                  <w:tcW w:w="14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7A394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洗料设备</w:t>
                  </w:r>
                </w:p>
              </w:tc>
              <w:tc>
                <w:tcPr>
                  <w:tcW w:w="5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1160C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w:t>
                  </w:r>
                </w:p>
              </w:tc>
              <w:tc>
                <w:tcPr>
                  <w:tcW w:w="10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EDB33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80</w:t>
                  </w:r>
                </w:p>
              </w:tc>
              <w:tc>
                <w:tcPr>
                  <w:tcW w:w="840" w:type="dxa"/>
                  <w:vMerge w:val="continue"/>
                  <w:tcBorders>
                    <w:left w:val="single" w:color="000000" w:sz="4" w:space="0"/>
                    <w:right w:val="single" w:color="000000" w:sz="4" w:space="0"/>
                  </w:tcBorders>
                  <w:shd w:val="clear" w:color="auto" w:fill="auto"/>
                  <w:noWrap/>
                  <w:vAlign w:val="center"/>
                </w:tcPr>
                <w:p w14:paraId="44B2A8F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0"/>
                      <w:szCs w:val="20"/>
                      <w:highlight w:val="none"/>
                      <w:u w:val="none"/>
                    </w:rPr>
                  </w:pPr>
                </w:p>
              </w:tc>
              <w:tc>
                <w:tcPr>
                  <w:tcW w:w="6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0BB60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36</w:t>
                  </w:r>
                </w:p>
              </w:tc>
              <w:tc>
                <w:tcPr>
                  <w:tcW w:w="6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BFCA2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83</w:t>
                  </w:r>
                </w:p>
              </w:tc>
              <w:tc>
                <w:tcPr>
                  <w:tcW w:w="7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6C187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1.2</w:t>
                  </w:r>
                </w:p>
              </w:tc>
              <w:tc>
                <w:tcPr>
                  <w:tcW w:w="9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762C6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60</w:t>
                  </w:r>
                </w:p>
              </w:tc>
              <w:tc>
                <w:tcPr>
                  <w:tcW w:w="9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C8A16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 xml:space="preserve">44.44 </w:t>
                  </w:r>
                </w:p>
              </w:tc>
              <w:tc>
                <w:tcPr>
                  <w:tcW w:w="69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E69B4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0"/>
                      <w:szCs w:val="20"/>
                      <w:highlight w:val="none"/>
                      <w:u w:val="none"/>
                    </w:rPr>
                  </w:pPr>
                </w:p>
              </w:tc>
              <w:tc>
                <w:tcPr>
                  <w:tcW w:w="11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74801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22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A73FD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 xml:space="preserve">22.4 </w:t>
                  </w:r>
                </w:p>
              </w:tc>
              <w:tc>
                <w:tcPr>
                  <w:tcW w:w="9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EA4B9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 xml:space="preserve">12.0 </w:t>
                  </w:r>
                </w:p>
              </w:tc>
              <w:tc>
                <w:tcPr>
                  <w:tcW w:w="75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204CB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0"/>
                      <w:szCs w:val="20"/>
                      <w:highlight w:val="none"/>
                      <w:u w:val="none"/>
                    </w:rPr>
                  </w:pPr>
                </w:p>
              </w:tc>
            </w:tr>
            <w:tr w14:paraId="41E1418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5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C8E9B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10</w:t>
                  </w:r>
                </w:p>
              </w:tc>
              <w:tc>
                <w:tcPr>
                  <w:tcW w:w="70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1C669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0"/>
                      <w:szCs w:val="20"/>
                      <w:highlight w:val="none"/>
                      <w:u w:val="none"/>
                    </w:rPr>
                  </w:pPr>
                </w:p>
              </w:tc>
              <w:tc>
                <w:tcPr>
                  <w:tcW w:w="14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975F4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洗料设备</w:t>
                  </w:r>
                </w:p>
              </w:tc>
              <w:tc>
                <w:tcPr>
                  <w:tcW w:w="5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DE33D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w:t>
                  </w:r>
                </w:p>
              </w:tc>
              <w:tc>
                <w:tcPr>
                  <w:tcW w:w="10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E27ED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80</w:t>
                  </w:r>
                </w:p>
              </w:tc>
              <w:tc>
                <w:tcPr>
                  <w:tcW w:w="840" w:type="dxa"/>
                  <w:vMerge w:val="continue"/>
                  <w:tcBorders>
                    <w:left w:val="single" w:color="000000" w:sz="4" w:space="0"/>
                    <w:right w:val="single" w:color="000000" w:sz="4" w:space="0"/>
                  </w:tcBorders>
                  <w:shd w:val="clear" w:color="auto" w:fill="auto"/>
                  <w:noWrap/>
                  <w:vAlign w:val="center"/>
                </w:tcPr>
                <w:p w14:paraId="21D717C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0"/>
                      <w:szCs w:val="20"/>
                      <w:highlight w:val="none"/>
                      <w:u w:val="none"/>
                    </w:rPr>
                  </w:pPr>
                </w:p>
              </w:tc>
              <w:tc>
                <w:tcPr>
                  <w:tcW w:w="6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1769B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50</w:t>
                  </w:r>
                </w:p>
              </w:tc>
              <w:tc>
                <w:tcPr>
                  <w:tcW w:w="6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77A96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82</w:t>
                  </w:r>
                </w:p>
              </w:tc>
              <w:tc>
                <w:tcPr>
                  <w:tcW w:w="7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54482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1.2</w:t>
                  </w:r>
                </w:p>
              </w:tc>
              <w:tc>
                <w:tcPr>
                  <w:tcW w:w="9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2302A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50</w:t>
                  </w:r>
                </w:p>
              </w:tc>
              <w:tc>
                <w:tcPr>
                  <w:tcW w:w="9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4B489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 xml:space="preserve">46.02 </w:t>
                  </w:r>
                </w:p>
              </w:tc>
              <w:tc>
                <w:tcPr>
                  <w:tcW w:w="69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8EC64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0"/>
                      <w:szCs w:val="20"/>
                      <w:highlight w:val="none"/>
                      <w:u w:val="none"/>
                    </w:rPr>
                  </w:pPr>
                </w:p>
              </w:tc>
              <w:tc>
                <w:tcPr>
                  <w:tcW w:w="11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482AD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22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1C6A2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 xml:space="preserve">24.0 </w:t>
                  </w:r>
                </w:p>
              </w:tc>
              <w:tc>
                <w:tcPr>
                  <w:tcW w:w="9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166A1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 xml:space="preserve">12.0 </w:t>
                  </w:r>
                </w:p>
              </w:tc>
              <w:tc>
                <w:tcPr>
                  <w:tcW w:w="75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7BE6C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0"/>
                      <w:szCs w:val="20"/>
                      <w:highlight w:val="none"/>
                      <w:u w:val="none"/>
                    </w:rPr>
                  </w:pPr>
                </w:p>
              </w:tc>
            </w:tr>
            <w:tr w14:paraId="574FF04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5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D649F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11</w:t>
                  </w:r>
                </w:p>
              </w:tc>
              <w:tc>
                <w:tcPr>
                  <w:tcW w:w="705"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49904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2#厂房</w:t>
                  </w:r>
                </w:p>
              </w:tc>
              <w:tc>
                <w:tcPr>
                  <w:tcW w:w="14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F60D6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硅胶机</w:t>
                  </w:r>
                </w:p>
              </w:tc>
              <w:tc>
                <w:tcPr>
                  <w:tcW w:w="5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9FC5C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180</w:t>
                  </w:r>
                </w:p>
              </w:tc>
              <w:tc>
                <w:tcPr>
                  <w:tcW w:w="10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FEB16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90</w:t>
                  </w:r>
                </w:p>
              </w:tc>
              <w:tc>
                <w:tcPr>
                  <w:tcW w:w="840" w:type="dxa"/>
                  <w:vMerge w:val="continue"/>
                  <w:tcBorders>
                    <w:left w:val="single" w:color="000000" w:sz="4" w:space="0"/>
                    <w:right w:val="single" w:color="000000" w:sz="4" w:space="0"/>
                  </w:tcBorders>
                  <w:shd w:val="clear" w:color="auto" w:fill="auto"/>
                  <w:noWrap/>
                  <w:vAlign w:val="center"/>
                </w:tcPr>
                <w:p w14:paraId="04253E2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0"/>
                      <w:szCs w:val="20"/>
                      <w:highlight w:val="none"/>
                      <w:u w:val="none"/>
                    </w:rPr>
                  </w:pPr>
                </w:p>
              </w:tc>
              <w:tc>
                <w:tcPr>
                  <w:tcW w:w="6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C85CE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149</w:t>
                  </w:r>
                </w:p>
              </w:tc>
              <w:tc>
                <w:tcPr>
                  <w:tcW w:w="6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8D34E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129</w:t>
                  </w:r>
                </w:p>
              </w:tc>
              <w:tc>
                <w:tcPr>
                  <w:tcW w:w="7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12B19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1</w:t>
                  </w:r>
                </w:p>
              </w:tc>
              <w:tc>
                <w:tcPr>
                  <w:tcW w:w="9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FA059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65</w:t>
                  </w:r>
                </w:p>
              </w:tc>
              <w:tc>
                <w:tcPr>
                  <w:tcW w:w="9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2D4C8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 xml:space="preserve">53.74 </w:t>
                  </w:r>
                </w:p>
              </w:tc>
              <w:tc>
                <w:tcPr>
                  <w:tcW w:w="69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5BDDB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0"/>
                      <w:szCs w:val="20"/>
                      <w:highlight w:val="none"/>
                      <w:u w:val="none"/>
                    </w:rPr>
                  </w:pPr>
                </w:p>
              </w:tc>
              <w:tc>
                <w:tcPr>
                  <w:tcW w:w="11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33431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22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20E09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 xml:space="preserve">31.7 </w:t>
                  </w:r>
                </w:p>
              </w:tc>
              <w:tc>
                <w:tcPr>
                  <w:tcW w:w="9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D3402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 xml:space="preserve">10.0 </w:t>
                  </w:r>
                </w:p>
              </w:tc>
              <w:tc>
                <w:tcPr>
                  <w:tcW w:w="75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9ADC1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0"/>
                      <w:szCs w:val="20"/>
                      <w:highlight w:val="none"/>
                      <w:u w:val="none"/>
                    </w:rPr>
                  </w:pPr>
                </w:p>
              </w:tc>
            </w:tr>
            <w:tr w14:paraId="326456A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5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1F07D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12</w:t>
                  </w:r>
                </w:p>
              </w:tc>
              <w:tc>
                <w:tcPr>
                  <w:tcW w:w="70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4DBC3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0"/>
                      <w:szCs w:val="20"/>
                      <w:highlight w:val="none"/>
                      <w:u w:val="none"/>
                    </w:rPr>
                  </w:pPr>
                </w:p>
              </w:tc>
              <w:tc>
                <w:tcPr>
                  <w:tcW w:w="14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F07FE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静电分选机</w:t>
                  </w:r>
                </w:p>
              </w:tc>
              <w:tc>
                <w:tcPr>
                  <w:tcW w:w="5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8FAB4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300</w:t>
                  </w:r>
                </w:p>
              </w:tc>
              <w:tc>
                <w:tcPr>
                  <w:tcW w:w="10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984C2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85</w:t>
                  </w:r>
                </w:p>
              </w:tc>
              <w:tc>
                <w:tcPr>
                  <w:tcW w:w="840" w:type="dxa"/>
                  <w:vMerge w:val="continue"/>
                  <w:tcBorders>
                    <w:left w:val="single" w:color="000000" w:sz="4" w:space="0"/>
                    <w:right w:val="single" w:color="000000" w:sz="4" w:space="0"/>
                  </w:tcBorders>
                  <w:shd w:val="clear" w:color="auto" w:fill="auto"/>
                  <w:noWrap/>
                  <w:vAlign w:val="center"/>
                </w:tcPr>
                <w:p w14:paraId="54CA184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0"/>
                      <w:szCs w:val="20"/>
                      <w:highlight w:val="none"/>
                      <w:u w:val="none"/>
                    </w:rPr>
                  </w:pPr>
                </w:p>
              </w:tc>
              <w:tc>
                <w:tcPr>
                  <w:tcW w:w="6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4C83D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151</w:t>
                  </w:r>
                </w:p>
              </w:tc>
              <w:tc>
                <w:tcPr>
                  <w:tcW w:w="6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B1FEC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142</w:t>
                  </w:r>
                </w:p>
              </w:tc>
              <w:tc>
                <w:tcPr>
                  <w:tcW w:w="7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C15D9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1</w:t>
                  </w:r>
                </w:p>
              </w:tc>
              <w:tc>
                <w:tcPr>
                  <w:tcW w:w="9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3FAEF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35</w:t>
                  </w:r>
                </w:p>
              </w:tc>
              <w:tc>
                <w:tcPr>
                  <w:tcW w:w="9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65327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 xml:space="preserve">54.12 </w:t>
                  </w:r>
                </w:p>
              </w:tc>
              <w:tc>
                <w:tcPr>
                  <w:tcW w:w="69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DB88B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0"/>
                      <w:szCs w:val="20"/>
                      <w:highlight w:val="none"/>
                      <w:u w:val="none"/>
                    </w:rPr>
                  </w:pPr>
                </w:p>
              </w:tc>
              <w:tc>
                <w:tcPr>
                  <w:tcW w:w="11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366F9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22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FF702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 xml:space="preserve">32.1 </w:t>
                  </w:r>
                </w:p>
              </w:tc>
              <w:tc>
                <w:tcPr>
                  <w:tcW w:w="9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B5CBE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 xml:space="preserve">10.0 </w:t>
                  </w:r>
                </w:p>
              </w:tc>
              <w:tc>
                <w:tcPr>
                  <w:tcW w:w="75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CB9FE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0"/>
                      <w:szCs w:val="20"/>
                      <w:highlight w:val="none"/>
                      <w:u w:val="none"/>
                    </w:rPr>
                  </w:pPr>
                </w:p>
              </w:tc>
            </w:tr>
            <w:tr w14:paraId="7A7CE0D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5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C55E1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13</w:t>
                  </w:r>
                </w:p>
              </w:tc>
              <w:tc>
                <w:tcPr>
                  <w:tcW w:w="70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78A8F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0"/>
                      <w:szCs w:val="20"/>
                      <w:highlight w:val="none"/>
                      <w:u w:val="none"/>
                    </w:rPr>
                  </w:pPr>
                </w:p>
              </w:tc>
              <w:tc>
                <w:tcPr>
                  <w:tcW w:w="14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BFF0C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静电分选机</w:t>
                  </w:r>
                </w:p>
              </w:tc>
              <w:tc>
                <w:tcPr>
                  <w:tcW w:w="5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DCC3C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300</w:t>
                  </w:r>
                </w:p>
              </w:tc>
              <w:tc>
                <w:tcPr>
                  <w:tcW w:w="10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4C9C6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85</w:t>
                  </w:r>
                </w:p>
              </w:tc>
              <w:tc>
                <w:tcPr>
                  <w:tcW w:w="840" w:type="dxa"/>
                  <w:vMerge w:val="continue"/>
                  <w:tcBorders>
                    <w:left w:val="single" w:color="000000" w:sz="4" w:space="0"/>
                    <w:right w:val="single" w:color="000000" w:sz="4" w:space="0"/>
                  </w:tcBorders>
                  <w:shd w:val="clear" w:color="auto" w:fill="auto"/>
                  <w:noWrap/>
                  <w:vAlign w:val="center"/>
                </w:tcPr>
                <w:p w14:paraId="4530A1D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0"/>
                      <w:szCs w:val="20"/>
                      <w:highlight w:val="none"/>
                      <w:u w:val="none"/>
                    </w:rPr>
                  </w:pPr>
                </w:p>
              </w:tc>
              <w:tc>
                <w:tcPr>
                  <w:tcW w:w="6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FD83B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234</w:t>
                  </w:r>
                </w:p>
              </w:tc>
              <w:tc>
                <w:tcPr>
                  <w:tcW w:w="6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C0897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142</w:t>
                  </w:r>
                </w:p>
              </w:tc>
              <w:tc>
                <w:tcPr>
                  <w:tcW w:w="7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8BA68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1</w:t>
                  </w:r>
                </w:p>
              </w:tc>
              <w:tc>
                <w:tcPr>
                  <w:tcW w:w="9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3C195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35</w:t>
                  </w:r>
                </w:p>
              </w:tc>
              <w:tc>
                <w:tcPr>
                  <w:tcW w:w="9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310C8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 xml:space="preserve">54.12 </w:t>
                  </w:r>
                </w:p>
              </w:tc>
              <w:tc>
                <w:tcPr>
                  <w:tcW w:w="69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D5193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0"/>
                      <w:szCs w:val="20"/>
                      <w:highlight w:val="none"/>
                      <w:u w:val="none"/>
                    </w:rPr>
                  </w:pPr>
                </w:p>
              </w:tc>
              <w:tc>
                <w:tcPr>
                  <w:tcW w:w="11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D1DE5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22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D0B75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 xml:space="preserve">32.1 </w:t>
                  </w:r>
                </w:p>
              </w:tc>
              <w:tc>
                <w:tcPr>
                  <w:tcW w:w="9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87D2C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 xml:space="preserve">10.0 </w:t>
                  </w:r>
                </w:p>
              </w:tc>
              <w:tc>
                <w:tcPr>
                  <w:tcW w:w="75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8A47C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0"/>
                      <w:szCs w:val="20"/>
                      <w:highlight w:val="none"/>
                      <w:u w:val="none"/>
                    </w:rPr>
                  </w:pPr>
                </w:p>
              </w:tc>
            </w:tr>
            <w:tr w14:paraId="3D547A4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5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2140C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14</w:t>
                  </w:r>
                </w:p>
              </w:tc>
              <w:tc>
                <w:tcPr>
                  <w:tcW w:w="70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754BF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0"/>
                      <w:szCs w:val="20"/>
                      <w:highlight w:val="none"/>
                      <w:u w:val="none"/>
                    </w:rPr>
                  </w:pPr>
                </w:p>
              </w:tc>
              <w:tc>
                <w:tcPr>
                  <w:tcW w:w="14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A3352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材质分色机</w:t>
                  </w:r>
                </w:p>
              </w:tc>
              <w:tc>
                <w:tcPr>
                  <w:tcW w:w="5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C984F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120</w:t>
                  </w:r>
                </w:p>
              </w:tc>
              <w:tc>
                <w:tcPr>
                  <w:tcW w:w="10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5DE06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80</w:t>
                  </w:r>
                </w:p>
              </w:tc>
              <w:tc>
                <w:tcPr>
                  <w:tcW w:w="840" w:type="dxa"/>
                  <w:vMerge w:val="continue"/>
                  <w:tcBorders>
                    <w:left w:val="single" w:color="000000" w:sz="4" w:space="0"/>
                    <w:right w:val="single" w:color="000000" w:sz="4" w:space="0"/>
                  </w:tcBorders>
                  <w:shd w:val="clear" w:color="auto" w:fill="auto"/>
                  <w:noWrap/>
                  <w:vAlign w:val="center"/>
                </w:tcPr>
                <w:p w14:paraId="6DE5DCB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0"/>
                      <w:szCs w:val="20"/>
                      <w:highlight w:val="none"/>
                      <w:u w:val="none"/>
                    </w:rPr>
                  </w:pPr>
                </w:p>
              </w:tc>
              <w:tc>
                <w:tcPr>
                  <w:tcW w:w="6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1F910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148</w:t>
                  </w:r>
                </w:p>
              </w:tc>
              <w:tc>
                <w:tcPr>
                  <w:tcW w:w="6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32FED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169</w:t>
                  </w:r>
                </w:p>
              </w:tc>
              <w:tc>
                <w:tcPr>
                  <w:tcW w:w="7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31489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1.2</w:t>
                  </w:r>
                </w:p>
              </w:tc>
              <w:tc>
                <w:tcPr>
                  <w:tcW w:w="9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B3355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20</w:t>
                  </w:r>
                </w:p>
              </w:tc>
              <w:tc>
                <w:tcPr>
                  <w:tcW w:w="9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9498F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 xml:space="preserve">53.98 </w:t>
                  </w:r>
                </w:p>
              </w:tc>
              <w:tc>
                <w:tcPr>
                  <w:tcW w:w="69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CDDA0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0"/>
                      <w:szCs w:val="20"/>
                      <w:highlight w:val="none"/>
                      <w:u w:val="none"/>
                    </w:rPr>
                  </w:pPr>
                </w:p>
              </w:tc>
              <w:tc>
                <w:tcPr>
                  <w:tcW w:w="11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CA2C9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22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51303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 xml:space="preserve">32.0 </w:t>
                  </w:r>
                </w:p>
              </w:tc>
              <w:tc>
                <w:tcPr>
                  <w:tcW w:w="9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7810E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 xml:space="preserve">10.0 </w:t>
                  </w:r>
                </w:p>
              </w:tc>
              <w:tc>
                <w:tcPr>
                  <w:tcW w:w="75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04CFA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0"/>
                      <w:szCs w:val="20"/>
                      <w:highlight w:val="none"/>
                      <w:u w:val="none"/>
                    </w:rPr>
                  </w:pPr>
                </w:p>
              </w:tc>
            </w:tr>
            <w:tr w14:paraId="1BF6529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5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DD4D4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15</w:t>
                  </w:r>
                </w:p>
              </w:tc>
              <w:tc>
                <w:tcPr>
                  <w:tcW w:w="70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874CE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0"/>
                      <w:szCs w:val="20"/>
                      <w:highlight w:val="none"/>
                      <w:u w:val="none"/>
                    </w:rPr>
                  </w:pPr>
                </w:p>
              </w:tc>
              <w:tc>
                <w:tcPr>
                  <w:tcW w:w="14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377AE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材质分色机</w:t>
                  </w:r>
                </w:p>
              </w:tc>
              <w:tc>
                <w:tcPr>
                  <w:tcW w:w="5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89DC5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120</w:t>
                  </w:r>
                </w:p>
              </w:tc>
              <w:tc>
                <w:tcPr>
                  <w:tcW w:w="10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3D6BD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80</w:t>
                  </w:r>
                </w:p>
              </w:tc>
              <w:tc>
                <w:tcPr>
                  <w:tcW w:w="840" w:type="dxa"/>
                  <w:vMerge w:val="continue"/>
                  <w:tcBorders>
                    <w:left w:val="single" w:color="000000" w:sz="4" w:space="0"/>
                    <w:bottom w:val="single" w:color="000000" w:sz="4" w:space="0"/>
                    <w:right w:val="single" w:color="000000" w:sz="4" w:space="0"/>
                  </w:tcBorders>
                  <w:shd w:val="clear" w:color="auto" w:fill="auto"/>
                  <w:noWrap/>
                  <w:vAlign w:val="center"/>
                </w:tcPr>
                <w:p w14:paraId="72A0AD1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0"/>
                      <w:szCs w:val="20"/>
                      <w:highlight w:val="none"/>
                      <w:u w:val="none"/>
                    </w:rPr>
                  </w:pPr>
                </w:p>
              </w:tc>
              <w:tc>
                <w:tcPr>
                  <w:tcW w:w="6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FC0AC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237</w:t>
                  </w:r>
                </w:p>
              </w:tc>
              <w:tc>
                <w:tcPr>
                  <w:tcW w:w="6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2C501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169</w:t>
                  </w:r>
                </w:p>
              </w:tc>
              <w:tc>
                <w:tcPr>
                  <w:tcW w:w="7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5D0B6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1.2</w:t>
                  </w:r>
                </w:p>
              </w:tc>
              <w:tc>
                <w:tcPr>
                  <w:tcW w:w="9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CB265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20</w:t>
                  </w:r>
                </w:p>
              </w:tc>
              <w:tc>
                <w:tcPr>
                  <w:tcW w:w="9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8D914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 xml:space="preserve">53.98 </w:t>
                  </w:r>
                </w:p>
              </w:tc>
              <w:tc>
                <w:tcPr>
                  <w:tcW w:w="69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E2448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0"/>
                      <w:szCs w:val="20"/>
                      <w:highlight w:val="none"/>
                      <w:u w:val="none"/>
                    </w:rPr>
                  </w:pPr>
                </w:p>
              </w:tc>
              <w:tc>
                <w:tcPr>
                  <w:tcW w:w="11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A4EE5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22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47ABF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 xml:space="preserve">32.0 </w:t>
                  </w:r>
                </w:p>
              </w:tc>
              <w:tc>
                <w:tcPr>
                  <w:tcW w:w="9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3306A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rPr>
                    <w:t xml:space="preserve">10.0 </w:t>
                  </w:r>
                </w:p>
              </w:tc>
              <w:tc>
                <w:tcPr>
                  <w:tcW w:w="75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ACF8B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0"/>
                      <w:szCs w:val="20"/>
                      <w:highlight w:val="none"/>
                      <w:u w:val="none"/>
                    </w:rPr>
                  </w:pPr>
                </w:p>
              </w:tc>
            </w:tr>
          </w:tbl>
          <w:p w14:paraId="4E504C9B">
            <w:pPr>
              <w:pStyle w:val="20"/>
              <w:keepNext w:val="0"/>
              <w:keepLines w:val="0"/>
              <w:numPr>
                <w:ilvl w:val="0"/>
                <w:numId w:val="0"/>
              </w:numPr>
              <w:suppressLineNumbers w:val="0"/>
              <w:tabs>
                <w:tab w:val="left" w:pos="0"/>
              </w:tabs>
              <w:spacing w:before="0" w:beforeAutospacing="0" w:after="0" w:afterAutospacing="0"/>
              <w:ind w:left="0" w:leftChars="0" w:right="0" w:rightChars="0" w:firstLine="40" w:firstLineChars="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表4-22 项目噪声源强情况一览表（室外声源）</w:t>
            </w:r>
          </w:p>
          <w:tbl>
            <w:tblPr>
              <w:tblStyle w:val="40"/>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43"/>
              <w:gridCol w:w="1455"/>
              <w:gridCol w:w="1561"/>
              <w:gridCol w:w="1274"/>
              <w:gridCol w:w="1307"/>
              <w:gridCol w:w="2581"/>
              <w:gridCol w:w="1434"/>
              <w:gridCol w:w="1534"/>
            </w:tblGrid>
            <w:tr w14:paraId="799B85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8" w:type="pct"/>
                  <w:vMerge w:val="restart"/>
                  <w:vAlign w:val="center"/>
                </w:tcPr>
                <w:p w14:paraId="2B595DE0">
                  <w:pPr>
                    <w:pStyle w:val="46"/>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
                      <w:color w:val="auto"/>
                      <w:kern w:val="0"/>
                      <w:sz w:val="21"/>
                      <w:szCs w:val="21"/>
                      <w:highlight w:val="none"/>
                      <w:vertAlign w:val="baseline"/>
                      <w:lang w:val="en-US" w:eastAsia="zh-CN"/>
                    </w:rPr>
                  </w:pPr>
                  <w:r>
                    <w:rPr>
                      <w:rFonts w:hint="default" w:ascii="Times New Roman" w:hAnsi="Times New Roman" w:eastAsia="宋体" w:cs="Times New Roman"/>
                      <w:b/>
                      <w:color w:val="auto"/>
                      <w:kern w:val="0"/>
                      <w:sz w:val="21"/>
                      <w:szCs w:val="21"/>
                      <w:highlight w:val="none"/>
                      <w:vertAlign w:val="baseline"/>
                      <w:lang w:val="en-US" w:eastAsia="zh-CN"/>
                    </w:rPr>
                    <w:t>声源名称</w:t>
                  </w:r>
                </w:p>
              </w:tc>
              <w:tc>
                <w:tcPr>
                  <w:tcW w:w="539" w:type="pct"/>
                  <w:vMerge w:val="restart"/>
                  <w:vAlign w:val="center"/>
                </w:tcPr>
                <w:p w14:paraId="4B347B34">
                  <w:pPr>
                    <w:pStyle w:val="46"/>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
                      <w:color w:val="auto"/>
                      <w:kern w:val="0"/>
                      <w:sz w:val="21"/>
                      <w:szCs w:val="21"/>
                      <w:highlight w:val="none"/>
                      <w:vertAlign w:val="baseline"/>
                      <w:lang w:val="en-US" w:eastAsia="zh-CN"/>
                    </w:rPr>
                  </w:pPr>
                  <w:r>
                    <w:rPr>
                      <w:rFonts w:hint="default" w:ascii="Times New Roman" w:hAnsi="Times New Roman" w:eastAsia="宋体" w:cs="Times New Roman"/>
                      <w:b/>
                      <w:color w:val="auto"/>
                      <w:kern w:val="0"/>
                      <w:sz w:val="21"/>
                      <w:szCs w:val="21"/>
                      <w:highlight w:val="none"/>
                      <w:vertAlign w:val="baseline"/>
                      <w:lang w:val="en-US" w:eastAsia="zh-CN"/>
                    </w:rPr>
                    <w:t>数量/台</w:t>
                  </w:r>
                </w:p>
              </w:tc>
              <w:tc>
                <w:tcPr>
                  <w:tcW w:w="1534" w:type="pct"/>
                  <w:gridSpan w:val="3"/>
                  <w:vAlign w:val="center"/>
                </w:tcPr>
                <w:p w14:paraId="201EEC08">
                  <w:pPr>
                    <w:pStyle w:val="46"/>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
                      <w:color w:val="auto"/>
                      <w:kern w:val="0"/>
                      <w:sz w:val="21"/>
                      <w:szCs w:val="21"/>
                      <w:highlight w:val="none"/>
                      <w:vertAlign w:val="baseline"/>
                      <w:lang w:val="en-US" w:eastAsia="zh-CN"/>
                    </w:rPr>
                  </w:pPr>
                  <w:r>
                    <w:rPr>
                      <w:rFonts w:hint="default" w:ascii="Times New Roman" w:hAnsi="Times New Roman" w:eastAsia="宋体" w:cs="Times New Roman"/>
                      <w:b/>
                      <w:color w:val="auto"/>
                      <w:kern w:val="0"/>
                      <w:sz w:val="21"/>
                      <w:szCs w:val="21"/>
                      <w:highlight w:val="none"/>
                      <w:vertAlign w:val="baseline"/>
                      <w:lang w:val="en-US" w:eastAsia="zh-CN"/>
                    </w:rPr>
                    <w:t>空间相对位置/m</w:t>
                  </w:r>
                </w:p>
              </w:tc>
              <w:tc>
                <w:tcPr>
                  <w:tcW w:w="956" w:type="pct"/>
                  <w:vMerge w:val="restart"/>
                  <w:vAlign w:val="center"/>
                </w:tcPr>
                <w:p w14:paraId="37365F5C">
                  <w:pPr>
                    <w:pStyle w:val="46"/>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
                      <w:color w:val="auto"/>
                      <w:kern w:val="0"/>
                      <w:sz w:val="21"/>
                      <w:szCs w:val="21"/>
                      <w:highlight w:val="none"/>
                      <w:vertAlign w:val="baseline"/>
                      <w:lang w:val="en-US" w:eastAsia="zh-CN"/>
                    </w:rPr>
                  </w:pPr>
                  <w:r>
                    <w:rPr>
                      <w:rFonts w:hint="default" w:ascii="Times New Roman" w:hAnsi="Times New Roman" w:eastAsia="宋体" w:cs="Times New Roman"/>
                      <w:b/>
                      <w:color w:val="auto"/>
                      <w:kern w:val="0"/>
                      <w:sz w:val="21"/>
                      <w:szCs w:val="21"/>
                      <w:highlight w:val="none"/>
                      <w:vertAlign w:val="baseline"/>
                      <w:lang w:val="en-US" w:eastAsia="zh-CN"/>
                    </w:rPr>
                    <w:t>声源源强声功率级</w:t>
                  </w:r>
                  <w:r>
                    <w:rPr>
                      <w:rStyle w:val="78"/>
                      <w:rFonts w:hint="default" w:ascii="Times New Roman" w:hAnsi="Times New Roman" w:eastAsia="宋体" w:cs="Times New Roman"/>
                      <w:b/>
                      <w:bCs/>
                      <w:color w:val="auto"/>
                      <w:sz w:val="21"/>
                      <w:szCs w:val="21"/>
                      <w:highlight w:val="none"/>
                      <w:lang w:val="en-US" w:eastAsia="zh-CN"/>
                    </w:rPr>
                    <w:t>/dB(A)</w:t>
                  </w:r>
                  <w:r>
                    <w:rPr>
                      <w:rStyle w:val="78"/>
                      <w:rFonts w:hint="default" w:ascii="Times New Roman" w:hAnsi="Times New Roman" w:cs="Times New Roman"/>
                      <w:b/>
                      <w:bCs/>
                      <w:color w:val="auto"/>
                      <w:sz w:val="21"/>
                      <w:szCs w:val="21"/>
                      <w:highlight w:val="none"/>
                      <w:lang w:val="en-US" w:eastAsia="zh-CN"/>
                    </w:rPr>
                    <w:t>/1m</w:t>
                  </w:r>
                </w:p>
              </w:tc>
              <w:tc>
                <w:tcPr>
                  <w:tcW w:w="531" w:type="pct"/>
                  <w:vMerge w:val="restart"/>
                  <w:vAlign w:val="center"/>
                </w:tcPr>
                <w:p w14:paraId="34A01F10">
                  <w:pPr>
                    <w:pStyle w:val="46"/>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
                      <w:color w:val="auto"/>
                      <w:kern w:val="0"/>
                      <w:sz w:val="21"/>
                      <w:szCs w:val="21"/>
                      <w:highlight w:val="none"/>
                      <w:vertAlign w:val="baseline"/>
                      <w:lang w:val="en-US" w:eastAsia="zh-CN"/>
                    </w:rPr>
                  </w:pPr>
                  <w:r>
                    <w:rPr>
                      <w:rFonts w:hint="default" w:ascii="Times New Roman" w:hAnsi="Times New Roman" w:eastAsia="宋体" w:cs="Times New Roman"/>
                      <w:b/>
                      <w:color w:val="auto"/>
                      <w:kern w:val="0"/>
                      <w:sz w:val="21"/>
                      <w:szCs w:val="21"/>
                      <w:highlight w:val="none"/>
                      <w:vertAlign w:val="baseline"/>
                      <w:lang w:val="en-US" w:eastAsia="zh-CN"/>
                    </w:rPr>
                    <w:t>降噪措施</w:t>
                  </w:r>
                </w:p>
              </w:tc>
              <w:tc>
                <w:tcPr>
                  <w:tcW w:w="568" w:type="pct"/>
                  <w:vMerge w:val="restart"/>
                  <w:vAlign w:val="center"/>
                </w:tcPr>
                <w:p w14:paraId="6362F0A1">
                  <w:pPr>
                    <w:pStyle w:val="46"/>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
                      <w:color w:val="auto"/>
                      <w:kern w:val="0"/>
                      <w:sz w:val="21"/>
                      <w:szCs w:val="21"/>
                      <w:highlight w:val="none"/>
                      <w:vertAlign w:val="baseline"/>
                      <w:lang w:val="en-US" w:eastAsia="zh-CN"/>
                    </w:rPr>
                  </w:pPr>
                  <w:r>
                    <w:rPr>
                      <w:rFonts w:hint="default" w:ascii="Times New Roman" w:hAnsi="Times New Roman" w:eastAsia="宋体" w:cs="Times New Roman"/>
                      <w:b/>
                      <w:color w:val="auto"/>
                      <w:kern w:val="0"/>
                      <w:sz w:val="21"/>
                      <w:szCs w:val="21"/>
                      <w:highlight w:val="none"/>
                      <w:vertAlign w:val="baseline"/>
                      <w:lang w:val="en-US" w:eastAsia="zh-CN"/>
                    </w:rPr>
                    <w:t>持续时间（h/a）</w:t>
                  </w:r>
                </w:p>
              </w:tc>
            </w:tr>
            <w:tr w14:paraId="22632B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68" w:type="pct"/>
                  <w:vMerge w:val="continue"/>
                  <w:vAlign w:val="center"/>
                </w:tcPr>
                <w:p w14:paraId="65C5004C">
                  <w:pPr>
                    <w:pStyle w:val="46"/>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
                      <w:color w:val="auto"/>
                      <w:kern w:val="0"/>
                      <w:sz w:val="21"/>
                      <w:szCs w:val="21"/>
                      <w:highlight w:val="none"/>
                      <w:vertAlign w:val="baseline"/>
                      <w:lang w:val="en-US" w:eastAsia="zh-CN"/>
                    </w:rPr>
                  </w:pPr>
                </w:p>
              </w:tc>
              <w:tc>
                <w:tcPr>
                  <w:tcW w:w="539" w:type="pct"/>
                  <w:vMerge w:val="continue"/>
                  <w:vAlign w:val="center"/>
                </w:tcPr>
                <w:p w14:paraId="6DD3DEF3">
                  <w:pPr>
                    <w:pStyle w:val="46"/>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
                      <w:color w:val="auto"/>
                      <w:kern w:val="0"/>
                      <w:sz w:val="21"/>
                      <w:szCs w:val="21"/>
                      <w:highlight w:val="none"/>
                      <w:vertAlign w:val="baseline"/>
                      <w:lang w:val="en-US" w:eastAsia="zh-CN"/>
                    </w:rPr>
                  </w:pPr>
                </w:p>
              </w:tc>
              <w:tc>
                <w:tcPr>
                  <w:tcW w:w="578" w:type="pct"/>
                  <w:vAlign w:val="center"/>
                </w:tcPr>
                <w:p w14:paraId="4CDB578F">
                  <w:pPr>
                    <w:pStyle w:val="46"/>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
                      <w:color w:val="auto"/>
                      <w:kern w:val="0"/>
                      <w:sz w:val="21"/>
                      <w:szCs w:val="21"/>
                      <w:highlight w:val="none"/>
                      <w:vertAlign w:val="baseline"/>
                      <w:lang w:val="en-US" w:eastAsia="zh-CN"/>
                    </w:rPr>
                  </w:pPr>
                  <w:r>
                    <w:rPr>
                      <w:rFonts w:hint="default" w:ascii="Times New Roman" w:hAnsi="Times New Roman" w:eastAsia="宋体" w:cs="Times New Roman"/>
                      <w:b/>
                      <w:color w:val="auto"/>
                      <w:kern w:val="0"/>
                      <w:sz w:val="21"/>
                      <w:szCs w:val="21"/>
                      <w:highlight w:val="none"/>
                      <w:vertAlign w:val="baseline"/>
                      <w:lang w:val="en-US" w:eastAsia="zh-CN"/>
                    </w:rPr>
                    <w:t>X</w:t>
                  </w:r>
                </w:p>
              </w:tc>
              <w:tc>
                <w:tcPr>
                  <w:tcW w:w="472" w:type="pct"/>
                  <w:vAlign w:val="center"/>
                </w:tcPr>
                <w:p w14:paraId="3D63B708">
                  <w:pPr>
                    <w:pStyle w:val="46"/>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
                      <w:color w:val="auto"/>
                      <w:kern w:val="0"/>
                      <w:sz w:val="21"/>
                      <w:szCs w:val="21"/>
                      <w:highlight w:val="none"/>
                      <w:vertAlign w:val="baseline"/>
                      <w:lang w:val="en-US" w:eastAsia="zh-CN"/>
                    </w:rPr>
                  </w:pPr>
                  <w:r>
                    <w:rPr>
                      <w:rFonts w:hint="default" w:ascii="Times New Roman" w:hAnsi="Times New Roman" w:eastAsia="宋体" w:cs="Times New Roman"/>
                      <w:b/>
                      <w:color w:val="auto"/>
                      <w:kern w:val="0"/>
                      <w:sz w:val="21"/>
                      <w:szCs w:val="21"/>
                      <w:highlight w:val="none"/>
                      <w:vertAlign w:val="baseline"/>
                      <w:lang w:val="en-US" w:eastAsia="zh-CN"/>
                    </w:rPr>
                    <w:t>Y</w:t>
                  </w:r>
                </w:p>
              </w:tc>
              <w:tc>
                <w:tcPr>
                  <w:tcW w:w="483" w:type="pct"/>
                  <w:vAlign w:val="center"/>
                </w:tcPr>
                <w:p w14:paraId="75DD3343">
                  <w:pPr>
                    <w:pStyle w:val="46"/>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
                      <w:color w:val="auto"/>
                      <w:kern w:val="0"/>
                      <w:sz w:val="21"/>
                      <w:szCs w:val="21"/>
                      <w:highlight w:val="none"/>
                      <w:vertAlign w:val="baseline"/>
                      <w:lang w:val="en-US" w:eastAsia="zh-CN"/>
                    </w:rPr>
                  </w:pPr>
                  <w:r>
                    <w:rPr>
                      <w:rFonts w:hint="default" w:ascii="Times New Roman" w:hAnsi="Times New Roman" w:eastAsia="宋体" w:cs="Times New Roman"/>
                      <w:b/>
                      <w:color w:val="auto"/>
                      <w:kern w:val="0"/>
                      <w:sz w:val="21"/>
                      <w:szCs w:val="21"/>
                      <w:highlight w:val="none"/>
                      <w:vertAlign w:val="baseline"/>
                      <w:lang w:val="en-US" w:eastAsia="zh-CN"/>
                    </w:rPr>
                    <w:t>Z</w:t>
                  </w:r>
                </w:p>
              </w:tc>
              <w:tc>
                <w:tcPr>
                  <w:tcW w:w="956" w:type="pct"/>
                  <w:vMerge w:val="continue"/>
                  <w:vAlign w:val="center"/>
                </w:tcPr>
                <w:p w14:paraId="52686F9B">
                  <w:pPr>
                    <w:pStyle w:val="46"/>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
                      <w:color w:val="auto"/>
                      <w:kern w:val="0"/>
                      <w:sz w:val="21"/>
                      <w:szCs w:val="21"/>
                      <w:highlight w:val="none"/>
                      <w:vertAlign w:val="baseline"/>
                      <w:lang w:val="en-US" w:eastAsia="zh-CN"/>
                    </w:rPr>
                  </w:pPr>
                </w:p>
              </w:tc>
              <w:tc>
                <w:tcPr>
                  <w:tcW w:w="531" w:type="pct"/>
                  <w:vMerge w:val="continue"/>
                  <w:vAlign w:val="center"/>
                </w:tcPr>
                <w:p w14:paraId="2D2EB3AF">
                  <w:pPr>
                    <w:pStyle w:val="46"/>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
                      <w:color w:val="auto"/>
                      <w:kern w:val="0"/>
                      <w:sz w:val="21"/>
                      <w:szCs w:val="21"/>
                      <w:highlight w:val="none"/>
                      <w:vertAlign w:val="baseline"/>
                      <w:lang w:val="en-US" w:eastAsia="zh-CN"/>
                    </w:rPr>
                  </w:pPr>
                </w:p>
              </w:tc>
              <w:tc>
                <w:tcPr>
                  <w:tcW w:w="568" w:type="pct"/>
                  <w:vMerge w:val="continue"/>
                  <w:vAlign w:val="center"/>
                </w:tcPr>
                <w:p w14:paraId="10ACD490">
                  <w:pPr>
                    <w:pStyle w:val="46"/>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
                      <w:color w:val="auto"/>
                      <w:kern w:val="0"/>
                      <w:sz w:val="21"/>
                      <w:szCs w:val="21"/>
                      <w:highlight w:val="none"/>
                      <w:vertAlign w:val="baseline"/>
                      <w:lang w:val="en-US" w:eastAsia="zh-CN"/>
                    </w:rPr>
                  </w:pPr>
                </w:p>
              </w:tc>
            </w:tr>
            <w:tr w14:paraId="384353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8" w:type="pct"/>
                  <w:vAlign w:val="center"/>
                </w:tcPr>
                <w:p w14:paraId="09D851E1">
                  <w:pPr>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 w:val="0"/>
                      <w:bCs/>
                      <w:color w:val="auto"/>
                      <w:kern w:val="0"/>
                      <w:sz w:val="21"/>
                      <w:szCs w:val="21"/>
                      <w:highlight w:val="none"/>
                      <w:vertAlign w:val="baseline"/>
                      <w:lang w:val="en-US" w:eastAsia="zh-CN"/>
                    </w:rPr>
                  </w:pPr>
                  <w:r>
                    <w:rPr>
                      <w:rFonts w:hint="default" w:ascii="Times New Roman" w:hAnsi="Times New Roman" w:eastAsia="宋体" w:cs="Times New Roman"/>
                      <w:b w:val="0"/>
                      <w:bCs/>
                      <w:color w:val="auto"/>
                      <w:kern w:val="0"/>
                      <w:sz w:val="21"/>
                      <w:szCs w:val="21"/>
                      <w:highlight w:val="none"/>
                      <w:vertAlign w:val="baseline"/>
                      <w:lang w:val="en-US" w:eastAsia="zh-CN"/>
                    </w:rPr>
                    <w:t>废气处理风机</w:t>
                  </w:r>
                </w:p>
              </w:tc>
              <w:tc>
                <w:tcPr>
                  <w:tcW w:w="539" w:type="pct"/>
                  <w:vAlign w:val="center"/>
                </w:tcPr>
                <w:p w14:paraId="2576E1F0">
                  <w:pPr>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 w:val="0"/>
                      <w:bCs/>
                      <w:color w:val="auto"/>
                      <w:kern w:val="0"/>
                      <w:sz w:val="21"/>
                      <w:szCs w:val="21"/>
                      <w:highlight w:val="none"/>
                      <w:vertAlign w:val="baseline"/>
                      <w:lang w:val="en-US" w:eastAsia="zh-CN"/>
                    </w:rPr>
                  </w:pPr>
                  <w:r>
                    <w:rPr>
                      <w:rFonts w:hint="default" w:ascii="Times New Roman" w:hAnsi="Times New Roman" w:eastAsia="宋体" w:cs="Times New Roman"/>
                      <w:b w:val="0"/>
                      <w:bCs/>
                      <w:color w:val="auto"/>
                      <w:kern w:val="0"/>
                      <w:sz w:val="21"/>
                      <w:szCs w:val="21"/>
                      <w:highlight w:val="none"/>
                      <w:vertAlign w:val="baseline"/>
                      <w:lang w:val="en-US" w:eastAsia="zh-CN"/>
                    </w:rPr>
                    <w:t>1</w:t>
                  </w:r>
                </w:p>
              </w:tc>
              <w:tc>
                <w:tcPr>
                  <w:tcW w:w="578" w:type="pct"/>
                  <w:vAlign w:val="center"/>
                </w:tcPr>
                <w:p w14:paraId="5BFECCE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i w:val="0"/>
                      <w:iCs w:val="0"/>
                      <w:color w:val="auto"/>
                      <w:kern w:val="0"/>
                      <w:sz w:val="21"/>
                      <w:szCs w:val="21"/>
                      <w:highlight w:val="none"/>
                      <w:u w:val="none"/>
                      <w:lang w:val="en-US" w:eastAsia="zh-CN"/>
                    </w:rPr>
                  </w:pPr>
                  <w:r>
                    <w:rPr>
                      <w:rFonts w:hint="default" w:ascii="Times New Roman" w:hAnsi="Times New Roman" w:cs="Times New Roman"/>
                      <w:i w:val="0"/>
                      <w:iCs w:val="0"/>
                      <w:color w:val="auto"/>
                      <w:kern w:val="0"/>
                      <w:sz w:val="21"/>
                      <w:szCs w:val="21"/>
                      <w:highlight w:val="none"/>
                      <w:u w:val="none"/>
                      <w:lang w:val="en-US" w:eastAsia="zh-CN"/>
                    </w:rPr>
                    <w:t>79</w:t>
                  </w:r>
                </w:p>
              </w:tc>
              <w:tc>
                <w:tcPr>
                  <w:tcW w:w="472" w:type="pct"/>
                  <w:vAlign w:val="center"/>
                </w:tcPr>
                <w:p w14:paraId="42ACFE1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i w:val="0"/>
                      <w:iCs w:val="0"/>
                      <w:color w:val="auto"/>
                      <w:kern w:val="0"/>
                      <w:sz w:val="21"/>
                      <w:szCs w:val="21"/>
                      <w:highlight w:val="none"/>
                      <w:u w:val="none"/>
                      <w:lang w:val="en-US" w:eastAsia="zh-CN"/>
                    </w:rPr>
                  </w:pPr>
                  <w:r>
                    <w:rPr>
                      <w:rFonts w:hint="default" w:ascii="Times New Roman" w:hAnsi="Times New Roman" w:cs="Times New Roman"/>
                      <w:i w:val="0"/>
                      <w:iCs w:val="0"/>
                      <w:color w:val="auto"/>
                      <w:kern w:val="0"/>
                      <w:sz w:val="21"/>
                      <w:szCs w:val="21"/>
                      <w:highlight w:val="none"/>
                      <w:u w:val="none"/>
                      <w:lang w:val="en-US" w:eastAsia="zh-CN"/>
                    </w:rPr>
                    <w:t>17</w:t>
                  </w:r>
                </w:p>
              </w:tc>
              <w:tc>
                <w:tcPr>
                  <w:tcW w:w="483" w:type="pct"/>
                  <w:vAlign w:val="center"/>
                </w:tcPr>
                <w:p w14:paraId="49ADA9C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i w:val="0"/>
                      <w:iCs w:val="0"/>
                      <w:color w:val="auto"/>
                      <w:kern w:val="0"/>
                      <w:sz w:val="21"/>
                      <w:szCs w:val="21"/>
                      <w:highlight w:val="none"/>
                      <w:u w:val="none"/>
                      <w:lang w:val="en-US" w:eastAsia="zh-CN"/>
                    </w:rPr>
                  </w:pPr>
                  <w:r>
                    <w:rPr>
                      <w:rFonts w:hint="default" w:ascii="Times New Roman" w:hAnsi="Times New Roman" w:cs="Times New Roman"/>
                      <w:b w:val="0"/>
                      <w:bCs/>
                      <w:i w:val="0"/>
                      <w:iCs w:val="0"/>
                      <w:color w:val="auto"/>
                      <w:kern w:val="0"/>
                      <w:sz w:val="21"/>
                      <w:szCs w:val="21"/>
                      <w:highlight w:val="none"/>
                      <w:u w:val="none"/>
                      <w:lang w:val="en-US" w:eastAsia="zh-CN"/>
                    </w:rPr>
                    <w:t>1.5</w:t>
                  </w:r>
                </w:p>
              </w:tc>
              <w:tc>
                <w:tcPr>
                  <w:tcW w:w="956" w:type="pct"/>
                  <w:vAlign w:val="center"/>
                </w:tcPr>
                <w:p w14:paraId="2ABCE1B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color w:val="auto"/>
                      <w:kern w:val="0"/>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85</w:t>
                  </w:r>
                </w:p>
              </w:tc>
              <w:tc>
                <w:tcPr>
                  <w:tcW w:w="531" w:type="pct"/>
                  <w:vAlign w:val="center"/>
                </w:tcPr>
                <w:p w14:paraId="79A51645">
                  <w:pPr>
                    <w:pStyle w:val="46"/>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 w:val="0"/>
                      <w:bCs/>
                      <w:color w:val="auto"/>
                      <w:kern w:val="0"/>
                      <w:sz w:val="21"/>
                      <w:szCs w:val="21"/>
                      <w:highlight w:val="none"/>
                      <w:vertAlign w:val="baseline"/>
                      <w:lang w:val="en-US" w:eastAsia="zh-CN"/>
                    </w:rPr>
                  </w:pPr>
                  <w:r>
                    <w:rPr>
                      <w:rFonts w:hint="default" w:ascii="Times New Roman" w:hAnsi="Times New Roman" w:cs="Times New Roman"/>
                      <w:b w:val="0"/>
                      <w:bCs/>
                      <w:color w:val="auto"/>
                      <w:kern w:val="0"/>
                      <w:sz w:val="21"/>
                      <w:szCs w:val="21"/>
                      <w:highlight w:val="none"/>
                      <w:vertAlign w:val="baseline"/>
                      <w:lang w:val="en-US" w:eastAsia="zh-CN"/>
                    </w:rPr>
                    <w:t>消声、</w:t>
                  </w:r>
                  <w:r>
                    <w:rPr>
                      <w:rFonts w:hint="default" w:ascii="Times New Roman" w:hAnsi="Times New Roman" w:eastAsia="宋体" w:cs="Times New Roman"/>
                      <w:b w:val="0"/>
                      <w:bCs/>
                      <w:color w:val="auto"/>
                      <w:kern w:val="0"/>
                      <w:sz w:val="21"/>
                      <w:szCs w:val="21"/>
                      <w:highlight w:val="none"/>
                      <w:vertAlign w:val="baseline"/>
                      <w:lang w:val="en-US" w:eastAsia="zh-CN"/>
                    </w:rPr>
                    <w:t>减振</w:t>
                  </w:r>
                </w:p>
              </w:tc>
              <w:tc>
                <w:tcPr>
                  <w:tcW w:w="568" w:type="pct"/>
                  <w:vAlign w:val="center"/>
                </w:tcPr>
                <w:p w14:paraId="2D2BB8D9">
                  <w:pPr>
                    <w:pStyle w:val="46"/>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 w:val="0"/>
                      <w:bCs/>
                      <w:color w:val="auto"/>
                      <w:kern w:val="0"/>
                      <w:sz w:val="21"/>
                      <w:szCs w:val="21"/>
                      <w:highlight w:val="none"/>
                      <w:vertAlign w:val="baseline"/>
                      <w:lang w:val="en-US" w:eastAsia="zh-CN"/>
                    </w:rPr>
                  </w:pPr>
                  <w:r>
                    <w:rPr>
                      <w:rFonts w:hint="default" w:ascii="Times New Roman" w:hAnsi="Times New Roman" w:cs="Times New Roman"/>
                      <w:b w:val="0"/>
                      <w:bCs/>
                      <w:color w:val="auto"/>
                      <w:kern w:val="0"/>
                      <w:sz w:val="21"/>
                      <w:szCs w:val="21"/>
                      <w:highlight w:val="none"/>
                      <w:vertAlign w:val="baseline"/>
                      <w:lang w:val="en-US" w:eastAsia="zh-CN"/>
                    </w:rPr>
                    <w:t>792</w:t>
                  </w:r>
                  <w:r>
                    <w:rPr>
                      <w:rFonts w:hint="default" w:ascii="Times New Roman" w:hAnsi="Times New Roman" w:eastAsia="宋体" w:cs="Times New Roman"/>
                      <w:b w:val="0"/>
                      <w:bCs/>
                      <w:color w:val="auto"/>
                      <w:kern w:val="0"/>
                      <w:sz w:val="21"/>
                      <w:szCs w:val="21"/>
                      <w:highlight w:val="none"/>
                      <w:vertAlign w:val="baseline"/>
                      <w:lang w:val="en-US" w:eastAsia="zh-CN"/>
                    </w:rPr>
                    <w:t>0</w:t>
                  </w:r>
                </w:p>
              </w:tc>
            </w:tr>
          </w:tbl>
          <w:p w14:paraId="3C7107B4">
            <w:pPr>
              <w:pStyle w:val="4"/>
              <w:numPr>
                <w:ilvl w:val="2"/>
                <w:numId w:val="0"/>
              </w:numPr>
              <w:suppressLineNumbers w:val="0"/>
              <w:spacing w:before="0" w:beforeAutospacing="0" w:after="0" w:afterAutospacing="0"/>
              <w:ind w:left="0" w:right="0"/>
              <w:rPr>
                <w:rFonts w:hint="default" w:ascii="Times New Roman" w:hAnsi="Times New Roman" w:cs="Times New Roman"/>
                <w:color w:val="auto"/>
                <w:highlight w:val="none"/>
              </w:rPr>
            </w:pPr>
          </w:p>
        </w:tc>
      </w:tr>
    </w:tbl>
    <w:p w14:paraId="09AE03AF">
      <w:pPr>
        <w:rPr>
          <w:color w:val="auto"/>
          <w:highlight w:val="none"/>
        </w:rPr>
        <w:sectPr>
          <w:pgSz w:w="16838" w:h="11906" w:orient="landscape"/>
          <w:pgMar w:top="1417" w:right="1440" w:bottom="1417" w:left="1440" w:header="851" w:footer="680" w:gutter="0"/>
          <w:pgBorders>
            <w:top w:val="none" w:sz="0" w:space="0"/>
            <w:left w:val="none" w:sz="0" w:space="0"/>
            <w:bottom w:val="none" w:sz="0" w:space="0"/>
            <w:right w:val="none" w:sz="0" w:space="0"/>
          </w:pgBorders>
          <w:pgNumType w:fmt="numberInDash"/>
          <w:cols w:space="0" w:num="1"/>
          <w:rtlGutter w:val="0"/>
          <w:docGrid w:type="linesAndChars" w:linePitch="336" w:charSpace="0"/>
        </w:sectPr>
      </w:pPr>
    </w:p>
    <w:tbl>
      <w:tblPr>
        <w:tblStyle w:val="4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8"/>
        <w:gridCol w:w="9345"/>
      </w:tblGrid>
      <w:tr w14:paraId="605713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9" w:hRule="atLeast"/>
          <w:jc w:val="center"/>
        </w:trPr>
        <w:tc>
          <w:tcPr>
            <w:tcW w:w="508" w:type="dxa"/>
            <w:vAlign w:val="center"/>
          </w:tcPr>
          <w:p w14:paraId="0EC3B422">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bookmarkStart w:id="146" w:name="_Toc7465"/>
            <w:r>
              <w:rPr>
                <w:rFonts w:hint="default" w:ascii="Times New Roman" w:hAnsi="Times New Roman" w:cs="Times New Roman"/>
                <w:b/>
                <w:bCs/>
                <w:color w:val="auto"/>
                <w:kern w:val="2"/>
                <w:highlight w:val="none"/>
              </w:rPr>
              <w:t>运营期环境影响和保护措施</w:t>
            </w:r>
          </w:p>
        </w:tc>
        <w:tc>
          <w:tcPr>
            <w:tcW w:w="9345" w:type="dxa"/>
          </w:tcPr>
          <w:p w14:paraId="2D7B277E">
            <w:pPr>
              <w:keepNext w:val="0"/>
              <w:keepLines w:val="0"/>
              <w:suppressLineNumbers w:val="0"/>
              <w:adjustRightInd w:val="0"/>
              <w:spacing w:before="0" w:beforeAutospacing="0" w:after="0" w:afterAutospacing="0"/>
              <w:ind w:left="0" w:right="0" w:firstLine="480" w:firstLineChars="20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2、达标分析</w:t>
            </w:r>
          </w:p>
          <w:p w14:paraId="66425394">
            <w:pPr>
              <w:keepNext w:val="0"/>
              <w:keepLines w:val="0"/>
              <w:suppressLineNumbers w:val="0"/>
              <w:adjustRightInd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项目厂界外50米范围内无声环境保护目标。</w:t>
            </w:r>
            <w:r>
              <w:rPr>
                <w:rFonts w:hint="default" w:ascii="Times New Roman" w:hAnsi="Times New Roman" w:cs="Times New Roman"/>
                <w:bCs/>
                <w:color w:val="auto"/>
                <w:kern w:val="0"/>
                <w:highlight w:val="none"/>
              </w:rPr>
              <w:t>项目运营期产生的噪声主要为生产设备运行时产生的噪声，其噪声的强度值为60~85dB（A）之间。</w:t>
            </w:r>
          </w:p>
          <w:p w14:paraId="504AC6DF">
            <w:pPr>
              <w:pStyle w:val="82"/>
              <w:keepNext w:val="0"/>
              <w:keepLines w:val="0"/>
              <w:pageBreakBefore w:val="0"/>
              <w:widowControl w:val="0"/>
              <w:numPr>
                <w:ilvl w:val="0"/>
                <w:numId w:val="0"/>
              </w:numPr>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b/>
                <w:color w:val="auto"/>
                <w:kern w:val="0"/>
                <w:sz w:val="24"/>
                <w:highlight w:val="none"/>
                <w:lang w:eastAsia="zh-CN"/>
              </w:rPr>
            </w:pPr>
            <w:r>
              <w:rPr>
                <w:rFonts w:hint="default" w:ascii="Times New Roman" w:hAnsi="Times New Roman" w:cs="Times New Roman"/>
                <w:color w:val="auto"/>
                <w:sz w:val="24"/>
                <w:highlight w:val="none"/>
                <w:lang w:val="en-US" w:eastAsia="zh-CN"/>
              </w:rPr>
              <w:t>根据</w:t>
            </w:r>
            <w:r>
              <w:rPr>
                <w:rFonts w:hint="default" w:ascii="Times New Roman" w:hAnsi="Times New Roman" w:cs="Times New Roman"/>
                <w:color w:val="auto"/>
                <w:sz w:val="24"/>
                <w:highlight w:val="none"/>
              </w:rPr>
              <w:t>《环境影响评价技术导则</w:t>
            </w:r>
            <w:r>
              <w:rPr>
                <w:rFonts w:hint="default"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rPr>
              <w:t>声环境》（HJ2.4-2021）</w:t>
            </w:r>
            <w:r>
              <w:rPr>
                <w:rFonts w:hint="default" w:ascii="Times New Roman" w:hAnsi="Times New Roman" w:cs="Times New Roman"/>
                <w:color w:val="auto"/>
                <w:sz w:val="24"/>
                <w:highlight w:val="none"/>
                <w:lang w:val="en-US" w:eastAsia="zh-CN"/>
              </w:rPr>
              <w:t>提出噪声</w:t>
            </w:r>
            <w:r>
              <w:rPr>
                <w:rFonts w:hint="default" w:ascii="Times New Roman" w:hAnsi="Times New Roman" w:cs="Times New Roman"/>
                <w:color w:val="auto"/>
                <w:sz w:val="24"/>
                <w:highlight w:val="none"/>
              </w:rPr>
              <w:t>预测方法，</w:t>
            </w:r>
            <w:r>
              <w:rPr>
                <w:rFonts w:hint="default" w:ascii="Times New Roman" w:hAnsi="Times New Roman" w:cs="Times New Roman"/>
                <w:color w:val="auto"/>
                <w:sz w:val="24"/>
                <w:highlight w:val="none"/>
                <w:lang w:val="en-US" w:eastAsia="zh-CN"/>
              </w:rPr>
              <w:t>对于生产车间内的</w:t>
            </w:r>
            <w:r>
              <w:rPr>
                <w:rFonts w:hint="default" w:ascii="Times New Roman" w:hAnsi="Times New Roman" w:cs="Times New Roman"/>
                <w:color w:val="auto"/>
                <w:sz w:val="24"/>
                <w:highlight w:val="none"/>
              </w:rPr>
              <w:t>室内声源</w:t>
            </w:r>
            <w:r>
              <w:rPr>
                <w:rFonts w:hint="default" w:ascii="Times New Roman" w:hAnsi="Times New Roman" w:cs="Times New Roman"/>
                <w:color w:val="auto"/>
                <w:sz w:val="24"/>
                <w:highlight w:val="none"/>
                <w:lang w:val="en-US" w:eastAsia="zh-CN"/>
              </w:rPr>
              <w:t>应先预测</w:t>
            </w:r>
            <w:r>
              <w:rPr>
                <w:rFonts w:hint="default" w:ascii="Times New Roman" w:hAnsi="Times New Roman" w:cs="Times New Roman"/>
                <w:color w:val="auto"/>
                <w:sz w:val="24"/>
                <w:highlight w:val="none"/>
              </w:rPr>
              <w:t>噪声源靠近围护结构处的噪声值</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再根据建筑隔声情况采</w:t>
            </w:r>
            <w:r>
              <w:rPr>
                <w:rFonts w:hint="default" w:ascii="Times New Roman" w:hAnsi="Times New Roman" w:cs="Times New Roman"/>
                <w:color w:val="auto"/>
                <w:sz w:val="24"/>
                <w:highlight w:val="none"/>
              </w:rPr>
              <w:t>用等效室外声源声</w:t>
            </w:r>
            <w:r>
              <w:rPr>
                <w:rFonts w:hint="default" w:ascii="Times New Roman" w:hAnsi="Times New Roman" w:cs="Times New Roman"/>
                <w:color w:val="auto"/>
                <w:sz w:val="24"/>
                <w:highlight w:val="none"/>
                <w:lang w:val="en-US" w:eastAsia="zh-CN"/>
              </w:rPr>
              <w:t>压</w:t>
            </w:r>
            <w:r>
              <w:rPr>
                <w:rFonts w:hint="default" w:ascii="Times New Roman" w:hAnsi="Times New Roman" w:cs="Times New Roman"/>
                <w:color w:val="auto"/>
                <w:sz w:val="24"/>
                <w:highlight w:val="none"/>
              </w:rPr>
              <w:t>级法进行</w:t>
            </w:r>
            <w:r>
              <w:rPr>
                <w:rFonts w:hint="default" w:ascii="Times New Roman" w:hAnsi="Times New Roman" w:cs="Times New Roman"/>
                <w:color w:val="auto"/>
                <w:sz w:val="24"/>
                <w:highlight w:val="none"/>
                <w:lang w:val="en-US" w:eastAsia="zh-CN"/>
              </w:rPr>
              <w:t>换算；对于处于室外的噪声源</w:t>
            </w:r>
            <w:r>
              <w:rPr>
                <w:rFonts w:hint="default" w:ascii="Times New Roman" w:hAnsi="Times New Roman" w:cs="Times New Roman"/>
                <w:color w:val="auto"/>
                <w:kern w:val="0"/>
                <w:sz w:val="24"/>
                <w:highlight w:val="none"/>
              </w:rPr>
              <w:t>，</w:t>
            </w:r>
            <w:r>
              <w:rPr>
                <w:rFonts w:hint="default" w:ascii="Times New Roman" w:hAnsi="Times New Roman" w:cs="Times New Roman"/>
                <w:color w:val="auto"/>
                <w:kern w:val="0"/>
                <w:sz w:val="24"/>
                <w:highlight w:val="none"/>
                <w:lang w:val="en-US" w:eastAsia="zh-CN"/>
              </w:rPr>
              <w:t>在考虑相关降噪措施后按照噪声衰减公式进行预测。相关计算公式</w:t>
            </w:r>
            <w:r>
              <w:rPr>
                <w:rFonts w:hint="default" w:ascii="Times New Roman" w:hAnsi="Times New Roman" w:cs="Times New Roman"/>
                <w:color w:val="auto"/>
                <w:kern w:val="0"/>
                <w:sz w:val="24"/>
                <w:highlight w:val="none"/>
              </w:rPr>
              <w:t>如下</w:t>
            </w:r>
            <w:r>
              <w:rPr>
                <w:rFonts w:hint="default" w:ascii="Times New Roman" w:hAnsi="Times New Roman" w:cs="Times New Roman"/>
                <w:color w:val="auto"/>
                <w:kern w:val="0"/>
                <w:sz w:val="24"/>
                <w:highlight w:val="none"/>
                <w:lang w:eastAsia="zh-CN"/>
              </w:rPr>
              <w:t>：</w:t>
            </w:r>
          </w:p>
          <w:p w14:paraId="6D1776D7">
            <w:pPr>
              <w:pStyle w:val="82"/>
              <w:keepNext w:val="0"/>
              <w:keepLines w:val="0"/>
              <w:pageBreakBefore w:val="0"/>
              <w:widowControl w:val="0"/>
              <w:numPr>
                <w:ilvl w:val="0"/>
                <w:numId w:val="0"/>
              </w:numPr>
              <w:suppressLineNumbers w:val="0"/>
              <w:kinsoku/>
              <w:wordWrap/>
              <w:overflowPunct/>
              <w:topLinePunct w:val="0"/>
              <w:autoSpaceDE/>
              <w:autoSpaceDN/>
              <w:bidi w:val="0"/>
              <w:adjustRightInd/>
              <w:snapToGrid w:val="0"/>
              <w:spacing w:before="0" w:beforeAutospacing="0" w:after="0" w:afterAutospacing="0" w:line="360" w:lineRule="auto"/>
              <w:ind w:left="480" w:leftChars="200" w:right="0"/>
              <w:jc w:val="left"/>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①</w:t>
            </w:r>
            <w:r>
              <w:rPr>
                <w:rFonts w:hint="default" w:ascii="Times New Roman" w:hAnsi="Times New Roman" w:cs="Times New Roman"/>
                <w:color w:val="auto"/>
                <w:sz w:val="24"/>
                <w:highlight w:val="none"/>
              </w:rPr>
              <w:t>噪声源靠近围护结构处的噪声值预测</w:t>
            </w:r>
          </w:p>
          <w:p w14:paraId="445C538A">
            <w:pPr>
              <w:pStyle w:val="82"/>
              <w:keepNext w:val="0"/>
              <w:keepLines w:val="0"/>
              <w:pageBreakBefore w:val="0"/>
              <w:widowControl w:val="0"/>
              <w:numPr>
                <w:ilvl w:val="0"/>
                <w:numId w:val="0"/>
              </w:numPr>
              <w:suppressLineNumbers w:val="0"/>
              <w:kinsoku/>
              <w:wordWrap/>
              <w:overflowPunct/>
              <w:topLinePunct w:val="0"/>
              <w:autoSpaceDE/>
              <w:autoSpaceDN/>
              <w:bidi w:val="0"/>
              <w:adjustRightInd/>
              <w:snapToGrid w:val="0"/>
              <w:spacing w:before="0" w:beforeAutospacing="0" w:after="0" w:afterAutospacing="0" w:line="360" w:lineRule="auto"/>
              <w:ind w:left="480" w:leftChars="200" w:right="0"/>
              <w:jc w:val="left"/>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lang w:val="en-US" w:eastAsia="zh-CN"/>
              </w:rPr>
              <w:t>A.</w:t>
            </w:r>
            <w:r>
              <w:rPr>
                <w:rFonts w:hint="default" w:ascii="Times New Roman" w:hAnsi="Times New Roman" w:cs="Times New Roman"/>
                <w:color w:val="auto"/>
                <w:kern w:val="0"/>
                <w:sz w:val="24"/>
                <w:highlight w:val="none"/>
              </w:rPr>
              <w:t>计算某一室内声源靠近围护结构处产生的A声压级Lp1：</w:t>
            </w:r>
          </w:p>
          <w:p w14:paraId="2D10B9A1">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highlight w:val="none"/>
              </w:rPr>
            </w:pPr>
            <m:oMathPara>
              <m:oMath>
                <m:sSub>
                  <m:sSubPr>
                    <m:ctrlPr>
                      <w:rPr>
                        <w:rFonts w:hint="default" w:ascii="Cambria Math" w:hAnsi="Cambria Math" w:cs="Times New Roman"/>
                        <w:color w:val="auto"/>
                        <w:sz w:val="24"/>
                        <w:highlight w:val="none"/>
                      </w:rPr>
                    </m:ctrlPr>
                  </m:sSubPr>
                  <m:e>
                    <m:r>
                      <m:rPr/>
                      <w:rPr>
                        <w:rFonts w:hint="default" w:ascii="Cambria Math" w:hAnsi="Cambria Math" w:cs="Times New Roman"/>
                        <w:color w:val="auto"/>
                        <w:sz w:val="24"/>
                        <w:highlight w:val="none"/>
                      </w:rPr>
                      <m:t>L</m:t>
                    </m:r>
                    <m:ctrlPr>
                      <w:rPr>
                        <w:rFonts w:hint="default" w:ascii="Cambria Math" w:hAnsi="Cambria Math" w:cs="Times New Roman"/>
                        <w:color w:val="auto"/>
                        <w:sz w:val="24"/>
                        <w:highlight w:val="none"/>
                      </w:rPr>
                    </m:ctrlPr>
                  </m:e>
                  <m:sub>
                    <m:r>
                      <m:rPr/>
                      <w:rPr>
                        <w:rFonts w:hint="default" w:ascii="Cambria Math" w:hAnsi="Cambria Math" w:cs="Times New Roman"/>
                        <w:color w:val="auto"/>
                        <w:sz w:val="24"/>
                        <w:highlight w:val="none"/>
                      </w:rPr>
                      <m:t>p1</m:t>
                    </m:r>
                    <m:ctrlPr>
                      <w:rPr>
                        <w:rFonts w:hint="default" w:ascii="Cambria Math" w:hAnsi="Cambria Math" w:cs="Times New Roman"/>
                        <w:color w:val="auto"/>
                        <w:sz w:val="24"/>
                        <w:highlight w:val="none"/>
                      </w:rPr>
                    </m:ctrlPr>
                  </m:sub>
                </m:sSub>
                <m:r>
                  <m:rPr>
                    <m:sty m:val="p"/>
                  </m:rPr>
                  <w:rPr>
                    <w:rFonts w:hint="default" w:ascii="Cambria Math" w:hAnsi="Cambria Math" w:cs="Times New Roman"/>
                    <w:color w:val="auto"/>
                    <w:sz w:val="24"/>
                    <w:highlight w:val="none"/>
                  </w:rPr>
                  <m:t>=</m:t>
                </m:r>
                <m:sSub>
                  <m:sSubPr>
                    <m:ctrlPr>
                      <w:rPr>
                        <w:rFonts w:hint="default" w:ascii="Cambria Math" w:hAnsi="Cambria Math" w:cs="Times New Roman"/>
                        <w:color w:val="auto"/>
                        <w:sz w:val="24"/>
                        <w:highlight w:val="none"/>
                      </w:rPr>
                    </m:ctrlPr>
                  </m:sSubPr>
                  <m:e>
                    <m:r>
                      <m:rPr/>
                      <w:rPr>
                        <w:rFonts w:hint="default" w:ascii="Cambria Math" w:hAnsi="Cambria Math" w:cs="Times New Roman"/>
                        <w:color w:val="auto"/>
                        <w:sz w:val="24"/>
                        <w:highlight w:val="none"/>
                      </w:rPr>
                      <m:t>L</m:t>
                    </m:r>
                    <m:ctrlPr>
                      <w:rPr>
                        <w:rFonts w:hint="default" w:ascii="Cambria Math" w:hAnsi="Cambria Math" w:cs="Times New Roman"/>
                        <w:color w:val="auto"/>
                        <w:sz w:val="24"/>
                        <w:highlight w:val="none"/>
                      </w:rPr>
                    </m:ctrlPr>
                  </m:e>
                  <m:sub>
                    <m:r>
                      <m:rPr/>
                      <w:rPr>
                        <w:rFonts w:hint="default" w:ascii="Cambria Math" w:hAnsi="Cambria Math" w:cs="Times New Roman"/>
                        <w:color w:val="auto"/>
                        <w:sz w:val="24"/>
                        <w:highlight w:val="none"/>
                      </w:rPr>
                      <m:t>w</m:t>
                    </m:r>
                    <m:ctrlPr>
                      <w:rPr>
                        <w:rFonts w:hint="default" w:ascii="Cambria Math" w:hAnsi="Cambria Math" w:cs="Times New Roman"/>
                        <w:color w:val="auto"/>
                        <w:sz w:val="24"/>
                        <w:highlight w:val="none"/>
                      </w:rPr>
                    </m:ctrlPr>
                  </m:sub>
                </m:sSub>
                <m:r>
                  <m:rPr>
                    <m:sty m:val="p"/>
                  </m:rPr>
                  <w:rPr>
                    <w:rFonts w:hint="default" w:ascii="Cambria Math" w:hAnsi="Cambria Math" w:cs="Times New Roman"/>
                    <w:color w:val="auto"/>
                    <w:sz w:val="24"/>
                    <w:highlight w:val="none"/>
                  </w:rPr>
                  <m:t>+10lg⁡(</m:t>
                </m:r>
                <m:f>
                  <m:fPr>
                    <m:ctrlPr>
                      <w:rPr>
                        <w:rFonts w:hint="default" w:ascii="Cambria Math" w:hAnsi="Cambria Math" w:cs="Times New Roman"/>
                        <w:color w:val="auto"/>
                        <w:sz w:val="24"/>
                        <w:highlight w:val="none"/>
                      </w:rPr>
                    </m:ctrlPr>
                  </m:fPr>
                  <m:num>
                    <m:r>
                      <m:rPr/>
                      <w:rPr>
                        <w:rFonts w:hint="default" w:ascii="Cambria Math" w:hAnsi="Cambria Math" w:cs="Times New Roman"/>
                        <w:color w:val="auto"/>
                        <w:sz w:val="24"/>
                        <w:highlight w:val="none"/>
                      </w:rPr>
                      <m:t>Q</m:t>
                    </m:r>
                    <m:ctrlPr>
                      <w:rPr>
                        <w:rFonts w:hint="default" w:ascii="Cambria Math" w:hAnsi="Cambria Math" w:cs="Times New Roman"/>
                        <w:color w:val="auto"/>
                        <w:sz w:val="24"/>
                        <w:highlight w:val="none"/>
                      </w:rPr>
                    </m:ctrlPr>
                  </m:num>
                  <m:den>
                    <m:r>
                      <m:rPr/>
                      <w:rPr>
                        <w:rFonts w:hint="default" w:ascii="Cambria Math" w:hAnsi="Cambria Math" w:cs="Times New Roman"/>
                        <w:color w:val="auto"/>
                        <w:sz w:val="24"/>
                        <w:highlight w:val="none"/>
                      </w:rPr>
                      <m:t>4π</m:t>
                    </m:r>
                    <m:sSup>
                      <m:sSupPr>
                        <m:ctrlPr>
                          <w:rPr>
                            <w:rFonts w:hint="default" w:ascii="Cambria Math" w:hAnsi="Cambria Math" w:cs="Times New Roman"/>
                            <w:i/>
                            <w:color w:val="auto"/>
                            <w:sz w:val="24"/>
                            <w:highlight w:val="none"/>
                          </w:rPr>
                        </m:ctrlPr>
                      </m:sSupPr>
                      <m:e>
                        <m:r>
                          <m:rPr/>
                          <w:rPr>
                            <w:rFonts w:hint="default" w:ascii="Cambria Math" w:hAnsi="Cambria Math" w:cs="Times New Roman"/>
                            <w:color w:val="auto"/>
                            <w:sz w:val="24"/>
                            <w:highlight w:val="none"/>
                          </w:rPr>
                          <m:t>r</m:t>
                        </m:r>
                        <m:ctrlPr>
                          <w:rPr>
                            <w:rFonts w:hint="default" w:ascii="Cambria Math" w:hAnsi="Cambria Math" w:cs="Times New Roman"/>
                            <w:i/>
                            <w:color w:val="auto"/>
                            <w:sz w:val="24"/>
                            <w:highlight w:val="none"/>
                          </w:rPr>
                        </m:ctrlPr>
                      </m:e>
                      <m:sup>
                        <m:r>
                          <m:rPr/>
                          <w:rPr>
                            <w:rFonts w:hint="default" w:ascii="Cambria Math" w:hAnsi="Cambria Math" w:cs="Times New Roman"/>
                            <w:color w:val="auto"/>
                            <w:sz w:val="24"/>
                            <w:highlight w:val="none"/>
                          </w:rPr>
                          <m:t>2</m:t>
                        </m:r>
                        <m:ctrlPr>
                          <w:rPr>
                            <w:rFonts w:hint="default" w:ascii="Cambria Math" w:hAnsi="Cambria Math" w:cs="Times New Roman"/>
                            <w:i/>
                            <w:color w:val="auto"/>
                            <w:sz w:val="24"/>
                            <w:highlight w:val="none"/>
                          </w:rPr>
                        </m:ctrlPr>
                      </m:sup>
                    </m:sSup>
                    <m:ctrlPr>
                      <w:rPr>
                        <w:rFonts w:hint="default" w:ascii="Cambria Math" w:hAnsi="Cambria Math" w:cs="Times New Roman"/>
                        <w:color w:val="auto"/>
                        <w:sz w:val="24"/>
                        <w:highlight w:val="none"/>
                      </w:rPr>
                    </m:ctrlPr>
                  </m:den>
                </m:f>
                <m:r>
                  <m:rPr/>
                  <w:rPr>
                    <w:rFonts w:hint="default" w:ascii="Cambria Math" w:hAnsi="Cambria Math" w:cs="Times New Roman"/>
                    <w:color w:val="auto"/>
                    <w:sz w:val="24"/>
                    <w:highlight w:val="none"/>
                  </w:rPr>
                  <m:t>+</m:t>
                </m:r>
                <m:f>
                  <m:fPr>
                    <m:ctrlPr>
                      <w:rPr>
                        <w:rFonts w:hint="default" w:ascii="Cambria Math" w:hAnsi="Cambria Math" w:cs="Times New Roman"/>
                        <w:i/>
                        <w:color w:val="auto"/>
                        <w:sz w:val="24"/>
                        <w:highlight w:val="none"/>
                      </w:rPr>
                    </m:ctrlPr>
                  </m:fPr>
                  <m:num>
                    <m:r>
                      <m:rPr/>
                      <w:rPr>
                        <w:rFonts w:hint="default" w:ascii="Cambria Math" w:hAnsi="Cambria Math" w:cs="Times New Roman"/>
                        <w:color w:val="auto"/>
                        <w:sz w:val="24"/>
                        <w:highlight w:val="none"/>
                      </w:rPr>
                      <m:t>4</m:t>
                    </m:r>
                    <m:ctrlPr>
                      <w:rPr>
                        <w:rFonts w:hint="default" w:ascii="Cambria Math" w:hAnsi="Cambria Math" w:cs="Times New Roman"/>
                        <w:i/>
                        <w:color w:val="auto"/>
                        <w:sz w:val="24"/>
                        <w:highlight w:val="none"/>
                      </w:rPr>
                    </m:ctrlPr>
                  </m:num>
                  <m:den>
                    <m:r>
                      <m:rPr/>
                      <w:rPr>
                        <w:rFonts w:hint="default" w:ascii="Cambria Math" w:hAnsi="Cambria Math" w:cs="Times New Roman"/>
                        <w:color w:val="auto"/>
                        <w:sz w:val="24"/>
                        <w:highlight w:val="none"/>
                      </w:rPr>
                      <m:t>R</m:t>
                    </m:r>
                    <m:ctrlPr>
                      <w:rPr>
                        <w:rFonts w:hint="default" w:ascii="Cambria Math" w:hAnsi="Cambria Math" w:cs="Times New Roman"/>
                        <w:i/>
                        <w:color w:val="auto"/>
                        <w:sz w:val="24"/>
                        <w:highlight w:val="none"/>
                      </w:rPr>
                    </m:ctrlPr>
                  </m:den>
                </m:f>
                <m:r>
                  <m:rPr/>
                  <w:rPr>
                    <w:rFonts w:hint="default" w:ascii="Cambria Math" w:hAnsi="Cambria Math" w:cs="Times New Roman"/>
                    <w:color w:val="auto"/>
                    <w:sz w:val="24"/>
                    <w:highlight w:val="none"/>
                  </w:rPr>
                  <m:t>)</m:t>
                </m:r>
              </m:oMath>
            </m:oMathPara>
          </w:p>
          <w:p w14:paraId="1D582F98">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式中：</w:t>
            </w:r>
          </w:p>
          <w:p w14:paraId="0ECDF3C5">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Q－指向性因数：通常对无指向性声源，当声源放在房间中心时，Q=1；当放在一面墙的中心时，Q=2；当放在两面墙夹角时，Q=4；当放在三面墙夹角处时，Q=8。</w:t>
            </w:r>
          </w:p>
          <w:p w14:paraId="7896D5F5">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R－房间常数：R=Sa/(1-a)，S为房间内表面面积，m</w:t>
            </w:r>
            <w:r>
              <w:rPr>
                <w:rFonts w:hint="default" w:ascii="Times New Roman" w:hAnsi="Times New Roman" w:cs="Times New Roman"/>
                <w:color w:val="auto"/>
                <w:kern w:val="0"/>
                <w:sz w:val="24"/>
                <w:highlight w:val="none"/>
                <w:vertAlign w:val="superscript"/>
              </w:rPr>
              <w:t>2</w:t>
            </w:r>
            <w:r>
              <w:rPr>
                <w:rFonts w:hint="default" w:ascii="Times New Roman" w:hAnsi="Times New Roman" w:cs="Times New Roman"/>
                <w:color w:val="auto"/>
                <w:kern w:val="0"/>
                <w:sz w:val="24"/>
                <w:highlight w:val="none"/>
              </w:rPr>
              <w:t>；a为平均吸声系数。</w:t>
            </w:r>
          </w:p>
          <w:p w14:paraId="6D89AF4E">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r－声源到靠近围护结构某点处的距离，m。</w:t>
            </w:r>
          </w:p>
          <w:p w14:paraId="3B65BED6">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Lw为设备</w:t>
            </w:r>
            <w:r>
              <w:rPr>
                <w:rFonts w:hint="default" w:ascii="Times New Roman" w:hAnsi="Times New Roman" w:cs="Times New Roman"/>
                <w:color w:val="auto"/>
                <w:kern w:val="0"/>
                <w:sz w:val="24"/>
                <w:highlight w:val="none"/>
                <w:lang w:val="en-US" w:eastAsia="zh-CN"/>
              </w:rPr>
              <w:t>源强</w:t>
            </w:r>
            <w:r>
              <w:rPr>
                <w:rFonts w:hint="default" w:ascii="Times New Roman" w:hAnsi="Times New Roman" w:cs="Times New Roman"/>
                <w:color w:val="auto"/>
                <w:kern w:val="0"/>
                <w:sz w:val="24"/>
                <w:highlight w:val="none"/>
              </w:rPr>
              <w:t>声级。</w:t>
            </w:r>
          </w:p>
          <w:p w14:paraId="66691AE3">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lang w:val="en-US" w:eastAsia="zh-CN"/>
              </w:rPr>
              <w:t>B.</w:t>
            </w:r>
            <w:r>
              <w:rPr>
                <w:rFonts w:hint="default" w:ascii="Times New Roman" w:hAnsi="Times New Roman" w:cs="Times New Roman"/>
                <w:color w:val="auto"/>
                <w:kern w:val="0"/>
                <w:sz w:val="24"/>
                <w:highlight w:val="none"/>
              </w:rPr>
              <w:t>计算出所有室内声源在围护结构处产生的叠加A声压级：</w:t>
            </w:r>
          </w:p>
          <w:p w14:paraId="2552F107">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highlight w:val="none"/>
              </w:rPr>
            </w:pPr>
            <m:oMathPara>
              <m:oMathParaPr>
                <m:jc m:val="center"/>
              </m:oMathParaPr>
              <m:oMath>
                <m:sSub>
                  <m:sSubPr>
                    <m:ctrlPr>
                      <w:rPr>
                        <w:rFonts w:hint="default" w:ascii="Cambria Math" w:hAnsi="Cambria Math" w:cs="Times New Roman"/>
                        <w:i/>
                        <w:color w:val="auto"/>
                        <w:sz w:val="24"/>
                        <w:highlight w:val="none"/>
                      </w:rPr>
                    </m:ctrlPr>
                  </m:sSubPr>
                  <m:e>
                    <m:r>
                      <m:rPr/>
                      <w:rPr>
                        <w:rFonts w:hint="default" w:ascii="Cambria Math" w:hAnsi="Cambria Math" w:cs="Times New Roman"/>
                        <w:color w:val="auto"/>
                        <w:sz w:val="24"/>
                        <w:highlight w:val="none"/>
                      </w:rPr>
                      <m:t>L</m:t>
                    </m:r>
                    <m:ctrlPr>
                      <w:rPr>
                        <w:rFonts w:hint="default" w:ascii="Cambria Math" w:hAnsi="Cambria Math" w:cs="Times New Roman"/>
                        <w:i/>
                        <w:color w:val="auto"/>
                        <w:sz w:val="24"/>
                        <w:highlight w:val="none"/>
                      </w:rPr>
                    </m:ctrlPr>
                  </m:e>
                  <m:sub>
                    <m:r>
                      <m:rPr/>
                      <w:rPr>
                        <w:rFonts w:hint="default" w:ascii="Cambria Math" w:hAnsi="Cambria Math" w:cs="Times New Roman"/>
                        <w:color w:val="auto"/>
                        <w:sz w:val="24"/>
                        <w:highlight w:val="none"/>
                      </w:rPr>
                      <m:t>P1</m:t>
                    </m:r>
                    <m:ctrlPr>
                      <w:rPr>
                        <w:rFonts w:hint="default" w:ascii="Cambria Math" w:hAnsi="Cambria Math" w:cs="Times New Roman"/>
                        <w:i/>
                        <w:color w:val="auto"/>
                        <w:sz w:val="24"/>
                        <w:highlight w:val="none"/>
                      </w:rPr>
                    </m:ctrlPr>
                  </m:sub>
                </m:sSub>
                <m:r>
                  <m:rPr>
                    <m:sty m:val="p"/>
                  </m:rPr>
                  <w:rPr>
                    <w:rFonts w:hint="default" w:ascii="Cambria Math" w:hAnsi="Cambria Math" w:cs="Times New Roman"/>
                    <w:color w:val="auto"/>
                    <w:sz w:val="24"/>
                    <w:highlight w:val="none"/>
                  </w:rPr>
                  <m:t>(</m:t>
                </m:r>
                <m:r>
                  <m:rPr/>
                  <w:rPr>
                    <w:rFonts w:hint="default" w:ascii="Cambria Math" w:hAnsi="Cambria Math" w:cs="Times New Roman"/>
                    <w:color w:val="auto"/>
                    <w:sz w:val="24"/>
                    <w:highlight w:val="none"/>
                  </w:rPr>
                  <m:t>T</m:t>
                </m:r>
                <m:r>
                  <m:rPr>
                    <m:sty m:val="p"/>
                  </m:rPr>
                  <w:rPr>
                    <w:rFonts w:hint="default" w:ascii="Cambria Math" w:hAnsi="Cambria Math" w:cs="Times New Roman"/>
                    <w:color w:val="auto"/>
                    <w:sz w:val="24"/>
                    <w:highlight w:val="none"/>
                  </w:rPr>
                  <m:t>)=10lg</m:t>
                </m:r>
                <m:nary>
                  <m:naryPr>
                    <m:chr m:val="∑"/>
                    <m:limLoc m:val="undOvr"/>
                    <m:ctrlPr>
                      <w:rPr>
                        <w:rFonts w:hint="default" w:ascii="Cambria Math" w:hAnsi="Cambria Math" w:cs="Times New Roman"/>
                        <w:color w:val="auto"/>
                        <w:sz w:val="24"/>
                        <w:highlight w:val="none"/>
                      </w:rPr>
                    </m:ctrlPr>
                  </m:naryPr>
                  <m:sub>
                    <m:r>
                      <m:rPr/>
                      <w:rPr>
                        <w:rFonts w:hint="default" w:ascii="Cambria Math" w:hAnsi="Cambria Math" w:cs="Times New Roman"/>
                        <w:color w:val="auto"/>
                        <w:sz w:val="24"/>
                        <w:highlight w:val="none"/>
                      </w:rPr>
                      <m:t>i</m:t>
                    </m:r>
                    <m:r>
                      <m:rPr>
                        <m:sty m:val="p"/>
                      </m:rPr>
                      <w:rPr>
                        <w:rFonts w:hint="default" w:ascii="Cambria Math" w:hAnsi="Cambria Math" w:cs="Times New Roman"/>
                        <w:color w:val="auto"/>
                        <w:sz w:val="24"/>
                        <w:highlight w:val="none"/>
                      </w:rPr>
                      <m:t>=1</m:t>
                    </m:r>
                    <m:ctrlPr>
                      <w:rPr>
                        <w:rFonts w:hint="default" w:ascii="Cambria Math" w:hAnsi="Cambria Math" w:cs="Times New Roman"/>
                        <w:color w:val="auto"/>
                        <w:sz w:val="24"/>
                        <w:highlight w:val="none"/>
                      </w:rPr>
                    </m:ctrlPr>
                  </m:sub>
                  <m:sup>
                    <m:r>
                      <m:rPr/>
                      <w:rPr>
                        <w:rFonts w:hint="default" w:ascii="Cambria Math" w:hAnsi="Cambria Math" w:cs="Times New Roman"/>
                        <w:color w:val="auto"/>
                        <w:sz w:val="24"/>
                        <w:highlight w:val="none"/>
                      </w:rPr>
                      <m:t>n</m:t>
                    </m:r>
                    <m:ctrlPr>
                      <w:rPr>
                        <w:rFonts w:hint="default" w:ascii="Cambria Math" w:hAnsi="Cambria Math" w:cs="Times New Roman"/>
                        <w:color w:val="auto"/>
                        <w:sz w:val="24"/>
                        <w:highlight w:val="none"/>
                      </w:rPr>
                    </m:ctrlPr>
                  </m:sup>
                  <m:e>
                    <m:sSup>
                      <m:sSupPr>
                        <m:ctrlPr>
                          <w:rPr>
                            <w:rFonts w:hint="default" w:ascii="Cambria Math" w:hAnsi="Cambria Math" w:cs="Times New Roman"/>
                            <w:i/>
                            <w:color w:val="auto"/>
                            <w:sz w:val="24"/>
                            <w:highlight w:val="none"/>
                          </w:rPr>
                        </m:ctrlPr>
                      </m:sSupPr>
                      <m:e>
                        <m:r>
                          <m:rPr/>
                          <w:rPr>
                            <w:rFonts w:hint="default" w:ascii="Cambria Math" w:hAnsi="Cambria Math" w:cs="Times New Roman"/>
                            <w:color w:val="auto"/>
                            <w:sz w:val="24"/>
                            <w:highlight w:val="none"/>
                          </w:rPr>
                          <m:t>10</m:t>
                        </m:r>
                        <m:ctrlPr>
                          <w:rPr>
                            <w:rFonts w:hint="default" w:ascii="Cambria Math" w:hAnsi="Cambria Math" w:cs="Times New Roman"/>
                            <w:i/>
                            <w:color w:val="auto"/>
                            <w:sz w:val="24"/>
                            <w:highlight w:val="none"/>
                          </w:rPr>
                        </m:ctrlPr>
                      </m:e>
                      <m:sup>
                        <m:r>
                          <m:rPr/>
                          <w:rPr>
                            <w:rFonts w:hint="default" w:ascii="Cambria Math" w:hAnsi="Cambria Math" w:cs="Times New Roman"/>
                            <w:color w:val="auto"/>
                            <w:sz w:val="24"/>
                            <w:highlight w:val="none"/>
                          </w:rPr>
                          <m:t>0.1</m:t>
                        </m:r>
                        <m:sSub>
                          <m:sSubPr>
                            <m:ctrlPr>
                              <w:rPr>
                                <w:rFonts w:hint="default" w:ascii="Cambria Math" w:hAnsi="Cambria Math" w:cs="Times New Roman"/>
                                <w:i/>
                                <w:color w:val="auto"/>
                                <w:sz w:val="24"/>
                                <w:highlight w:val="none"/>
                              </w:rPr>
                            </m:ctrlPr>
                          </m:sSubPr>
                          <m:e>
                            <m:r>
                              <m:rPr/>
                              <w:rPr>
                                <w:rFonts w:hint="default" w:ascii="Cambria Math" w:hAnsi="Cambria Math" w:cs="Times New Roman"/>
                                <w:color w:val="auto"/>
                                <w:sz w:val="24"/>
                                <w:highlight w:val="none"/>
                              </w:rPr>
                              <m:t>L</m:t>
                            </m:r>
                            <m:ctrlPr>
                              <w:rPr>
                                <w:rFonts w:hint="default" w:ascii="Cambria Math" w:hAnsi="Cambria Math" w:cs="Times New Roman"/>
                                <w:i/>
                                <w:color w:val="auto"/>
                                <w:sz w:val="24"/>
                                <w:highlight w:val="none"/>
                              </w:rPr>
                            </m:ctrlPr>
                          </m:e>
                          <m:sub>
                            <m:r>
                              <m:rPr/>
                              <w:rPr>
                                <w:rFonts w:hint="default" w:ascii="Cambria Math" w:hAnsi="Cambria Math" w:cs="Times New Roman"/>
                                <w:color w:val="auto"/>
                                <w:sz w:val="24"/>
                                <w:highlight w:val="none"/>
                              </w:rPr>
                              <m:t>P1j</m:t>
                            </m:r>
                            <m:ctrlPr>
                              <w:rPr>
                                <w:rFonts w:hint="default" w:ascii="Cambria Math" w:hAnsi="Cambria Math" w:cs="Times New Roman"/>
                                <w:i/>
                                <w:color w:val="auto"/>
                                <w:sz w:val="24"/>
                                <w:highlight w:val="none"/>
                              </w:rPr>
                            </m:ctrlPr>
                          </m:sub>
                        </m:sSub>
                        <m:ctrlPr>
                          <w:rPr>
                            <w:rFonts w:hint="default" w:ascii="Cambria Math" w:hAnsi="Cambria Math" w:cs="Times New Roman"/>
                            <w:i/>
                            <w:color w:val="auto"/>
                            <w:sz w:val="24"/>
                            <w:highlight w:val="none"/>
                          </w:rPr>
                        </m:ctrlPr>
                      </m:sup>
                    </m:sSup>
                    <m:ctrlPr>
                      <w:rPr>
                        <w:rFonts w:hint="default" w:ascii="Cambria Math" w:hAnsi="Cambria Math" w:cs="Times New Roman"/>
                        <w:color w:val="auto"/>
                        <w:sz w:val="24"/>
                        <w:highlight w:val="none"/>
                      </w:rPr>
                    </m:ctrlPr>
                  </m:e>
                </m:nary>
              </m:oMath>
            </m:oMathPara>
          </w:p>
          <w:p w14:paraId="51CAF357">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式中：</w:t>
            </w:r>
          </w:p>
          <w:p w14:paraId="731CFD3F">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Lp1(T)--靠近围护结构处室内 N个声源叠加A声压级，dB(A)；</w:t>
            </w:r>
          </w:p>
          <w:p w14:paraId="337420EF">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0"/>
                <w:sz w:val="24"/>
                <w:highlight w:val="none"/>
                <w:lang w:eastAsia="zh-CN"/>
              </w:rPr>
            </w:pPr>
            <w:r>
              <w:rPr>
                <w:rFonts w:hint="default" w:ascii="Times New Roman" w:hAnsi="Times New Roman" w:cs="Times New Roman"/>
                <w:color w:val="auto"/>
                <w:kern w:val="0"/>
                <w:sz w:val="24"/>
                <w:highlight w:val="none"/>
              </w:rPr>
              <w:t>Lp1j--室内 j声源的A声压级，dB(A)</w:t>
            </w:r>
            <w:r>
              <w:rPr>
                <w:rFonts w:hint="default" w:ascii="Times New Roman" w:hAnsi="Times New Roman" w:cs="Times New Roman"/>
                <w:color w:val="auto"/>
                <w:kern w:val="0"/>
                <w:sz w:val="24"/>
                <w:highlight w:val="none"/>
                <w:lang w:eastAsia="zh-CN"/>
              </w:rPr>
              <w:t>。</w:t>
            </w:r>
          </w:p>
          <w:p w14:paraId="69C04DE7">
            <w:pPr>
              <w:pStyle w:val="20"/>
              <w:keepNext w:val="0"/>
              <w:keepLines w:val="0"/>
              <w:numPr>
                <w:ilvl w:val="0"/>
                <w:numId w:val="0"/>
              </w:numPr>
              <w:suppressLineNumbers w:val="0"/>
              <w:tabs>
                <w:tab w:val="left" w:pos="0"/>
              </w:tabs>
              <w:spacing w:before="0" w:beforeAutospacing="0" w:after="0" w:afterAutospacing="0"/>
              <w:ind w:left="0" w:leftChars="0" w:right="0" w:rightChars="0" w:firstLine="40" w:firstLineChars="0"/>
              <w:rPr>
                <w:rFonts w:hint="default" w:ascii="Times New Roman" w:hAnsi="Times New Roman" w:cs="Times New Roman"/>
                <w:color w:val="auto"/>
                <w:highlight w:val="none"/>
              </w:rPr>
            </w:pPr>
            <w:r>
              <w:rPr>
                <w:rFonts w:hint="default" w:ascii="Times New Roman" w:hAnsi="Times New Roman" w:eastAsia="宋体" w:cs="Times New Roman"/>
                <w:b/>
                <w:bCs/>
                <w:color w:val="auto"/>
                <w:kern w:val="2"/>
                <w:sz w:val="21"/>
                <w:szCs w:val="21"/>
                <w:highlight w:val="none"/>
                <w:lang w:val="en-US" w:eastAsia="zh-CN" w:bidi="ar-SA"/>
              </w:rPr>
              <w:t>表4-</w:t>
            </w:r>
            <w:r>
              <w:rPr>
                <w:rFonts w:hint="eastAsia" w:cs="Times New Roman"/>
                <w:b/>
                <w:bCs/>
                <w:color w:val="auto"/>
                <w:kern w:val="2"/>
                <w:sz w:val="21"/>
                <w:szCs w:val="21"/>
                <w:highlight w:val="none"/>
                <w:lang w:val="en-US" w:eastAsia="zh-CN" w:bidi="ar-SA"/>
              </w:rPr>
              <w:t xml:space="preserve">23 </w:t>
            </w:r>
            <w:r>
              <w:rPr>
                <w:rFonts w:hint="default" w:ascii="Times New Roman" w:hAnsi="Times New Roman" w:cs="Times New Roman"/>
                <w:color w:val="auto"/>
                <w:highlight w:val="none"/>
                <w:lang w:val="en-US" w:eastAsia="zh-CN"/>
              </w:rPr>
              <w:t>项目各生产车间围护结构处噪声贡献值</w:t>
            </w:r>
          </w:p>
          <w:tbl>
            <w:tblPr>
              <w:tblStyle w:val="39"/>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2567"/>
              <w:gridCol w:w="1335"/>
              <w:gridCol w:w="1564"/>
              <w:gridCol w:w="1823"/>
              <w:gridCol w:w="1823"/>
            </w:tblGrid>
            <w:tr w14:paraId="7E403D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5" w:hRule="atLeast"/>
                <w:jc w:val="center"/>
              </w:trPr>
              <w:tc>
                <w:tcPr>
                  <w:tcW w:w="1408" w:type="pct"/>
                  <w:shd w:val="clear" w:color="auto" w:fill="FFFFFF"/>
                  <w:vAlign w:val="center"/>
                </w:tcPr>
                <w:p w14:paraId="6FA095A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等线"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车间名称</w:t>
                  </w:r>
                </w:p>
              </w:tc>
              <w:tc>
                <w:tcPr>
                  <w:tcW w:w="732" w:type="pct"/>
                  <w:shd w:val="clear" w:color="auto" w:fill="FFFFFF"/>
                  <w:vAlign w:val="center"/>
                </w:tcPr>
                <w:p w14:paraId="5C2AE3D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车间东侧</w:t>
                  </w:r>
                </w:p>
              </w:tc>
              <w:tc>
                <w:tcPr>
                  <w:tcW w:w="858" w:type="pct"/>
                  <w:shd w:val="clear" w:color="auto" w:fill="FFFFFF"/>
                  <w:vAlign w:val="center"/>
                </w:tcPr>
                <w:p w14:paraId="37915A5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车间南侧</w:t>
                  </w:r>
                </w:p>
              </w:tc>
              <w:tc>
                <w:tcPr>
                  <w:tcW w:w="1000" w:type="pct"/>
                  <w:shd w:val="clear" w:color="auto" w:fill="FFFFFF"/>
                  <w:vAlign w:val="center"/>
                </w:tcPr>
                <w:p w14:paraId="475B7A1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车间西侧</w:t>
                  </w:r>
                </w:p>
              </w:tc>
              <w:tc>
                <w:tcPr>
                  <w:tcW w:w="1000" w:type="pct"/>
                  <w:shd w:val="clear" w:color="auto" w:fill="FFFFFF"/>
                  <w:vAlign w:val="center"/>
                </w:tcPr>
                <w:p w14:paraId="74C6BA6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车间北侧</w:t>
                  </w:r>
                </w:p>
              </w:tc>
            </w:tr>
            <w:tr w14:paraId="2767ED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5" w:hRule="atLeast"/>
                <w:jc w:val="center"/>
              </w:trPr>
              <w:tc>
                <w:tcPr>
                  <w:tcW w:w="1408" w:type="pct"/>
                  <w:shd w:val="clear" w:color="auto" w:fill="auto"/>
                  <w:vAlign w:val="center"/>
                </w:tcPr>
                <w:p w14:paraId="4BCBA0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等线" w:cs="Times New Roman"/>
                      <w:i w:val="0"/>
                      <w:iCs w:val="0"/>
                      <w:color w:val="auto"/>
                      <w:sz w:val="21"/>
                      <w:szCs w:val="21"/>
                      <w:highlight w:val="none"/>
                      <w:u w:val="none"/>
                      <w:lang w:val="en-US" w:eastAsia="zh-CN"/>
                    </w:rPr>
                  </w:pPr>
                  <w:r>
                    <w:rPr>
                      <w:rFonts w:hint="eastAsia" w:eastAsia="等线" w:cs="Times New Roman"/>
                      <w:color w:val="auto"/>
                      <w:sz w:val="21"/>
                      <w:szCs w:val="21"/>
                      <w:highlight w:val="none"/>
                      <w:lang w:val="en-US" w:eastAsia="zh-CN"/>
                    </w:rPr>
                    <w:t>2#厂房</w:t>
                  </w:r>
                </w:p>
              </w:tc>
              <w:tc>
                <w:tcPr>
                  <w:tcW w:w="1335" w:type="dxa"/>
                  <w:shd w:val="clear" w:color="auto" w:fill="auto"/>
                  <w:vAlign w:val="center"/>
                </w:tcPr>
                <w:p w14:paraId="788A94A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等线"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77.13</w:t>
                  </w:r>
                </w:p>
              </w:tc>
              <w:tc>
                <w:tcPr>
                  <w:tcW w:w="1564" w:type="dxa"/>
                  <w:shd w:val="clear" w:color="auto" w:fill="auto"/>
                  <w:vAlign w:val="center"/>
                </w:tcPr>
                <w:p w14:paraId="606C6E2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等线"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76.19</w:t>
                  </w:r>
                </w:p>
              </w:tc>
              <w:tc>
                <w:tcPr>
                  <w:tcW w:w="1823" w:type="dxa"/>
                  <w:shd w:val="clear" w:color="auto" w:fill="auto"/>
                  <w:vAlign w:val="center"/>
                </w:tcPr>
                <w:p w14:paraId="565D410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等线"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70.17</w:t>
                  </w:r>
                </w:p>
              </w:tc>
              <w:tc>
                <w:tcPr>
                  <w:tcW w:w="1823" w:type="dxa"/>
                  <w:shd w:val="clear" w:color="auto" w:fill="auto"/>
                  <w:vAlign w:val="center"/>
                </w:tcPr>
                <w:p w14:paraId="13D592A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等线"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67.59</w:t>
                  </w:r>
                </w:p>
              </w:tc>
            </w:tr>
            <w:tr w14:paraId="2A2115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5" w:hRule="atLeast"/>
                <w:jc w:val="center"/>
              </w:trPr>
              <w:tc>
                <w:tcPr>
                  <w:tcW w:w="1408" w:type="pct"/>
                  <w:shd w:val="clear" w:color="auto" w:fill="auto"/>
                  <w:vAlign w:val="center"/>
                </w:tcPr>
                <w:p w14:paraId="2E53B1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4#厂房</w:t>
                  </w:r>
                </w:p>
              </w:tc>
              <w:tc>
                <w:tcPr>
                  <w:tcW w:w="1335" w:type="dxa"/>
                  <w:shd w:val="clear" w:color="auto" w:fill="auto"/>
                  <w:vAlign w:val="center"/>
                </w:tcPr>
                <w:p w14:paraId="1D6EDF5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71.25</w:t>
                  </w:r>
                </w:p>
              </w:tc>
              <w:tc>
                <w:tcPr>
                  <w:tcW w:w="1564" w:type="dxa"/>
                  <w:shd w:val="clear" w:color="auto" w:fill="auto"/>
                  <w:vAlign w:val="center"/>
                </w:tcPr>
                <w:p w14:paraId="2A7D16D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73.68</w:t>
                  </w:r>
                </w:p>
              </w:tc>
              <w:tc>
                <w:tcPr>
                  <w:tcW w:w="1823" w:type="dxa"/>
                  <w:shd w:val="clear" w:color="auto" w:fill="auto"/>
                  <w:vAlign w:val="center"/>
                </w:tcPr>
                <w:p w14:paraId="5C88BC2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77.20</w:t>
                  </w:r>
                </w:p>
              </w:tc>
              <w:tc>
                <w:tcPr>
                  <w:tcW w:w="1823" w:type="dxa"/>
                  <w:shd w:val="clear" w:color="auto" w:fill="auto"/>
                  <w:vAlign w:val="center"/>
                </w:tcPr>
                <w:p w14:paraId="042180B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77.40</w:t>
                  </w:r>
                </w:p>
              </w:tc>
            </w:tr>
          </w:tbl>
          <w:p w14:paraId="093B763E">
            <w:pPr>
              <w:keepNext w:val="0"/>
              <w:keepLines w:val="0"/>
              <w:pageBreakBefore w:val="0"/>
              <w:widowControl w:val="0"/>
              <w:suppressLineNumbers w:val="0"/>
              <w:kinsoku/>
              <w:wordWrap/>
              <w:overflowPunct/>
              <w:topLinePunct w:val="0"/>
              <w:autoSpaceDE/>
              <w:autoSpaceDN/>
              <w:bidi w:val="0"/>
              <w:adjustRightInd/>
              <w:snapToGrid w:val="0"/>
              <w:spacing w:before="157" w:beforeLines="50" w:beforeAutospacing="0" w:after="0" w:afterAutospacing="0" w:line="360" w:lineRule="auto"/>
              <w:ind w:left="0" w:right="0" w:firstLine="480" w:firstLineChars="200"/>
              <w:textAlignment w:val="auto"/>
              <w:rPr>
                <w:rFonts w:hint="default" w:ascii="Times New Roman" w:hAnsi="Times New Roman" w:cs="Times New Roman"/>
                <w:b/>
                <w:color w:val="auto"/>
                <w:kern w:val="0"/>
                <w:sz w:val="24"/>
                <w:highlight w:val="none"/>
              </w:rPr>
            </w:pPr>
            <w:r>
              <w:rPr>
                <w:rFonts w:hint="default" w:ascii="Times New Roman" w:hAnsi="Times New Roman" w:cs="Times New Roman"/>
                <w:bCs/>
                <w:color w:val="auto"/>
                <w:sz w:val="24"/>
                <w:highlight w:val="none"/>
              </w:rPr>
              <w:t>②厂房边界处的噪声值预测</w:t>
            </w:r>
          </w:p>
          <w:p w14:paraId="719EF8B0">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在室内近似为扩散声场地，按下式计算出靠近室外围护结构处的声压级：</w:t>
            </w:r>
          </w:p>
          <w:p w14:paraId="0C7F8E82">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0"/>
                <w:sz w:val="24"/>
                <w:highlight w:val="none"/>
              </w:rPr>
            </w:pPr>
            <m:oMathPara>
              <m:oMathParaPr>
                <m:jc m:val="center"/>
              </m:oMathParaPr>
              <m:oMath>
                <m:sSub>
                  <m:sSubPr>
                    <m:ctrlPr>
                      <w:rPr>
                        <w:rFonts w:hint="default" w:ascii="Cambria Math" w:hAnsi="Cambria Math" w:cs="Times New Roman"/>
                        <w:color w:val="auto"/>
                        <w:kern w:val="0"/>
                        <w:sz w:val="24"/>
                        <w:highlight w:val="none"/>
                      </w:rPr>
                    </m:ctrlPr>
                  </m:sSubPr>
                  <m:e>
                    <m:r>
                      <m:rPr/>
                      <w:rPr>
                        <w:rFonts w:hint="default" w:ascii="Cambria Math" w:hAnsi="Cambria Math" w:cs="Times New Roman"/>
                        <w:color w:val="auto"/>
                        <w:kern w:val="0"/>
                        <w:sz w:val="24"/>
                        <w:highlight w:val="none"/>
                      </w:rPr>
                      <m:t>L</m:t>
                    </m:r>
                    <m:ctrlPr>
                      <w:rPr>
                        <w:rFonts w:hint="default" w:ascii="Cambria Math" w:hAnsi="Cambria Math" w:cs="Times New Roman"/>
                        <w:color w:val="auto"/>
                        <w:kern w:val="0"/>
                        <w:sz w:val="24"/>
                        <w:highlight w:val="none"/>
                      </w:rPr>
                    </m:ctrlPr>
                  </m:e>
                  <m:sub>
                    <m:r>
                      <m:rPr/>
                      <w:rPr>
                        <w:rFonts w:hint="default" w:ascii="Cambria Math" w:hAnsi="Cambria Math" w:cs="Times New Roman"/>
                        <w:color w:val="auto"/>
                        <w:kern w:val="0"/>
                        <w:sz w:val="24"/>
                        <w:highlight w:val="none"/>
                      </w:rPr>
                      <m:t>P2</m:t>
                    </m:r>
                    <m:ctrlPr>
                      <w:rPr>
                        <w:rFonts w:hint="default" w:ascii="Cambria Math" w:hAnsi="Cambria Math" w:cs="Times New Roman"/>
                        <w:color w:val="auto"/>
                        <w:kern w:val="0"/>
                        <w:sz w:val="24"/>
                        <w:highlight w:val="none"/>
                      </w:rPr>
                    </m:ctrlPr>
                  </m:sub>
                </m:sSub>
                <m:r>
                  <m:rPr/>
                  <w:rPr>
                    <w:rFonts w:hint="default" w:ascii="Cambria Math" w:hAnsi="Cambria Math" w:cs="Times New Roman"/>
                    <w:color w:val="auto"/>
                    <w:kern w:val="0"/>
                    <w:sz w:val="24"/>
                    <w:highlight w:val="none"/>
                  </w:rPr>
                  <m:t>=</m:t>
                </m:r>
                <m:sSub>
                  <m:sSubPr>
                    <m:ctrlPr>
                      <w:rPr>
                        <w:rFonts w:hint="default" w:ascii="Cambria Math" w:hAnsi="Cambria Math" w:cs="Times New Roman"/>
                        <w:color w:val="auto"/>
                        <w:kern w:val="0"/>
                        <w:sz w:val="24"/>
                        <w:highlight w:val="none"/>
                      </w:rPr>
                    </m:ctrlPr>
                  </m:sSubPr>
                  <m:e>
                    <m:r>
                      <m:rPr/>
                      <w:rPr>
                        <w:rFonts w:hint="default" w:ascii="Cambria Math" w:hAnsi="Cambria Math" w:cs="Times New Roman"/>
                        <w:color w:val="auto"/>
                        <w:kern w:val="0"/>
                        <w:sz w:val="24"/>
                        <w:highlight w:val="none"/>
                      </w:rPr>
                      <m:t>L</m:t>
                    </m:r>
                    <m:ctrlPr>
                      <w:rPr>
                        <w:rFonts w:hint="default" w:ascii="Cambria Math" w:hAnsi="Cambria Math" w:cs="Times New Roman"/>
                        <w:color w:val="auto"/>
                        <w:kern w:val="0"/>
                        <w:sz w:val="24"/>
                        <w:highlight w:val="none"/>
                      </w:rPr>
                    </m:ctrlPr>
                  </m:e>
                  <m:sub>
                    <m:r>
                      <m:rPr/>
                      <w:rPr>
                        <w:rFonts w:hint="default" w:ascii="Cambria Math" w:hAnsi="Cambria Math" w:cs="Times New Roman"/>
                        <w:color w:val="auto"/>
                        <w:kern w:val="0"/>
                        <w:sz w:val="24"/>
                        <w:highlight w:val="none"/>
                      </w:rPr>
                      <m:t>P1</m:t>
                    </m:r>
                    <m:ctrlPr>
                      <w:rPr>
                        <w:rFonts w:hint="default" w:ascii="Cambria Math" w:hAnsi="Cambria Math" w:cs="Times New Roman"/>
                        <w:color w:val="auto"/>
                        <w:kern w:val="0"/>
                        <w:sz w:val="24"/>
                        <w:highlight w:val="none"/>
                      </w:rPr>
                    </m:ctrlPr>
                  </m:sub>
                </m:sSub>
                <m:r>
                  <m:rPr/>
                  <w:rPr>
                    <w:rFonts w:hint="default" w:ascii="Cambria Math" w:hAnsi="Cambria Math" w:cs="Times New Roman"/>
                    <w:color w:val="auto"/>
                    <w:kern w:val="0"/>
                    <w:sz w:val="24"/>
                    <w:highlight w:val="none"/>
                  </w:rPr>
                  <m:t>−(TL+6)</m:t>
                </m:r>
              </m:oMath>
            </m:oMathPara>
          </w:p>
          <w:p w14:paraId="6B3F8291">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式中：</w:t>
            </w:r>
          </w:p>
          <w:p w14:paraId="3EE933A8">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Lp1－声源室内声压级，dB(A)；</w:t>
            </w:r>
          </w:p>
          <w:p w14:paraId="499F4F38">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Lp2－等效室外声压级，dB(A)；</w:t>
            </w:r>
          </w:p>
          <w:p w14:paraId="3A33756E">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TL－隔墙（或窗户）倍频带的隔声量，dB(A)。</w:t>
            </w:r>
          </w:p>
          <w:p w14:paraId="301EF03B">
            <w:pPr>
              <w:keepNext w:val="0"/>
              <w:keepLines w:val="0"/>
              <w:suppressLineNumbers w:val="0"/>
              <w:spacing w:before="50" w:beforeAutospacing="0" w:after="0" w:afterAutospacing="0" w:line="360" w:lineRule="auto"/>
              <w:ind w:left="0" w:right="0" w:firstLine="480" w:firstLineChars="20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sz w:val="24"/>
                <w:highlight w:val="none"/>
              </w:rPr>
              <w:drawing>
                <wp:inline distT="0" distB="0" distL="0" distR="0">
                  <wp:extent cx="2820035" cy="1122045"/>
                  <wp:effectExtent l="0" t="0" r="18415" b="1905"/>
                  <wp:docPr id="1032" name="图片 27"/>
                  <wp:cNvGraphicFramePr/>
                  <a:graphic xmlns:a="http://schemas.openxmlformats.org/drawingml/2006/main">
                    <a:graphicData uri="http://schemas.openxmlformats.org/drawingml/2006/picture">
                      <pic:pic xmlns:pic="http://schemas.openxmlformats.org/drawingml/2006/picture">
                        <pic:nvPicPr>
                          <pic:cNvPr id="1032" name="图片 27"/>
                          <pic:cNvPicPr/>
                        </pic:nvPicPr>
                        <pic:blipFill>
                          <a:blip r:embed="rId17" cstate="print"/>
                          <a:srcRect b="19148"/>
                          <a:stretch>
                            <a:fillRect/>
                          </a:stretch>
                        </pic:blipFill>
                        <pic:spPr>
                          <a:xfrm>
                            <a:off x="0" y="0"/>
                            <a:ext cx="2820035" cy="1122045"/>
                          </a:xfrm>
                          <a:prstGeom prst="rect">
                            <a:avLst/>
                          </a:prstGeom>
                          <a:ln>
                            <a:noFill/>
                          </a:ln>
                        </pic:spPr>
                      </pic:pic>
                    </a:graphicData>
                  </a:graphic>
                </wp:inline>
              </w:drawing>
            </w:r>
          </w:p>
          <w:p w14:paraId="5C201AF2">
            <w:pPr>
              <w:keepNext w:val="0"/>
              <w:keepLines w:val="0"/>
              <w:widowControl/>
              <w:numPr>
                <w:ilvl w:val="0"/>
                <w:numId w:val="11"/>
              </w:numPr>
              <w:suppressLineNumbers w:val="0"/>
              <w:spacing w:before="0" w:beforeAutospacing="0" w:after="0" w:afterAutospacing="0"/>
              <w:ind w:left="0" w:leftChars="0" w:right="0" w:firstLine="0" w:firstLineChars="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b/>
                <w:bCs/>
                <w:color w:val="auto"/>
                <w:sz w:val="21"/>
                <w:szCs w:val="21"/>
                <w:highlight w:val="none"/>
              </w:rPr>
              <w:t>室内声源等效为室外声源图例</w:t>
            </w:r>
          </w:p>
          <w:p w14:paraId="7B27EA6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根据《噪声污染控制工程》（高等教育出版社，洪宗辉）中资料，本项目砖墙为双面粉刷的墙体，实测的隔声量为49dB（A），考虑到门窗面积和开门开窗对隔声的负面影响，实际隔声量（TL+6）为22dB（A）左右。</w:t>
            </w:r>
          </w:p>
          <w:p w14:paraId="1E97CC37">
            <w:pPr>
              <w:pStyle w:val="20"/>
              <w:keepNext w:val="0"/>
              <w:keepLines w:val="0"/>
              <w:pageBreakBefore w:val="0"/>
              <w:widowControl w:val="0"/>
              <w:numPr>
                <w:ilvl w:val="0"/>
                <w:numId w:val="0"/>
              </w:numPr>
              <w:suppressLineNumbers w:val="0"/>
              <w:tabs>
                <w:tab w:val="left" w:pos="0"/>
              </w:tabs>
              <w:kinsoku/>
              <w:overflowPunct/>
              <w:topLinePunct w:val="0"/>
              <w:autoSpaceDE/>
              <w:autoSpaceDN/>
              <w:bidi w:val="0"/>
              <w:adjustRightInd/>
              <w:snapToGrid/>
              <w:spacing w:before="0" w:beforeAutospacing="0" w:after="0" w:afterAutospacing="0"/>
              <w:ind w:left="0" w:leftChars="0" w:right="0" w:rightChars="0" w:firstLine="40" w:firstLineChars="0"/>
              <w:textAlignment w:val="auto"/>
              <w:rPr>
                <w:rFonts w:hint="default" w:ascii="Times New Roman" w:hAnsi="Times New Roman" w:cs="Times New Roman"/>
                <w:color w:val="auto"/>
                <w:highlight w:val="none"/>
              </w:rPr>
            </w:pPr>
            <w:r>
              <w:rPr>
                <w:rFonts w:hint="default" w:ascii="Times New Roman" w:hAnsi="Times New Roman" w:eastAsia="宋体" w:cs="Times New Roman"/>
                <w:b/>
                <w:bCs/>
                <w:color w:val="auto"/>
                <w:kern w:val="2"/>
                <w:sz w:val="21"/>
                <w:szCs w:val="21"/>
                <w:highlight w:val="none"/>
                <w:lang w:val="en-US" w:eastAsia="zh-CN" w:bidi="ar-SA"/>
              </w:rPr>
              <w:t>表4-</w:t>
            </w:r>
            <w:r>
              <w:rPr>
                <w:rFonts w:hint="eastAsia" w:cs="Times New Roman"/>
                <w:b/>
                <w:bCs/>
                <w:color w:val="auto"/>
                <w:kern w:val="2"/>
                <w:sz w:val="21"/>
                <w:szCs w:val="21"/>
                <w:highlight w:val="none"/>
                <w:lang w:val="en-US" w:eastAsia="zh-CN" w:bidi="ar-SA"/>
              </w:rPr>
              <w:t xml:space="preserve">24 </w:t>
            </w:r>
            <w:r>
              <w:rPr>
                <w:rFonts w:hint="default" w:ascii="Times New Roman" w:hAnsi="Times New Roman" w:cs="Times New Roman"/>
                <w:color w:val="auto"/>
                <w:highlight w:val="none"/>
                <w:lang w:val="en-US" w:eastAsia="zh-CN"/>
              </w:rPr>
              <w:t>项目各生产车间厂房边界处噪声贡献值</w:t>
            </w:r>
          </w:p>
          <w:tbl>
            <w:tblPr>
              <w:tblStyle w:val="39"/>
              <w:tblW w:w="498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2565"/>
              <w:gridCol w:w="1332"/>
              <w:gridCol w:w="1560"/>
              <w:gridCol w:w="1820"/>
              <w:gridCol w:w="1820"/>
            </w:tblGrid>
            <w:tr w14:paraId="603C28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29" w:hRule="atLeast"/>
                <w:jc w:val="center"/>
              </w:trPr>
              <w:tc>
                <w:tcPr>
                  <w:tcW w:w="1409" w:type="pct"/>
                  <w:shd w:val="clear" w:color="auto" w:fill="FFFFFF"/>
                  <w:vAlign w:val="center"/>
                </w:tcPr>
                <w:p w14:paraId="128C5D1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等线"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车间名称</w:t>
                  </w:r>
                </w:p>
              </w:tc>
              <w:tc>
                <w:tcPr>
                  <w:tcW w:w="732" w:type="pct"/>
                  <w:shd w:val="clear" w:color="auto" w:fill="FFFFFF"/>
                  <w:vAlign w:val="center"/>
                </w:tcPr>
                <w:p w14:paraId="4BD52C1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车间东侧</w:t>
                  </w:r>
                </w:p>
              </w:tc>
              <w:tc>
                <w:tcPr>
                  <w:tcW w:w="857" w:type="pct"/>
                  <w:shd w:val="clear" w:color="auto" w:fill="FFFFFF"/>
                  <w:vAlign w:val="center"/>
                </w:tcPr>
                <w:p w14:paraId="3385EB7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车间南侧</w:t>
                  </w:r>
                </w:p>
              </w:tc>
              <w:tc>
                <w:tcPr>
                  <w:tcW w:w="1000" w:type="pct"/>
                  <w:shd w:val="clear" w:color="auto" w:fill="FFFFFF"/>
                  <w:vAlign w:val="center"/>
                </w:tcPr>
                <w:p w14:paraId="3D80351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车间西侧</w:t>
                  </w:r>
                </w:p>
              </w:tc>
              <w:tc>
                <w:tcPr>
                  <w:tcW w:w="1000" w:type="pct"/>
                  <w:shd w:val="clear" w:color="auto" w:fill="FFFFFF"/>
                  <w:vAlign w:val="center"/>
                </w:tcPr>
                <w:p w14:paraId="59D5652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车间北侧</w:t>
                  </w:r>
                </w:p>
              </w:tc>
            </w:tr>
            <w:tr w14:paraId="6A1CB3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2565" w:type="dxa"/>
                  <w:shd w:val="clear" w:color="auto" w:fill="auto"/>
                  <w:vAlign w:val="center"/>
                </w:tcPr>
                <w:p w14:paraId="222C15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等线" w:cs="Times New Roman"/>
                      <w:i w:val="0"/>
                      <w:iCs w:val="0"/>
                      <w:color w:val="auto"/>
                      <w:sz w:val="21"/>
                      <w:szCs w:val="21"/>
                      <w:highlight w:val="none"/>
                      <w:u w:val="none"/>
                    </w:rPr>
                  </w:pPr>
                  <w:r>
                    <w:rPr>
                      <w:rFonts w:hint="eastAsia" w:eastAsia="等线" w:cs="Times New Roman"/>
                      <w:color w:val="auto"/>
                      <w:sz w:val="21"/>
                      <w:szCs w:val="21"/>
                      <w:highlight w:val="none"/>
                      <w:lang w:val="en-US" w:eastAsia="zh-CN"/>
                    </w:rPr>
                    <w:t>2#厂房</w:t>
                  </w:r>
                </w:p>
              </w:tc>
              <w:tc>
                <w:tcPr>
                  <w:tcW w:w="1332" w:type="dxa"/>
                  <w:shd w:val="clear" w:color="auto" w:fill="auto"/>
                  <w:vAlign w:val="center"/>
                </w:tcPr>
                <w:p w14:paraId="06B9840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等线"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rPr>
                    <w:t>55.13</w:t>
                  </w:r>
                </w:p>
              </w:tc>
              <w:tc>
                <w:tcPr>
                  <w:tcW w:w="1560" w:type="dxa"/>
                  <w:shd w:val="clear" w:color="auto" w:fill="auto"/>
                  <w:vAlign w:val="center"/>
                </w:tcPr>
                <w:p w14:paraId="30E77E6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等线"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rPr>
                    <w:t>54.19</w:t>
                  </w:r>
                </w:p>
              </w:tc>
              <w:tc>
                <w:tcPr>
                  <w:tcW w:w="1820" w:type="dxa"/>
                  <w:shd w:val="clear" w:color="auto" w:fill="auto"/>
                  <w:vAlign w:val="center"/>
                </w:tcPr>
                <w:p w14:paraId="7F00B4C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等线"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rPr>
                    <w:t>48.17</w:t>
                  </w:r>
                </w:p>
              </w:tc>
              <w:tc>
                <w:tcPr>
                  <w:tcW w:w="1820" w:type="dxa"/>
                  <w:shd w:val="clear" w:color="auto" w:fill="auto"/>
                  <w:vAlign w:val="center"/>
                </w:tcPr>
                <w:p w14:paraId="6766012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等线"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rPr>
                    <w:t>45.59</w:t>
                  </w:r>
                </w:p>
              </w:tc>
            </w:tr>
            <w:tr w14:paraId="2EBC25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2565" w:type="dxa"/>
                  <w:shd w:val="clear" w:color="auto" w:fill="auto"/>
                  <w:vAlign w:val="center"/>
                </w:tcPr>
                <w:p w14:paraId="5AB9C8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4#厂房</w:t>
                  </w:r>
                </w:p>
              </w:tc>
              <w:tc>
                <w:tcPr>
                  <w:tcW w:w="1332" w:type="dxa"/>
                  <w:shd w:val="clear" w:color="auto" w:fill="auto"/>
                  <w:vAlign w:val="center"/>
                </w:tcPr>
                <w:p w14:paraId="69AE6050">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49.25</w:t>
                  </w:r>
                </w:p>
              </w:tc>
              <w:tc>
                <w:tcPr>
                  <w:tcW w:w="1560" w:type="dxa"/>
                  <w:shd w:val="clear" w:color="auto" w:fill="auto"/>
                  <w:vAlign w:val="center"/>
                </w:tcPr>
                <w:p w14:paraId="7D3F8F30">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51.68</w:t>
                  </w:r>
                </w:p>
              </w:tc>
              <w:tc>
                <w:tcPr>
                  <w:tcW w:w="1820" w:type="dxa"/>
                  <w:shd w:val="clear" w:color="auto" w:fill="auto"/>
                  <w:vAlign w:val="center"/>
                </w:tcPr>
                <w:p w14:paraId="20DF71AC">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55.2</w:t>
                  </w:r>
                </w:p>
              </w:tc>
              <w:tc>
                <w:tcPr>
                  <w:tcW w:w="1820" w:type="dxa"/>
                  <w:shd w:val="clear" w:color="auto" w:fill="auto"/>
                  <w:vAlign w:val="center"/>
                </w:tcPr>
                <w:p w14:paraId="07E7C83C">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55.4</w:t>
                  </w:r>
                </w:p>
              </w:tc>
            </w:tr>
          </w:tbl>
          <w:p w14:paraId="4CEF4E45">
            <w:pPr>
              <w:keepNext w:val="0"/>
              <w:keepLines w:val="0"/>
              <w:pageBreakBefore w:val="0"/>
              <w:widowControl w:val="0"/>
              <w:suppressLineNumbers w:val="0"/>
              <w:kinsoku/>
              <w:wordWrap/>
              <w:overflowPunct/>
              <w:topLinePunct w:val="0"/>
              <w:autoSpaceDE/>
              <w:autoSpaceDN/>
              <w:bidi w:val="0"/>
              <w:adjustRightInd/>
              <w:snapToGrid w:val="0"/>
              <w:spacing w:before="157" w:beforeLines="50" w:beforeAutospacing="0" w:after="0" w:afterAutospacing="0" w:line="360" w:lineRule="auto"/>
              <w:ind w:left="0" w:right="0" w:firstLine="480" w:firstLineChars="200"/>
              <w:textAlignment w:val="auto"/>
              <w:rPr>
                <w:rFonts w:hint="default" w:ascii="Times New Roman" w:hAnsi="Times New Roman" w:cs="Times New Roman"/>
                <w:b w:val="0"/>
                <w:bCs/>
                <w:color w:val="auto"/>
                <w:kern w:val="0"/>
                <w:sz w:val="24"/>
                <w:highlight w:val="none"/>
              </w:rPr>
            </w:pPr>
            <w:r>
              <w:rPr>
                <w:rFonts w:hint="default" w:ascii="Times New Roman" w:hAnsi="Times New Roman" w:cs="Times New Roman"/>
                <w:b w:val="0"/>
                <w:bCs/>
                <w:color w:val="auto"/>
                <w:kern w:val="0"/>
                <w:sz w:val="24"/>
                <w:highlight w:val="none"/>
              </w:rPr>
              <w:t>③</w:t>
            </w:r>
            <w:r>
              <w:rPr>
                <w:rFonts w:hint="default" w:ascii="Times New Roman" w:hAnsi="Times New Roman" w:cs="Times New Roman"/>
                <w:b w:val="0"/>
                <w:bCs/>
                <w:color w:val="auto"/>
                <w:sz w:val="24"/>
                <w:highlight w:val="none"/>
              </w:rPr>
              <w:t>项目厂界处的噪声值预测</w:t>
            </w:r>
          </w:p>
          <w:p w14:paraId="145EBAD0">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lang w:val="en-US" w:eastAsia="zh-CN"/>
              </w:rPr>
              <w:t>建筑物</w:t>
            </w:r>
            <w:r>
              <w:rPr>
                <w:rFonts w:hint="default" w:ascii="Times New Roman" w:hAnsi="Times New Roman" w:cs="Times New Roman"/>
                <w:color w:val="auto"/>
                <w:kern w:val="0"/>
                <w:sz w:val="24"/>
                <w:highlight w:val="none"/>
              </w:rPr>
              <w:t>每一面墙可以当成一个面源</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当预测点和面声源中心距离r处于以下条件时，可按下述方法近似计算：</w:t>
            </w:r>
          </w:p>
          <w:p w14:paraId="475788C0">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r&lt;a/π时（a为车间这一侧墙面的高度），几乎不衰减（Adiv≈0），即是车间边界与厂界非常接近时，不考虑衰减，直接以该侧车间边界值作为项目厂界预测值。</w:t>
            </w:r>
          </w:p>
          <w:p w14:paraId="7081963C">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当a/π&lt;r&lt;b/π（a为车间这一侧墙面的高度，b为车间这一侧墙面的长度），距离加倍衰减3dB</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A</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左右，类似线声源衰减特性（Adiv≈10 lg（r/r0）），</w:t>
            </w:r>
            <w:r>
              <w:rPr>
                <w:rFonts w:hint="default" w:ascii="Times New Roman" w:hAnsi="Times New Roman" w:cs="Times New Roman"/>
                <w:color w:val="auto"/>
                <w:kern w:val="0"/>
                <w:sz w:val="24"/>
                <w:highlight w:val="none"/>
                <w:lang w:eastAsia="zh-CN"/>
              </w:rPr>
              <w:t>即</w:t>
            </w:r>
            <w:r>
              <w:rPr>
                <w:rFonts w:hint="default" w:ascii="Times New Roman" w:hAnsi="Times New Roman" w:cs="Times New Roman"/>
                <w:color w:val="auto"/>
                <w:kern w:val="0"/>
                <w:sz w:val="24"/>
                <w:highlight w:val="none"/>
              </w:rPr>
              <w:t>按照线声源计算公式，计算衰减值。</w:t>
            </w:r>
          </w:p>
          <w:p w14:paraId="42C14D60">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当r&gt;b/π时（b为车间这一侧墙面的长度），距离加倍衰减趋近于6dB(A)，类似点声源衰减特性（Adiv≈20 lg（r/r0）），</w:t>
            </w:r>
            <w:r>
              <w:rPr>
                <w:rFonts w:hint="default" w:ascii="Times New Roman" w:hAnsi="Times New Roman" w:cs="Times New Roman"/>
                <w:color w:val="auto"/>
                <w:kern w:val="0"/>
                <w:sz w:val="24"/>
                <w:highlight w:val="none"/>
                <w:lang w:eastAsia="zh-CN"/>
              </w:rPr>
              <w:t>即</w:t>
            </w:r>
            <w:r>
              <w:rPr>
                <w:rFonts w:hint="default" w:ascii="Times New Roman" w:hAnsi="Times New Roman" w:cs="Times New Roman"/>
                <w:color w:val="auto"/>
                <w:kern w:val="0"/>
                <w:sz w:val="24"/>
                <w:highlight w:val="none"/>
              </w:rPr>
              <w:t>按照点声源计算公式，计算衰减值。</w:t>
            </w:r>
          </w:p>
          <w:p w14:paraId="091B8949">
            <w:pPr>
              <w:keepNext w:val="0"/>
              <w:keepLines w:val="0"/>
              <w:numPr>
                <w:ilvl w:val="0"/>
                <w:numId w:val="0"/>
              </w:numPr>
              <w:suppressLineNumbers w:val="0"/>
              <w:tabs>
                <w:tab w:val="left" w:pos="7227"/>
              </w:tabs>
              <w:autoSpaceDE w:val="0"/>
              <w:autoSpaceDN w:val="0"/>
              <w:spacing w:before="0" w:beforeAutospacing="0" w:after="0" w:afterAutospacing="0"/>
              <w:ind w:left="0" w:leftChars="0" w:right="0" w:rightChars="0" w:firstLine="40" w:firstLineChars="0"/>
              <w:jc w:val="center"/>
              <w:textAlignment w:val="baseline"/>
              <w:rPr>
                <w:rFonts w:hint="eastAsia" w:ascii="Times New Roman" w:hAnsi="Times New Roman" w:eastAsia="宋体" w:cs="Times New Roman"/>
                <w:b/>
                <w:color w:val="auto"/>
                <w:kern w:val="0"/>
                <w:sz w:val="21"/>
                <w:szCs w:val="21"/>
                <w:highlight w:val="none"/>
                <w:lang w:eastAsia="zh-CN"/>
              </w:rPr>
            </w:pPr>
            <w:r>
              <w:rPr>
                <w:rFonts w:hint="default" w:ascii="Times New Roman" w:hAnsi="Times New Roman" w:eastAsia="宋体" w:cs="Times New Roman"/>
                <w:b/>
                <w:color w:val="auto"/>
                <w:kern w:val="0"/>
                <w:sz w:val="21"/>
                <w:szCs w:val="21"/>
                <w:highlight w:val="none"/>
                <w:lang w:val="en-US" w:eastAsia="zh-CN" w:bidi="ar-SA"/>
              </w:rPr>
              <w:t>表4-</w:t>
            </w:r>
            <w:r>
              <w:rPr>
                <w:rFonts w:hint="eastAsia" w:cs="Times New Roman"/>
                <w:b/>
                <w:color w:val="auto"/>
                <w:kern w:val="0"/>
                <w:sz w:val="21"/>
                <w:szCs w:val="21"/>
                <w:highlight w:val="none"/>
                <w:lang w:val="en-US" w:eastAsia="zh-CN" w:bidi="ar-SA"/>
              </w:rPr>
              <w:t xml:space="preserve">25 </w:t>
            </w:r>
            <w:r>
              <w:rPr>
                <w:rFonts w:hint="default" w:ascii="Times New Roman" w:hAnsi="Times New Roman" w:cs="Times New Roman"/>
                <w:b/>
                <w:color w:val="auto"/>
                <w:kern w:val="0"/>
                <w:sz w:val="21"/>
                <w:szCs w:val="21"/>
                <w:highlight w:val="none"/>
              </w:rPr>
              <w:t>项目</w:t>
            </w:r>
            <w:r>
              <w:rPr>
                <w:rFonts w:hint="default" w:ascii="Times New Roman" w:hAnsi="Times New Roman" w:cs="Times New Roman"/>
                <w:b/>
                <w:color w:val="auto"/>
                <w:kern w:val="0"/>
                <w:sz w:val="21"/>
                <w:szCs w:val="21"/>
                <w:highlight w:val="none"/>
                <w:lang w:val="en-US" w:eastAsia="zh-CN"/>
              </w:rPr>
              <w:t>厂界</w:t>
            </w:r>
            <w:r>
              <w:rPr>
                <w:rFonts w:hint="default" w:ascii="Times New Roman" w:hAnsi="Times New Roman" w:cs="Times New Roman"/>
                <w:b/>
                <w:color w:val="auto"/>
                <w:kern w:val="0"/>
                <w:sz w:val="21"/>
                <w:szCs w:val="21"/>
                <w:highlight w:val="none"/>
              </w:rPr>
              <w:t>噪声贡献值预测结果</w:t>
            </w:r>
            <w:r>
              <w:rPr>
                <w:rFonts w:hint="eastAsia" w:cs="Times New Roman"/>
                <w:b/>
                <w:color w:val="auto"/>
                <w:kern w:val="0"/>
                <w:sz w:val="21"/>
                <w:szCs w:val="21"/>
                <w:highlight w:val="none"/>
                <w:lang w:eastAsia="zh-CN"/>
              </w:rPr>
              <w:t>（</w:t>
            </w:r>
            <w:r>
              <w:rPr>
                <w:rFonts w:hint="eastAsia" w:cs="Times New Roman"/>
                <w:b/>
                <w:color w:val="auto"/>
                <w:kern w:val="0"/>
                <w:sz w:val="21"/>
                <w:szCs w:val="21"/>
                <w:highlight w:val="none"/>
                <w:lang w:val="en-US" w:eastAsia="zh-CN"/>
              </w:rPr>
              <w:t>单位：</w:t>
            </w:r>
            <w:r>
              <w:rPr>
                <w:rFonts w:hint="default" w:ascii="Times New Roman" w:hAnsi="Times New Roman" w:cs="Times New Roman"/>
                <w:color w:val="auto"/>
                <w:kern w:val="0"/>
                <w:sz w:val="24"/>
                <w:highlight w:val="none"/>
              </w:rPr>
              <w:t>dB(A)</w:t>
            </w:r>
            <w:r>
              <w:rPr>
                <w:rFonts w:hint="eastAsia" w:cs="Times New Roman"/>
                <w:b/>
                <w:color w:val="auto"/>
                <w:kern w:val="0"/>
                <w:sz w:val="21"/>
                <w:szCs w:val="21"/>
                <w:highlight w:val="none"/>
                <w:lang w:eastAsia="zh-CN"/>
              </w:rPr>
              <w:t>）</w:t>
            </w:r>
          </w:p>
          <w:tbl>
            <w:tblPr>
              <w:tblStyle w:val="3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2570"/>
              <w:gridCol w:w="1333"/>
              <w:gridCol w:w="1563"/>
              <w:gridCol w:w="1824"/>
              <w:gridCol w:w="1829"/>
            </w:tblGrid>
            <w:tr w14:paraId="127D44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1409" w:type="pct"/>
                  <w:shd w:val="clear" w:color="auto" w:fill="FFFFFF"/>
                  <w:vAlign w:val="center"/>
                </w:tcPr>
                <w:p w14:paraId="3377CB8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等线"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车间名称</w:t>
                  </w:r>
                </w:p>
              </w:tc>
              <w:tc>
                <w:tcPr>
                  <w:tcW w:w="731" w:type="pct"/>
                  <w:shd w:val="clear" w:color="auto" w:fill="FFFFFF"/>
                  <w:vAlign w:val="center"/>
                </w:tcPr>
                <w:p w14:paraId="34081B5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厂界东侧</w:t>
                  </w:r>
                </w:p>
              </w:tc>
              <w:tc>
                <w:tcPr>
                  <w:tcW w:w="857" w:type="pct"/>
                  <w:shd w:val="clear" w:color="auto" w:fill="FFFFFF"/>
                  <w:vAlign w:val="center"/>
                </w:tcPr>
                <w:p w14:paraId="224E274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厂界南侧</w:t>
                  </w:r>
                </w:p>
              </w:tc>
              <w:tc>
                <w:tcPr>
                  <w:tcW w:w="1000" w:type="pct"/>
                  <w:shd w:val="clear" w:color="auto" w:fill="FFFFFF"/>
                  <w:vAlign w:val="center"/>
                </w:tcPr>
                <w:p w14:paraId="5B29B2F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厂界西侧</w:t>
                  </w:r>
                </w:p>
              </w:tc>
              <w:tc>
                <w:tcPr>
                  <w:tcW w:w="1000" w:type="pct"/>
                  <w:shd w:val="clear" w:color="auto" w:fill="FFFFFF"/>
                  <w:vAlign w:val="center"/>
                </w:tcPr>
                <w:p w14:paraId="2EA0237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厂界北侧</w:t>
                  </w:r>
                </w:p>
              </w:tc>
            </w:tr>
            <w:tr w14:paraId="248A2F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1409" w:type="pct"/>
                  <w:shd w:val="clear" w:color="auto" w:fill="auto"/>
                  <w:vAlign w:val="center"/>
                </w:tcPr>
                <w:p w14:paraId="7EADB2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等线" w:cs="Times New Roman"/>
                      <w:i w:val="0"/>
                      <w:iCs w:val="0"/>
                      <w:color w:val="auto"/>
                      <w:sz w:val="21"/>
                      <w:szCs w:val="21"/>
                      <w:highlight w:val="none"/>
                      <w:u w:val="none"/>
                    </w:rPr>
                  </w:pPr>
                  <w:r>
                    <w:rPr>
                      <w:rFonts w:hint="eastAsia" w:eastAsia="等线" w:cs="Times New Roman"/>
                      <w:color w:val="auto"/>
                      <w:sz w:val="21"/>
                      <w:szCs w:val="21"/>
                      <w:highlight w:val="none"/>
                      <w:lang w:val="en-US" w:eastAsia="zh-CN"/>
                    </w:rPr>
                    <w:t>2#厂房</w:t>
                  </w:r>
                </w:p>
              </w:tc>
              <w:tc>
                <w:tcPr>
                  <w:tcW w:w="731" w:type="pct"/>
                  <w:shd w:val="clear" w:color="auto" w:fill="auto"/>
                  <w:vAlign w:val="center"/>
                </w:tcPr>
                <w:p w14:paraId="6A83F38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等线"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rPr>
                    <w:t>49.13</w:t>
                  </w:r>
                </w:p>
              </w:tc>
              <w:tc>
                <w:tcPr>
                  <w:tcW w:w="857" w:type="pct"/>
                  <w:shd w:val="clear" w:color="auto" w:fill="auto"/>
                  <w:vAlign w:val="center"/>
                </w:tcPr>
                <w:p w14:paraId="616C238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等线"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rPr>
                    <w:t>48.17</w:t>
                  </w:r>
                </w:p>
              </w:tc>
              <w:tc>
                <w:tcPr>
                  <w:tcW w:w="1000" w:type="pct"/>
                  <w:shd w:val="clear" w:color="auto" w:fill="auto"/>
                  <w:vAlign w:val="center"/>
                </w:tcPr>
                <w:p w14:paraId="71C40B1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等线"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rPr>
                    <w:t>29.09</w:t>
                  </w:r>
                </w:p>
              </w:tc>
              <w:tc>
                <w:tcPr>
                  <w:tcW w:w="1000" w:type="pct"/>
                  <w:shd w:val="clear" w:color="auto" w:fill="auto"/>
                  <w:vAlign w:val="center"/>
                </w:tcPr>
                <w:p w14:paraId="6CB1E8E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等线"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rPr>
                    <w:t>22.07</w:t>
                  </w:r>
                </w:p>
              </w:tc>
            </w:tr>
            <w:tr w14:paraId="3E28BD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1409" w:type="pct"/>
                  <w:shd w:val="clear" w:color="auto" w:fill="auto"/>
                  <w:vAlign w:val="center"/>
                </w:tcPr>
                <w:p w14:paraId="39D0E6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4#厂房</w:t>
                  </w:r>
                </w:p>
              </w:tc>
              <w:tc>
                <w:tcPr>
                  <w:tcW w:w="731" w:type="pct"/>
                  <w:shd w:val="clear" w:color="auto" w:fill="auto"/>
                  <w:vAlign w:val="center"/>
                </w:tcPr>
                <w:p w14:paraId="41F48B56">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49.25</w:t>
                  </w:r>
                </w:p>
              </w:tc>
              <w:tc>
                <w:tcPr>
                  <w:tcW w:w="857" w:type="pct"/>
                  <w:shd w:val="clear" w:color="auto" w:fill="auto"/>
                  <w:vAlign w:val="center"/>
                </w:tcPr>
                <w:p w14:paraId="3353CBED">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45.66</w:t>
                  </w:r>
                </w:p>
              </w:tc>
              <w:tc>
                <w:tcPr>
                  <w:tcW w:w="1000" w:type="pct"/>
                  <w:shd w:val="clear" w:color="auto" w:fill="auto"/>
                  <w:vAlign w:val="center"/>
                </w:tcPr>
                <w:p w14:paraId="4CFC8979">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29.18</w:t>
                  </w:r>
                </w:p>
              </w:tc>
              <w:tc>
                <w:tcPr>
                  <w:tcW w:w="1000" w:type="pct"/>
                  <w:shd w:val="clear" w:color="auto" w:fill="auto"/>
                  <w:vAlign w:val="center"/>
                </w:tcPr>
                <w:p w14:paraId="0BD3AB21">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49.38</w:t>
                  </w:r>
                </w:p>
              </w:tc>
            </w:tr>
            <w:tr w14:paraId="225973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1409" w:type="pct"/>
                  <w:shd w:val="clear" w:color="auto" w:fill="auto"/>
                  <w:vAlign w:val="center"/>
                </w:tcPr>
                <w:p w14:paraId="1332B01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厂界</w:t>
                  </w:r>
                  <w:r>
                    <w:rPr>
                      <w:rFonts w:hint="default" w:ascii="Times New Roman" w:hAnsi="Times New Roman" w:cs="Times New Roman"/>
                      <w:i w:val="0"/>
                      <w:iCs w:val="0"/>
                      <w:color w:val="auto"/>
                      <w:kern w:val="0"/>
                      <w:sz w:val="21"/>
                      <w:szCs w:val="21"/>
                      <w:highlight w:val="none"/>
                      <w:u w:val="none"/>
                      <w:lang w:val="en-US" w:eastAsia="zh-CN"/>
                    </w:rPr>
                    <w:t>叠加</w:t>
                  </w:r>
                  <w:r>
                    <w:rPr>
                      <w:rFonts w:hint="default" w:ascii="Times New Roman" w:hAnsi="Times New Roman" w:eastAsia="宋体" w:cs="Times New Roman"/>
                      <w:i w:val="0"/>
                      <w:iCs w:val="0"/>
                      <w:color w:val="auto"/>
                      <w:kern w:val="0"/>
                      <w:sz w:val="21"/>
                      <w:szCs w:val="21"/>
                      <w:highlight w:val="none"/>
                      <w:u w:val="none"/>
                      <w:lang w:val="en-US" w:eastAsia="zh-CN"/>
                    </w:rPr>
                    <w:t>贡献值</w:t>
                  </w:r>
                </w:p>
              </w:tc>
              <w:tc>
                <w:tcPr>
                  <w:tcW w:w="731" w:type="pct"/>
                  <w:shd w:val="clear" w:color="auto" w:fill="auto"/>
                  <w:vAlign w:val="center"/>
                </w:tcPr>
                <w:p w14:paraId="79D3B2C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52.20</w:t>
                  </w:r>
                </w:p>
              </w:tc>
              <w:tc>
                <w:tcPr>
                  <w:tcW w:w="857" w:type="pct"/>
                  <w:shd w:val="clear" w:color="auto" w:fill="auto"/>
                  <w:vAlign w:val="center"/>
                </w:tcPr>
                <w:p w14:paraId="32389C3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50.10</w:t>
                  </w:r>
                </w:p>
              </w:tc>
              <w:tc>
                <w:tcPr>
                  <w:tcW w:w="1000" w:type="pct"/>
                  <w:shd w:val="clear" w:color="auto" w:fill="auto"/>
                  <w:vAlign w:val="center"/>
                </w:tcPr>
                <w:p w14:paraId="41A406F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32.14</w:t>
                  </w:r>
                </w:p>
              </w:tc>
              <w:tc>
                <w:tcPr>
                  <w:tcW w:w="1000" w:type="pct"/>
                  <w:shd w:val="clear" w:color="auto" w:fill="auto"/>
                  <w:vAlign w:val="center"/>
                </w:tcPr>
                <w:p w14:paraId="01D3C8F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49.39</w:t>
                  </w:r>
                </w:p>
              </w:tc>
            </w:tr>
            <w:tr w14:paraId="069FFD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1409" w:type="pct"/>
                  <w:shd w:val="clear" w:color="auto" w:fill="auto"/>
                  <w:vAlign w:val="center"/>
                </w:tcPr>
                <w:p w14:paraId="3143758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标准值</w:t>
                  </w:r>
                </w:p>
              </w:tc>
              <w:tc>
                <w:tcPr>
                  <w:tcW w:w="3590" w:type="pct"/>
                  <w:gridSpan w:val="4"/>
                  <w:shd w:val="clear" w:color="auto" w:fill="auto"/>
                  <w:vAlign w:val="center"/>
                </w:tcPr>
                <w:p w14:paraId="11F17F1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昼间≤65，夜间≤55</w:t>
                  </w:r>
                </w:p>
              </w:tc>
            </w:tr>
          </w:tbl>
          <w:p w14:paraId="73B27379">
            <w:pPr>
              <w:pStyle w:val="46"/>
              <w:keepNext w:val="0"/>
              <w:keepLines w:val="0"/>
              <w:suppressLineNumbers w:val="0"/>
              <w:spacing w:before="0" w:beforeAutospacing="0" w:after="0" w:afterAutospacing="0"/>
              <w:ind w:left="0" w:right="0" w:firstLine="480" w:firstLineChars="200"/>
              <w:rPr>
                <w:rFonts w:hint="default" w:ascii="Times New Roman" w:hAnsi="Times New Roman" w:cs="Times New Roman"/>
                <w:b/>
                <w:bCs/>
                <w:color w:val="auto"/>
                <w:highlight w:val="none"/>
              </w:rPr>
            </w:pPr>
            <w:r>
              <w:rPr>
                <w:rFonts w:hint="default" w:ascii="Times New Roman" w:hAnsi="Times New Roman" w:cs="Times New Roman"/>
                <w:color w:val="auto"/>
                <w:highlight w:val="none"/>
              </w:rPr>
              <w:t>通过预测分析，生产噪声</w:t>
            </w:r>
            <w:r>
              <w:rPr>
                <w:rFonts w:hint="default" w:ascii="Times New Roman" w:hAnsi="Times New Roman" w:cs="Times New Roman"/>
                <w:color w:val="auto"/>
                <w:highlight w:val="none"/>
                <w:lang w:val="en-US" w:eastAsia="zh-CN"/>
              </w:rPr>
              <w:t>经过厂房内隔声以及</w:t>
            </w:r>
            <w:r>
              <w:rPr>
                <w:rFonts w:hint="default" w:ascii="Times New Roman" w:hAnsi="Times New Roman" w:cs="Times New Roman"/>
                <w:color w:val="auto"/>
                <w:highlight w:val="none"/>
              </w:rPr>
              <w:t>距离的衰减后，</w:t>
            </w:r>
            <w:r>
              <w:rPr>
                <w:rFonts w:hint="default" w:ascii="Times New Roman" w:hAnsi="Times New Roman" w:cs="Times New Roman"/>
                <w:color w:val="auto"/>
                <w:kern w:val="0"/>
                <w:highlight w:val="none"/>
              </w:rPr>
              <w:t>项目厂房厂界外1米处</w:t>
            </w:r>
            <w:r>
              <w:rPr>
                <w:rFonts w:hint="default" w:ascii="Times New Roman" w:hAnsi="Times New Roman" w:cs="Times New Roman"/>
                <w:color w:val="auto"/>
                <w:highlight w:val="none"/>
              </w:rPr>
              <w:t>可达到</w:t>
            </w:r>
            <w:r>
              <w:rPr>
                <w:rFonts w:hint="default" w:ascii="Times New Roman" w:hAnsi="Times New Roman" w:cs="Times New Roman"/>
                <w:color w:val="auto"/>
                <w:spacing w:val="-2"/>
                <w:highlight w:val="none"/>
              </w:rPr>
              <w:t>《工业企业场界环境噪声排放标准》（GB12348-2008）中的</w:t>
            </w:r>
            <w:r>
              <w:rPr>
                <w:rFonts w:hint="default" w:ascii="Times New Roman" w:hAnsi="Times New Roman" w:cs="Times New Roman"/>
                <w:color w:val="auto"/>
                <w:spacing w:val="-2"/>
                <w:highlight w:val="none"/>
                <w:lang w:val="en-US" w:eastAsia="zh-CN"/>
              </w:rPr>
              <w:t>3</w:t>
            </w:r>
            <w:r>
              <w:rPr>
                <w:rFonts w:hint="default" w:ascii="Times New Roman" w:hAnsi="Times New Roman" w:cs="Times New Roman"/>
                <w:color w:val="auto"/>
                <w:spacing w:val="-2"/>
                <w:highlight w:val="none"/>
              </w:rPr>
              <w:t>类标准</w:t>
            </w:r>
            <w:r>
              <w:rPr>
                <w:rFonts w:hint="default" w:ascii="Times New Roman" w:hAnsi="Times New Roman" w:cs="Times New Roman"/>
                <w:color w:val="auto"/>
                <w:highlight w:val="none"/>
              </w:rPr>
              <w:t>，即项目产生的噪声不会对周边环境造成太大影响。</w:t>
            </w:r>
          </w:p>
          <w:p w14:paraId="2411FEFE">
            <w:pPr>
              <w:pStyle w:val="5"/>
              <w:numPr>
                <w:ilvl w:val="3"/>
                <w:numId w:val="0"/>
              </w:numPr>
              <w:suppressLineNumbers w:val="0"/>
              <w:spacing w:before="0" w:beforeAutospacing="0" w:after="0" w:afterAutospacing="0"/>
              <w:ind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3、污染防治措施</w:t>
            </w:r>
          </w:p>
          <w:p w14:paraId="0EFCF2F3">
            <w:pPr>
              <w:pStyle w:val="7"/>
              <w:numPr>
                <w:ilvl w:val="0"/>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为确保厂界噪声满足《工业企业厂界环境噪声排放标准》（GB12348-2008）中的相应标准，项目拟采取以下</w:t>
            </w:r>
            <w:r>
              <w:rPr>
                <w:rFonts w:hint="default" w:ascii="Times New Roman" w:hAnsi="Times New Roman" w:cs="Times New Roman"/>
                <w:color w:val="auto"/>
                <w:highlight w:val="none"/>
                <w:lang w:val="en-US" w:eastAsia="zh-CN"/>
              </w:rPr>
              <w:t>噪声与振动</w:t>
            </w:r>
            <w:r>
              <w:rPr>
                <w:rFonts w:hint="default" w:ascii="Times New Roman" w:hAnsi="Times New Roman" w:cs="Times New Roman"/>
                <w:color w:val="auto"/>
                <w:highlight w:val="none"/>
              </w:rPr>
              <w:t>治理措施：</w:t>
            </w:r>
          </w:p>
          <w:p w14:paraId="1178A22E">
            <w:pPr>
              <w:pStyle w:val="7"/>
              <w:numPr>
                <w:ilvl w:val="0"/>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①合理布局：尽量将高噪声设备布置在厂房中间，尽可能地选择远离厂界的位置。</w:t>
            </w:r>
          </w:p>
          <w:p w14:paraId="220C08E0">
            <w:pPr>
              <w:pStyle w:val="7"/>
              <w:numPr>
                <w:ilvl w:val="0"/>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②落实设备基础减振以及厂房隔声：</w:t>
            </w:r>
          </w:p>
          <w:p w14:paraId="0169426F">
            <w:pPr>
              <w:pStyle w:val="7"/>
              <w:numPr>
                <w:ilvl w:val="0"/>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A、在设备选型方面，在满足工艺生产的前提下，选用精度高、装配质量好、噪声低的设备；对设备基础进行减振；</w:t>
            </w:r>
          </w:p>
          <w:p w14:paraId="3B8CA995">
            <w:pPr>
              <w:pStyle w:val="7"/>
              <w:numPr>
                <w:ilvl w:val="0"/>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B、重视厂房的使用状况，不设门窗或设隔声玻璃门窗。</w:t>
            </w:r>
          </w:p>
          <w:p w14:paraId="36E9355A">
            <w:pPr>
              <w:pStyle w:val="7"/>
              <w:numPr>
                <w:ilvl w:val="0"/>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③加强内部管理：建立设备定期维护、保养的管理制度，以防止设备故障形成的非生产噪声，同时确保环保措施发挥最有效的功能；加强职工环保意识教育，提倡文明生产，防止人为噪声。</w:t>
            </w:r>
          </w:p>
          <w:p w14:paraId="1CACCF53">
            <w:pPr>
              <w:pStyle w:val="7"/>
              <w:numPr>
                <w:ilvl w:val="0"/>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④合理安排生产时间：尽可能地安排在昼间进行生产，若夜间必须生产应控制夜间生产时间，特别夜间应停止高噪声设备，减少机械的噪声影响。</w:t>
            </w:r>
          </w:p>
          <w:p w14:paraId="5DE115EF">
            <w:pPr>
              <w:pStyle w:val="7"/>
              <w:numPr>
                <w:ilvl w:val="0"/>
                <w:numId w:val="0"/>
              </w:numPr>
              <w:suppressLineNumbers w:val="0"/>
              <w:spacing w:before="0" w:beforeAutospacing="0" w:after="0" w:afterAutospacing="0"/>
              <w:ind w:left="0" w:right="0"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⑤针对</w:t>
            </w:r>
            <w:r>
              <w:rPr>
                <w:rFonts w:hint="eastAsia" w:cs="Times New Roman"/>
                <w:color w:val="auto"/>
                <w:highlight w:val="none"/>
                <w:lang w:val="en-US" w:eastAsia="zh-CN"/>
              </w:rPr>
              <w:t>锤破机、破碎</w:t>
            </w:r>
            <w:r>
              <w:rPr>
                <w:rFonts w:hint="default" w:ascii="Times New Roman" w:hAnsi="Times New Roman" w:cs="Times New Roman"/>
                <w:color w:val="auto"/>
                <w:highlight w:val="none"/>
                <w:lang w:val="en-US" w:eastAsia="zh-CN"/>
              </w:rPr>
              <w:t>机，安装减振垫（橡胶/NBR材质）或弹簧减振器，橡胶减振垫能有效吸收高频振动，降低噪音15~25dB，且安装简便，无需地脚螺栓固定；弹簧减振器则适用于低频振动隔离，通过调整预紧力可适配不同吨位设备，安装时需确保减振器与设备底座紧密连接，并定期检查螺栓紧固状态。</w:t>
            </w:r>
          </w:p>
          <w:p w14:paraId="4715F46B">
            <w:pPr>
              <w:pStyle w:val="7"/>
              <w:numPr>
                <w:ilvl w:val="0"/>
                <w:numId w:val="0"/>
              </w:numPr>
              <w:suppressLineNumbers w:val="0"/>
              <w:spacing w:before="0" w:beforeAutospacing="0" w:after="0" w:afterAutospacing="0"/>
              <w:ind w:left="0" w:right="0"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⑥通风管道采用橡胶软管或金属波纹管。橡胶软管适用于常温常压环境，但耐高温高压性较差,金属波纹管则能耐高温、高压和腐蚀，适合制冷剂管路等苛刻工况。</w:t>
            </w:r>
          </w:p>
          <w:p w14:paraId="61BF8AEE">
            <w:pPr>
              <w:pStyle w:val="7"/>
              <w:numPr>
                <w:ilvl w:val="0"/>
                <w:numId w:val="0"/>
              </w:numPr>
              <w:suppressLineNumbers w:val="0"/>
              <w:spacing w:before="0" w:beforeAutospacing="0" w:after="0" w:afterAutospacing="0"/>
              <w:ind w:left="0" w:right="0"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⑦生产设备定期进行润滑处理，定期维护轴承、齿轮，使用高粘度润滑油减少轴承、齿轮摩擦噪声，并优化轴承预紧力以减少振动源。</w:t>
            </w:r>
          </w:p>
          <w:p w14:paraId="61530906">
            <w:pPr>
              <w:pStyle w:val="7"/>
              <w:numPr>
                <w:ilvl w:val="0"/>
                <w:numId w:val="0"/>
              </w:numPr>
              <w:suppressLineNumbers w:val="0"/>
              <w:spacing w:before="0" w:beforeAutospacing="0" w:after="0" w:afterAutospacing="0"/>
              <w:ind w:left="0" w:right="0"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⑧对旋转部件（如砂轮、转子）定期进行校验，减少不平衡质量引发的振动。定期使用专业平衡机（如银箭数控设备）进行动/静平衡检测，通过添加配重块或去重调整质量分布，确保残余不平衡量符合标准。</w:t>
            </w:r>
          </w:p>
          <w:p w14:paraId="26DC40B8">
            <w:pPr>
              <w:pStyle w:val="7"/>
              <w:numPr>
                <w:ilvl w:val="0"/>
                <w:numId w:val="0"/>
              </w:numPr>
              <w:suppressLineNumbers w:val="0"/>
              <w:spacing w:before="0" w:beforeAutospacing="0" w:after="0" w:afterAutospacing="0"/>
              <w:ind w:left="0" w:right="0"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⑨针对设备外壳振动明显的设备，可在设备外壳粘贴丁基橡胶阻尼片，抑制薄板振动。</w:t>
            </w:r>
          </w:p>
          <w:p w14:paraId="609982EC">
            <w:pPr>
              <w:pStyle w:val="7"/>
              <w:numPr>
                <w:ilvl w:val="0"/>
                <w:numId w:val="0"/>
              </w:numPr>
              <w:suppressLineNumbers w:val="0"/>
              <w:spacing w:before="0" w:beforeAutospacing="0" w:after="0" w:afterAutospacing="0"/>
              <w:ind w:left="0" w:right="0" w:firstLine="480" w:firstLineChars="200"/>
              <w:rPr>
                <w:rFonts w:hint="default" w:ascii="Times New Roman" w:hAnsi="Times New Roman" w:cs="Times New Roman"/>
                <w:b/>
                <w:bCs/>
                <w:color w:val="auto"/>
                <w:highlight w:val="none"/>
              </w:rPr>
            </w:pPr>
            <w:r>
              <w:rPr>
                <w:rFonts w:hint="default" w:ascii="Times New Roman" w:hAnsi="Times New Roman" w:cs="Times New Roman"/>
                <w:color w:val="auto"/>
                <w:highlight w:val="none"/>
              </w:rPr>
              <w:t>本项目周边50米范围内不存在声环境保护目标，经采取上述的降噪措施后，预计项目厂界噪声排放可达到《工业企业厂界环境噪声排放标准》（GB12348-2008）</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类标准，噪声对声环境影响不大。</w:t>
            </w:r>
          </w:p>
          <w:p w14:paraId="4C1CFD14">
            <w:pPr>
              <w:keepNext/>
              <w:keepLines/>
              <w:suppressLineNumbers w:val="0"/>
              <w:tabs>
                <w:tab w:val="left" w:pos="0"/>
              </w:tabs>
              <w:spacing w:before="0" w:beforeAutospacing="0" w:after="0" w:afterAutospacing="0"/>
              <w:ind w:left="0" w:right="0" w:firstLine="480" w:firstLineChars="200"/>
              <w:outlineLvl w:val="3"/>
              <w:rPr>
                <w:rFonts w:hint="default" w:ascii="Times New Roman" w:hAnsi="Times New Roman" w:cs="Times New Roman"/>
                <w:color w:val="auto"/>
                <w:highlight w:val="none"/>
              </w:rPr>
            </w:pPr>
            <w:r>
              <w:rPr>
                <w:rFonts w:hint="default" w:ascii="Times New Roman" w:hAnsi="Times New Roman" w:cs="Times New Roman"/>
                <w:b/>
                <w:bCs/>
                <w:color w:val="auto"/>
                <w:highlight w:val="none"/>
              </w:rPr>
              <w:t>4、监测要求</w:t>
            </w:r>
          </w:p>
          <w:p w14:paraId="159AE78B">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根据《排污单位自行监测技术指南 总则》（HJ819-2017）</w:t>
            </w:r>
            <w:r>
              <w:rPr>
                <w:rFonts w:hint="default" w:ascii="Times New Roman" w:hAnsi="Times New Roman" w:cs="Times New Roman"/>
                <w:color w:val="auto"/>
                <w:highlight w:val="none"/>
                <w:lang w:val="en-US" w:eastAsia="zh-CN"/>
              </w:rPr>
              <w:t>和《排污许可证申请与核发技术规范 工业噪声》（HJ1301-2023）</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本项目噪声</w:t>
            </w:r>
            <w:r>
              <w:rPr>
                <w:rFonts w:hint="default" w:ascii="Times New Roman" w:hAnsi="Times New Roman" w:cs="Times New Roman"/>
                <w:color w:val="auto"/>
                <w:highlight w:val="none"/>
              </w:rPr>
              <w:t>监测</w:t>
            </w:r>
            <w:r>
              <w:rPr>
                <w:rFonts w:hint="default" w:ascii="Times New Roman" w:hAnsi="Times New Roman" w:cs="Times New Roman"/>
                <w:color w:val="auto"/>
                <w:highlight w:val="none"/>
                <w:lang w:val="en-US" w:eastAsia="zh-CN"/>
              </w:rPr>
              <w:t>要求</w:t>
            </w:r>
            <w:r>
              <w:rPr>
                <w:rFonts w:hint="default" w:ascii="Times New Roman" w:hAnsi="Times New Roman" w:cs="Times New Roman"/>
                <w:color w:val="auto"/>
                <w:highlight w:val="none"/>
              </w:rPr>
              <w:t>见下表。</w:t>
            </w:r>
          </w:p>
          <w:p w14:paraId="3657C4D6">
            <w:pPr>
              <w:pStyle w:val="46"/>
              <w:keepNext w:val="0"/>
              <w:keepLines w:val="0"/>
              <w:numPr>
                <w:ilvl w:val="0"/>
                <w:numId w:val="0"/>
              </w:numPr>
              <w:suppressLineNumbers w:val="0"/>
              <w:tabs>
                <w:tab w:val="left" w:pos="0"/>
              </w:tabs>
              <w:spacing w:before="0" w:beforeAutospacing="0" w:after="0" w:afterAutospacing="0" w:line="240" w:lineRule="auto"/>
              <w:ind w:left="0" w:leftChars="0" w:right="0" w:rightChars="0" w:firstLine="40" w:firstLineChars="0"/>
              <w:jc w:val="center"/>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bCs/>
                <w:color w:val="auto"/>
                <w:kern w:val="2"/>
                <w:sz w:val="21"/>
                <w:szCs w:val="21"/>
                <w:highlight w:val="none"/>
                <w:lang w:val="en-US" w:eastAsia="zh-CN" w:bidi="ar-SA"/>
              </w:rPr>
              <w:t>表4-</w:t>
            </w:r>
            <w:r>
              <w:rPr>
                <w:rFonts w:hint="eastAsia" w:ascii="Times New Roman" w:cs="Times New Roman"/>
                <w:b/>
                <w:bCs/>
                <w:color w:val="auto"/>
                <w:kern w:val="2"/>
                <w:sz w:val="21"/>
                <w:szCs w:val="21"/>
                <w:highlight w:val="none"/>
                <w:lang w:val="en-US" w:eastAsia="zh-CN" w:bidi="ar-SA"/>
              </w:rPr>
              <w:t xml:space="preserve">26 </w:t>
            </w:r>
            <w:r>
              <w:rPr>
                <w:rFonts w:hint="default" w:ascii="Times New Roman" w:hAnsi="Times New Roman" w:cs="Times New Roman"/>
                <w:b/>
                <w:bCs/>
                <w:color w:val="auto"/>
                <w:sz w:val="21"/>
                <w:szCs w:val="21"/>
                <w:highlight w:val="none"/>
              </w:rPr>
              <w:t>厂界噪声监测要求</w:t>
            </w:r>
          </w:p>
          <w:tbl>
            <w:tblPr>
              <w:tblStyle w:val="40"/>
              <w:tblW w:w="498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85" w:type="dxa"/>
                <w:left w:w="51" w:type="dxa"/>
                <w:bottom w:w="0" w:type="dxa"/>
                <w:right w:w="51" w:type="dxa"/>
              </w:tblCellMar>
            </w:tblPr>
            <w:tblGrid>
              <w:gridCol w:w="584"/>
              <w:gridCol w:w="1593"/>
              <w:gridCol w:w="1236"/>
              <w:gridCol w:w="1347"/>
              <w:gridCol w:w="1677"/>
              <w:gridCol w:w="2660"/>
            </w:tblGrid>
            <w:tr w14:paraId="523D77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1" w:type="dxa"/>
                  <w:bottom w:w="0" w:type="dxa"/>
                  <w:right w:w="51" w:type="dxa"/>
                </w:tblCellMar>
              </w:tblPrEx>
              <w:trPr>
                <w:trHeight w:val="669" w:hRule="atLeast"/>
                <w:jc w:val="center"/>
              </w:trPr>
              <w:tc>
                <w:tcPr>
                  <w:tcW w:w="321" w:type="pct"/>
                  <w:vAlign w:val="center"/>
                </w:tcPr>
                <w:p w14:paraId="72B3534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类别</w:t>
                  </w:r>
                </w:p>
              </w:tc>
              <w:tc>
                <w:tcPr>
                  <w:tcW w:w="875" w:type="pct"/>
                  <w:vAlign w:val="center"/>
                </w:tcPr>
                <w:p w14:paraId="141B698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监测点位</w:t>
                  </w:r>
                </w:p>
              </w:tc>
              <w:tc>
                <w:tcPr>
                  <w:tcW w:w="679" w:type="pct"/>
                  <w:vAlign w:val="center"/>
                </w:tcPr>
                <w:p w14:paraId="386D8E9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监测指标</w:t>
                  </w:r>
                </w:p>
              </w:tc>
              <w:tc>
                <w:tcPr>
                  <w:tcW w:w="740" w:type="pct"/>
                  <w:vAlign w:val="center"/>
                </w:tcPr>
                <w:p w14:paraId="625F492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监测频次</w:t>
                  </w:r>
                </w:p>
              </w:tc>
              <w:tc>
                <w:tcPr>
                  <w:tcW w:w="921" w:type="pct"/>
                  <w:vAlign w:val="center"/>
                </w:tcPr>
                <w:p w14:paraId="45080C8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监测采样和分析方法</w:t>
                  </w:r>
                </w:p>
              </w:tc>
              <w:tc>
                <w:tcPr>
                  <w:tcW w:w="1461" w:type="pct"/>
                  <w:vAlign w:val="center"/>
                </w:tcPr>
                <w:p w14:paraId="633EB95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排放执行标准</w:t>
                  </w:r>
                </w:p>
              </w:tc>
            </w:tr>
            <w:tr w14:paraId="23A102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1" w:type="dxa"/>
                  <w:bottom w:w="0" w:type="dxa"/>
                  <w:right w:w="51" w:type="dxa"/>
                </w:tblCellMar>
              </w:tblPrEx>
              <w:trPr>
                <w:trHeight w:val="164" w:hRule="atLeast"/>
                <w:jc w:val="center"/>
              </w:trPr>
              <w:tc>
                <w:tcPr>
                  <w:tcW w:w="321" w:type="pct"/>
                  <w:vAlign w:val="center"/>
                </w:tcPr>
                <w:p w14:paraId="469EBA9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噪声</w:t>
                  </w:r>
                </w:p>
              </w:tc>
              <w:tc>
                <w:tcPr>
                  <w:tcW w:w="875" w:type="pct"/>
                  <w:vAlign w:val="center"/>
                </w:tcPr>
                <w:p w14:paraId="04CC63B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东、南、西、北面厂界外1米处</w:t>
                  </w:r>
                </w:p>
              </w:tc>
              <w:tc>
                <w:tcPr>
                  <w:tcW w:w="679" w:type="pct"/>
                  <w:vAlign w:val="center"/>
                </w:tcPr>
                <w:p w14:paraId="3408E0C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等效连续A声级</w:t>
                  </w:r>
                </w:p>
              </w:tc>
              <w:tc>
                <w:tcPr>
                  <w:tcW w:w="740" w:type="pct"/>
                  <w:vAlign w:val="center"/>
                </w:tcPr>
                <w:p w14:paraId="783BFF7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每季度1次，监测昼间</w:t>
                  </w:r>
                  <w:r>
                    <w:rPr>
                      <w:rFonts w:hint="eastAsia"/>
                      <w:color w:val="auto"/>
                      <w:sz w:val="21"/>
                      <w:szCs w:val="21"/>
                      <w:highlight w:val="none"/>
                      <w:lang w:eastAsia="zh-CN"/>
                    </w:rPr>
                    <w:t>、</w:t>
                  </w:r>
                  <w:r>
                    <w:rPr>
                      <w:rFonts w:hint="eastAsia"/>
                      <w:color w:val="auto"/>
                      <w:sz w:val="21"/>
                      <w:szCs w:val="21"/>
                      <w:highlight w:val="none"/>
                      <w:lang w:val="en-US" w:eastAsia="zh-CN"/>
                    </w:rPr>
                    <w:t>夜间</w:t>
                  </w:r>
                </w:p>
              </w:tc>
              <w:tc>
                <w:tcPr>
                  <w:tcW w:w="921" w:type="pct"/>
                  <w:vAlign w:val="center"/>
                </w:tcPr>
                <w:p w14:paraId="345C1B9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《环境监测技术规范》</w:t>
                  </w:r>
                </w:p>
              </w:tc>
              <w:tc>
                <w:tcPr>
                  <w:tcW w:w="1461" w:type="pct"/>
                  <w:vAlign w:val="center"/>
                </w:tcPr>
                <w:p w14:paraId="1115375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《工业企业厂界环境噪声排放标准》（GB12348-2008）</w:t>
                  </w:r>
                  <w:r>
                    <w:rPr>
                      <w:rFonts w:hint="default"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类标准</w:t>
                  </w:r>
                </w:p>
              </w:tc>
            </w:tr>
          </w:tbl>
          <w:p w14:paraId="1CB44527">
            <w:pPr>
              <w:pStyle w:val="4"/>
              <w:numPr>
                <w:ilvl w:val="2"/>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四、固体废物污染源</w:t>
            </w:r>
          </w:p>
          <w:p w14:paraId="481CD7F2">
            <w:pPr>
              <w:keepNext/>
              <w:keepLines/>
              <w:suppressLineNumbers w:val="0"/>
              <w:tabs>
                <w:tab w:val="left" w:pos="0"/>
              </w:tabs>
              <w:spacing w:before="0" w:beforeAutospacing="0" w:after="0" w:afterAutospacing="0"/>
              <w:ind w:left="480" w:leftChars="200" w:right="0"/>
              <w:outlineLvl w:val="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1、固体废物源强</w:t>
            </w:r>
          </w:p>
          <w:p w14:paraId="13B76711">
            <w:pPr>
              <w:keepNext/>
              <w:keepLines/>
              <w:suppressLineNumbers w:val="0"/>
              <w:tabs>
                <w:tab w:val="left" w:pos="0"/>
              </w:tabs>
              <w:spacing w:before="0" w:beforeAutospacing="0" w:after="0" w:afterAutospacing="0"/>
              <w:ind w:left="480" w:leftChars="200" w:right="0"/>
              <w:outlineLvl w:val="3"/>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sz w:val="24"/>
                <w:szCs w:val="24"/>
                <w:highlight w:val="none"/>
                <w:lang w:val="en-US" w:eastAsia="zh-CN"/>
              </w:rPr>
              <w:t>（1）一般工业固体废物</w:t>
            </w:r>
          </w:p>
          <w:p w14:paraId="2FE52F90">
            <w:pPr>
              <w:pStyle w:val="19"/>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本项目运营期间产生的一般固废有废木屑杂物</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废橡胶、</w:t>
            </w:r>
            <w:r>
              <w:rPr>
                <w:rFonts w:hint="eastAsia" w:cs="Times New Roman"/>
                <w:color w:val="auto"/>
                <w:sz w:val="24"/>
                <w:szCs w:val="24"/>
                <w:highlight w:val="none"/>
                <w:lang w:val="en-US" w:eastAsia="zh-CN"/>
              </w:rPr>
              <w:t>包装废料、</w:t>
            </w:r>
            <w:r>
              <w:rPr>
                <w:rFonts w:hint="default" w:ascii="Times New Roman" w:hAnsi="Times New Roman" w:eastAsia="宋体" w:cs="Times New Roman"/>
                <w:color w:val="auto"/>
                <w:sz w:val="24"/>
                <w:szCs w:val="24"/>
                <w:highlight w:val="none"/>
                <w:lang w:eastAsia="zh-CN"/>
              </w:rPr>
              <w:t>布袋</w:t>
            </w:r>
            <w:r>
              <w:rPr>
                <w:rFonts w:hint="eastAsia" w:cs="Times New Roman"/>
                <w:color w:val="auto"/>
                <w:sz w:val="24"/>
                <w:szCs w:val="24"/>
                <w:highlight w:val="none"/>
                <w:lang w:val="en-US" w:eastAsia="zh-CN"/>
              </w:rPr>
              <w:t>收集粉尘、</w:t>
            </w:r>
            <w:r>
              <w:rPr>
                <w:rFonts w:hint="default" w:ascii="Times New Roman" w:hAnsi="Times New Roman" w:eastAsia="宋体" w:cs="Times New Roman"/>
                <w:color w:val="auto"/>
                <w:sz w:val="24"/>
                <w:szCs w:val="24"/>
                <w:highlight w:val="none"/>
                <w:lang w:eastAsia="zh-CN"/>
              </w:rPr>
              <w:t>废</w:t>
            </w:r>
            <w:r>
              <w:rPr>
                <w:rFonts w:hint="eastAsia" w:cs="Times New Roman"/>
                <w:color w:val="auto"/>
                <w:sz w:val="24"/>
                <w:szCs w:val="24"/>
                <w:highlight w:val="none"/>
                <w:lang w:val="en-US" w:eastAsia="zh-CN"/>
              </w:rPr>
              <w:t>布</w:t>
            </w:r>
            <w:r>
              <w:rPr>
                <w:rFonts w:hint="default" w:ascii="Times New Roman" w:hAnsi="Times New Roman" w:eastAsia="宋体" w:cs="Times New Roman"/>
                <w:color w:val="auto"/>
                <w:sz w:val="24"/>
                <w:szCs w:val="24"/>
                <w:highlight w:val="none"/>
                <w:lang w:eastAsia="zh-CN"/>
              </w:rPr>
              <w:t>袋</w:t>
            </w:r>
            <w:r>
              <w:rPr>
                <w:rFonts w:hint="eastAsia"/>
                <w:color w:val="auto"/>
                <w:highlight w:val="none"/>
                <w:lang w:eastAsia="zh-CN"/>
              </w:rPr>
              <w:t>、</w:t>
            </w:r>
            <w:r>
              <w:rPr>
                <w:rFonts w:hint="eastAsia" w:cs="Times New Roman"/>
                <w:color w:val="auto"/>
                <w:sz w:val="24"/>
                <w:szCs w:val="24"/>
                <w:highlight w:val="none"/>
                <w:lang w:val="en-US" w:eastAsia="zh-CN"/>
              </w:rPr>
              <w:t>污水处理污泥</w:t>
            </w:r>
            <w:r>
              <w:rPr>
                <w:rFonts w:hint="default" w:ascii="Times New Roman" w:hAnsi="Times New Roman" w:eastAsia="宋体" w:cs="Times New Roman"/>
                <w:color w:val="auto"/>
                <w:sz w:val="24"/>
                <w:szCs w:val="24"/>
                <w:highlight w:val="none"/>
                <w:lang w:val="en-US" w:eastAsia="zh-CN"/>
              </w:rPr>
              <w:t>等</w:t>
            </w:r>
            <w:r>
              <w:rPr>
                <w:rFonts w:hint="default" w:ascii="Times New Roman" w:hAnsi="Times New Roman" w:eastAsia="宋体" w:cs="Times New Roman"/>
                <w:color w:val="auto"/>
                <w:sz w:val="24"/>
                <w:szCs w:val="24"/>
                <w:highlight w:val="none"/>
                <w:lang w:eastAsia="zh-CN"/>
              </w:rPr>
              <w:t>。</w:t>
            </w:r>
          </w:p>
          <w:p w14:paraId="4F36E300">
            <w:pPr>
              <w:pStyle w:val="19"/>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①</w:t>
            </w:r>
            <w:r>
              <w:rPr>
                <w:rFonts w:hint="default" w:ascii="Times New Roman" w:hAnsi="Times New Roman" w:eastAsia="宋体" w:cs="Times New Roman"/>
                <w:color w:val="auto"/>
                <w:sz w:val="24"/>
                <w:szCs w:val="24"/>
                <w:highlight w:val="none"/>
                <w:lang w:eastAsia="zh-CN"/>
              </w:rPr>
              <w:t>废木屑杂物</w:t>
            </w:r>
          </w:p>
          <w:p w14:paraId="372198C3">
            <w:pPr>
              <w:pStyle w:val="19"/>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eastAsia="zh-CN"/>
              </w:rPr>
              <w:t>本项目分选过程会产生废木屑等杂物，</w:t>
            </w:r>
            <w:r>
              <w:rPr>
                <w:rFonts w:hint="eastAsia" w:ascii="Times New Roman" w:cs="Times New Roman"/>
                <w:color w:val="auto"/>
                <w:sz w:val="24"/>
                <w:szCs w:val="24"/>
                <w:highlight w:val="none"/>
                <w:lang w:val="en-US" w:eastAsia="zh-CN"/>
              </w:rPr>
              <w:t>根据建设单位提供资料，废木屑杂物产生量约为原料用量的0.001%，则废木屑杂物</w:t>
            </w:r>
            <w:r>
              <w:rPr>
                <w:rFonts w:hint="default" w:ascii="Times New Roman" w:hAnsi="Times New Roman" w:cs="Times New Roman"/>
                <w:color w:val="auto"/>
                <w:sz w:val="24"/>
                <w:szCs w:val="24"/>
                <w:highlight w:val="none"/>
              </w:rPr>
              <w:t>年产生量0.</w:t>
            </w:r>
            <w:r>
              <w:rPr>
                <w:rFonts w:hint="eastAsia" w:ascii="Times New Roman" w:cs="Times New Roman"/>
                <w:color w:val="auto"/>
                <w:sz w:val="24"/>
                <w:szCs w:val="24"/>
                <w:highlight w:val="none"/>
                <w:lang w:val="en-US" w:eastAsia="zh-CN"/>
              </w:rPr>
              <w:t>71</w:t>
            </w:r>
            <w:r>
              <w:rPr>
                <w:rFonts w:hint="default" w:ascii="Times New Roman" w:hAnsi="Times New Roman" w:cs="Times New Roman"/>
                <w:color w:val="auto"/>
                <w:sz w:val="24"/>
                <w:szCs w:val="24"/>
                <w:highlight w:val="none"/>
              </w:rPr>
              <w:t>t/a，属于一般固废，</w:t>
            </w:r>
            <w:r>
              <w:rPr>
                <w:rFonts w:hint="default" w:ascii="Times New Roman" w:hAnsi="Times New Roman" w:eastAsia="宋体" w:cs="Times New Roman"/>
                <w:color w:val="auto"/>
                <w:sz w:val="24"/>
                <w:szCs w:val="24"/>
                <w:highlight w:val="none"/>
                <w:lang w:val="en-US" w:eastAsia="zh-CN"/>
              </w:rPr>
              <w:t>统一收集后外售。根据《固体废物分类与代码目录》（公告2024年 第4号），木块等杂质属于SW17可再生类废物，属于非特定行业，废物代码为900-099-S17。</w:t>
            </w:r>
          </w:p>
          <w:p w14:paraId="0F51B8FB">
            <w:pPr>
              <w:pStyle w:val="19"/>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②</w:t>
            </w:r>
            <w:r>
              <w:rPr>
                <w:rFonts w:hint="default" w:ascii="Times New Roman" w:hAnsi="Times New Roman" w:eastAsia="宋体" w:cs="Times New Roman"/>
                <w:color w:val="auto"/>
                <w:sz w:val="24"/>
                <w:szCs w:val="24"/>
                <w:highlight w:val="none"/>
                <w:lang w:eastAsia="zh-CN"/>
              </w:rPr>
              <w:t>废橡胶</w:t>
            </w:r>
          </w:p>
          <w:p w14:paraId="4D266E73">
            <w:pPr>
              <w:pStyle w:val="19"/>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本项目分选过程会产生废橡胶，</w:t>
            </w:r>
            <w:r>
              <w:rPr>
                <w:rFonts w:hint="eastAsia" w:ascii="Times New Roman" w:cs="Times New Roman"/>
                <w:color w:val="auto"/>
                <w:sz w:val="24"/>
                <w:szCs w:val="24"/>
                <w:highlight w:val="none"/>
                <w:lang w:val="en-US" w:eastAsia="zh-CN"/>
              </w:rPr>
              <w:t>根据建设单位提供资料，废</w:t>
            </w:r>
            <w:r>
              <w:rPr>
                <w:rFonts w:hint="eastAsia" w:cs="Times New Roman"/>
                <w:color w:val="auto"/>
                <w:sz w:val="24"/>
                <w:szCs w:val="24"/>
                <w:highlight w:val="none"/>
                <w:lang w:val="en-US" w:eastAsia="zh-CN"/>
              </w:rPr>
              <w:t>橡胶</w:t>
            </w:r>
            <w:r>
              <w:rPr>
                <w:rFonts w:hint="eastAsia" w:ascii="Times New Roman" w:cs="Times New Roman"/>
                <w:color w:val="auto"/>
                <w:sz w:val="24"/>
                <w:szCs w:val="24"/>
                <w:highlight w:val="none"/>
                <w:lang w:val="en-US" w:eastAsia="zh-CN"/>
              </w:rPr>
              <w:t>产生量约为原料用量的0.</w:t>
            </w:r>
            <w:r>
              <w:rPr>
                <w:rFonts w:hint="eastAsia" w:cs="Times New Roman"/>
                <w:color w:val="auto"/>
                <w:sz w:val="24"/>
                <w:szCs w:val="24"/>
                <w:highlight w:val="none"/>
                <w:lang w:val="en-US" w:eastAsia="zh-CN"/>
              </w:rPr>
              <w:t>35</w:t>
            </w:r>
            <w:r>
              <w:rPr>
                <w:rFonts w:hint="eastAsia" w:ascii="Times New Roman" w:cs="Times New Roman"/>
                <w:color w:val="auto"/>
                <w:sz w:val="24"/>
                <w:szCs w:val="24"/>
                <w:highlight w:val="none"/>
                <w:lang w:val="en-US" w:eastAsia="zh-CN"/>
              </w:rPr>
              <w:t>%，则废</w:t>
            </w:r>
            <w:r>
              <w:rPr>
                <w:rFonts w:hint="eastAsia" w:cs="Times New Roman"/>
                <w:color w:val="auto"/>
                <w:sz w:val="24"/>
                <w:szCs w:val="24"/>
                <w:highlight w:val="none"/>
                <w:lang w:val="en-US" w:eastAsia="zh-CN"/>
              </w:rPr>
              <w:t>橡胶</w:t>
            </w:r>
            <w:r>
              <w:rPr>
                <w:rFonts w:hint="default" w:ascii="Times New Roman" w:hAnsi="Times New Roman" w:cs="Times New Roman"/>
                <w:color w:val="auto"/>
                <w:sz w:val="24"/>
                <w:szCs w:val="24"/>
                <w:highlight w:val="none"/>
              </w:rPr>
              <w:t>年产生量</w:t>
            </w:r>
            <w:r>
              <w:rPr>
                <w:rFonts w:hint="eastAsia" w:cs="Times New Roman"/>
                <w:color w:val="auto"/>
                <w:sz w:val="24"/>
                <w:szCs w:val="24"/>
                <w:highlight w:val="none"/>
                <w:lang w:val="en-US" w:eastAsia="zh-CN"/>
              </w:rPr>
              <w:t>249.38</w:t>
            </w:r>
            <w:r>
              <w:rPr>
                <w:rFonts w:hint="default" w:ascii="Times New Roman" w:hAnsi="Times New Roman" w:cs="Times New Roman"/>
                <w:color w:val="auto"/>
                <w:sz w:val="24"/>
                <w:szCs w:val="24"/>
                <w:highlight w:val="none"/>
              </w:rPr>
              <w:t>t/a，属于一般固废，</w:t>
            </w:r>
            <w:r>
              <w:rPr>
                <w:rFonts w:hint="default" w:ascii="Times New Roman" w:hAnsi="Times New Roman" w:eastAsia="宋体" w:cs="Times New Roman"/>
                <w:color w:val="auto"/>
                <w:sz w:val="24"/>
                <w:szCs w:val="24"/>
                <w:highlight w:val="none"/>
                <w:lang w:eastAsia="zh-CN"/>
              </w:rPr>
              <w:t>统一收集后外售</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根据《固体废物分类与代码目录》（公告2024年 第4号），废橡胶属于SW17可再生类废物，属于非特定行业，废物代码为900-006-S17。</w:t>
            </w:r>
          </w:p>
          <w:p w14:paraId="5AA5E802">
            <w:pPr>
              <w:pStyle w:val="19"/>
              <w:keepNext w:val="0"/>
              <w:keepLines w:val="0"/>
              <w:suppressLineNumbers w:val="0"/>
              <w:bidi w:val="0"/>
              <w:spacing w:before="0" w:beforeAutospacing="0" w:after="0" w:afterAutospacing="0" w:line="360" w:lineRule="auto"/>
              <w:ind w:left="0" w:right="0"/>
              <w:rPr>
                <w:rFonts w:hint="eastAsia"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color w:val="auto"/>
                <w:sz w:val="24"/>
                <w:szCs w:val="24"/>
                <w:highlight w:val="none"/>
              </w:rPr>
              <w:instrText xml:space="preserve"> = 3 \* GB3 \* MERGEFORMAT </w:instrText>
            </w:r>
            <w:r>
              <w:rPr>
                <w:rFonts w:hint="default"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 w:val="24"/>
                <w:szCs w:val="24"/>
                <w:highlight w:val="none"/>
              </w:rPr>
              <w:t>③</w:t>
            </w:r>
            <w:r>
              <w:rPr>
                <w:rFonts w:hint="default" w:ascii="Times New Roman" w:hAnsi="Times New Roman" w:eastAsia="宋体" w:cs="Times New Roman"/>
                <w:color w:val="auto"/>
                <w:sz w:val="24"/>
                <w:szCs w:val="24"/>
                <w:highlight w:val="none"/>
              </w:rPr>
              <w:fldChar w:fldCharType="end"/>
            </w:r>
            <w:r>
              <w:rPr>
                <w:rFonts w:hint="eastAsia" w:cs="Times New Roman"/>
                <w:color w:val="auto"/>
                <w:sz w:val="24"/>
                <w:szCs w:val="24"/>
                <w:highlight w:val="none"/>
                <w:lang w:val="en-US" w:eastAsia="zh-CN"/>
              </w:rPr>
              <w:t>包装废料</w:t>
            </w:r>
          </w:p>
          <w:p w14:paraId="5569CA2D">
            <w:pPr>
              <w:pStyle w:val="19"/>
              <w:keepNext w:val="0"/>
              <w:keepLines w:val="0"/>
              <w:suppressLineNumbers w:val="0"/>
              <w:bidi w:val="0"/>
              <w:spacing w:before="0" w:beforeAutospacing="0" w:after="0" w:afterAutospacing="0" w:line="360" w:lineRule="auto"/>
              <w:ind w:left="0" w:right="0"/>
              <w:rPr>
                <w:rFonts w:hint="default"/>
                <w:color w:val="auto"/>
                <w:highlight w:val="none"/>
                <w:lang w:val="en-US" w:eastAsia="zh-CN"/>
              </w:rPr>
            </w:pPr>
            <w:r>
              <w:rPr>
                <w:rFonts w:hint="eastAsia" w:cs="Times New Roman"/>
                <w:color w:val="auto"/>
                <w:sz w:val="24"/>
                <w:szCs w:val="24"/>
                <w:highlight w:val="none"/>
                <w:lang w:val="en-US" w:eastAsia="zh-CN"/>
              </w:rPr>
              <w:t>主要包括原辅材料包装袋，产生量约为2t/年，属于SW17可再生类废物，</w:t>
            </w:r>
            <w:r>
              <w:rPr>
                <w:rFonts w:hint="default" w:ascii="Times New Roman" w:hAnsi="Times New Roman" w:eastAsia="宋体" w:cs="Times New Roman"/>
                <w:color w:val="auto"/>
                <w:sz w:val="24"/>
                <w:szCs w:val="24"/>
                <w:highlight w:val="none"/>
                <w:lang w:val="en-US" w:eastAsia="zh-CN"/>
              </w:rPr>
              <w:t>根据《固体废物分类与代码目录》（公告2024年 第4号），</w:t>
            </w:r>
            <w:r>
              <w:rPr>
                <w:rFonts w:hint="eastAsia" w:cs="Times New Roman"/>
                <w:color w:val="auto"/>
                <w:sz w:val="24"/>
                <w:szCs w:val="24"/>
                <w:highlight w:val="none"/>
                <w:lang w:val="en-US" w:eastAsia="zh-CN"/>
              </w:rPr>
              <w:t>属于非特定行业，废物代码为900-003-S17。</w:t>
            </w:r>
          </w:p>
          <w:p w14:paraId="66A9F4D7">
            <w:pPr>
              <w:pStyle w:val="19"/>
              <w:keepNext w:val="0"/>
              <w:keepLines w:val="0"/>
              <w:suppressLineNumbers w:val="0"/>
              <w:bidi w:val="0"/>
              <w:spacing w:before="0" w:beforeAutospacing="0" w:after="0" w:afterAutospacing="0" w:line="360" w:lineRule="auto"/>
              <w:ind w:left="0" w:right="0"/>
              <w:rPr>
                <w:rFonts w:hint="default" w:ascii="Times New Roman" w:hAnsi="Times New Roman" w:eastAsia="宋体" w:cs="Times New Roman"/>
                <w:color w:val="auto"/>
                <w:kern w:val="2"/>
                <w:sz w:val="24"/>
                <w:szCs w:val="24"/>
                <w:highlight w:val="none"/>
                <w:lang w:val="en-US" w:eastAsia="zh-CN" w:bidi="ar-SA"/>
              </w:rPr>
            </w:pPr>
            <w:r>
              <w:rPr>
                <w:rFonts w:hint="eastAsia" w:cs="Times New Roman"/>
                <w:color w:val="auto"/>
                <w:sz w:val="24"/>
                <w:szCs w:val="24"/>
                <w:highlight w:val="none"/>
                <w:lang w:val="en-US" w:eastAsia="zh-CN"/>
              </w:rPr>
              <w:t>④布袋</w:t>
            </w:r>
            <w:r>
              <w:rPr>
                <w:rFonts w:hint="default" w:ascii="Times New Roman" w:hAnsi="Times New Roman" w:eastAsia="宋体" w:cs="Times New Roman"/>
                <w:color w:val="auto"/>
                <w:kern w:val="2"/>
                <w:sz w:val="24"/>
                <w:szCs w:val="24"/>
                <w:highlight w:val="none"/>
                <w:lang w:val="en-US" w:eastAsia="zh-CN" w:bidi="ar-SA"/>
              </w:rPr>
              <w:t>收集粉尘</w:t>
            </w:r>
          </w:p>
          <w:p w14:paraId="74625324">
            <w:pPr>
              <w:keepNext w:val="0"/>
              <w:keepLines w:val="0"/>
              <w:pageBreakBefore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根据废气源强核算</w:t>
            </w:r>
            <w:r>
              <w:rPr>
                <w:rFonts w:hint="eastAsia"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收集的粉尘量约为</w:t>
            </w:r>
            <w:r>
              <w:rPr>
                <w:rFonts w:hint="eastAsia" w:cs="Times New Roman"/>
                <w:color w:val="auto"/>
                <w:kern w:val="2"/>
                <w:sz w:val="24"/>
                <w:szCs w:val="24"/>
                <w:highlight w:val="none"/>
                <w:lang w:val="en-US" w:eastAsia="zh-CN" w:bidi="ar-SA"/>
              </w:rPr>
              <w:t>1.731</w:t>
            </w:r>
            <w:r>
              <w:rPr>
                <w:rFonts w:hint="default" w:ascii="Times New Roman" w:hAnsi="Times New Roman" w:eastAsia="宋体" w:cs="Times New Roman"/>
                <w:color w:val="auto"/>
                <w:kern w:val="2"/>
                <w:sz w:val="24"/>
                <w:szCs w:val="24"/>
                <w:highlight w:val="none"/>
                <w:lang w:val="en-US" w:eastAsia="zh-CN" w:bidi="ar-SA"/>
              </w:rPr>
              <w:t>t/a，</w:t>
            </w:r>
            <w:r>
              <w:rPr>
                <w:rFonts w:hint="default" w:ascii="Times New Roman" w:hAnsi="Times New Roman" w:eastAsia="宋体" w:cs="Times New Roman"/>
                <w:color w:val="auto"/>
                <w:sz w:val="24"/>
                <w:szCs w:val="24"/>
                <w:highlight w:val="none"/>
                <w:lang w:val="en-US" w:eastAsia="zh-CN"/>
              </w:rPr>
              <w:t>废物代码为900-0</w:t>
            </w:r>
            <w:r>
              <w:rPr>
                <w:rFonts w:hint="eastAsia" w:cs="Times New Roman"/>
                <w:color w:val="auto"/>
                <w:sz w:val="24"/>
                <w:szCs w:val="24"/>
                <w:highlight w:val="none"/>
                <w:lang w:val="en-US" w:eastAsia="zh-CN"/>
              </w:rPr>
              <w:t>99</w:t>
            </w:r>
            <w:r>
              <w:rPr>
                <w:rFonts w:hint="default" w:ascii="Times New Roman" w:hAnsi="Times New Roman" w:eastAsia="宋体" w:cs="Times New Roman"/>
                <w:color w:val="auto"/>
                <w:sz w:val="24"/>
                <w:szCs w:val="24"/>
                <w:highlight w:val="none"/>
                <w:lang w:val="en-US" w:eastAsia="zh-CN"/>
              </w:rPr>
              <w:t>-S17</w:t>
            </w:r>
            <w:r>
              <w:rPr>
                <w:rFonts w:hint="default" w:ascii="Times New Roman" w:hAnsi="Times New Roman" w:eastAsia="宋体" w:cs="Times New Roman"/>
                <w:color w:val="auto"/>
                <w:kern w:val="2"/>
                <w:sz w:val="24"/>
                <w:szCs w:val="24"/>
                <w:highlight w:val="none"/>
                <w:lang w:val="en-US" w:eastAsia="zh-CN" w:bidi="ar-SA"/>
              </w:rPr>
              <w:t>全部收集后外售。</w:t>
            </w:r>
          </w:p>
          <w:p w14:paraId="32976CB5">
            <w:pPr>
              <w:pStyle w:val="22"/>
              <w:keepNext w:val="0"/>
              <w:keepLines w:val="0"/>
              <w:pageBreakBefore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⑤</w:t>
            </w:r>
            <w:r>
              <w:rPr>
                <w:rFonts w:hint="default" w:ascii="Times New Roman" w:hAnsi="Times New Roman" w:eastAsia="宋体" w:cs="Times New Roman"/>
                <w:color w:val="auto"/>
                <w:kern w:val="2"/>
                <w:sz w:val="24"/>
                <w:szCs w:val="24"/>
                <w:highlight w:val="none"/>
                <w:lang w:val="en-US" w:eastAsia="zh-CN" w:bidi="ar-SA"/>
              </w:rPr>
              <w:t>布袋除尘器废滤袋</w:t>
            </w:r>
          </w:p>
          <w:p w14:paraId="632C5152">
            <w:pPr>
              <w:pStyle w:val="22"/>
              <w:keepNext w:val="0"/>
              <w:keepLines w:val="0"/>
              <w:pageBreakBefore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本项目设置一套布袋除尘器，每次更换量约0.05t，</w:t>
            </w:r>
            <w:r>
              <w:rPr>
                <w:rFonts w:hint="default" w:ascii="Times New Roman" w:hAnsi="Times New Roman" w:eastAsia="宋体" w:cs="Times New Roman"/>
                <w:color w:val="auto"/>
                <w:sz w:val="24"/>
                <w:szCs w:val="24"/>
                <w:highlight w:val="none"/>
                <w:lang w:val="en-US" w:eastAsia="zh-CN"/>
              </w:rPr>
              <w:t>废物代码为900-0</w:t>
            </w:r>
            <w:r>
              <w:rPr>
                <w:rFonts w:hint="eastAsia" w:cs="Times New Roman"/>
                <w:color w:val="auto"/>
                <w:sz w:val="24"/>
                <w:szCs w:val="24"/>
                <w:highlight w:val="none"/>
                <w:lang w:val="en-US" w:eastAsia="zh-CN"/>
              </w:rPr>
              <w:t>09</w:t>
            </w:r>
            <w:r>
              <w:rPr>
                <w:rFonts w:hint="default" w:ascii="Times New Roman" w:hAnsi="Times New Roman" w:eastAsia="宋体" w:cs="Times New Roman"/>
                <w:color w:val="auto"/>
                <w:sz w:val="24"/>
                <w:szCs w:val="24"/>
                <w:highlight w:val="none"/>
                <w:lang w:val="en-US" w:eastAsia="zh-CN"/>
              </w:rPr>
              <w:t>-S</w:t>
            </w:r>
            <w:r>
              <w:rPr>
                <w:rFonts w:hint="eastAsia" w:cs="Times New Roman"/>
                <w:color w:val="auto"/>
                <w:sz w:val="24"/>
                <w:szCs w:val="24"/>
                <w:highlight w:val="none"/>
                <w:lang w:val="en-US" w:eastAsia="zh-CN"/>
              </w:rPr>
              <w:t>59，</w:t>
            </w:r>
            <w:r>
              <w:rPr>
                <w:rFonts w:hint="default" w:ascii="Times New Roman" w:hAnsi="Times New Roman" w:eastAsia="宋体" w:cs="Times New Roman"/>
                <w:color w:val="auto"/>
                <w:kern w:val="2"/>
                <w:sz w:val="24"/>
                <w:szCs w:val="24"/>
                <w:highlight w:val="none"/>
                <w:lang w:val="en-US" w:eastAsia="zh-CN" w:bidi="ar-SA"/>
              </w:rPr>
              <w:t>更换后委托厂家回收处置。</w:t>
            </w:r>
          </w:p>
          <w:p w14:paraId="0D2C5076">
            <w:pPr>
              <w:keepNext w:val="0"/>
              <w:keepLines w:val="0"/>
              <w:suppressLineNumbers w:val="0"/>
              <w:bidi w:val="0"/>
              <w:spacing w:before="0" w:beforeAutospacing="0" w:after="0" w:afterAutospacing="0" w:line="360" w:lineRule="auto"/>
              <w:ind w:left="480" w:leftChars="200" w:right="0" w:firstLine="0" w:firstLineChars="0"/>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⑥</w:t>
            </w:r>
            <w:r>
              <w:rPr>
                <w:rFonts w:hint="default" w:ascii="Times New Roman" w:hAnsi="Times New Roman" w:eastAsia="宋体" w:cs="Times New Roman"/>
                <w:color w:val="auto"/>
                <w:sz w:val="24"/>
                <w:szCs w:val="24"/>
                <w:highlight w:val="none"/>
                <w:lang w:val="en-US" w:eastAsia="zh-CN"/>
              </w:rPr>
              <w:t>污水站处理污泥</w:t>
            </w:r>
            <w:r>
              <w:rPr>
                <w:rFonts w:hint="default" w:ascii="Times New Roman" w:hAnsi="Times New Roman" w:eastAsia="宋体" w:cs="Times New Roman"/>
                <w:color w:val="auto"/>
                <w:sz w:val="24"/>
                <w:szCs w:val="24"/>
                <w:highlight w:val="none"/>
                <w:lang w:val="en-US" w:eastAsia="zh-CN"/>
              </w:rPr>
              <w:br w:type="textWrapping"/>
            </w:r>
            <w:r>
              <w:rPr>
                <w:rFonts w:hint="eastAsia" w:cs="Times New Roman"/>
                <w:color w:val="auto"/>
                <w:sz w:val="24"/>
                <w:szCs w:val="24"/>
                <w:highlight w:val="none"/>
                <w:lang w:val="en-US" w:eastAsia="zh-CN"/>
              </w:rPr>
              <w:t>絮凝沉淀池产生污泥按以下公式计算：</w:t>
            </w:r>
          </w:p>
          <w:p w14:paraId="64352010">
            <w:pPr>
              <w:pStyle w:val="19"/>
              <w:keepNext w:val="0"/>
              <w:keepLines w:val="0"/>
              <w:suppressLineNumbers w:val="0"/>
              <w:spacing w:before="0" w:beforeAutospacing="0" w:after="0" w:afterAutospacing="0"/>
              <w:ind w:left="0" w:right="0" w:firstLine="480"/>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 = Q * (C1 - C2) *10</w:t>
            </w:r>
            <w:r>
              <w:rPr>
                <w:rFonts w:hint="default" w:ascii="Times New Roman" w:hAnsi="Times New Roman" w:eastAsia="宋体" w:cs="Times New Roman"/>
                <w:color w:val="auto"/>
                <w:sz w:val="24"/>
                <w:szCs w:val="24"/>
                <w:highlight w:val="none"/>
                <w:vertAlign w:val="superscript"/>
              </w:rPr>
              <w:t>-3</w:t>
            </w:r>
          </w:p>
          <w:p w14:paraId="5D6AD531">
            <w:pPr>
              <w:pStyle w:val="19"/>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式中：W——污泥量，kg/d；</w:t>
            </w:r>
          </w:p>
          <w:p w14:paraId="49F3413C">
            <w:pPr>
              <w:pStyle w:val="19"/>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C1——废水悬浮物浓度，mg/L ，</w:t>
            </w:r>
            <w:r>
              <w:rPr>
                <w:rFonts w:hint="eastAsia" w:cs="Times New Roman"/>
                <w:color w:val="auto"/>
                <w:sz w:val="24"/>
                <w:szCs w:val="24"/>
                <w:highlight w:val="none"/>
                <w:lang w:val="en-US" w:eastAsia="zh-CN"/>
              </w:rPr>
              <w:t>类比同类型项目</w:t>
            </w:r>
            <w:r>
              <w:rPr>
                <w:rFonts w:hint="default" w:ascii="Times New Roman" w:hAnsi="Times New Roman" w:eastAsia="宋体" w:cs="Times New Roman"/>
                <w:color w:val="auto"/>
                <w:sz w:val="24"/>
                <w:szCs w:val="24"/>
                <w:highlight w:val="none"/>
              </w:rPr>
              <w:t>取</w:t>
            </w:r>
            <w:r>
              <w:rPr>
                <w:rFonts w:hint="default" w:ascii="Times New Roman" w:hAnsi="Times New Roman" w:eastAsia="宋体" w:cs="Times New Roman"/>
                <w:color w:val="auto"/>
                <w:sz w:val="24"/>
                <w:szCs w:val="24"/>
                <w:highlight w:val="none"/>
                <w:lang w:val="en-US" w:eastAsia="zh-CN"/>
              </w:rPr>
              <w:t>226</w:t>
            </w:r>
            <w:r>
              <w:rPr>
                <w:rFonts w:hint="default" w:ascii="Times New Roman" w:hAnsi="Times New Roman" w:eastAsia="宋体" w:cs="Times New Roman"/>
                <w:color w:val="auto"/>
                <w:sz w:val="24"/>
                <w:szCs w:val="24"/>
                <w:highlight w:val="none"/>
              </w:rPr>
              <w:t>；</w:t>
            </w:r>
          </w:p>
          <w:p w14:paraId="682BC208">
            <w:pPr>
              <w:pStyle w:val="19"/>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C2——</w:t>
            </w:r>
            <w:r>
              <w:rPr>
                <w:rFonts w:hint="default" w:ascii="Times New Roman" w:hAnsi="Times New Roman" w:eastAsia="宋体" w:cs="Times New Roman"/>
                <w:color w:val="auto"/>
                <w:sz w:val="24"/>
                <w:szCs w:val="24"/>
                <w:highlight w:val="none"/>
                <w:lang w:val="en-US" w:eastAsia="zh-CN"/>
              </w:rPr>
              <w:t>处理后</w:t>
            </w:r>
            <w:r>
              <w:rPr>
                <w:rFonts w:hint="default" w:ascii="Times New Roman" w:hAnsi="Times New Roman" w:eastAsia="宋体" w:cs="Times New Roman"/>
                <w:color w:val="auto"/>
                <w:sz w:val="24"/>
                <w:szCs w:val="24"/>
                <w:highlight w:val="none"/>
              </w:rPr>
              <w:t>废水悬浮物浓度，mg/L，取</w:t>
            </w:r>
            <w:r>
              <w:rPr>
                <w:rFonts w:hint="eastAsia" w:cs="Times New Roman"/>
                <w:color w:val="auto"/>
                <w:sz w:val="24"/>
                <w:szCs w:val="24"/>
                <w:highlight w:val="none"/>
                <w:lang w:val="en-US" w:eastAsia="zh-CN"/>
              </w:rPr>
              <w:t>56.2</w:t>
            </w:r>
            <w:r>
              <w:rPr>
                <w:rFonts w:hint="default" w:ascii="Times New Roman" w:hAnsi="Times New Roman" w:eastAsia="宋体" w:cs="Times New Roman"/>
                <w:color w:val="auto"/>
                <w:sz w:val="24"/>
                <w:szCs w:val="24"/>
                <w:highlight w:val="none"/>
              </w:rPr>
              <w:t>；</w:t>
            </w:r>
          </w:p>
          <w:p w14:paraId="53B10A0B">
            <w:pPr>
              <w:pStyle w:val="19"/>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Q——处理废水量，m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/d，取</w:t>
            </w:r>
            <w:r>
              <w:rPr>
                <w:rFonts w:hint="eastAsia" w:cs="Times New Roman"/>
                <w:color w:val="auto"/>
                <w:sz w:val="24"/>
                <w:szCs w:val="24"/>
                <w:highlight w:val="none"/>
                <w:lang w:val="en-US" w:eastAsia="zh-CN"/>
              </w:rPr>
              <w:t>203.32</w:t>
            </w:r>
            <w:r>
              <w:rPr>
                <w:rFonts w:hint="default" w:ascii="Times New Roman" w:hAnsi="Times New Roman" w:eastAsia="宋体" w:cs="Times New Roman"/>
                <w:color w:val="auto"/>
                <w:sz w:val="24"/>
                <w:szCs w:val="24"/>
                <w:highlight w:val="none"/>
              </w:rPr>
              <w:t>。</w:t>
            </w:r>
          </w:p>
          <w:p w14:paraId="0E513DBA">
            <w:pPr>
              <w:pStyle w:val="19"/>
              <w:keepNext w:val="0"/>
              <w:keepLines w:val="0"/>
              <w:suppressLineNumbers w:val="0"/>
              <w:spacing w:before="0" w:beforeAutospacing="0" w:after="0" w:afterAutospacing="0"/>
              <w:ind w:left="0" w:right="0" w:firstLine="480"/>
              <w:rPr>
                <w:rFonts w:hint="eastAsia"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则，项目</w:t>
            </w:r>
            <w:r>
              <w:rPr>
                <w:rFonts w:hint="eastAsia" w:cs="Times New Roman"/>
                <w:color w:val="auto"/>
                <w:sz w:val="24"/>
                <w:szCs w:val="24"/>
                <w:highlight w:val="none"/>
                <w:lang w:val="en-US" w:eastAsia="zh-CN"/>
              </w:rPr>
              <w:t>絮凝</w:t>
            </w:r>
            <w:r>
              <w:rPr>
                <w:rFonts w:hint="default" w:ascii="Times New Roman" w:hAnsi="Times New Roman" w:eastAsia="宋体" w:cs="Times New Roman"/>
                <w:color w:val="auto"/>
                <w:sz w:val="24"/>
                <w:szCs w:val="24"/>
                <w:highlight w:val="none"/>
              </w:rPr>
              <w:t>沉淀池清掏过程中产生的沉渣</w:t>
            </w:r>
            <w:r>
              <w:rPr>
                <w:rFonts w:hint="eastAsia" w:cs="Times New Roman"/>
                <w:color w:val="auto"/>
                <w:sz w:val="24"/>
                <w:szCs w:val="24"/>
                <w:highlight w:val="none"/>
                <w:lang w:val="en-US" w:eastAsia="zh-CN"/>
              </w:rPr>
              <w:t>干污泥量</w:t>
            </w:r>
            <w:r>
              <w:rPr>
                <w:rFonts w:hint="default" w:ascii="Times New Roman" w:hAnsi="Times New Roman" w:eastAsia="宋体" w:cs="Times New Roman"/>
                <w:color w:val="auto"/>
                <w:sz w:val="24"/>
                <w:szCs w:val="24"/>
                <w:highlight w:val="none"/>
              </w:rPr>
              <w:t>约为</w:t>
            </w:r>
            <w:r>
              <w:rPr>
                <w:rFonts w:hint="eastAsia" w:cs="Times New Roman"/>
                <w:color w:val="auto"/>
                <w:sz w:val="24"/>
                <w:szCs w:val="24"/>
                <w:highlight w:val="none"/>
                <w:lang w:val="en-US" w:eastAsia="zh-CN"/>
              </w:rPr>
              <w:t>34.5</w:t>
            </w:r>
            <w:r>
              <w:rPr>
                <w:rFonts w:hint="default" w:ascii="Times New Roman" w:hAnsi="Times New Roman" w:eastAsia="宋体" w:cs="Times New Roman"/>
                <w:color w:val="auto"/>
                <w:sz w:val="24"/>
                <w:szCs w:val="24"/>
                <w:highlight w:val="none"/>
              </w:rPr>
              <w:t>t/a</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以含水率75%计，则湿污泥量为86.25t/a（0.26t/d）。</w:t>
            </w:r>
          </w:p>
          <w:p w14:paraId="7E3D61C5">
            <w:pPr>
              <w:pStyle w:val="19"/>
              <w:keepNext w:val="0"/>
              <w:keepLines w:val="0"/>
              <w:suppressLineNumbers w:val="0"/>
              <w:spacing w:before="0" w:beforeAutospacing="0" w:after="0" w:afterAutospacing="0"/>
              <w:ind w:left="0" w:right="0" w:firstLine="480"/>
              <w:rPr>
                <w:rFonts w:hint="default" w:cs="Times New Roman"/>
                <w:color w:val="auto"/>
                <w:sz w:val="24"/>
                <w:szCs w:val="24"/>
                <w:highlight w:val="none"/>
                <w:lang w:val="en-US" w:eastAsia="zh-CN"/>
              </w:rPr>
            </w:pPr>
            <w:r>
              <w:rPr>
                <w:rFonts w:hint="eastAsia" w:cs="Times New Roman"/>
                <w:color w:val="auto"/>
                <w:sz w:val="24"/>
                <w:szCs w:val="24"/>
                <w:highlight w:val="none"/>
                <w:lang w:val="en-US" w:eastAsia="zh-CN"/>
              </w:rPr>
              <w:t>生化污泥主要成分为微生物菌体（剩余污泥）。由于废塑料清洗废水有机物浓度相对较低（BOD/COD 较低），生化污泥产量不高。根据前文计算，BOD的去除量为9.56t/a，参考《室外排水设计规范》及相关给排水设计手册，A/O 工艺的污泥理论产率系数 ( Y )：一般取值 0.5 - 0.7 kg VSS/kg BOD₅，本项目取0.7kgVSS/kg BOD₅，则生化污泥干污泥产生量为6.69t/a，含水率以75%计，则生化污泥产生量为26.76t/a。</w:t>
            </w:r>
          </w:p>
          <w:p w14:paraId="3FD9BEF7">
            <w:pPr>
              <w:pStyle w:val="19"/>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val="en-US" w:eastAsia="zh-CN"/>
              </w:rPr>
              <w:t>综上，项目污水处理站污泥量为113.01t/a，</w:t>
            </w:r>
            <w:r>
              <w:rPr>
                <w:rFonts w:hint="default" w:ascii="Times New Roman" w:hAnsi="Times New Roman" w:eastAsia="宋体" w:cs="Times New Roman"/>
                <w:color w:val="auto"/>
                <w:sz w:val="24"/>
                <w:szCs w:val="24"/>
                <w:highlight w:val="none"/>
              </w:rPr>
              <w:t>经收集后进入板框压滤机压滤成泥饼与其一同外售给砖厂综合利用。</w:t>
            </w:r>
            <w:r>
              <w:rPr>
                <w:rFonts w:hint="default" w:ascii="Times New Roman" w:hAnsi="Times New Roman" w:eastAsia="宋体" w:cs="Times New Roman"/>
                <w:color w:val="auto"/>
                <w:sz w:val="24"/>
                <w:szCs w:val="24"/>
                <w:highlight w:val="none"/>
                <w:lang w:val="en-US" w:eastAsia="zh-CN"/>
              </w:rPr>
              <w:t>根据《固体废物分类与代码目录》（公告2024年 第4号），根据《固体废物分类与代码目录》（公告2024年 第4号），属于SW07污泥，属于非特定行业，废物代码为900-0</w:t>
            </w:r>
            <w:r>
              <w:rPr>
                <w:rFonts w:hint="eastAsia" w:cs="Times New Roman"/>
                <w:color w:val="auto"/>
                <w:sz w:val="24"/>
                <w:szCs w:val="24"/>
                <w:highlight w:val="none"/>
                <w:lang w:val="en-US" w:eastAsia="zh-CN"/>
              </w:rPr>
              <w:t>9</w:t>
            </w:r>
            <w:r>
              <w:rPr>
                <w:rFonts w:hint="default" w:ascii="Times New Roman" w:hAnsi="Times New Roman" w:eastAsia="宋体" w:cs="Times New Roman"/>
                <w:color w:val="auto"/>
                <w:sz w:val="24"/>
                <w:szCs w:val="24"/>
                <w:highlight w:val="none"/>
                <w:lang w:val="en-US" w:eastAsia="zh-CN"/>
              </w:rPr>
              <w:t>9-S</w:t>
            </w:r>
            <w:r>
              <w:rPr>
                <w:rFonts w:hint="eastAsia" w:cs="Times New Roman"/>
                <w:color w:val="auto"/>
                <w:sz w:val="24"/>
                <w:szCs w:val="24"/>
                <w:highlight w:val="none"/>
                <w:lang w:val="en-US" w:eastAsia="zh-CN"/>
              </w:rPr>
              <w:t>07</w:t>
            </w:r>
            <w:r>
              <w:rPr>
                <w:rFonts w:hint="default" w:ascii="Times New Roman" w:hAnsi="Times New Roman" w:eastAsia="宋体" w:cs="Times New Roman"/>
                <w:color w:val="auto"/>
                <w:sz w:val="24"/>
                <w:szCs w:val="24"/>
                <w:highlight w:val="none"/>
                <w:lang w:val="en-US" w:eastAsia="zh-CN"/>
              </w:rPr>
              <w:t>。</w:t>
            </w:r>
          </w:p>
          <w:p w14:paraId="68A4245C">
            <w:pPr>
              <w:keepNext/>
              <w:keepLines/>
              <w:numPr>
                <w:ilvl w:val="4"/>
                <w:numId w:val="0"/>
              </w:numPr>
              <w:suppressLineNumbers w:val="0"/>
              <w:tabs>
                <w:tab w:val="left" w:pos="0"/>
              </w:tabs>
              <w:spacing w:before="0" w:beforeAutospacing="0" w:after="0" w:afterAutospacing="0"/>
              <w:ind w:left="0" w:right="0" w:firstLine="480" w:firstLineChars="200"/>
              <w:outlineLvl w:val="4"/>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w:t>
            </w:r>
            <w:r>
              <w:rPr>
                <w:rFonts w:hint="eastAsia" w:cs="Times New Roman"/>
                <w:b/>
                <w:bCs/>
                <w:color w:val="auto"/>
                <w:highlight w:val="none"/>
                <w:lang w:val="en-US" w:eastAsia="zh-CN"/>
              </w:rPr>
              <w:t>2</w:t>
            </w:r>
            <w:r>
              <w:rPr>
                <w:rFonts w:hint="default" w:ascii="Times New Roman" w:hAnsi="Times New Roman" w:cs="Times New Roman"/>
                <w:b/>
                <w:bCs/>
                <w:color w:val="auto"/>
                <w:highlight w:val="none"/>
              </w:rPr>
              <w:t>）危险废物</w:t>
            </w:r>
          </w:p>
          <w:p w14:paraId="52FDE334">
            <w:pPr>
              <w:pStyle w:val="12"/>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eastAsia="宋体" w:cs="Times New Roman"/>
                <w:color w:val="auto"/>
                <w:kern w:val="2"/>
                <w:sz w:val="24"/>
                <w:szCs w:val="24"/>
                <w:highlight w:val="none"/>
                <w:lang w:val="en-US" w:eastAsia="zh-CN" w:bidi="ar-SA"/>
              </w:rPr>
              <w:t>本项目产生的危险废物为生产机械检修产生的废油桶</w:t>
            </w:r>
            <w:r>
              <w:rPr>
                <w:rFonts w:hint="eastAsia"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废</w:t>
            </w:r>
            <w:r>
              <w:rPr>
                <w:rFonts w:hint="eastAsia" w:ascii="Times New Roman" w:hAnsi="Times New Roman" w:eastAsia="宋体" w:cs="Times New Roman"/>
                <w:color w:val="auto"/>
                <w:kern w:val="2"/>
                <w:sz w:val="24"/>
                <w:szCs w:val="24"/>
                <w:highlight w:val="none"/>
                <w:lang w:val="en-US" w:eastAsia="zh-CN" w:bidi="ar-SA"/>
              </w:rPr>
              <w:t>机</w:t>
            </w:r>
            <w:r>
              <w:rPr>
                <w:rFonts w:hint="default" w:ascii="Times New Roman" w:hAnsi="Times New Roman" w:eastAsia="宋体" w:cs="Times New Roman"/>
                <w:color w:val="auto"/>
                <w:kern w:val="2"/>
                <w:sz w:val="24"/>
                <w:szCs w:val="24"/>
                <w:highlight w:val="none"/>
                <w:lang w:val="en-US" w:eastAsia="zh-CN" w:bidi="ar-SA"/>
              </w:rPr>
              <w:t>油</w:t>
            </w:r>
            <w:r>
              <w:rPr>
                <w:rFonts w:hint="eastAsia" w:ascii="Times New Roman" w:hAnsi="Times New Roman" w:eastAsia="宋体"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含油</w:t>
            </w:r>
            <w:r>
              <w:rPr>
                <w:rFonts w:hint="eastAsia" w:cs="Times New Roman"/>
                <w:color w:val="auto"/>
                <w:kern w:val="2"/>
                <w:sz w:val="24"/>
                <w:szCs w:val="24"/>
                <w:highlight w:val="none"/>
                <w:lang w:val="en-US" w:eastAsia="zh-CN" w:bidi="ar-SA"/>
              </w:rPr>
              <w:t>废</w:t>
            </w:r>
            <w:r>
              <w:rPr>
                <w:rFonts w:hint="default" w:ascii="Times New Roman" w:hAnsi="Times New Roman" w:eastAsia="宋体" w:cs="Times New Roman"/>
                <w:color w:val="auto"/>
                <w:kern w:val="2"/>
                <w:sz w:val="24"/>
                <w:szCs w:val="24"/>
                <w:highlight w:val="none"/>
                <w:lang w:val="en-US" w:eastAsia="zh-CN" w:bidi="ar-SA"/>
              </w:rPr>
              <w:t>抹布</w:t>
            </w:r>
            <w:r>
              <w:rPr>
                <w:rFonts w:hint="eastAsia" w:cs="Times New Roman"/>
                <w:color w:val="auto"/>
                <w:kern w:val="2"/>
                <w:sz w:val="24"/>
                <w:szCs w:val="24"/>
                <w:highlight w:val="none"/>
                <w:lang w:val="en-US" w:eastAsia="zh-CN" w:bidi="ar-SA"/>
              </w:rPr>
              <w:t>、</w:t>
            </w:r>
            <w:r>
              <w:rPr>
                <w:rFonts w:hint="default" w:ascii="Times New Roman" w:hAnsi="Times New Roman" w:cs="Times New Roman"/>
                <w:b w:val="0"/>
                <w:bCs w:val="0"/>
                <w:color w:val="auto"/>
                <w:sz w:val="24"/>
                <w:szCs w:val="24"/>
                <w:highlight w:val="none"/>
                <w:lang w:eastAsia="zh-CN"/>
              </w:rPr>
              <w:t>废包装桶</w:t>
            </w:r>
            <w:r>
              <w:rPr>
                <w:rFonts w:hint="eastAsia" w:ascii="Times New Roman" w:hAnsi="Times New Roman" w:cs="Times New Roman"/>
                <w:b w:val="0"/>
                <w:bCs w:val="0"/>
                <w:color w:val="auto"/>
                <w:sz w:val="24"/>
                <w:szCs w:val="24"/>
                <w:highlight w:val="none"/>
                <w:lang w:eastAsia="zh-CN"/>
              </w:rPr>
              <w:t>、</w:t>
            </w:r>
            <w:r>
              <w:rPr>
                <w:rFonts w:hint="eastAsia" w:ascii="Times New Roman" w:hAnsi="Times New Roman" w:cs="Times New Roman"/>
                <w:b w:val="0"/>
                <w:bCs w:val="0"/>
                <w:color w:val="auto"/>
                <w:sz w:val="24"/>
                <w:szCs w:val="24"/>
                <w:highlight w:val="none"/>
                <w:lang w:val="en-US" w:eastAsia="zh-CN"/>
              </w:rPr>
              <w:t>废烧碱包装袋</w:t>
            </w:r>
            <w:r>
              <w:rPr>
                <w:rFonts w:hint="eastAsia" w:cs="Times New Roman"/>
                <w:b w:val="0"/>
                <w:bCs w:val="0"/>
                <w:color w:val="auto"/>
                <w:sz w:val="24"/>
                <w:szCs w:val="24"/>
                <w:highlight w:val="none"/>
                <w:lang w:val="en-US" w:eastAsia="zh-CN"/>
              </w:rPr>
              <w:t>、废柴油桶</w:t>
            </w:r>
            <w:r>
              <w:rPr>
                <w:rFonts w:hint="eastAsia" w:cs="Times New Roman"/>
                <w:b w:val="0"/>
                <w:bCs w:val="0"/>
                <w:color w:val="auto"/>
                <w:kern w:val="2"/>
                <w:sz w:val="24"/>
                <w:szCs w:val="24"/>
                <w:highlight w:val="none"/>
                <w:lang w:val="en-US" w:eastAsia="zh-CN" w:bidi="ar-SA"/>
              </w:rPr>
              <w:t>。</w:t>
            </w:r>
            <w:r>
              <w:rPr>
                <w:rFonts w:hint="default" w:ascii="Times New Roman" w:hAnsi="Times New Roman" w:cs="Times New Roman"/>
                <w:b w:val="0"/>
                <w:bCs w:val="0"/>
                <w:color w:val="auto"/>
                <w:highlight w:val="none"/>
              </w:rPr>
              <w:t>危险废物类别根据</w:t>
            </w:r>
            <w:r>
              <w:rPr>
                <w:rFonts w:hint="default" w:ascii="Times New Roman" w:hAnsi="Times New Roman" w:cs="Times New Roman"/>
                <w:b w:val="0"/>
                <w:bCs w:val="0"/>
                <w:color w:val="auto"/>
                <w:highlight w:val="none"/>
                <w:lang w:eastAsia="zh-CN"/>
              </w:rPr>
              <w:t>《国家危险废物名录》（2025年版）</w:t>
            </w:r>
            <w:r>
              <w:rPr>
                <w:rFonts w:hint="default" w:ascii="Times New Roman" w:hAnsi="Times New Roman" w:cs="Times New Roman"/>
                <w:b w:val="0"/>
                <w:bCs w:val="0"/>
                <w:color w:val="auto"/>
                <w:highlight w:val="none"/>
              </w:rPr>
              <w:t>进行辨</w:t>
            </w:r>
            <w:r>
              <w:rPr>
                <w:rFonts w:hint="default" w:ascii="Times New Roman" w:hAnsi="Times New Roman" w:cs="Times New Roman"/>
                <w:color w:val="auto"/>
                <w:highlight w:val="none"/>
              </w:rPr>
              <w:t>识，分类收集后委托危险废物资质单位处理。</w:t>
            </w:r>
          </w:p>
          <w:p w14:paraId="5C12704B">
            <w:pPr>
              <w:pStyle w:val="7"/>
              <w:numPr>
                <w:ilvl w:val="5"/>
                <w:numId w:val="0"/>
              </w:numPr>
              <w:suppressLineNumbers w:val="0"/>
              <w:spacing w:before="0" w:beforeAutospacing="0" w:after="0" w:afterAutospacing="0"/>
              <w:ind w:left="0" w:right="0" w:firstLine="480" w:firstLineChars="200"/>
              <w:rPr>
                <w:rFonts w:hint="default" w:ascii="Times New Roman" w:hAnsi="Times New Roman" w:cs="Times New Roman"/>
                <w:b/>
                <w:bCs/>
                <w:color w:val="auto"/>
                <w:szCs w:val="24"/>
                <w:highlight w:val="none"/>
              </w:rPr>
            </w:pPr>
            <w:r>
              <w:rPr>
                <w:rFonts w:hint="eastAsia" w:cs="Times New Roman"/>
                <w:b/>
                <w:bCs/>
                <w:color w:val="auto"/>
                <w:szCs w:val="24"/>
                <w:highlight w:val="none"/>
                <w:lang w:val="en-US" w:eastAsia="zh-CN"/>
              </w:rPr>
              <w:t>①</w:t>
            </w:r>
            <w:r>
              <w:rPr>
                <w:rFonts w:hint="default" w:ascii="Times New Roman" w:hAnsi="Times New Roman" w:cs="Times New Roman"/>
                <w:b/>
                <w:bCs/>
                <w:color w:val="auto"/>
                <w:szCs w:val="24"/>
                <w:highlight w:val="none"/>
              </w:rPr>
              <w:t>废油桶</w:t>
            </w:r>
          </w:p>
          <w:p w14:paraId="60CFC09F">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eastAsia" w:cs="Times New Roman"/>
                <w:color w:val="auto"/>
                <w:highlight w:val="none"/>
                <w:lang w:val="en-US" w:eastAsia="zh-CN"/>
              </w:rPr>
              <w:t>废油桶主要包括废机油</w:t>
            </w:r>
            <w:r>
              <w:rPr>
                <w:rFonts w:hint="default" w:ascii="Times New Roman" w:hAnsi="Times New Roman" w:cs="Times New Roman"/>
                <w:color w:val="auto"/>
                <w:highlight w:val="none"/>
              </w:rPr>
              <w:t>保养设备设施会用到机油，用量很少，润滑油规格有：200L/桶（</w:t>
            </w:r>
            <w:r>
              <w:rPr>
                <w:rFonts w:hint="default" w:ascii="Times New Roman" w:hAnsi="Times New Roman" w:cs="Times New Roman"/>
                <w:color w:val="auto"/>
                <w:highlight w:val="none"/>
                <w:lang w:val="en-US" w:eastAsia="zh-CN"/>
              </w:rPr>
              <w:t>本项目使用5</w:t>
            </w:r>
            <w:r>
              <w:rPr>
                <w:rFonts w:hint="default" w:ascii="Times New Roman" w:hAnsi="Times New Roman" w:cs="Times New Roman"/>
                <w:color w:val="auto"/>
                <w:highlight w:val="none"/>
              </w:rPr>
              <w:t>桶），润滑油空桶按</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kg/桶计算。则本项目产生废机油空桶约0.0</w:t>
            </w:r>
            <w:r>
              <w:rPr>
                <w:rFonts w:hint="default" w:ascii="Times New Roman" w:hAnsi="Times New Roman" w:cs="Times New Roman"/>
                <w:color w:val="auto"/>
                <w:highlight w:val="none"/>
                <w:lang w:val="en-US" w:eastAsia="zh-CN"/>
              </w:rPr>
              <w:t>25t</w:t>
            </w:r>
            <w:r>
              <w:rPr>
                <w:rFonts w:hint="default" w:ascii="Times New Roman" w:hAnsi="Times New Roman" w:cs="Times New Roman"/>
                <w:color w:val="auto"/>
                <w:highlight w:val="none"/>
              </w:rPr>
              <w:t>/a。根据</w:t>
            </w:r>
            <w:r>
              <w:rPr>
                <w:rFonts w:hint="default" w:ascii="Times New Roman" w:hAnsi="Times New Roman" w:cs="Times New Roman"/>
                <w:color w:val="auto"/>
                <w:highlight w:val="none"/>
                <w:lang w:eastAsia="zh-CN"/>
              </w:rPr>
              <w:t>《国家危险废物名录》（2025年版）</w:t>
            </w:r>
            <w:r>
              <w:rPr>
                <w:rFonts w:hint="default" w:ascii="Times New Roman" w:hAnsi="Times New Roman" w:cs="Times New Roman"/>
                <w:color w:val="auto"/>
                <w:highlight w:val="none"/>
              </w:rPr>
              <w:t>，废机油空桶属于</w:t>
            </w:r>
            <w:r>
              <w:rPr>
                <w:rFonts w:hint="default" w:ascii="Times New Roman" w:hAnsi="Times New Roman" w:cs="Times New Roman"/>
                <w:color w:val="auto"/>
                <w:highlight w:val="none"/>
                <w:lang w:eastAsia="zh-CN"/>
              </w:rPr>
              <w:t>《国家危险废物名录》（2025年版）</w:t>
            </w:r>
            <w:r>
              <w:rPr>
                <w:rFonts w:hint="default" w:ascii="Times New Roman" w:hAnsi="Times New Roman" w:cs="Times New Roman"/>
                <w:color w:val="auto"/>
                <w:highlight w:val="none"/>
              </w:rPr>
              <w:t>中编号为HW</w:t>
            </w:r>
            <w:r>
              <w:rPr>
                <w:rFonts w:hint="default" w:ascii="Times New Roman" w:hAnsi="Times New Roman" w:cs="Times New Roman"/>
                <w:color w:val="auto"/>
                <w:highlight w:val="none"/>
                <w:lang w:val="en-US" w:eastAsia="zh-CN"/>
              </w:rPr>
              <w:t>08</w:t>
            </w:r>
            <w:r>
              <w:rPr>
                <w:rFonts w:hint="default" w:ascii="Times New Roman" w:hAnsi="Times New Roman" w:cs="Times New Roman"/>
                <w:color w:val="auto"/>
                <w:highlight w:val="none"/>
              </w:rPr>
              <w:t>危险废物，废物代码900-249-08</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其他生产、销售、使用过程中产生的废矿物油及沾染矿物油的废弃包装物”危险废物，经统一收集后交由有危险废物处理资质的单位处理。</w:t>
            </w:r>
          </w:p>
          <w:p w14:paraId="52C5ACED">
            <w:pPr>
              <w:pStyle w:val="7"/>
              <w:numPr>
                <w:ilvl w:val="5"/>
                <w:numId w:val="0"/>
              </w:numPr>
              <w:suppressLineNumbers w:val="0"/>
              <w:spacing w:before="0" w:beforeAutospacing="0" w:after="0" w:afterAutospacing="0"/>
              <w:ind w:left="0" w:right="0" w:firstLine="480" w:firstLineChars="200"/>
              <w:rPr>
                <w:rFonts w:hint="default" w:ascii="Times New Roman" w:hAnsi="Times New Roman" w:cs="Times New Roman"/>
                <w:b/>
                <w:bCs/>
                <w:color w:val="auto"/>
                <w:szCs w:val="24"/>
                <w:highlight w:val="none"/>
              </w:rPr>
            </w:pPr>
            <w:r>
              <w:rPr>
                <w:rFonts w:hint="eastAsia" w:cs="Times New Roman"/>
                <w:b/>
                <w:bCs/>
                <w:color w:val="auto"/>
                <w:highlight w:val="none"/>
                <w:lang w:val="en-US" w:eastAsia="zh-CN"/>
              </w:rPr>
              <w:t>②</w:t>
            </w:r>
            <w:r>
              <w:rPr>
                <w:rFonts w:hint="default" w:ascii="Times New Roman" w:hAnsi="Times New Roman" w:cs="Times New Roman"/>
                <w:b/>
                <w:bCs/>
                <w:color w:val="auto"/>
                <w:szCs w:val="24"/>
                <w:highlight w:val="none"/>
              </w:rPr>
              <w:t>废机油</w:t>
            </w:r>
          </w:p>
          <w:p w14:paraId="24E6F19C">
            <w:pPr>
              <w:pStyle w:val="46"/>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本项目在进行设备保养的过程中会产生废机油，废机油</w:t>
            </w:r>
            <w:r>
              <w:rPr>
                <w:rFonts w:hint="default" w:ascii="Times New Roman" w:hAnsi="Times New Roman" w:cs="Times New Roman"/>
                <w:color w:val="auto"/>
                <w:highlight w:val="none"/>
                <w:lang w:val="en-US" w:eastAsia="zh-CN"/>
              </w:rPr>
              <w:t>年产量约为</w:t>
            </w:r>
            <w:r>
              <w:rPr>
                <w:rFonts w:hint="default" w:ascii="Times New Roman" w:hAnsi="Times New Roman" w:cs="Times New Roman"/>
                <w:color w:val="auto"/>
                <w:kern w:val="0"/>
                <w:sz w:val="24"/>
                <w:szCs w:val="24"/>
                <w:highlight w:val="none"/>
                <w:lang w:val="en-US" w:eastAsia="zh-CN"/>
              </w:rPr>
              <w:t>0.90t/a</w:t>
            </w:r>
            <w:r>
              <w:rPr>
                <w:rFonts w:hint="eastAsia" w:ascii="Times New Roman" w:cs="Times New Roman"/>
                <w:color w:val="auto"/>
                <w:kern w:val="0"/>
                <w:sz w:val="24"/>
                <w:szCs w:val="24"/>
                <w:highlight w:val="none"/>
                <w:lang w:val="en-US" w:eastAsia="zh-CN"/>
              </w:rPr>
              <w:t>。</w:t>
            </w:r>
            <w:r>
              <w:rPr>
                <w:rFonts w:hint="default" w:ascii="Times New Roman" w:hAnsi="Times New Roman" w:cs="Times New Roman"/>
                <w:color w:val="auto"/>
                <w:highlight w:val="none"/>
              </w:rPr>
              <w:t>根据</w:t>
            </w:r>
            <w:r>
              <w:rPr>
                <w:rFonts w:hint="default" w:ascii="Times New Roman" w:hAnsi="Times New Roman" w:cs="Times New Roman"/>
                <w:color w:val="auto"/>
                <w:highlight w:val="none"/>
                <w:lang w:eastAsia="zh-CN"/>
              </w:rPr>
              <w:t>《国家危险废物名录》（2025年版）</w:t>
            </w:r>
            <w:r>
              <w:rPr>
                <w:rFonts w:hint="default" w:ascii="Times New Roman" w:hAnsi="Times New Roman" w:cs="Times New Roman"/>
                <w:color w:val="auto"/>
                <w:highlight w:val="none"/>
              </w:rPr>
              <w:t>，废机油</w:t>
            </w:r>
            <w:r>
              <w:rPr>
                <w:rFonts w:hint="eastAsia" w:ascii="Times New Roman" w:cs="Times New Roman"/>
                <w:color w:val="auto"/>
                <w:highlight w:val="none"/>
                <w:lang w:val="en-US" w:eastAsia="zh-CN"/>
              </w:rPr>
              <w:t>与废柴油桶</w:t>
            </w:r>
            <w:r>
              <w:rPr>
                <w:rFonts w:hint="default" w:ascii="Times New Roman" w:hAnsi="Times New Roman" w:cs="Times New Roman"/>
                <w:color w:val="auto"/>
                <w:highlight w:val="none"/>
              </w:rPr>
              <w:t>属于“HW08废矿物油与含矿物油废物”类别中代码为900-249-08“其他生产、销售、使用过程中产生的废矿物油及沾染矿物油的废弃包装物”危险废物，经统一收集后交由有危险废物处理资质的单位处理。</w:t>
            </w:r>
          </w:p>
          <w:p w14:paraId="53C2B11B">
            <w:pPr>
              <w:pStyle w:val="46"/>
              <w:keepNext w:val="0"/>
              <w:keepLines w:val="0"/>
              <w:suppressLineNumbers w:val="0"/>
              <w:spacing w:before="0" w:beforeAutospacing="0" w:after="0" w:afterAutospacing="0"/>
              <w:ind w:left="0" w:right="0" w:firstLine="480" w:firstLineChars="200"/>
              <w:rPr>
                <w:rFonts w:hint="default" w:ascii="Times New Roman" w:hAnsi="Times New Roman" w:cs="Times New Roman"/>
                <w:b/>
                <w:bCs/>
                <w:color w:val="auto"/>
                <w:sz w:val="24"/>
                <w:szCs w:val="24"/>
                <w:highlight w:val="none"/>
                <w:lang w:eastAsia="zh-CN"/>
              </w:rPr>
            </w:pPr>
            <w:r>
              <w:rPr>
                <w:rFonts w:hint="eastAsia" w:ascii="Times New Roman" w:cs="Times New Roman"/>
                <w:b/>
                <w:bCs/>
                <w:color w:val="auto"/>
                <w:sz w:val="24"/>
                <w:szCs w:val="24"/>
                <w:highlight w:val="none"/>
                <w:lang w:val="en-US" w:eastAsia="zh-CN"/>
              </w:rPr>
              <w:t>③</w:t>
            </w:r>
            <w:r>
              <w:rPr>
                <w:rFonts w:hint="default" w:ascii="Times New Roman" w:hAnsi="Times New Roman" w:cs="Times New Roman"/>
                <w:b/>
                <w:bCs/>
                <w:color w:val="auto"/>
                <w:sz w:val="24"/>
                <w:szCs w:val="24"/>
                <w:highlight w:val="none"/>
                <w:lang w:eastAsia="zh-CN"/>
              </w:rPr>
              <w:t>废包装桶</w:t>
            </w:r>
          </w:p>
          <w:p w14:paraId="656026B5">
            <w:pPr>
              <w:pStyle w:val="46"/>
              <w:keepNext w:val="0"/>
              <w:keepLines w:val="0"/>
              <w:suppressLineNumbers w:val="0"/>
              <w:spacing w:before="0" w:beforeAutospacing="0" w:after="0" w:afterAutospacing="0"/>
              <w:ind w:left="0" w:right="0" w:firstLine="480" w:firstLineChars="200"/>
              <w:rPr>
                <w:rFonts w:hint="default" w:ascii="Times New Roman" w:hAnsi="Times New Roman" w:cs="Times New Roman"/>
                <w:b w:val="0"/>
                <w:bCs w:val="0"/>
                <w:color w:val="auto"/>
                <w:sz w:val="24"/>
                <w:szCs w:val="24"/>
                <w:highlight w:val="none"/>
                <w:lang w:val="en-US" w:eastAsia="zh-CN"/>
              </w:rPr>
            </w:pPr>
            <w:r>
              <w:rPr>
                <w:rFonts w:hint="default" w:ascii="Times New Roman" w:hAnsi="Times New Roman" w:cs="Times New Roman"/>
                <w:b w:val="0"/>
                <w:bCs w:val="0"/>
                <w:color w:val="auto"/>
                <w:sz w:val="24"/>
                <w:szCs w:val="24"/>
                <w:highlight w:val="none"/>
                <w:lang w:eastAsia="zh-CN"/>
              </w:rPr>
              <w:t>项目自建污水处理站使用</w:t>
            </w:r>
            <w:r>
              <w:rPr>
                <w:rFonts w:hint="default" w:ascii="Times New Roman" w:hAnsi="Times New Roman" w:cs="Times New Roman"/>
                <w:b w:val="0"/>
                <w:bCs w:val="0"/>
                <w:color w:val="auto"/>
                <w:sz w:val="24"/>
                <w:szCs w:val="24"/>
                <w:highlight w:val="none"/>
              </w:rPr>
              <w:t>pH调整剂</w:t>
            </w:r>
            <w:r>
              <w:rPr>
                <w:rFonts w:hint="default" w:ascii="Times New Roman" w:hAnsi="Times New Roman" w:cs="Times New Roman"/>
                <w:b w:val="0"/>
                <w:bCs w:val="0"/>
                <w:color w:val="auto"/>
                <w:sz w:val="24"/>
                <w:szCs w:val="24"/>
                <w:highlight w:val="none"/>
                <w:lang w:eastAsia="zh-CN"/>
              </w:rPr>
              <w:t>调节废水</w:t>
            </w:r>
            <w:r>
              <w:rPr>
                <w:rFonts w:hint="default" w:ascii="Times New Roman" w:hAnsi="Times New Roman" w:cs="Times New Roman"/>
                <w:b w:val="0"/>
                <w:bCs w:val="0"/>
                <w:color w:val="auto"/>
                <w:sz w:val="24"/>
                <w:szCs w:val="24"/>
                <w:highlight w:val="none"/>
                <w:lang w:val="en-US" w:eastAsia="zh-CN"/>
              </w:rPr>
              <w:t>pH（70%硫酸），故会产生</w:t>
            </w:r>
            <w:r>
              <w:rPr>
                <w:rFonts w:hint="default" w:ascii="Times New Roman" w:hAnsi="Times New Roman" w:cs="Times New Roman"/>
                <w:b w:val="0"/>
                <w:bCs w:val="0"/>
                <w:color w:val="auto"/>
                <w:sz w:val="24"/>
                <w:szCs w:val="24"/>
                <w:highlight w:val="none"/>
                <w:lang w:eastAsia="zh-CN"/>
              </w:rPr>
              <w:t>废</w:t>
            </w:r>
            <w:r>
              <w:rPr>
                <w:rFonts w:hint="default" w:ascii="Times New Roman" w:hAnsi="Times New Roman" w:cs="Times New Roman"/>
                <w:b w:val="0"/>
                <w:bCs w:val="0"/>
                <w:color w:val="auto"/>
                <w:sz w:val="24"/>
                <w:szCs w:val="24"/>
                <w:highlight w:val="none"/>
              </w:rPr>
              <w:t>pH调整剂</w:t>
            </w:r>
            <w:r>
              <w:rPr>
                <w:rFonts w:hint="default" w:ascii="Times New Roman" w:hAnsi="Times New Roman" w:cs="Times New Roman"/>
                <w:b w:val="0"/>
                <w:bCs w:val="0"/>
                <w:color w:val="auto"/>
                <w:sz w:val="24"/>
                <w:szCs w:val="24"/>
                <w:highlight w:val="none"/>
                <w:lang w:eastAsia="zh-CN"/>
              </w:rPr>
              <w:t>包装桶，项目年使用</w:t>
            </w:r>
            <w:r>
              <w:rPr>
                <w:rFonts w:hint="eastAsia" w:ascii="Times New Roman" w:cs="Times New Roman"/>
                <w:b w:val="0"/>
                <w:bCs w:val="0"/>
                <w:color w:val="auto"/>
                <w:sz w:val="24"/>
                <w:szCs w:val="24"/>
                <w:highlight w:val="none"/>
                <w:lang w:val="en-US" w:eastAsia="zh-CN"/>
              </w:rPr>
              <w:t>28</w:t>
            </w:r>
            <w:r>
              <w:rPr>
                <w:rFonts w:hint="default" w:ascii="Times New Roman" w:hAnsi="Times New Roman" w:cs="Times New Roman"/>
                <w:b w:val="0"/>
                <w:bCs w:val="0"/>
                <w:color w:val="auto"/>
                <w:sz w:val="24"/>
                <w:szCs w:val="24"/>
                <w:highlight w:val="none"/>
                <w:lang w:val="en-US" w:eastAsia="zh-CN"/>
              </w:rPr>
              <w:t>吨</w:t>
            </w:r>
            <w:r>
              <w:rPr>
                <w:rFonts w:hint="default" w:ascii="Times New Roman" w:hAnsi="Times New Roman" w:cs="Times New Roman"/>
                <w:b w:val="0"/>
                <w:bCs w:val="0"/>
                <w:color w:val="auto"/>
                <w:sz w:val="24"/>
                <w:szCs w:val="24"/>
                <w:highlight w:val="none"/>
              </w:rPr>
              <w:t>pH调整剂</w:t>
            </w:r>
            <w:r>
              <w:rPr>
                <w:rFonts w:hint="default" w:ascii="Times New Roman" w:hAnsi="Times New Roman" w:cs="Times New Roman"/>
                <w:b w:val="0"/>
                <w:bCs w:val="0"/>
                <w:color w:val="auto"/>
                <w:sz w:val="24"/>
                <w:szCs w:val="24"/>
                <w:highlight w:val="none"/>
                <w:lang w:eastAsia="zh-CN"/>
              </w:rPr>
              <w:t>，</w:t>
            </w:r>
            <w:r>
              <w:rPr>
                <w:rFonts w:hint="default" w:ascii="Times New Roman" w:hAnsi="Times New Roman" w:cs="Times New Roman"/>
                <w:b w:val="0"/>
                <w:bCs w:val="0"/>
                <w:color w:val="auto"/>
                <w:sz w:val="24"/>
                <w:szCs w:val="24"/>
                <w:highlight w:val="none"/>
                <w:lang w:val="en-US" w:eastAsia="zh-CN"/>
              </w:rPr>
              <w:t>包装规格为25kg/桶，年使用</w:t>
            </w:r>
            <w:r>
              <w:rPr>
                <w:rFonts w:hint="eastAsia" w:ascii="Times New Roman" w:cs="Times New Roman"/>
                <w:b w:val="0"/>
                <w:bCs w:val="0"/>
                <w:color w:val="auto"/>
                <w:sz w:val="24"/>
                <w:szCs w:val="24"/>
                <w:highlight w:val="none"/>
                <w:lang w:val="en-US" w:eastAsia="zh-CN"/>
              </w:rPr>
              <w:t>112</w:t>
            </w:r>
            <w:r>
              <w:rPr>
                <w:rFonts w:hint="default" w:ascii="Times New Roman" w:hAnsi="Times New Roman" w:cs="Times New Roman"/>
                <w:b w:val="0"/>
                <w:bCs w:val="0"/>
                <w:color w:val="auto"/>
                <w:sz w:val="24"/>
                <w:szCs w:val="24"/>
                <w:highlight w:val="none"/>
                <w:lang w:val="en-US" w:eastAsia="zh-CN"/>
              </w:rPr>
              <w:t>桶，单个废桶重1kg，故会产生</w:t>
            </w:r>
            <w:r>
              <w:rPr>
                <w:rFonts w:hint="default" w:ascii="Times New Roman" w:hAnsi="Times New Roman" w:cs="Times New Roman"/>
                <w:b w:val="0"/>
                <w:bCs w:val="0"/>
                <w:color w:val="auto"/>
                <w:sz w:val="24"/>
                <w:szCs w:val="24"/>
                <w:highlight w:val="none"/>
                <w:lang w:eastAsia="zh-CN"/>
              </w:rPr>
              <w:t>废</w:t>
            </w:r>
            <w:r>
              <w:rPr>
                <w:rFonts w:hint="default" w:ascii="Times New Roman" w:hAnsi="Times New Roman" w:cs="Times New Roman"/>
                <w:b w:val="0"/>
                <w:bCs w:val="0"/>
                <w:color w:val="auto"/>
                <w:sz w:val="24"/>
                <w:szCs w:val="24"/>
                <w:highlight w:val="none"/>
              </w:rPr>
              <w:t>pH调整剂</w:t>
            </w:r>
            <w:r>
              <w:rPr>
                <w:rFonts w:hint="default" w:ascii="Times New Roman" w:hAnsi="Times New Roman" w:cs="Times New Roman"/>
                <w:b w:val="0"/>
                <w:bCs w:val="0"/>
                <w:color w:val="auto"/>
                <w:sz w:val="24"/>
                <w:szCs w:val="24"/>
                <w:highlight w:val="none"/>
                <w:lang w:eastAsia="zh-CN"/>
              </w:rPr>
              <w:t>包装桶</w:t>
            </w:r>
            <w:r>
              <w:rPr>
                <w:rFonts w:hint="default" w:ascii="Times New Roman" w:hAnsi="Times New Roman" w:cs="Times New Roman"/>
                <w:b w:val="0"/>
                <w:bCs w:val="0"/>
                <w:color w:val="auto"/>
                <w:sz w:val="24"/>
                <w:szCs w:val="24"/>
                <w:highlight w:val="none"/>
                <w:lang w:val="en-US" w:eastAsia="zh-CN"/>
              </w:rPr>
              <w:t>0.</w:t>
            </w:r>
            <w:r>
              <w:rPr>
                <w:rFonts w:hint="eastAsia" w:ascii="Times New Roman" w:cs="Times New Roman"/>
                <w:b w:val="0"/>
                <w:bCs w:val="0"/>
                <w:color w:val="auto"/>
                <w:sz w:val="24"/>
                <w:szCs w:val="24"/>
                <w:highlight w:val="none"/>
                <w:lang w:val="en-US" w:eastAsia="zh-CN"/>
              </w:rPr>
              <w:t>1</w:t>
            </w:r>
            <w:r>
              <w:rPr>
                <w:rFonts w:hint="default" w:ascii="Times New Roman" w:hAnsi="Times New Roman" w:cs="Times New Roman"/>
                <w:b w:val="0"/>
                <w:bCs w:val="0"/>
                <w:color w:val="auto"/>
                <w:sz w:val="24"/>
                <w:szCs w:val="24"/>
                <w:highlight w:val="none"/>
                <w:lang w:val="en-US" w:eastAsia="zh-CN"/>
              </w:rPr>
              <w:t>t/a。</w:t>
            </w:r>
            <w:r>
              <w:rPr>
                <w:rFonts w:hint="default" w:ascii="Times New Roman" w:hAnsi="Times New Roman" w:cs="Times New Roman"/>
                <w:color w:val="auto"/>
                <w:highlight w:val="none"/>
              </w:rPr>
              <w:t>根据</w:t>
            </w:r>
            <w:r>
              <w:rPr>
                <w:rFonts w:hint="default" w:ascii="Times New Roman" w:hAnsi="Times New Roman" w:cs="Times New Roman"/>
                <w:color w:val="auto"/>
                <w:highlight w:val="none"/>
                <w:lang w:eastAsia="zh-CN"/>
              </w:rPr>
              <w:t>《国家危险废物名录》（2025年版）</w:t>
            </w:r>
            <w:r>
              <w:rPr>
                <w:rFonts w:hint="default" w:ascii="Times New Roman" w:hAnsi="Times New Roman" w:cs="Times New Roman"/>
                <w:color w:val="auto"/>
                <w:highlight w:val="none"/>
              </w:rPr>
              <w:t>，</w:t>
            </w:r>
            <w:r>
              <w:rPr>
                <w:rFonts w:hint="default" w:ascii="Times New Roman" w:hAnsi="Times New Roman" w:cs="Times New Roman"/>
                <w:b w:val="0"/>
                <w:bCs w:val="0"/>
                <w:color w:val="auto"/>
                <w:sz w:val="24"/>
                <w:szCs w:val="24"/>
                <w:highlight w:val="none"/>
                <w:lang w:eastAsia="zh-CN"/>
              </w:rPr>
              <w:t>废</w:t>
            </w:r>
            <w:r>
              <w:rPr>
                <w:rFonts w:hint="default" w:ascii="Times New Roman" w:hAnsi="Times New Roman" w:cs="Times New Roman"/>
                <w:b w:val="0"/>
                <w:bCs w:val="0"/>
                <w:color w:val="auto"/>
                <w:sz w:val="24"/>
                <w:szCs w:val="24"/>
                <w:highlight w:val="none"/>
              </w:rPr>
              <w:t>pH调整剂</w:t>
            </w:r>
            <w:r>
              <w:rPr>
                <w:rFonts w:hint="default" w:ascii="Times New Roman" w:hAnsi="Times New Roman" w:cs="Times New Roman"/>
                <w:b w:val="0"/>
                <w:bCs w:val="0"/>
                <w:color w:val="auto"/>
                <w:sz w:val="24"/>
                <w:szCs w:val="24"/>
                <w:highlight w:val="none"/>
                <w:lang w:eastAsia="zh-CN"/>
              </w:rPr>
              <w:t>包装</w:t>
            </w:r>
            <w:r>
              <w:rPr>
                <w:rFonts w:hint="default" w:ascii="Times New Roman" w:hAnsi="Times New Roman" w:cs="Times New Roman"/>
                <w:color w:val="auto"/>
                <w:highlight w:val="none"/>
              </w:rPr>
              <w:t>桶属于</w:t>
            </w:r>
            <w:r>
              <w:rPr>
                <w:rFonts w:hint="default" w:ascii="Times New Roman" w:hAnsi="Times New Roman" w:cs="Times New Roman"/>
                <w:color w:val="auto"/>
                <w:highlight w:val="none"/>
                <w:lang w:eastAsia="zh-CN"/>
              </w:rPr>
              <w:t>《国家危险废物名录》（2025年版）</w:t>
            </w:r>
            <w:r>
              <w:rPr>
                <w:rFonts w:hint="default" w:ascii="Times New Roman" w:hAnsi="Times New Roman" w:cs="Times New Roman"/>
                <w:color w:val="auto"/>
                <w:highlight w:val="none"/>
              </w:rPr>
              <w:t>中编号为HW</w:t>
            </w:r>
            <w:r>
              <w:rPr>
                <w:rFonts w:hint="default" w:ascii="Times New Roman" w:hAnsi="Times New Roman" w:cs="Times New Roman"/>
                <w:color w:val="auto"/>
                <w:highlight w:val="none"/>
                <w:lang w:val="en-US" w:eastAsia="zh-CN"/>
              </w:rPr>
              <w:t>49</w:t>
            </w:r>
            <w:r>
              <w:rPr>
                <w:rFonts w:hint="default" w:ascii="Times New Roman" w:hAnsi="Times New Roman" w:cs="Times New Roman"/>
                <w:color w:val="auto"/>
                <w:highlight w:val="none"/>
              </w:rPr>
              <w:t>危险废物，废物代码</w:t>
            </w:r>
            <w:r>
              <w:rPr>
                <w:rFonts w:hint="default" w:ascii="Times New Roman" w:hAnsi="Times New Roman" w:cs="Times New Roman"/>
                <w:b w:val="0"/>
                <w:bCs w:val="0"/>
                <w:color w:val="auto"/>
                <w:sz w:val="24"/>
                <w:szCs w:val="24"/>
                <w:highlight w:val="none"/>
                <w:lang w:val="en-US" w:eastAsia="zh-CN"/>
              </w:rPr>
              <w:t>900-041-49</w:t>
            </w:r>
            <w:r>
              <w:rPr>
                <w:rFonts w:hint="default" w:ascii="Times New Roman" w:hAnsi="Times New Roman" w:cs="Times New Roman"/>
                <w:color w:val="auto"/>
                <w:highlight w:val="none"/>
              </w:rPr>
              <w:t>，经统一收集后交由有危险废物处理资质的单位处理</w:t>
            </w:r>
            <w:r>
              <w:rPr>
                <w:rFonts w:hint="default" w:ascii="Times New Roman" w:hAnsi="Times New Roman" w:cs="Times New Roman"/>
                <w:color w:val="auto"/>
                <w:highlight w:val="none"/>
                <w:lang w:eastAsia="zh-CN"/>
              </w:rPr>
              <w:t>。</w:t>
            </w:r>
          </w:p>
          <w:p w14:paraId="7BAFF2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firstLineChars="200"/>
              <w:textAlignment w:val="auto"/>
              <w:rPr>
                <w:rFonts w:hint="default" w:ascii="Times New Roman" w:hAnsi="Times New Roman"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④</w:t>
            </w:r>
            <w:r>
              <w:rPr>
                <w:rFonts w:hint="default" w:ascii="Times New Roman" w:hAnsi="Times New Roman" w:cs="Times New Roman"/>
                <w:b/>
                <w:bCs/>
                <w:color w:val="auto"/>
                <w:sz w:val="24"/>
                <w:szCs w:val="24"/>
                <w:highlight w:val="none"/>
                <w:lang w:val="en-US" w:eastAsia="zh-CN"/>
              </w:rPr>
              <w:t>含油废抹布</w:t>
            </w:r>
          </w:p>
          <w:p w14:paraId="14C63538">
            <w:pPr>
              <w:pStyle w:val="46"/>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24"/>
                <w:highlight w:val="none"/>
                <w:lang w:val="en-US" w:eastAsia="zh-CN"/>
              </w:rPr>
              <w:t>项目生产过程中会产生一定量的</w:t>
            </w:r>
            <w:r>
              <w:rPr>
                <w:rFonts w:hint="default" w:ascii="Times New Roman" w:hAnsi="Times New Roman" w:cs="Times New Roman"/>
                <w:color w:val="auto"/>
                <w:highlight w:val="none"/>
                <w:lang w:val="en-US" w:eastAsia="zh-CN"/>
              </w:rPr>
              <w:t>含矿物油及含油墨废抹布及手套，根据建设单位提供的资料，其产生量约0.05t/a，</w:t>
            </w:r>
            <w:r>
              <w:rPr>
                <w:rFonts w:hint="default" w:ascii="Times New Roman" w:hAnsi="Times New Roman" w:cs="Times New Roman"/>
                <w:color w:val="auto"/>
                <w:sz w:val="24"/>
                <w:highlight w:val="none"/>
                <w:lang w:val="en-US" w:eastAsia="zh-CN"/>
              </w:rPr>
              <w:t>根据《国家危险废物名录》（2025年版），其废物类别属于：</w:t>
            </w:r>
            <w:r>
              <w:rPr>
                <w:rFonts w:hint="default" w:ascii="Times New Roman" w:hAnsi="Times New Roman" w:cs="Times New Roman"/>
                <w:color w:val="auto"/>
                <w:highlight w:val="none"/>
                <w:lang w:val="en-US" w:eastAsia="zh-CN"/>
              </w:rPr>
              <w:t>HW49其他废物，废物代码：900-041-49，</w:t>
            </w:r>
            <w:r>
              <w:rPr>
                <w:rFonts w:hint="default" w:ascii="Times New Roman" w:hAnsi="Times New Roman" w:cs="Times New Roman"/>
                <w:color w:val="auto"/>
                <w:sz w:val="24"/>
                <w:highlight w:val="none"/>
                <w:lang w:val="en-US" w:eastAsia="zh-CN"/>
              </w:rPr>
              <w:t>拟</w:t>
            </w:r>
            <w:r>
              <w:rPr>
                <w:rFonts w:hint="default" w:ascii="Times New Roman" w:hAnsi="Times New Roman" w:cs="Times New Roman"/>
                <w:color w:val="auto"/>
                <w:highlight w:val="none"/>
                <w:lang w:val="en-US" w:eastAsia="zh-CN"/>
              </w:rPr>
              <w:t>收集于危废暂存间定期交由有危险废物处置资质的单位进行处置。</w:t>
            </w:r>
          </w:p>
          <w:p w14:paraId="25ACB5BB">
            <w:pPr>
              <w:pStyle w:val="46"/>
              <w:keepNext w:val="0"/>
              <w:keepLines w:val="0"/>
              <w:suppressLineNumbers w:val="0"/>
              <w:spacing w:before="0" w:beforeAutospacing="0" w:after="0" w:afterAutospacing="0"/>
              <w:ind w:left="0" w:right="0" w:firstLine="480" w:firstLineChars="200"/>
              <w:rPr>
                <w:rFonts w:hint="eastAsia" w:ascii="Times New Roman" w:cs="Times New Roman"/>
                <w:b/>
                <w:bCs/>
                <w:color w:val="auto"/>
                <w:highlight w:val="none"/>
                <w:lang w:val="en-US" w:eastAsia="zh-CN"/>
              </w:rPr>
            </w:pPr>
            <w:r>
              <w:rPr>
                <w:rFonts w:hint="eastAsia" w:ascii="Times New Roman" w:cs="Times New Roman"/>
                <w:b/>
                <w:bCs/>
                <w:color w:val="auto"/>
                <w:highlight w:val="none"/>
                <w:lang w:val="en-US" w:eastAsia="zh-CN"/>
              </w:rPr>
              <w:t>⑤废烧碱包装袋</w:t>
            </w:r>
          </w:p>
          <w:p w14:paraId="09719FFA">
            <w:pPr>
              <w:pStyle w:val="46"/>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lang w:eastAsia="zh-CN"/>
              </w:rPr>
            </w:pPr>
            <w:r>
              <w:rPr>
                <w:rFonts w:hint="eastAsia" w:ascii="Times New Roman" w:cs="Times New Roman"/>
                <w:color w:val="auto"/>
                <w:highlight w:val="none"/>
                <w:lang w:val="en-US" w:eastAsia="zh-CN"/>
              </w:rPr>
              <w:t>项目年使用烧碱15吨，包装规格为50kg/袋，每个袋子按0.5kg计，则废烧碱包装袋产生0.15t/a。</w:t>
            </w:r>
            <w:r>
              <w:rPr>
                <w:rFonts w:hint="default" w:ascii="Times New Roman" w:hAnsi="Times New Roman" w:cs="Times New Roman"/>
                <w:color w:val="auto"/>
                <w:sz w:val="24"/>
                <w:highlight w:val="none"/>
                <w:lang w:val="en-US" w:eastAsia="zh-CN"/>
              </w:rPr>
              <w:t>根据《国家危险废物名录》（2025年版），</w:t>
            </w:r>
            <w:r>
              <w:rPr>
                <w:rFonts w:hint="eastAsia" w:ascii="Times New Roman" w:hAnsi="Times New Roman" w:eastAsia="宋体" w:cs="Times New Roman"/>
                <w:color w:val="auto"/>
                <w:highlight w:val="none"/>
                <w:lang w:val="en-US" w:eastAsia="zh-CN"/>
              </w:rPr>
              <w:t>HW35废碱（代码900-399-35），</w:t>
            </w:r>
            <w:r>
              <w:rPr>
                <w:rFonts w:hint="default" w:ascii="Times New Roman" w:hAnsi="Times New Roman" w:cs="Times New Roman"/>
                <w:color w:val="auto"/>
                <w:highlight w:val="none"/>
              </w:rPr>
              <w:t>经统一收集后交由有危险废物处理资质的单位处理</w:t>
            </w:r>
            <w:r>
              <w:rPr>
                <w:rFonts w:hint="default" w:ascii="Times New Roman" w:hAnsi="Times New Roman" w:cs="Times New Roman"/>
                <w:color w:val="auto"/>
                <w:highlight w:val="none"/>
                <w:lang w:eastAsia="zh-CN"/>
              </w:rPr>
              <w:t>。</w:t>
            </w:r>
          </w:p>
          <w:p w14:paraId="2F48DCB1">
            <w:pPr>
              <w:pStyle w:val="46"/>
              <w:keepNext w:val="0"/>
              <w:keepLines w:val="0"/>
              <w:suppressLineNumbers w:val="0"/>
              <w:spacing w:before="0" w:beforeAutospacing="0" w:after="0" w:afterAutospacing="0"/>
              <w:ind w:left="0" w:right="0" w:firstLine="480" w:firstLineChars="200"/>
              <w:rPr>
                <w:rFonts w:hint="eastAsia" w:ascii="Times New Roman" w:hAnsi="Times New Roman" w:cs="Times New Roman"/>
                <w:b/>
                <w:bCs/>
                <w:color w:val="auto"/>
                <w:highlight w:val="none"/>
                <w:lang w:val="en-US" w:eastAsia="zh-CN"/>
              </w:rPr>
            </w:pPr>
            <w:r>
              <w:rPr>
                <w:rFonts w:hint="eastAsia" w:ascii="Times New Roman" w:hAnsi="Times New Roman" w:cs="Times New Roman"/>
                <w:b/>
                <w:bCs/>
                <w:color w:val="auto"/>
                <w:highlight w:val="none"/>
                <w:lang w:val="en-US" w:eastAsia="zh-CN"/>
              </w:rPr>
              <w:t>⑥废柴油桶</w:t>
            </w:r>
          </w:p>
          <w:p w14:paraId="073BB5A0">
            <w:pPr>
              <w:pStyle w:val="46"/>
              <w:keepNext w:val="0"/>
              <w:keepLines w:val="0"/>
              <w:suppressLineNumbers w:val="0"/>
              <w:spacing w:before="0" w:beforeAutospacing="0" w:after="0" w:afterAutospacing="0"/>
              <w:ind w:left="0" w:right="0" w:firstLine="480" w:firstLineChars="200"/>
              <w:rPr>
                <w:rFonts w:hint="default" w:ascii="Times New Roman" w:hAnsi="Times New Roman" w:eastAsia="宋体" w:cs="Times New Roman"/>
                <w:color w:val="auto"/>
                <w:highlight w:val="none"/>
                <w:lang w:val="en-US" w:eastAsia="zh-CN"/>
              </w:rPr>
            </w:pPr>
            <w:r>
              <w:rPr>
                <w:rFonts w:hint="eastAsia" w:ascii="Times New Roman" w:cs="Times New Roman"/>
                <w:color w:val="auto"/>
                <w:highlight w:val="none"/>
                <w:lang w:val="en-US" w:eastAsia="zh-CN"/>
              </w:rPr>
              <w:t>柴油年使用量为0.85t/a，油桶规格为200L/桶计，柴油密度按0.85 t/m³计，则废柴油桶年产生约5个（0.025kg/个），废柴油桶产生量为0.125t/a，</w:t>
            </w:r>
            <w:r>
              <w:rPr>
                <w:rFonts w:hint="default" w:ascii="Times New Roman" w:hAnsi="Times New Roman" w:cs="Times New Roman"/>
                <w:color w:val="auto"/>
                <w:highlight w:val="none"/>
              </w:rPr>
              <w:t>根据</w:t>
            </w:r>
            <w:r>
              <w:rPr>
                <w:rFonts w:hint="default" w:ascii="Times New Roman" w:hAnsi="Times New Roman" w:cs="Times New Roman"/>
                <w:color w:val="auto"/>
                <w:highlight w:val="none"/>
                <w:lang w:eastAsia="zh-CN"/>
              </w:rPr>
              <w:t>《国家危险废物名录》（2025年版）</w:t>
            </w:r>
            <w:r>
              <w:rPr>
                <w:rFonts w:hint="default" w:ascii="Times New Roman" w:hAnsi="Times New Roman" w:cs="Times New Roman"/>
                <w:color w:val="auto"/>
                <w:highlight w:val="none"/>
              </w:rPr>
              <w:t>，</w:t>
            </w:r>
            <w:r>
              <w:rPr>
                <w:rFonts w:hint="eastAsia" w:ascii="Times New Roman" w:cs="Times New Roman"/>
                <w:color w:val="auto"/>
                <w:highlight w:val="none"/>
                <w:lang w:val="en-US" w:eastAsia="zh-CN"/>
              </w:rPr>
              <w:t>废柴油桶</w:t>
            </w:r>
            <w:r>
              <w:rPr>
                <w:rFonts w:hint="default" w:ascii="Times New Roman" w:hAnsi="Times New Roman" w:cs="Times New Roman"/>
                <w:color w:val="auto"/>
                <w:highlight w:val="none"/>
              </w:rPr>
              <w:t>属于“HW08废矿物油与含矿物油废物”类别中代码为900-249-08“其他生产、销售、使用过程中产生的废矿物油及沾染矿物油的废弃包装物”危险废物，经统一收集后交由有危险废物处理资质的单位处理。</w:t>
            </w:r>
          </w:p>
          <w:p w14:paraId="7B21EFFC">
            <w:pPr>
              <w:keepNext w:val="0"/>
              <w:keepLines w:val="0"/>
              <w:suppressLineNumbers w:val="0"/>
              <w:spacing w:before="0" w:beforeAutospacing="0" w:after="0" w:afterAutospacing="0"/>
              <w:ind w:left="0" w:right="0" w:firstLine="480"/>
              <w:rPr>
                <w:rFonts w:hint="eastAsia" w:ascii="Times New Roman" w:cs="Times New Roman"/>
                <w:b/>
                <w:bCs/>
                <w:color w:val="auto"/>
                <w:highlight w:val="none"/>
                <w:lang w:val="en-US" w:eastAsia="zh-CN"/>
              </w:rPr>
            </w:pPr>
            <w:r>
              <w:rPr>
                <w:rFonts w:hint="eastAsia" w:ascii="Times New Roman" w:cs="Times New Roman"/>
                <w:b/>
                <w:bCs/>
                <w:color w:val="auto"/>
                <w:highlight w:val="none"/>
                <w:lang w:val="en-US" w:eastAsia="zh-CN"/>
              </w:rPr>
              <w:t>（3）生活垃圾</w:t>
            </w:r>
          </w:p>
          <w:p w14:paraId="51E99339">
            <w:pPr>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本项目劳动定员</w:t>
            </w:r>
            <w:r>
              <w:rPr>
                <w:rFonts w:hint="default" w:ascii="Times New Roman" w:hAnsi="Times New Roman" w:cs="Times New Roman"/>
                <w:color w:val="auto"/>
                <w:highlight w:val="none"/>
                <w:lang w:val="en-US" w:eastAsia="zh-CN"/>
              </w:rPr>
              <w:t>1</w:t>
            </w:r>
            <w:r>
              <w:rPr>
                <w:rFonts w:hint="eastAsia" w:cs="Times New Roman"/>
                <w:color w:val="auto"/>
                <w:highlight w:val="none"/>
                <w:lang w:val="en-US" w:eastAsia="zh-CN"/>
              </w:rPr>
              <w:t>0</w:t>
            </w:r>
            <w:r>
              <w:rPr>
                <w:rFonts w:hint="default" w:ascii="Times New Roman" w:hAnsi="Times New Roman" w:cs="Times New Roman"/>
                <w:color w:val="auto"/>
                <w:highlight w:val="none"/>
                <w:lang w:val="en-US" w:eastAsia="zh-CN"/>
              </w:rPr>
              <w:t>0</w:t>
            </w:r>
            <w:r>
              <w:rPr>
                <w:rFonts w:hint="default" w:ascii="Times New Roman" w:hAnsi="Times New Roman" w:cs="Times New Roman"/>
                <w:color w:val="auto"/>
                <w:highlight w:val="none"/>
              </w:rPr>
              <w:t>人，在厂内</w:t>
            </w:r>
            <w:r>
              <w:rPr>
                <w:rFonts w:hint="default" w:ascii="Times New Roman" w:hAnsi="Times New Roman" w:cs="Times New Roman"/>
                <w:color w:val="auto"/>
                <w:highlight w:val="none"/>
                <w:lang w:eastAsia="zh-CN"/>
              </w:rPr>
              <w:t>食宿</w:t>
            </w:r>
            <w:r>
              <w:rPr>
                <w:rFonts w:hint="default" w:ascii="Times New Roman" w:hAnsi="Times New Roman" w:cs="Times New Roman"/>
                <w:color w:val="auto"/>
                <w:highlight w:val="none"/>
              </w:rPr>
              <w:t>，年工作3</w:t>
            </w:r>
            <w:r>
              <w:rPr>
                <w:rFonts w:hint="eastAsia" w:cs="Times New Roman"/>
                <w:color w:val="auto"/>
                <w:highlight w:val="none"/>
                <w:lang w:val="en-US" w:eastAsia="zh-CN"/>
              </w:rPr>
              <w:t>3</w:t>
            </w:r>
            <w:r>
              <w:rPr>
                <w:rFonts w:hint="default" w:ascii="Times New Roman" w:hAnsi="Times New Roman" w:cs="Times New Roman"/>
                <w:color w:val="auto"/>
                <w:highlight w:val="none"/>
              </w:rPr>
              <w:t>0天，按每人每天生活垃圾产生量为</w:t>
            </w:r>
            <w:r>
              <w:rPr>
                <w:rFonts w:hint="default" w:ascii="Times New Roman" w:hAnsi="Times New Roman" w:cs="Times New Roman"/>
                <w:color w:val="auto"/>
                <w:highlight w:val="none"/>
                <w:lang w:val="en-US" w:eastAsia="zh-CN"/>
              </w:rPr>
              <w:t>1.0</w:t>
            </w:r>
            <w:r>
              <w:rPr>
                <w:rFonts w:hint="default" w:ascii="Times New Roman" w:hAnsi="Times New Roman" w:cs="Times New Roman"/>
                <w:color w:val="auto"/>
                <w:highlight w:val="none"/>
              </w:rPr>
              <w:t>kg，生活垃圾产生量为</w:t>
            </w:r>
            <w:r>
              <w:rPr>
                <w:rFonts w:hint="eastAsia" w:cs="Times New Roman"/>
                <w:color w:val="auto"/>
                <w:highlight w:val="none"/>
                <w:lang w:val="en-US" w:eastAsia="zh-CN"/>
              </w:rPr>
              <w:t>33</w:t>
            </w:r>
            <w:r>
              <w:rPr>
                <w:rFonts w:hint="default" w:ascii="Times New Roman" w:hAnsi="Times New Roman" w:cs="Times New Roman"/>
                <w:color w:val="auto"/>
                <w:highlight w:val="none"/>
              </w:rPr>
              <w:t>t/a。</w:t>
            </w:r>
          </w:p>
          <w:p w14:paraId="5552723C">
            <w:pPr>
              <w:pStyle w:val="46"/>
              <w:keepNext w:val="0"/>
              <w:keepLines w:val="0"/>
              <w:suppressLineNumbers w:val="0"/>
              <w:spacing w:before="0" w:beforeAutospacing="0" w:after="0" w:afterAutospacing="0"/>
              <w:ind w:left="0" w:right="0" w:firstLine="480" w:firstLineChars="200"/>
              <w:rPr>
                <w:rFonts w:hint="default"/>
                <w:color w:val="auto"/>
                <w:highlight w:val="none"/>
                <w:lang w:val="en-US" w:eastAsia="zh-CN"/>
              </w:rPr>
            </w:pPr>
            <w:r>
              <w:rPr>
                <w:rFonts w:hint="default" w:ascii="Times New Roman" w:hAnsi="Times New Roman" w:cs="Times New Roman"/>
                <w:color w:val="auto"/>
                <w:highlight w:val="none"/>
                <w:lang w:val="en-US" w:eastAsia="zh-CN"/>
              </w:rPr>
              <w:t>根据《固体废物分类与代码目录》（生态环境部公告2024年第4号），其属于SW64其他垃圾（900-099-S64生活垃圾）。</w:t>
            </w:r>
          </w:p>
          <w:p w14:paraId="52ECCB81">
            <w:pPr>
              <w:pStyle w:val="20"/>
              <w:keepNext w:val="0"/>
              <w:keepLines w:val="0"/>
              <w:pageBreakBefore w:val="0"/>
              <w:widowControl w:val="0"/>
              <w:numPr>
                <w:ilvl w:val="0"/>
                <w:numId w:val="0"/>
              </w:numPr>
              <w:suppressLineNumbers w:val="0"/>
              <w:tabs>
                <w:tab w:val="left" w:pos="0"/>
              </w:tabs>
              <w:kinsoku/>
              <w:wordWrap w:val="0"/>
              <w:overflowPunct/>
              <w:topLinePunct w:val="0"/>
              <w:autoSpaceDE/>
              <w:autoSpaceDN/>
              <w:bidi w:val="0"/>
              <w:adjustRightInd/>
              <w:snapToGrid/>
              <w:spacing w:before="0" w:beforeAutospacing="0" w:after="0" w:afterAutospacing="0" w:line="360" w:lineRule="auto"/>
              <w:ind w:left="0" w:leftChars="0" w:right="0" w:rightChars="0" w:firstLine="0" w:firstLineChars="0"/>
              <w:textAlignment w:val="auto"/>
              <w:rPr>
                <w:rFonts w:hint="default" w:ascii="Times New Roman" w:hAnsi="Times New Roman" w:cs="Times New Roman"/>
                <w:color w:val="auto"/>
                <w:highlight w:val="none"/>
              </w:rPr>
            </w:pPr>
            <w:r>
              <w:rPr>
                <w:rFonts w:hint="default" w:ascii="Times New Roman" w:hAnsi="Times New Roman" w:eastAsia="宋体" w:cs="Times New Roman"/>
                <w:b/>
                <w:bCs/>
                <w:color w:val="auto"/>
                <w:kern w:val="2"/>
                <w:sz w:val="21"/>
                <w:szCs w:val="21"/>
                <w:highlight w:val="none"/>
                <w:lang w:val="en-US" w:eastAsia="zh-CN" w:bidi="ar-SA"/>
              </w:rPr>
              <w:t>表4-</w:t>
            </w:r>
            <w:r>
              <w:rPr>
                <w:rFonts w:hint="eastAsia" w:cs="Times New Roman"/>
                <w:b/>
                <w:bCs/>
                <w:color w:val="auto"/>
                <w:kern w:val="2"/>
                <w:sz w:val="21"/>
                <w:szCs w:val="21"/>
                <w:highlight w:val="none"/>
                <w:lang w:val="en-US" w:eastAsia="zh-CN" w:bidi="ar-SA"/>
              </w:rPr>
              <w:t xml:space="preserve">27 </w:t>
            </w:r>
            <w:r>
              <w:rPr>
                <w:rFonts w:hint="default" w:ascii="Times New Roman" w:hAnsi="Times New Roman" w:cs="Times New Roman"/>
                <w:color w:val="auto"/>
                <w:highlight w:val="none"/>
              </w:rPr>
              <w:t>固体废物污染源源强核算结果及相关参数一览表</w:t>
            </w:r>
          </w:p>
          <w:tbl>
            <w:tblPr>
              <w:tblStyle w:val="39"/>
              <w:tblW w:w="500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833"/>
              <w:gridCol w:w="1149"/>
              <w:gridCol w:w="1407"/>
              <w:gridCol w:w="1524"/>
              <w:gridCol w:w="720"/>
              <w:gridCol w:w="678"/>
              <w:gridCol w:w="892"/>
              <w:gridCol w:w="1080"/>
              <w:gridCol w:w="846"/>
            </w:tblGrid>
            <w:tr w14:paraId="796C85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7" w:hRule="atLeast"/>
                <w:jc w:val="center"/>
              </w:trPr>
              <w:tc>
                <w:tcPr>
                  <w:tcW w:w="45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E2304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工序/生产线</w:t>
                  </w:r>
                </w:p>
              </w:tc>
              <w:tc>
                <w:tcPr>
                  <w:tcW w:w="62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9F0B7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装置</w:t>
                  </w:r>
                </w:p>
              </w:tc>
              <w:tc>
                <w:tcPr>
                  <w:tcW w:w="77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C43A2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固体废物名称</w:t>
                  </w:r>
                </w:p>
              </w:tc>
              <w:tc>
                <w:tcPr>
                  <w:tcW w:w="83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0D090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代码</w:t>
                  </w:r>
                </w:p>
              </w:tc>
              <w:tc>
                <w:tcPr>
                  <w:tcW w:w="39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F257C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固废属性</w:t>
                  </w:r>
                </w:p>
              </w:tc>
              <w:tc>
                <w:tcPr>
                  <w:tcW w:w="85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82033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产生情况</w:t>
                  </w:r>
                </w:p>
              </w:tc>
              <w:tc>
                <w:tcPr>
                  <w:tcW w:w="105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8874E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处置措施</w:t>
                  </w:r>
                </w:p>
              </w:tc>
            </w:tr>
            <w:tr w14:paraId="714574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117" w:hRule="atLeast"/>
                <w:jc w:val="center"/>
              </w:trPr>
              <w:tc>
                <w:tcPr>
                  <w:tcW w:w="45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CECB9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62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BCAD4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77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87DC0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83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E6EE6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39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18218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37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5D95C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核算方法</w:t>
                  </w: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A1B2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产生量</w:t>
                  </w:r>
                </w:p>
              </w:tc>
              <w:tc>
                <w:tcPr>
                  <w:tcW w:w="59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58C70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工艺</w:t>
                  </w:r>
                </w:p>
              </w:tc>
              <w:tc>
                <w:tcPr>
                  <w:tcW w:w="46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E5DCC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处置量t/a</w:t>
                  </w:r>
                </w:p>
              </w:tc>
            </w:tr>
            <w:tr w14:paraId="567CEE5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7" w:hRule="atLeast"/>
                <w:jc w:val="center"/>
              </w:trPr>
              <w:tc>
                <w:tcPr>
                  <w:tcW w:w="45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3DA99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62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CB8BE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77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620CA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83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23195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39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54A5F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3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C130A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3B88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rPr>
                    <w:t>t/a</w:t>
                  </w:r>
                </w:p>
              </w:tc>
              <w:tc>
                <w:tcPr>
                  <w:tcW w:w="59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F533E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4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7E2F7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r>
            <w:tr w14:paraId="0657552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jc w:val="center"/>
              </w:trPr>
              <w:tc>
                <w:tcPr>
                  <w:tcW w:w="456" w:type="pct"/>
                  <w:tcBorders>
                    <w:top w:val="single" w:color="000000" w:sz="4" w:space="0"/>
                    <w:left w:val="single" w:color="000000" w:sz="4" w:space="0"/>
                    <w:right w:val="single" w:color="000000" w:sz="4" w:space="0"/>
                  </w:tcBorders>
                  <w:shd w:val="clear" w:color="auto" w:fill="auto"/>
                  <w:vAlign w:val="center"/>
                </w:tcPr>
                <w:p w14:paraId="540911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办公生活</w:t>
                  </w:r>
                </w:p>
              </w:tc>
              <w:tc>
                <w:tcPr>
                  <w:tcW w:w="6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60A1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垃圾桶</w:t>
                  </w: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4E1B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生活垃圾</w:t>
                  </w:r>
                </w:p>
              </w:tc>
              <w:tc>
                <w:tcPr>
                  <w:tcW w:w="8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B470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lang w:eastAsia="zh-CN"/>
                    </w:rPr>
                    <w:t>900-099-S64</w:t>
                  </w:r>
                </w:p>
              </w:tc>
              <w:tc>
                <w:tcPr>
                  <w:tcW w:w="394" w:type="pct"/>
                  <w:vMerge w:val="restart"/>
                  <w:tcBorders>
                    <w:top w:val="single" w:color="000000" w:sz="4" w:space="0"/>
                    <w:left w:val="single" w:color="000000" w:sz="4" w:space="0"/>
                    <w:right w:val="single" w:color="000000" w:sz="4" w:space="0"/>
                  </w:tcBorders>
                  <w:shd w:val="clear" w:color="auto" w:fill="auto"/>
                  <w:vAlign w:val="center"/>
                </w:tcPr>
                <w:p w14:paraId="00745C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一般固体废物</w:t>
                  </w:r>
                </w:p>
              </w:tc>
              <w:tc>
                <w:tcPr>
                  <w:tcW w:w="37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82043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产污系数法</w:t>
                  </w: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7915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33</w:t>
                  </w:r>
                </w:p>
              </w:tc>
              <w:tc>
                <w:tcPr>
                  <w:tcW w:w="5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4D2C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交由环卫部门清运</w:t>
                  </w:r>
                </w:p>
              </w:tc>
              <w:tc>
                <w:tcPr>
                  <w:tcW w:w="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A9E6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rPr>
                    <w:t>33</w:t>
                  </w:r>
                </w:p>
              </w:tc>
            </w:tr>
            <w:tr w14:paraId="439DF4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1" w:hRule="atLeast"/>
                <w:jc w:val="center"/>
              </w:trPr>
              <w:tc>
                <w:tcPr>
                  <w:tcW w:w="456" w:type="pct"/>
                  <w:vMerge w:val="restart"/>
                  <w:tcBorders>
                    <w:top w:val="single" w:color="000000" w:sz="4" w:space="0"/>
                    <w:left w:val="single" w:color="000000" w:sz="4" w:space="0"/>
                    <w:right w:val="single" w:color="000000" w:sz="4" w:space="0"/>
                  </w:tcBorders>
                  <w:shd w:val="clear" w:color="auto" w:fill="auto"/>
                  <w:vAlign w:val="center"/>
                </w:tcPr>
                <w:p w14:paraId="7194CC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生产过程</w:t>
                  </w:r>
                </w:p>
              </w:tc>
              <w:tc>
                <w:tcPr>
                  <w:tcW w:w="629" w:type="pct"/>
                  <w:vMerge w:val="restart"/>
                  <w:tcBorders>
                    <w:top w:val="single" w:color="000000" w:sz="4" w:space="0"/>
                    <w:left w:val="single" w:color="000000" w:sz="4" w:space="0"/>
                    <w:right w:val="single" w:color="000000" w:sz="4" w:space="0"/>
                  </w:tcBorders>
                  <w:shd w:val="clear" w:color="auto" w:fill="auto"/>
                  <w:vAlign w:val="center"/>
                </w:tcPr>
                <w:p w14:paraId="531C61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rPr>
                    <w:t>分选工序</w:t>
                  </w: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8267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rPr>
                    <w:t>废木屑杂物</w:t>
                  </w:r>
                </w:p>
              </w:tc>
              <w:tc>
                <w:tcPr>
                  <w:tcW w:w="8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8DC7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eastAsia="zh-CN"/>
                    </w:rPr>
                  </w:pPr>
                  <w:r>
                    <w:rPr>
                      <w:rFonts w:hint="default" w:ascii="Times New Roman" w:hAnsi="Times New Roman" w:eastAsia="宋体" w:cs="Times New Roman"/>
                      <w:i w:val="0"/>
                      <w:iCs w:val="0"/>
                      <w:color w:val="auto"/>
                      <w:sz w:val="21"/>
                      <w:szCs w:val="21"/>
                      <w:highlight w:val="none"/>
                      <w:u w:val="none"/>
                      <w:lang w:eastAsia="zh-CN"/>
                    </w:rPr>
                    <w:t>900-0</w:t>
                  </w:r>
                  <w:r>
                    <w:rPr>
                      <w:rFonts w:hint="eastAsia" w:cs="Times New Roman"/>
                      <w:i w:val="0"/>
                      <w:iCs w:val="0"/>
                      <w:color w:val="auto"/>
                      <w:sz w:val="21"/>
                      <w:szCs w:val="21"/>
                      <w:highlight w:val="none"/>
                      <w:u w:val="none"/>
                      <w:lang w:val="en-US" w:eastAsia="zh-CN"/>
                    </w:rPr>
                    <w:t>09</w:t>
                  </w:r>
                  <w:r>
                    <w:rPr>
                      <w:rFonts w:hint="default" w:ascii="Times New Roman" w:hAnsi="Times New Roman" w:eastAsia="宋体" w:cs="Times New Roman"/>
                      <w:i w:val="0"/>
                      <w:iCs w:val="0"/>
                      <w:color w:val="auto"/>
                      <w:sz w:val="21"/>
                      <w:szCs w:val="21"/>
                      <w:highlight w:val="none"/>
                      <w:u w:val="none"/>
                      <w:lang w:eastAsia="zh-CN"/>
                    </w:rPr>
                    <w:t>-S17</w:t>
                  </w:r>
                </w:p>
              </w:tc>
              <w:tc>
                <w:tcPr>
                  <w:tcW w:w="394" w:type="pct"/>
                  <w:vMerge w:val="continue"/>
                  <w:tcBorders>
                    <w:left w:val="single" w:color="000000" w:sz="4" w:space="0"/>
                    <w:right w:val="single" w:color="000000" w:sz="4" w:space="0"/>
                  </w:tcBorders>
                  <w:shd w:val="clear" w:color="auto" w:fill="auto"/>
                  <w:vAlign w:val="center"/>
                </w:tcPr>
                <w:p w14:paraId="483F16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534C9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76FD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rPr>
                    <w:t>0.71</w:t>
                  </w:r>
                </w:p>
              </w:tc>
              <w:tc>
                <w:tcPr>
                  <w:tcW w:w="591" w:type="pct"/>
                  <w:vMerge w:val="restart"/>
                  <w:tcBorders>
                    <w:top w:val="single" w:color="000000" w:sz="4" w:space="0"/>
                    <w:left w:val="single" w:color="000000" w:sz="4" w:space="0"/>
                    <w:right w:val="single" w:color="000000" w:sz="4" w:space="0"/>
                  </w:tcBorders>
                  <w:shd w:val="clear" w:color="auto" w:fill="auto"/>
                  <w:vAlign w:val="center"/>
                </w:tcPr>
                <w:p w14:paraId="793AD5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统一收集后外售至资源回收利用单位</w:t>
                  </w:r>
                </w:p>
              </w:tc>
              <w:tc>
                <w:tcPr>
                  <w:tcW w:w="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34A4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rPr>
                    <w:t>0.71</w:t>
                  </w:r>
                </w:p>
              </w:tc>
            </w:tr>
            <w:tr w14:paraId="4FC9A8B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1" w:hRule="atLeast"/>
                <w:jc w:val="center"/>
              </w:trPr>
              <w:tc>
                <w:tcPr>
                  <w:tcW w:w="456" w:type="pct"/>
                  <w:vMerge w:val="continue"/>
                  <w:tcBorders>
                    <w:left w:val="single" w:color="000000" w:sz="4" w:space="0"/>
                    <w:right w:val="single" w:color="000000" w:sz="4" w:space="0"/>
                  </w:tcBorders>
                  <w:shd w:val="clear" w:color="auto" w:fill="auto"/>
                  <w:vAlign w:val="center"/>
                </w:tcPr>
                <w:p w14:paraId="0069A4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629" w:type="pct"/>
                  <w:vMerge w:val="continue"/>
                  <w:tcBorders>
                    <w:left w:val="single" w:color="000000" w:sz="4" w:space="0"/>
                    <w:bottom w:val="single" w:color="000000" w:sz="4" w:space="0"/>
                    <w:right w:val="single" w:color="000000" w:sz="4" w:space="0"/>
                  </w:tcBorders>
                  <w:shd w:val="clear" w:color="auto" w:fill="auto"/>
                  <w:vAlign w:val="center"/>
                </w:tcPr>
                <w:p w14:paraId="793B85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rPr>
                  </w:pP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C14F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废橡胶</w:t>
                  </w:r>
                </w:p>
              </w:tc>
              <w:tc>
                <w:tcPr>
                  <w:tcW w:w="8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4BFF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eastAsia="zh-CN"/>
                    </w:rPr>
                  </w:pPr>
                  <w:r>
                    <w:rPr>
                      <w:rFonts w:hint="default" w:ascii="Times New Roman" w:hAnsi="Times New Roman" w:eastAsia="宋体" w:cs="Times New Roman"/>
                      <w:i w:val="0"/>
                      <w:iCs w:val="0"/>
                      <w:color w:val="auto"/>
                      <w:sz w:val="21"/>
                      <w:szCs w:val="21"/>
                      <w:highlight w:val="none"/>
                      <w:u w:val="none"/>
                      <w:lang w:eastAsia="zh-CN"/>
                    </w:rPr>
                    <w:t>900-0</w:t>
                  </w:r>
                  <w:r>
                    <w:rPr>
                      <w:rFonts w:hint="eastAsia" w:cs="Times New Roman"/>
                      <w:i w:val="0"/>
                      <w:iCs w:val="0"/>
                      <w:color w:val="auto"/>
                      <w:sz w:val="21"/>
                      <w:szCs w:val="21"/>
                      <w:highlight w:val="none"/>
                      <w:u w:val="none"/>
                      <w:lang w:val="en-US" w:eastAsia="zh-CN"/>
                    </w:rPr>
                    <w:t>06</w:t>
                  </w:r>
                  <w:r>
                    <w:rPr>
                      <w:rFonts w:hint="default" w:ascii="Times New Roman" w:hAnsi="Times New Roman" w:eastAsia="宋体" w:cs="Times New Roman"/>
                      <w:i w:val="0"/>
                      <w:iCs w:val="0"/>
                      <w:color w:val="auto"/>
                      <w:sz w:val="21"/>
                      <w:szCs w:val="21"/>
                      <w:highlight w:val="none"/>
                      <w:u w:val="none"/>
                      <w:lang w:eastAsia="zh-CN"/>
                    </w:rPr>
                    <w:t>-S17</w:t>
                  </w:r>
                </w:p>
              </w:tc>
              <w:tc>
                <w:tcPr>
                  <w:tcW w:w="394" w:type="pct"/>
                  <w:vMerge w:val="continue"/>
                  <w:tcBorders>
                    <w:left w:val="single" w:color="000000" w:sz="4" w:space="0"/>
                    <w:right w:val="single" w:color="000000" w:sz="4" w:space="0"/>
                  </w:tcBorders>
                  <w:shd w:val="clear" w:color="auto" w:fill="auto"/>
                  <w:vAlign w:val="center"/>
                </w:tcPr>
                <w:p w14:paraId="0DD413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A464F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12C6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249.38</w:t>
                  </w:r>
                </w:p>
              </w:tc>
              <w:tc>
                <w:tcPr>
                  <w:tcW w:w="591" w:type="pct"/>
                  <w:vMerge w:val="continue"/>
                  <w:tcBorders>
                    <w:left w:val="single" w:color="000000" w:sz="4" w:space="0"/>
                    <w:right w:val="single" w:color="000000" w:sz="4" w:space="0"/>
                  </w:tcBorders>
                  <w:shd w:val="clear" w:color="auto" w:fill="auto"/>
                  <w:vAlign w:val="center"/>
                </w:tcPr>
                <w:p w14:paraId="75295D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1AB9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25</w:t>
                  </w:r>
                </w:p>
              </w:tc>
            </w:tr>
            <w:tr w14:paraId="05CEE6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1" w:hRule="atLeast"/>
                <w:jc w:val="center"/>
              </w:trPr>
              <w:tc>
                <w:tcPr>
                  <w:tcW w:w="456" w:type="pct"/>
                  <w:vMerge w:val="continue"/>
                  <w:tcBorders>
                    <w:left w:val="single" w:color="000000" w:sz="4" w:space="0"/>
                    <w:right w:val="single" w:color="000000" w:sz="4" w:space="0"/>
                  </w:tcBorders>
                  <w:shd w:val="clear" w:color="auto" w:fill="auto"/>
                  <w:vAlign w:val="center"/>
                </w:tcPr>
                <w:p w14:paraId="04082C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629" w:type="pct"/>
                  <w:vMerge w:val="restart"/>
                  <w:tcBorders>
                    <w:left w:val="single" w:color="000000" w:sz="4" w:space="0"/>
                    <w:right w:val="single" w:color="000000" w:sz="4" w:space="0"/>
                  </w:tcBorders>
                  <w:shd w:val="clear" w:color="auto" w:fill="auto"/>
                  <w:vAlign w:val="center"/>
                </w:tcPr>
                <w:p w14:paraId="25E7C7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原辅材料拆包</w:t>
                  </w: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1197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废烧碱包装袋</w:t>
                  </w:r>
                </w:p>
              </w:tc>
              <w:tc>
                <w:tcPr>
                  <w:tcW w:w="8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E9F0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eastAsia="zh-CN"/>
                    </w:rPr>
                  </w:pPr>
                  <w:r>
                    <w:rPr>
                      <w:rFonts w:hint="eastAsia" w:cs="Times New Roman"/>
                      <w:i w:val="0"/>
                      <w:iCs w:val="0"/>
                      <w:color w:val="auto"/>
                      <w:kern w:val="0"/>
                      <w:sz w:val="21"/>
                      <w:szCs w:val="21"/>
                      <w:highlight w:val="none"/>
                      <w:u w:val="none"/>
                      <w:lang w:val="en-US" w:eastAsia="zh-CN"/>
                    </w:rPr>
                    <w:t>900-399-35</w:t>
                  </w:r>
                </w:p>
              </w:tc>
              <w:tc>
                <w:tcPr>
                  <w:tcW w:w="394" w:type="pct"/>
                  <w:vMerge w:val="continue"/>
                  <w:tcBorders>
                    <w:left w:val="single" w:color="000000" w:sz="4" w:space="0"/>
                    <w:right w:val="single" w:color="000000" w:sz="4" w:space="0"/>
                  </w:tcBorders>
                  <w:shd w:val="clear" w:color="auto" w:fill="auto"/>
                  <w:vAlign w:val="center"/>
                </w:tcPr>
                <w:p w14:paraId="62656C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829E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BDAE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0.15</w:t>
                  </w:r>
                </w:p>
              </w:tc>
              <w:tc>
                <w:tcPr>
                  <w:tcW w:w="591" w:type="pct"/>
                  <w:vMerge w:val="continue"/>
                  <w:tcBorders>
                    <w:left w:val="single" w:color="000000" w:sz="4" w:space="0"/>
                    <w:right w:val="single" w:color="000000" w:sz="4" w:space="0"/>
                  </w:tcBorders>
                  <w:shd w:val="clear" w:color="auto" w:fill="auto"/>
                  <w:vAlign w:val="center"/>
                </w:tcPr>
                <w:p w14:paraId="2CC62B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B682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0.15</w:t>
                  </w:r>
                </w:p>
              </w:tc>
            </w:tr>
            <w:tr w14:paraId="68FF11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1" w:hRule="atLeast"/>
                <w:jc w:val="center"/>
              </w:trPr>
              <w:tc>
                <w:tcPr>
                  <w:tcW w:w="456" w:type="pct"/>
                  <w:vMerge w:val="continue"/>
                  <w:tcBorders>
                    <w:left w:val="single" w:color="000000" w:sz="4" w:space="0"/>
                    <w:right w:val="single" w:color="000000" w:sz="4" w:space="0"/>
                  </w:tcBorders>
                  <w:shd w:val="clear" w:color="auto" w:fill="auto"/>
                  <w:vAlign w:val="center"/>
                </w:tcPr>
                <w:p w14:paraId="7646DA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629" w:type="pct"/>
                  <w:vMerge w:val="continue"/>
                  <w:tcBorders>
                    <w:left w:val="single" w:color="000000" w:sz="4" w:space="0"/>
                    <w:bottom w:val="single" w:color="000000" w:sz="4" w:space="0"/>
                    <w:right w:val="single" w:color="000000" w:sz="4" w:space="0"/>
                  </w:tcBorders>
                  <w:shd w:val="clear" w:color="auto" w:fill="auto"/>
                  <w:vAlign w:val="center"/>
                </w:tcPr>
                <w:p w14:paraId="7C1B38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kern w:val="0"/>
                      <w:sz w:val="21"/>
                      <w:szCs w:val="21"/>
                      <w:highlight w:val="none"/>
                      <w:u w:val="none"/>
                      <w:lang w:val="en-US" w:eastAsia="zh-CN"/>
                    </w:rPr>
                  </w:pP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9D14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包装废料</w:t>
                  </w:r>
                </w:p>
              </w:tc>
              <w:tc>
                <w:tcPr>
                  <w:tcW w:w="8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F3FD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eastAsia="zh-CN"/>
                    </w:rPr>
                  </w:pPr>
                  <w:r>
                    <w:rPr>
                      <w:rFonts w:hint="default" w:ascii="Times New Roman" w:hAnsi="Times New Roman" w:eastAsia="宋体" w:cs="Times New Roman"/>
                      <w:i w:val="0"/>
                      <w:iCs w:val="0"/>
                      <w:color w:val="auto"/>
                      <w:sz w:val="21"/>
                      <w:szCs w:val="21"/>
                      <w:highlight w:val="none"/>
                      <w:u w:val="none"/>
                      <w:lang w:eastAsia="zh-CN"/>
                    </w:rPr>
                    <w:t>900-003-S17</w:t>
                  </w:r>
                </w:p>
              </w:tc>
              <w:tc>
                <w:tcPr>
                  <w:tcW w:w="394" w:type="pct"/>
                  <w:vMerge w:val="continue"/>
                  <w:tcBorders>
                    <w:left w:val="single" w:color="000000" w:sz="4" w:space="0"/>
                    <w:right w:val="single" w:color="000000" w:sz="4" w:space="0"/>
                  </w:tcBorders>
                  <w:shd w:val="clear" w:color="auto" w:fill="auto"/>
                  <w:vAlign w:val="center"/>
                </w:tcPr>
                <w:p w14:paraId="57AFFC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C2C43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0F8B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2</w:t>
                  </w:r>
                </w:p>
              </w:tc>
              <w:tc>
                <w:tcPr>
                  <w:tcW w:w="591" w:type="pct"/>
                  <w:vMerge w:val="continue"/>
                  <w:tcBorders>
                    <w:left w:val="single" w:color="000000" w:sz="4" w:space="0"/>
                    <w:right w:val="single" w:color="000000" w:sz="4" w:space="0"/>
                  </w:tcBorders>
                  <w:shd w:val="clear" w:color="auto" w:fill="auto"/>
                  <w:vAlign w:val="center"/>
                </w:tcPr>
                <w:p w14:paraId="5B203D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A6B0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2</w:t>
                  </w:r>
                </w:p>
              </w:tc>
            </w:tr>
            <w:tr w14:paraId="0BF0012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1" w:hRule="atLeast"/>
                <w:jc w:val="center"/>
              </w:trPr>
              <w:tc>
                <w:tcPr>
                  <w:tcW w:w="456" w:type="pct"/>
                  <w:vMerge w:val="restart"/>
                  <w:tcBorders>
                    <w:top w:val="single" w:color="000000" w:sz="4" w:space="0"/>
                    <w:left w:val="single" w:color="000000" w:sz="4" w:space="0"/>
                    <w:right w:val="single" w:color="000000" w:sz="4" w:space="0"/>
                  </w:tcBorders>
                  <w:shd w:val="clear" w:color="auto" w:fill="auto"/>
                  <w:vAlign w:val="center"/>
                </w:tcPr>
                <w:p w14:paraId="1ACF17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废气处理</w:t>
                  </w:r>
                </w:p>
              </w:tc>
              <w:tc>
                <w:tcPr>
                  <w:tcW w:w="629" w:type="pct"/>
                  <w:vMerge w:val="restart"/>
                  <w:tcBorders>
                    <w:top w:val="single" w:color="000000" w:sz="4" w:space="0"/>
                    <w:left w:val="single" w:color="000000" w:sz="4" w:space="0"/>
                    <w:right w:val="single" w:color="000000" w:sz="4" w:space="0"/>
                  </w:tcBorders>
                  <w:shd w:val="clear" w:color="auto" w:fill="auto"/>
                  <w:vAlign w:val="center"/>
                </w:tcPr>
                <w:p w14:paraId="3CD955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rPr>
                    <w:t>颗粒物废气除尘</w:t>
                  </w:r>
                  <w:r>
                    <w:rPr>
                      <w:rFonts w:hint="default" w:ascii="Times New Roman" w:hAnsi="Times New Roman" w:eastAsia="宋体" w:cs="Times New Roman"/>
                      <w:i w:val="0"/>
                      <w:iCs w:val="0"/>
                      <w:color w:val="auto"/>
                      <w:kern w:val="0"/>
                      <w:sz w:val="21"/>
                      <w:szCs w:val="21"/>
                      <w:highlight w:val="none"/>
                      <w:u w:val="none"/>
                      <w:lang w:val="en-US" w:eastAsia="zh-CN"/>
                    </w:rPr>
                    <w:t>器</w:t>
                  </w:r>
                </w:p>
              </w:tc>
              <w:tc>
                <w:tcPr>
                  <w:tcW w:w="770" w:type="pct"/>
                  <w:tcBorders>
                    <w:top w:val="single" w:color="000000" w:sz="4" w:space="0"/>
                    <w:left w:val="single" w:color="000000" w:sz="4" w:space="0"/>
                    <w:right w:val="single" w:color="000000" w:sz="4" w:space="0"/>
                  </w:tcBorders>
                  <w:shd w:val="clear" w:color="auto" w:fill="auto"/>
                  <w:vAlign w:val="center"/>
                </w:tcPr>
                <w:p w14:paraId="6B714E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废</w:t>
                  </w:r>
                  <w:r>
                    <w:rPr>
                      <w:rFonts w:hint="eastAsia" w:cs="Times New Roman"/>
                      <w:i w:val="0"/>
                      <w:iCs w:val="0"/>
                      <w:color w:val="auto"/>
                      <w:kern w:val="0"/>
                      <w:sz w:val="21"/>
                      <w:szCs w:val="21"/>
                      <w:highlight w:val="none"/>
                      <w:u w:val="none"/>
                      <w:lang w:val="en-US" w:eastAsia="zh-CN"/>
                    </w:rPr>
                    <w:t>布袋</w:t>
                  </w:r>
                </w:p>
              </w:tc>
              <w:tc>
                <w:tcPr>
                  <w:tcW w:w="834" w:type="pct"/>
                  <w:tcBorders>
                    <w:top w:val="single" w:color="000000" w:sz="4" w:space="0"/>
                    <w:left w:val="single" w:color="000000" w:sz="4" w:space="0"/>
                    <w:right w:val="single" w:color="000000" w:sz="4" w:space="0"/>
                  </w:tcBorders>
                  <w:shd w:val="clear" w:color="auto" w:fill="auto"/>
                  <w:vAlign w:val="center"/>
                </w:tcPr>
                <w:p w14:paraId="761D3F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rPr>
                    <w:t>900-009-S59</w:t>
                  </w:r>
                </w:p>
              </w:tc>
              <w:tc>
                <w:tcPr>
                  <w:tcW w:w="394" w:type="pct"/>
                  <w:vMerge w:val="continue"/>
                  <w:tcBorders>
                    <w:left w:val="single" w:color="000000" w:sz="4" w:space="0"/>
                    <w:right w:val="single" w:color="000000" w:sz="4" w:space="0"/>
                  </w:tcBorders>
                  <w:shd w:val="clear" w:color="auto" w:fill="auto"/>
                  <w:vAlign w:val="center"/>
                </w:tcPr>
                <w:p w14:paraId="46A5F2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B320E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88" w:type="pct"/>
                  <w:tcBorders>
                    <w:top w:val="single" w:color="000000" w:sz="4" w:space="0"/>
                    <w:left w:val="single" w:color="000000" w:sz="4" w:space="0"/>
                    <w:right w:val="single" w:color="000000" w:sz="4" w:space="0"/>
                  </w:tcBorders>
                  <w:shd w:val="clear" w:color="auto" w:fill="auto"/>
                  <w:vAlign w:val="center"/>
                </w:tcPr>
                <w:p w14:paraId="3713E8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0.0</w:t>
                  </w:r>
                  <w:r>
                    <w:rPr>
                      <w:rFonts w:hint="default" w:ascii="Times New Roman" w:hAnsi="Times New Roman" w:cs="Times New Roman"/>
                      <w:i w:val="0"/>
                      <w:iCs w:val="0"/>
                      <w:color w:val="auto"/>
                      <w:kern w:val="0"/>
                      <w:sz w:val="21"/>
                      <w:szCs w:val="21"/>
                      <w:highlight w:val="none"/>
                      <w:u w:val="none"/>
                      <w:lang w:val="en-US" w:eastAsia="zh-CN"/>
                    </w:rPr>
                    <w:t>5</w:t>
                  </w:r>
                </w:p>
              </w:tc>
              <w:tc>
                <w:tcPr>
                  <w:tcW w:w="591" w:type="pct"/>
                  <w:vMerge w:val="continue"/>
                  <w:tcBorders>
                    <w:left w:val="single" w:color="000000" w:sz="4" w:space="0"/>
                    <w:right w:val="single" w:color="000000" w:sz="4" w:space="0"/>
                  </w:tcBorders>
                  <w:shd w:val="clear" w:color="auto" w:fill="auto"/>
                  <w:vAlign w:val="center"/>
                </w:tcPr>
                <w:p w14:paraId="49AAE9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C68D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0.0</w:t>
                  </w:r>
                  <w:r>
                    <w:rPr>
                      <w:rFonts w:hint="default" w:ascii="Times New Roman" w:hAnsi="Times New Roman" w:cs="Times New Roman"/>
                      <w:i w:val="0"/>
                      <w:iCs w:val="0"/>
                      <w:color w:val="auto"/>
                      <w:kern w:val="0"/>
                      <w:sz w:val="21"/>
                      <w:szCs w:val="21"/>
                      <w:highlight w:val="none"/>
                      <w:u w:val="none"/>
                      <w:lang w:val="en-US" w:eastAsia="zh-CN"/>
                    </w:rPr>
                    <w:t>5</w:t>
                  </w:r>
                </w:p>
              </w:tc>
            </w:tr>
            <w:tr w14:paraId="511BA20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6" w:hRule="atLeast"/>
                <w:jc w:val="center"/>
              </w:trPr>
              <w:tc>
                <w:tcPr>
                  <w:tcW w:w="456" w:type="pct"/>
                  <w:vMerge w:val="continue"/>
                  <w:tcBorders>
                    <w:left w:val="single" w:color="000000" w:sz="4" w:space="0"/>
                    <w:bottom w:val="single" w:color="000000" w:sz="4" w:space="0"/>
                    <w:right w:val="single" w:color="000000" w:sz="4" w:space="0"/>
                  </w:tcBorders>
                  <w:shd w:val="clear" w:color="auto" w:fill="auto"/>
                  <w:vAlign w:val="center"/>
                </w:tcPr>
                <w:p w14:paraId="0108E0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629" w:type="pct"/>
                  <w:vMerge w:val="continue"/>
                  <w:tcBorders>
                    <w:left w:val="single" w:color="000000" w:sz="4" w:space="0"/>
                    <w:right w:val="single" w:color="000000" w:sz="4" w:space="0"/>
                  </w:tcBorders>
                  <w:shd w:val="clear" w:color="auto" w:fill="auto"/>
                  <w:vAlign w:val="center"/>
                </w:tcPr>
                <w:p w14:paraId="1C2A3A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rPr>
                  </w:pPr>
                </w:p>
              </w:tc>
              <w:tc>
                <w:tcPr>
                  <w:tcW w:w="770" w:type="pct"/>
                  <w:tcBorders>
                    <w:top w:val="single" w:color="000000" w:sz="4" w:space="0"/>
                    <w:left w:val="single" w:color="000000" w:sz="4" w:space="0"/>
                    <w:right w:val="single" w:color="000000" w:sz="4" w:space="0"/>
                  </w:tcBorders>
                  <w:shd w:val="clear" w:color="auto" w:fill="auto"/>
                  <w:vAlign w:val="center"/>
                </w:tcPr>
                <w:p w14:paraId="424E77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收集粉尘</w:t>
                  </w:r>
                </w:p>
              </w:tc>
              <w:tc>
                <w:tcPr>
                  <w:tcW w:w="834" w:type="pct"/>
                  <w:tcBorders>
                    <w:top w:val="single" w:color="000000" w:sz="4" w:space="0"/>
                    <w:left w:val="single" w:color="000000" w:sz="4" w:space="0"/>
                    <w:right w:val="single" w:color="000000" w:sz="4" w:space="0"/>
                  </w:tcBorders>
                  <w:shd w:val="clear" w:color="auto" w:fill="auto"/>
                  <w:vAlign w:val="center"/>
                </w:tcPr>
                <w:p w14:paraId="3D43F9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rPr>
                    <w:t>900-099-S17</w:t>
                  </w:r>
                </w:p>
              </w:tc>
              <w:tc>
                <w:tcPr>
                  <w:tcW w:w="394" w:type="pct"/>
                  <w:vMerge w:val="continue"/>
                  <w:tcBorders>
                    <w:left w:val="single" w:color="000000" w:sz="4" w:space="0"/>
                    <w:right w:val="single" w:color="000000" w:sz="4" w:space="0"/>
                  </w:tcBorders>
                  <w:shd w:val="clear" w:color="auto" w:fill="auto"/>
                  <w:vAlign w:val="center"/>
                </w:tcPr>
                <w:p w14:paraId="76B459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6006C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88" w:type="pct"/>
                  <w:tcBorders>
                    <w:top w:val="single" w:color="000000" w:sz="4" w:space="0"/>
                    <w:left w:val="single" w:color="000000" w:sz="4" w:space="0"/>
                    <w:right w:val="single" w:color="000000" w:sz="4" w:space="0"/>
                  </w:tcBorders>
                  <w:shd w:val="clear" w:color="auto" w:fill="auto"/>
                  <w:vAlign w:val="center"/>
                </w:tcPr>
                <w:p w14:paraId="140D44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1.1</w:t>
                  </w:r>
                </w:p>
              </w:tc>
              <w:tc>
                <w:tcPr>
                  <w:tcW w:w="591" w:type="pct"/>
                  <w:vMerge w:val="continue"/>
                  <w:tcBorders>
                    <w:left w:val="single" w:color="000000" w:sz="4" w:space="0"/>
                    <w:right w:val="single" w:color="000000" w:sz="4" w:space="0"/>
                  </w:tcBorders>
                  <w:shd w:val="clear" w:color="auto" w:fill="auto"/>
                  <w:vAlign w:val="center"/>
                </w:tcPr>
                <w:p w14:paraId="3055D3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5C06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1.1</w:t>
                  </w:r>
                </w:p>
              </w:tc>
            </w:tr>
            <w:tr w14:paraId="5710E8B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jc w:val="center"/>
              </w:trPr>
              <w:tc>
                <w:tcPr>
                  <w:tcW w:w="456" w:type="pct"/>
                  <w:vMerge w:val="restart"/>
                  <w:tcBorders>
                    <w:top w:val="single" w:color="000000" w:sz="4" w:space="0"/>
                    <w:left w:val="single" w:color="000000" w:sz="4" w:space="0"/>
                    <w:right w:val="single" w:color="000000" w:sz="4" w:space="0"/>
                  </w:tcBorders>
                  <w:shd w:val="clear" w:color="auto" w:fill="auto"/>
                  <w:vAlign w:val="center"/>
                </w:tcPr>
                <w:p w14:paraId="08861F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废水处理设施</w:t>
                  </w:r>
                </w:p>
              </w:tc>
              <w:tc>
                <w:tcPr>
                  <w:tcW w:w="629" w:type="pct"/>
                  <w:vMerge w:val="restart"/>
                  <w:tcBorders>
                    <w:top w:val="single" w:color="000000" w:sz="4" w:space="0"/>
                    <w:left w:val="single" w:color="000000" w:sz="4" w:space="0"/>
                    <w:right w:val="single" w:color="000000" w:sz="4" w:space="0"/>
                  </w:tcBorders>
                  <w:shd w:val="clear" w:color="auto" w:fill="auto"/>
                  <w:vAlign w:val="center"/>
                </w:tcPr>
                <w:p w14:paraId="03CF62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废水处理站</w:t>
                  </w: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84ED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污泥</w:t>
                  </w:r>
                </w:p>
              </w:tc>
              <w:tc>
                <w:tcPr>
                  <w:tcW w:w="8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D7DF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900-099-S07</w:t>
                  </w:r>
                </w:p>
              </w:tc>
              <w:tc>
                <w:tcPr>
                  <w:tcW w:w="394" w:type="pct"/>
                  <w:vMerge w:val="continue"/>
                  <w:tcBorders>
                    <w:left w:val="single" w:color="000000" w:sz="4" w:space="0"/>
                    <w:bottom w:val="single" w:color="000000" w:sz="4" w:space="0"/>
                    <w:right w:val="single" w:color="000000" w:sz="4" w:space="0"/>
                  </w:tcBorders>
                  <w:shd w:val="clear" w:color="auto" w:fill="auto"/>
                  <w:vAlign w:val="center"/>
                </w:tcPr>
                <w:p w14:paraId="3987F7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p>
              </w:tc>
              <w:tc>
                <w:tcPr>
                  <w:tcW w:w="3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724C5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4593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rPr>
                    <w:t>113.01</w:t>
                  </w:r>
                </w:p>
              </w:tc>
              <w:tc>
                <w:tcPr>
                  <w:tcW w:w="5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B5B6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外运填埋</w:t>
                  </w:r>
                </w:p>
              </w:tc>
              <w:tc>
                <w:tcPr>
                  <w:tcW w:w="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EA20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rPr>
                    <w:t>113.01</w:t>
                  </w:r>
                </w:p>
              </w:tc>
            </w:tr>
            <w:tr w14:paraId="6DA000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jc w:val="center"/>
              </w:trPr>
              <w:tc>
                <w:tcPr>
                  <w:tcW w:w="456" w:type="pct"/>
                  <w:vMerge w:val="continue"/>
                  <w:tcBorders>
                    <w:left w:val="single" w:color="000000" w:sz="4" w:space="0"/>
                    <w:bottom w:val="single" w:color="000000" w:sz="4" w:space="0"/>
                    <w:right w:val="single" w:color="000000" w:sz="4" w:space="0"/>
                  </w:tcBorders>
                  <w:shd w:val="clear" w:color="auto" w:fill="auto"/>
                  <w:vAlign w:val="center"/>
                </w:tcPr>
                <w:p w14:paraId="5A41A9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629" w:type="pct"/>
                  <w:vMerge w:val="continue"/>
                  <w:tcBorders>
                    <w:left w:val="single" w:color="000000" w:sz="4" w:space="0"/>
                    <w:bottom w:val="single" w:color="000000" w:sz="4" w:space="0"/>
                    <w:right w:val="single" w:color="000000" w:sz="4" w:space="0"/>
                  </w:tcBorders>
                  <w:shd w:val="clear" w:color="auto" w:fill="auto"/>
                  <w:vAlign w:val="center"/>
                </w:tcPr>
                <w:p w14:paraId="7081AD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8B54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废pH调整剂包装桶</w:t>
                  </w:r>
                </w:p>
              </w:tc>
              <w:tc>
                <w:tcPr>
                  <w:tcW w:w="8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2C02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900-041-49</w:t>
                  </w:r>
                </w:p>
              </w:tc>
              <w:tc>
                <w:tcPr>
                  <w:tcW w:w="394" w:type="pct"/>
                  <w:vMerge w:val="restart"/>
                  <w:tcBorders>
                    <w:left w:val="single" w:color="000000" w:sz="4" w:space="0"/>
                    <w:right w:val="single" w:color="000000" w:sz="4" w:space="0"/>
                  </w:tcBorders>
                  <w:shd w:val="clear" w:color="auto" w:fill="auto"/>
                  <w:vAlign w:val="center"/>
                </w:tcPr>
                <w:p w14:paraId="5507BE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危险废物</w:t>
                  </w:r>
                </w:p>
              </w:tc>
              <w:tc>
                <w:tcPr>
                  <w:tcW w:w="3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F37AB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4603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0.112</w:t>
                  </w:r>
                </w:p>
              </w:tc>
              <w:tc>
                <w:tcPr>
                  <w:tcW w:w="591" w:type="pct"/>
                  <w:vMerge w:val="restart"/>
                  <w:tcBorders>
                    <w:left w:val="single" w:color="000000" w:sz="4" w:space="0"/>
                    <w:right w:val="single" w:color="000000" w:sz="4" w:space="0"/>
                  </w:tcBorders>
                  <w:shd w:val="clear" w:color="auto" w:fill="auto"/>
                  <w:vAlign w:val="center"/>
                </w:tcPr>
                <w:p w14:paraId="4C6AB7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交由有资质单位处理</w:t>
                  </w:r>
                </w:p>
              </w:tc>
              <w:tc>
                <w:tcPr>
                  <w:tcW w:w="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F84F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0.112</w:t>
                  </w:r>
                </w:p>
              </w:tc>
            </w:tr>
            <w:tr w14:paraId="73F68C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7" w:hRule="atLeast"/>
                <w:jc w:val="center"/>
              </w:trPr>
              <w:tc>
                <w:tcPr>
                  <w:tcW w:w="456" w:type="pct"/>
                  <w:vMerge w:val="restart"/>
                  <w:tcBorders>
                    <w:top w:val="single" w:color="000000" w:sz="4" w:space="0"/>
                    <w:left w:val="single" w:color="000000" w:sz="4" w:space="0"/>
                    <w:right w:val="single" w:color="000000" w:sz="4" w:space="0"/>
                  </w:tcBorders>
                  <w:shd w:val="clear" w:color="auto" w:fill="auto"/>
                  <w:vAlign w:val="center"/>
                </w:tcPr>
                <w:p w14:paraId="6DF3A0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设备保养</w:t>
                  </w:r>
                </w:p>
              </w:tc>
              <w:tc>
                <w:tcPr>
                  <w:tcW w:w="629" w:type="pct"/>
                  <w:vMerge w:val="restart"/>
                  <w:tcBorders>
                    <w:top w:val="single" w:color="000000" w:sz="4" w:space="0"/>
                    <w:left w:val="single" w:color="000000" w:sz="4" w:space="0"/>
                    <w:right w:val="single" w:color="000000" w:sz="4" w:space="0"/>
                  </w:tcBorders>
                  <w:shd w:val="clear" w:color="auto" w:fill="auto"/>
                  <w:vAlign w:val="center"/>
                </w:tcPr>
                <w:p w14:paraId="0E444E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设备保养</w:t>
                  </w: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CA5E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废机油桶</w:t>
                  </w:r>
                </w:p>
              </w:tc>
              <w:tc>
                <w:tcPr>
                  <w:tcW w:w="8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D877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900-249-08</w:t>
                  </w:r>
                </w:p>
              </w:tc>
              <w:tc>
                <w:tcPr>
                  <w:tcW w:w="394" w:type="pct"/>
                  <w:vMerge w:val="continue"/>
                  <w:tcBorders>
                    <w:left w:val="single" w:color="000000" w:sz="4" w:space="0"/>
                    <w:right w:val="single" w:color="000000" w:sz="4" w:space="0"/>
                  </w:tcBorders>
                  <w:shd w:val="clear" w:color="auto" w:fill="auto"/>
                  <w:vAlign w:val="center"/>
                </w:tcPr>
                <w:p w14:paraId="204227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0DE0B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A819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rPr>
                    <w:t>0.02</w:t>
                  </w:r>
                  <w:r>
                    <w:rPr>
                      <w:rFonts w:hint="default" w:ascii="Times New Roman" w:hAnsi="Times New Roman" w:cs="Times New Roman"/>
                      <w:i w:val="0"/>
                      <w:iCs w:val="0"/>
                      <w:color w:val="auto"/>
                      <w:kern w:val="0"/>
                      <w:sz w:val="21"/>
                      <w:szCs w:val="21"/>
                      <w:highlight w:val="none"/>
                      <w:u w:val="none"/>
                      <w:lang w:val="en-US" w:eastAsia="zh-CN"/>
                    </w:rPr>
                    <w:t>5</w:t>
                  </w:r>
                </w:p>
              </w:tc>
              <w:tc>
                <w:tcPr>
                  <w:tcW w:w="591" w:type="pct"/>
                  <w:vMerge w:val="continue"/>
                  <w:tcBorders>
                    <w:left w:val="single" w:color="000000" w:sz="4" w:space="0"/>
                    <w:right w:val="single" w:color="000000" w:sz="4" w:space="0"/>
                  </w:tcBorders>
                  <w:shd w:val="clear" w:color="auto" w:fill="auto"/>
                  <w:vAlign w:val="center"/>
                </w:tcPr>
                <w:p w14:paraId="497741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407F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0.02</w:t>
                  </w:r>
                  <w:r>
                    <w:rPr>
                      <w:rFonts w:hint="default" w:ascii="Times New Roman" w:hAnsi="Times New Roman" w:cs="Times New Roman"/>
                      <w:i w:val="0"/>
                      <w:iCs w:val="0"/>
                      <w:color w:val="auto"/>
                      <w:kern w:val="0"/>
                      <w:sz w:val="21"/>
                      <w:szCs w:val="21"/>
                      <w:highlight w:val="none"/>
                      <w:u w:val="none"/>
                      <w:lang w:val="en-US" w:eastAsia="zh-CN"/>
                    </w:rPr>
                    <w:t>5</w:t>
                  </w:r>
                </w:p>
              </w:tc>
            </w:tr>
            <w:tr w14:paraId="044E48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7" w:hRule="atLeast"/>
                <w:jc w:val="center"/>
              </w:trPr>
              <w:tc>
                <w:tcPr>
                  <w:tcW w:w="456" w:type="pct"/>
                  <w:vMerge w:val="continue"/>
                  <w:tcBorders>
                    <w:left w:val="single" w:color="000000" w:sz="4" w:space="0"/>
                    <w:right w:val="single" w:color="000000" w:sz="4" w:space="0"/>
                  </w:tcBorders>
                  <w:shd w:val="clear" w:color="auto" w:fill="auto"/>
                  <w:vAlign w:val="center"/>
                </w:tcPr>
                <w:p w14:paraId="0B4CAD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29" w:type="pct"/>
                  <w:vMerge w:val="continue"/>
                  <w:tcBorders>
                    <w:left w:val="single" w:color="000000" w:sz="4" w:space="0"/>
                    <w:right w:val="single" w:color="000000" w:sz="4" w:space="0"/>
                  </w:tcBorders>
                  <w:shd w:val="clear" w:color="auto" w:fill="auto"/>
                  <w:vAlign w:val="center"/>
                </w:tcPr>
                <w:p w14:paraId="674B94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A5C2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废机油</w:t>
                  </w:r>
                </w:p>
              </w:tc>
              <w:tc>
                <w:tcPr>
                  <w:tcW w:w="8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A2FF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900-249-08</w:t>
                  </w:r>
                </w:p>
              </w:tc>
              <w:tc>
                <w:tcPr>
                  <w:tcW w:w="394" w:type="pct"/>
                  <w:vMerge w:val="continue"/>
                  <w:tcBorders>
                    <w:left w:val="single" w:color="000000" w:sz="4" w:space="0"/>
                    <w:right w:val="single" w:color="000000" w:sz="4" w:space="0"/>
                  </w:tcBorders>
                  <w:shd w:val="clear" w:color="auto" w:fill="auto"/>
                  <w:vAlign w:val="center"/>
                </w:tcPr>
                <w:p w14:paraId="49F224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7DB36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EA1B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0.</w:t>
                  </w:r>
                  <w:r>
                    <w:rPr>
                      <w:rFonts w:hint="default" w:ascii="Times New Roman" w:hAnsi="Times New Roman" w:cs="Times New Roman"/>
                      <w:i w:val="0"/>
                      <w:iCs w:val="0"/>
                      <w:color w:val="auto"/>
                      <w:kern w:val="0"/>
                      <w:sz w:val="21"/>
                      <w:szCs w:val="21"/>
                      <w:highlight w:val="none"/>
                      <w:u w:val="none"/>
                      <w:lang w:val="en-US" w:eastAsia="zh-CN"/>
                    </w:rPr>
                    <w:t>9</w:t>
                  </w: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591" w:type="pct"/>
                  <w:vMerge w:val="continue"/>
                  <w:tcBorders>
                    <w:left w:val="single" w:color="000000" w:sz="4" w:space="0"/>
                    <w:right w:val="single" w:color="000000" w:sz="4" w:space="0"/>
                  </w:tcBorders>
                  <w:shd w:val="clear" w:color="auto" w:fill="auto"/>
                  <w:vAlign w:val="center"/>
                </w:tcPr>
                <w:p w14:paraId="284E9D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D042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0.</w:t>
                  </w:r>
                  <w:r>
                    <w:rPr>
                      <w:rFonts w:hint="default" w:ascii="Times New Roman" w:hAnsi="Times New Roman" w:cs="Times New Roman"/>
                      <w:i w:val="0"/>
                      <w:iCs w:val="0"/>
                      <w:color w:val="auto"/>
                      <w:kern w:val="0"/>
                      <w:sz w:val="21"/>
                      <w:szCs w:val="21"/>
                      <w:highlight w:val="none"/>
                      <w:u w:val="none"/>
                      <w:lang w:val="en-US" w:eastAsia="zh-CN"/>
                    </w:rPr>
                    <w:t>9</w:t>
                  </w:r>
                  <w:r>
                    <w:rPr>
                      <w:rFonts w:hint="default" w:ascii="Times New Roman" w:hAnsi="Times New Roman" w:eastAsia="宋体" w:cs="Times New Roman"/>
                      <w:i w:val="0"/>
                      <w:iCs w:val="0"/>
                      <w:color w:val="auto"/>
                      <w:kern w:val="0"/>
                      <w:sz w:val="21"/>
                      <w:szCs w:val="21"/>
                      <w:highlight w:val="none"/>
                      <w:u w:val="none"/>
                      <w:lang w:val="en-US" w:eastAsia="zh-CN"/>
                    </w:rPr>
                    <w:t>0</w:t>
                  </w:r>
                </w:p>
              </w:tc>
            </w:tr>
            <w:tr w14:paraId="5F05E0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7" w:hRule="atLeast"/>
                <w:jc w:val="center"/>
              </w:trPr>
              <w:tc>
                <w:tcPr>
                  <w:tcW w:w="456" w:type="pct"/>
                  <w:vMerge w:val="continue"/>
                  <w:tcBorders>
                    <w:left w:val="single" w:color="000000" w:sz="4" w:space="0"/>
                    <w:right w:val="single" w:color="000000" w:sz="4" w:space="0"/>
                  </w:tcBorders>
                  <w:shd w:val="clear" w:color="auto" w:fill="auto"/>
                  <w:vAlign w:val="center"/>
                </w:tcPr>
                <w:p w14:paraId="4DD514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29" w:type="pct"/>
                  <w:vMerge w:val="continue"/>
                  <w:tcBorders>
                    <w:left w:val="single" w:color="000000" w:sz="4" w:space="0"/>
                    <w:right w:val="single" w:color="000000" w:sz="4" w:space="0"/>
                  </w:tcBorders>
                  <w:shd w:val="clear" w:color="auto" w:fill="auto"/>
                  <w:vAlign w:val="center"/>
                </w:tcPr>
                <w:p w14:paraId="4E3B2F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01E6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cs="Times New Roman"/>
                      <w:i w:val="0"/>
                      <w:iCs w:val="0"/>
                      <w:color w:val="auto"/>
                      <w:kern w:val="0"/>
                      <w:sz w:val="21"/>
                      <w:szCs w:val="21"/>
                      <w:highlight w:val="none"/>
                      <w:u w:val="none"/>
                      <w:lang w:val="en-US" w:eastAsia="zh-CN"/>
                    </w:rPr>
                    <w:t>含油废抹布</w:t>
                  </w:r>
                </w:p>
              </w:tc>
              <w:tc>
                <w:tcPr>
                  <w:tcW w:w="8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5A51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900-041-49</w:t>
                  </w:r>
                </w:p>
              </w:tc>
              <w:tc>
                <w:tcPr>
                  <w:tcW w:w="394" w:type="pct"/>
                  <w:vMerge w:val="continue"/>
                  <w:tcBorders>
                    <w:left w:val="single" w:color="000000" w:sz="4" w:space="0"/>
                    <w:right w:val="single" w:color="000000" w:sz="4" w:space="0"/>
                  </w:tcBorders>
                  <w:shd w:val="clear" w:color="auto" w:fill="auto"/>
                  <w:vAlign w:val="center"/>
                </w:tcPr>
                <w:p w14:paraId="400B56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F8E05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8156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cs="Times New Roman"/>
                      <w:i w:val="0"/>
                      <w:iCs w:val="0"/>
                      <w:color w:val="auto"/>
                      <w:kern w:val="0"/>
                      <w:sz w:val="21"/>
                      <w:szCs w:val="21"/>
                      <w:highlight w:val="none"/>
                      <w:u w:val="none"/>
                      <w:lang w:val="en-US" w:eastAsia="zh-CN"/>
                    </w:rPr>
                    <w:t>0.05</w:t>
                  </w:r>
                </w:p>
              </w:tc>
              <w:tc>
                <w:tcPr>
                  <w:tcW w:w="591" w:type="pct"/>
                  <w:vMerge w:val="continue"/>
                  <w:tcBorders>
                    <w:left w:val="single" w:color="000000" w:sz="4" w:space="0"/>
                    <w:right w:val="single" w:color="000000" w:sz="4" w:space="0"/>
                  </w:tcBorders>
                  <w:shd w:val="clear" w:color="auto" w:fill="auto"/>
                  <w:vAlign w:val="center"/>
                </w:tcPr>
                <w:p w14:paraId="09B080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C507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cs="Times New Roman"/>
                      <w:i w:val="0"/>
                      <w:iCs w:val="0"/>
                      <w:color w:val="auto"/>
                      <w:kern w:val="0"/>
                      <w:sz w:val="21"/>
                      <w:szCs w:val="21"/>
                      <w:highlight w:val="none"/>
                      <w:u w:val="none"/>
                      <w:lang w:val="en-US" w:eastAsia="zh-CN"/>
                    </w:rPr>
                    <w:t>0.05</w:t>
                  </w:r>
                </w:p>
              </w:tc>
            </w:tr>
            <w:tr w14:paraId="78F053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7" w:hRule="atLeast"/>
                <w:jc w:val="center"/>
              </w:trPr>
              <w:tc>
                <w:tcPr>
                  <w:tcW w:w="456" w:type="pct"/>
                  <w:vMerge w:val="continue"/>
                  <w:tcBorders>
                    <w:left w:val="single" w:color="000000" w:sz="4" w:space="0"/>
                    <w:bottom w:val="single" w:color="000000" w:sz="4" w:space="0"/>
                    <w:right w:val="single" w:color="000000" w:sz="4" w:space="0"/>
                  </w:tcBorders>
                  <w:shd w:val="clear" w:color="auto" w:fill="auto"/>
                  <w:vAlign w:val="center"/>
                </w:tcPr>
                <w:p w14:paraId="466C8C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29" w:type="pct"/>
                  <w:vMerge w:val="continue"/>
                  <w:tcBorders>
                    <w:left w:val="single" w:color="000000" w:sz="4" w:space="0"/>
                    <w:bottom w:val="single" w:color="000000" w:sz="4" w:space="0"/>
                    <w:right w:val="single" w:color="000000" w:sz="4" w:space="0"/>
                  </w:tcBorders>
                  <w:shd w:val="clear" w:color="auto" w:fill="auto"/>
                  <w:vAlign w:val="center"/>
                </w:tcPr>
                <w:p w14:paraId="542BD3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93D3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废柴油桶</w:t>
                  </w:r>
                </w:p>
              </w:tc>
              <w:tc>
                <w:tcPr>
                  <w:tcW w:w="8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D0C7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900-249-08</w:t>
                  </w:r>
                </w:p>
              </w:tc>
              <w:tc>
                <w:tcPr>
                  <w:tcW w:w="394" w:type="pct"/>
                  <w:vMerge w:val="continue"/>
                  <w:tcBorders>
                    <w:left w:val="single" w:color="000000" w:sz="4" w:space="0"/>
                    <w:bottom w:val="single" w:color="000000" w:sz="4" w:space="0"/>
                    <w:right w:val="single" w:color="000000" w:sz="4" w:space="0"/>
                  </w:tcBorders>
                  <w:shd w:val="clear" w:color="auto" w:fill="auto"/>
                  <w:vAlign w:val="center"/>
                </w:tcPr>
                <w:p w14:paraId="20B534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053C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28CC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0.125</w:t>
                  </w:r>
                </w:p>
              </w:tc>
              <w:tc>
                <w:tcPr>
                  <w:tcW w:w="591" w:type="pct"/>
                  <w:vMerge w:val="continue"/>
                  <w:tcBorders>
                    <w:left w:val="single" w:color="000000" w:sz="4" w:space="0"/>
                    <w:bottom w:val="single" w:color="000000" w:sz="4" w:space="0"/>
                    <w:right w:val="single" w:color="000000" w:sz="4" w:space="0"/>
                  </w:tcBorders>
                  <w:shd w:val="clear" w:color="auto" w:fill="auto"/>
                  <w:vAlign w:val="center"/>
                </w:tcPr>
                <w:p w14:paraId="0C5516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4AD7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0.125</w:t>
                  </w:r>
                </w:p>
              </w:tc>
            </w:tr>
          </w:tbl>
          <w:p w14:paraId="7444C1B1">
            <w:pPr>
              <w:keepNext/>
              <w:keepLines/>
              <w:suppressLineNumbers w:val="0"/>
              <w:tabs>
                <w:tab w:val="left" w:pos="0"/>
              </w:tabs>
              <w:spacing w:before="0" w:beforeAutospacing="0" w:after="0" w:afterAutospacing="0"/>
              <w:ind w:left="480" w:leftChars="200" w:right="0"/>
              <w:outlineLvl w:val="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2、固体废物贮存和处置情况</w:t>
            </w:r>
          </w:p>
          <w:p w14:paraId="5FEBEDCD">
            <w:pPr>
              <w:pStyle w:val="12"/>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bookmarkStart w:id="147" w:name="_Ref10526"/>
            <w:r>
              <w:rPr>
                <w:rFonts w:hint="default" w:ascii="Times New Roman" w:hAnsi="Times New Roman" w:cs="Times New Roman"/>
                <w:color w:val="auto"/>
                <w:highlight w:val="none"/>
              </w:rPr>
              <w:t>生活垃圾交由环卫部门清运，</w:t>
            </w:r>
            <w:r>
              <w:rPr>
                <w:rFonts w:hint="eastAsia" w:cs="Times New Roman"/>
                <w:color w:val="auto"/>
                <w:highlight w:val="none"/>
                <w:lang w:val="en-US" w:eastAsia="zh-CN"/>
              </w:rPr>
              <w:t>废木屑杂物、废橡胶、布袋收集</w:t>
            </w:r>
            <w:r>
              <w:rPr>
                <w:rFonts w:hint="default" w:ascii="Times New Roman" w:hAnsi="Times New Roman" w:cs="Times New Roman"/>
                <w:color w:val="auto"/>
                <w:highlight w:val="none"/>
                <w:lang w:val="en-US" w:eastAsia="zh-CN"/>
              </w:rPr>
              <w:t>粉尘和</w:t>
            </w:r>
            <w:r>
              <w:rPr>
                <w:rFonts w:hint="eastAsia" w:cs="Times New Roman"/>
                <w:color w:val="auto"/>
                <w:highlight w:val="none"/>
                <w:lang w:val="en-US" w:eastAsia="zh-CN"/>
              </w:rPr>
              <w:t>废布袋</w:t>
            </w:r>
            <w:r>
              <w:rPr>
                <w:rFonts w:hint="default" w:ascii="Times New Roman" w:hAnsi="Times New Roman" w:cs="Times New Roman"/>
                <w:color w:val="auto"/>
                <w:highlight w:val="none"/>
              </w:rPr>
              <w:t>交由资源回收利用单位，废</w:t>
            </w:r>
            <w:r>
              <w:rPr>
                <w:rFonts w:hint="eastAsia" w:cs="Times New Roman"/>
                <w:color w:val="auto"/>
                <w:highlight w:val="none"/>
                <w:lang w:val="en-US" w:eastAsia="zh-CN"/>
              </w:rPr>
              <w:t>pH调整</w:t>
            </w:r>
            <w:r>
              <w:rPr>
                <w:rFonts w:hint="default" w:ascii="Times New Roman" w:hAnsi="Times New Roman" w:cs="Times New Roman"/>
                <w:color w:val="auto"/>
                <w:highlight w:val="none"/>
              </w:rPr>
              <w:t>剂包装桶、废水处理站污泥、废机油空桶、废机油、</w:t>
            </w:r>
            <w:r>
              <w:rPr>
                <w:rFonts w:hint="default" w:ascii="Times New Roman" w:hAnsi="Times New Roman" w:cs="Times New Roman"/>
                <w:color w:val="auto"/>
                <w:highlight w:val="none"/>
                <w:lang w:val="en-US" w:eastAsia="zh-CN"/>
              </w:rPr>
              <w:t>含油废抹布</w:t>
            </w:r>
            <w:r>
              <w:rPr>
                <w:rFonts w:hint="eastAsia" w:cs="Times New Roman"/>
                <w:color w:val="auto"/>
                <w:highlight w:val="none"/>
                <w:lang w:val="en-US" w:eastAsia="zh-CN"/>
              </w:rPr>
              <w:t>、废烧碱包装袋及废柴油桶</w:t>
            </w:r>
            <w:r>
              <w:rPr>
                <w:rFonts w:hint="default" w:ascii="Times New Roman" w:hAnsi="Times New Roman" w:cs="Times New Roman"/>
                <w:color w:val="auto"/>
                <w:highlight w:val="none"/>
              </w:rPr>
              <w:t>委托有危险废物资质单位处理。</w:t>
            </w:r>
          </w:p>
          <w:p w14:paraId="09B56AF7">
            <w:pPr>
              <w:pStyle w:val="12"/>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w:t>
            </w:r>
            <w:r>
              <w:rPr>
                <w:rFonts w:hint="default" w:ascii="Times New Roman" w:hAnsi="Times New Roman" w:cs="Times New Roman"/>
                <w:color w:val="auto"/>
                <w:highlight w:val="none"/>
                <w:lang w:eastAsia="zh-CN"/>
              </w:rPr>
              <w:t>《国家危险废物名录》（2025年版）</w:t>
            </w:r>
            <w:r>
              <w:rPr>
                <w:rFonts w:hint="default" w:ascii="Times New Roman" w:hAnsi="Times New Roman" w:cs="Times New Roman"/>
                <w:color w:val="auto"/>
                <w:highlight w:val="none"/>
              </w:rPr>
              <w:t>，危险废物从产生、收集、贮运、转运、处置等各个环节都可能因管理不善而进入环境，因此在各个环节中，抛落、渗漏、丢弃等问题都可能存在，为了使各种危险废物能合法合理处置，本次评价拟按照《危险废物贮存污染控制标准》（GB 18597-2023）等国家相关法律，提出相应的治理措施，进一步规范收集、贮运、处置等操作过程。</w:t>
            </w:r>
          </w:p>
          <w:p w14:paraId="61F981F0">
            <w:pPr>
              <w:pStyle w:val="20"/>
              <w:keepNext w:val="0"/>
              <w:keepLines w:val="0"/>
              <w:numPr>
                <w:ilvl w:val="0"/>
                <w:numId w:val="0"/>
              </w:numPr>
              <w:suppressLineNumbers w:val="0"/>
              <w:tabs>
                <w:tab w:val="left" w:pos="0"/>
              </w:tabs>
              <w:spacing w:before="0" w:beforeAutospacing="0" w:after="0" w:afterAutospacing="0" w:line="240" w:lineRule="auto"/>
              <w:ind w:left="0" w:leftChars="0" w:right="0" w:rightChars="0" w:firstLine="40" w:firstLineChars="0"/>
              <w:rPr>
                <w:rFonts w:hint="default" w:ascii="Times New Roman" w:hAnsi="Times New Roman" w:cs="Times New Roman"/>
                <w:color w:val="auto"/>
                <w:highlight w:val="none"/>
              </w:rPr>
            </w:pPr>
            <w:r>
              <w:rPr>
                <w:rFonts w:hint="default" w:ascii="Times New Roman" w:hAnsi="Times New Roman" w:eastAsia="宋体" w:cs="Times New Roman"/>
                <w:b/>
                <w:bCs/>
                <w:color w:val="auto"/>
                <w:kern w:val="2"/>
                <w:sz w:val="21"/>
                <w:szCs w:val="21"/>
                <w:highlight w:val="none"/>
                <w:lang w:val="en-US" w:eastAsia="zh-CN" w:bidi="ar-SA"/>
              </w:rPr>
              <w:t>表4-</w:t>
            </w:r>
            <w:r>
              <w:rPr>
                <w:rFonts w:hint="eastAsia" w:cs="Times New Roman"/>
                <w:b/>
                <w:bCs/>
                <w:color w:val="auto"/>
                <w:kern w:val="2"/>
                <w:sz w:val="21"/>
                <w:szCs w:val="21"/>
                <w:highlight w:val="none"/>
                <w:lang w:val="en-US" w:eastAsia="zh-CN" w:bidi="ar-SA"/>
              </w:rPr>
              <w:t xml:space="preserve">28 </w:t>
            </w:r>
            <w:r>
              <w:rPr>
                <w:rFonts w:hint="default" w:ascii="Times New Roman" w:hAnsi="Times New Roman" w:cs="Times New Roman"/>
                <w:color w:val="auto"/>
                <w:highlight w:val="none"/>
              </w:rPr>
              <w:t>危险废物汇总表</w:t>
            </w:r>
          </w:p>
          <w:tbl>
            <w:tblPr>
              <w:tblStyle w:val="39"/>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74"/>
              <w:gridCol w:w="776"/>
              <w:gridCol w:w="1196"/>
              <w:gridCol w:w="689"/>
              <w:gridCol w:w="885"/>
              <w:gridCol w:w="595"/>
              <w:gridCol w:w="606"/>
              <w:gridCol w:w="678"/>
              <w:gridCol w:w="600"/>
              <w:gridCol w:w="658"/>
              <w:gridCol w:w="658"/>
              <w:gridCol w:w="695"/>
            </w:tblGrid>
            <w:tr w14:paraId="04D93D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9" w:type="pct"/>
                  <w:vAlign w:val="center"/>
                </w:tcPr>
                <w:p w14:paraId="67278A97">
                  <w:pPr>
                    <w:pStyle w:val="60"/>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危险废物名称</w:t>
                  </w:r>
                </w:p>
              </w:tc>
              <w:tc>
                <w:tcPr>
                  <w:tcW w:w="425" w:type="pct"/>
                  <w:vAlign w:val="center"/>
                </w:tcPr>
                <w:p w14:paraId="15BCA677">
                  <w:pPr>
                    <w:pStyle w:val="60"/>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危险废物类别</w:t>
                  </w:r>
                </w:p>
              </w:tc>
              <w:tc>
                <w:tcPr>
                  <w:tcW w:w="656" w:type="pct"/>
                  <w:vAlign w:val="center"/>
                </w:tcPr>
                <w:p w14:paraId="096B07EC">
                  <w:pPr>
                    <w:pStyle w:val="60"/>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危险废物代码</w:t>
                  </w:r>
                </w:p>
              </w:tc>
              <w:tc>
                <w:tcPr>
                  <w:tcW w:w="378" w:type="pct"/>
                  <w:vAlign w:val="center"/>
                </w:tcPr>
                <w:p w14:paraId="7D36C8BE">
                  <w:pPr>
                    <w:pStyle w:val="60"/>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产生量t/a</w:t>
                  </w:r>
                </w:p>
              </w:tc>
              <w:tc>
                <w:tcPr>
                  <w:tcW w:w="485" w:type="pct"/>
                  <w:vAlign w:val="center"/>
                </w:tcPr>
                <w:p w14:paraId="558E4415">
                  <w:pPr>
                    <w:pStyle w:val="60"/>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产生工序及装置</w:t>
                  </w:r>
                </w:p>
              </w:tc>
              <w:tc>
                <w:tcPr>
                  <w:tcW w:w="326" w:type="pct"/>
                  <w:vAlign w:val="center"/>
                </w:tcPr>
                <w:p w14:paraId="11B0E614">
                  <w:pPr>
                    <w:pStyle w:val="60"/>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形态</w:t>
                  </w:r>
                </w:p>
              </w:tc>
              <w:tc>
                <w:tcPr>
                  <w:tcW w:w="332" w:type="pct"/>
                  <w:vAlign w:val="center"/>
                </w:tcPr>
                <w:p w14:paraId="3A720AAD">
                  <w:pPr>
                    <w:pStyle w:val="60"/>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主要成分</w:t>
                  </w:r>
                </w:p>
              </w:tc>
              <w:tc>
                <w:tcPr>
                  <w:tcW w:w="372" w:type="pct"/>
                  <w:vAlign w:val="center"/>
                </w:tcPr>
                <w:p w14:paraId="30B5081A">
                  <w:pPr>
                    <w:pStyle w:val="60"/>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有害成分</w:t>
                  </w:r>
                </w:p>
              </w:tc>
              <w:tc>
                <w:tcPr>
                  <w:tcW w:w="329" w:type="pct"/>
                  <w:vAlign w:val="center"/>
                </w:tcPr>
                <w:p w14:paraId="2AC74FEC">
                  <w:pPr>
                    <w:pStyle w:val="60"/>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产废周期</w:t>
                  </w:r>
                </w:p>
              </w:tc>
              <w:tc>
                <w:tcPr>
                  <w:tcW w:w="361" w:type="pct"/>
                  <w:vAlign w:val="center"/>
                </w:tcPr>
                <w:p w14:paraId="7701C8C1">
                  <w:pPr>
                    <w:pStyle w:val="60"/>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eastAsia="宋体" w:cs="Times New Roman"/>
                      <w:b/>
                      <w:bCs/>
                      <w:color w:val="auto"/>
                      <w:kern w:val="2"/>
                      <w:sz w:val="21"/>
                      <w:szCs w:val="21"/>
                      <w:highlight w:val="none"/>
                      <w:lang w:val="en-US" w:eastAsia="zh-CN"/>
                    </w:rPr>
                  </w:pPr>
                  <w:r>
                    <w:rPr>
                      <w:rFonts w:hint="eastAsia" w:ascii="Times New Roman" w:hAnsi="Times New Roman" w:cs="Times New Roman"/>
                      <w:b/>
                      <w:bCs/>
                      <w:color w:val="auto"/>
                      <w:kern w:val="2"/>
                      <w:sz w:val="21"/>
                      <w:szCs w:val="21"/>
                      <w:highlight w:val="none"/>
                      <w:lang w:val="en-US" w:eastAsia="zh-CN"/>
                    </w:rPr>
                    <w:t>贮存周期</w:t>
                  </w:r>
                </w:p>
              </w:tc>
              <w:tc>
                <w:tcPr>
                  <w:tcW w:w="361" w:type="pct"/>
                  <w:vAlign w:val="center"/>
                </w:tcPr>
                <w:p w14:paraId="4086EBA6">
                  <w:pPr>
                    <w:pStyle w:val="60"/>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危险特性</w:t>
                  </w:r>
                </w:p>
              </w:tc>
              <w:tc>
                <w:tcPr>
                  <w:tcW w:w="381" w:type="pct"/>
                  <w:vAlign w:val="center"/>
                </w:tcPr>
                <w:p w14:paraId="7E747F5E">
                  <w:pPr>
                    <w:pStyle w:val="60"/>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污染防治措施</w:t>
                  </w:r>
                </w:p>
              </w:tc>
            </w:tr>
            <w:tr w14:paraId="73AE1F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9" w:type="pct"/>
                  <w:vAlign w:val="center"/>
                </w:tcPr>
                <w:p w14:paraId="429983F6">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leftChars="0" w:right="0" w:rightChars="0"/>
                    <w:rPr>
                      <w:rFonts w:hint="default" w:ascii="Times New Roman" w:hAnsi="Times New Roman" w:cs="Times New Roman"/>
                      <w:color w:val="auto"/>
                      <w:kern w:val="2"/>
                      <w:sz w:val="21"/>
                      <w:szCs w:val="21"/>
                      <w:highlight w:val="none"/>
                    </w:rPr>
                  </w:pPr>
                  <w:r>
                    <w:rPr>
                      <w:rFonts w:hint="default" w:ascii="Times New Roman" w:hAnsi="Times New Roman" w:cs="Times New Roman"/>
                      <w:b w:val="0"/>
                      <w:bCs w:val="0"/>
                      <w:color w:val="auto"/>
                      <w:kern w:val="2"/>
                      <w:sz w:val="21"/>
                      <w:szCs w:val="21"/>
                      <w:highlight w:val="none"/>
                      <w:lang w:eastAsia="zh-CN"/>
                    </w:rPr>
                    <w:t>废</w:t>
                  </w:r>
                  <w:r>
                    <w:rPr>
                      <w:rFonts w:hint="default" w:ascii="Times New Roman" w:hAnsi="Times New Roman" w:cs="Times New Roman"/>
                      <w:b w:val="0"/>
                      <w:bCs w:val="0"/>
                      <w:color w:val="auto"/>
                      <w:kern w:val="2"/>
                      <w:sz w:val="21"/>
                      <w:szCs w:val="21"/>
                      <w:highlight w:val="none"/>
                    </w:rPr>
                    <w:t>pH调整剂</w:t>
                  </w:r>
                  <w:r>
                    <w:rPr>
                      <w:rFonts w:hint="default" w:ascii="Times New Roman" w:hAnsi="Times New Roman" w:cs="Times New Roman"/>
                      <w:b w:val="0"/>
                      <w:bCs w:val="0"/>
                      <w:color w:val="auto"/>
                      <w:kern w:val="2"/>
                      <w:sz w:val="21"/>
                      <w:szCs w:val="21"/>
                      <w:highlight w:val="none"/>
                      <w:lang w:eastAsia="zh-CN"/>
                    </w:rPr>
                    <w:t>包装桶</w:t>
                  </w:r>
                </w:p>
              </w:tc>
              <w:tc>
                <w:tcPr>
                  <w:tcW w:w="425" w:type="pct"/>
                  <w:vAlign w:val="center"/>
                </w:tcPr>
                <w:p w14:paraId="1AB461FF">
                  <w:pPr>
                    <w:keepNext w:val="0"/>
                    <w:keepLines w:val="0"/>
                    <w:pageBreakBefore w:val="0"/>
                    <w:widowControl/>
                    <w:suppressLineNumbers w:val="0"/>
                    <w:kinsoku/>
                    <w:overflowPunct/>
                    <w:topLinePunct w:val="0"/>
                    <w:bidi w:val="0"/>
                    <w:snapToGrid/>
                    <w:spacing w:before="0" w:beforeAutospacing="0" w:after="0" w:afterAutospacing="0" w:line="276" w:lineRule="auto"/>
                    <w:ind w:left="0" w:leftChars="0" w:right="0" w:rightChars="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HW49</w:t>
                  </w:r>
                </w:p>
              </w:tc>
              <w:tc>
                <w:tcPr>
                  <w:tcW w:w="656" w:type="pct"/>
                  <w:vAlign w:val="center"/>
                </w:tcPr>
                <w:p w14:paraId="20321FC4">
                  <w:pPr>
                    <w:keepNext w:val="0"/>
                    <w:keepLines w:val="0"/>
                    <w:pageBreakBefore w:val="0"/>
                    <w:widowControl/>
                    <w:suppressLineNumbers w:val="0"/>
                    <w:kinsoku/>
                    <w:overflowPunct/>
                    <w:topLinePunct w:val="0"/>
                    <w:bidi w:val="0"/>
                    <w:snapToGrid/>
                    <w:spacing w:before="0" w:beforeAutospacing="0" w:after="0" w:afterAutospacing="0" w:line="276" w:lineRule="auto"/>
                    <w:ind w:left="0" w:leftChars="0" w:right="0" w:rightChars="0"/>
                    <w:jc w:val="center"/>
                    <w:textAlignment w:val="center"/>
                    <w:rPr>
                      <w:rFonts w:hint="default" w:ascii="Times New Roman" w:hAnsi="Times New Roman" w:cs="Times New Roman"/>
                      <w:bCs/>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900-041-49</w:t>
                  </w:r>
                </w:p>
              </w:tc>
              <w:tc>
                <w:tcPr>
                  <w:tcW w:w="378" w:type="pct"/>
                  <w:vAlign w:val="center"/>
                </w:tcPr>
                <w:p w14:paraId="36C23954">
                  <w:pPr>
                    <w:keepNext w:val="0"/>
                    <w:keepLines w:val="0"/>
                    <w:pageBreakBefore w:val="0"/>
                    <w:widowControl/>
                    <w:suppressLineNumbers w:val="0"/>
                    <w:kinsoku/>
                    <w:overflowPunct/>
                    <w:topLinePunct w:val="0"/>
                    <w:bidi w:val="0"/>
                    <w:snapToGrid/>
                    <w:spacing w:before="0" w:beforeAutospacing="0" w:after="0" w:afterAutospacing="0" w:line="276" w:lineRule="auto"/>
                    <w:ind w:left="0" w:leftChars="0" w:right="0" w:rightChars="0"/>
                    <w:jc w:val="center"/>
                    <w:textAlignment w:val="center"/>
                    <w:rPr>
                      <w:rFonts w:hint="default" w:ascii="Times New Roman" w:hAnsi="Times New Roman" w:cs="Times New Roman"/>
                      <w:color w:val="auto"/>
                      <w:kern w:val="2"/>
                      <w:position w:val="0"/>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0.</w:t>
                  </w:r>
                  <w:r>
                    <w:rPr>
                      <w:rFonts w:hint="eastAsia" w:cs="Times New Roman"/>
                      <w:i w:val="0"/>
                      <w:iCs w:val="0"/>
                      <w:color w:val="auto"/>
                      <w:kern w:val="0"/>
                      <w:sz w:val="21"/>
                      <w:szCs w:val="21"/>
                      <w:highlight w:val="none"/>
                      <w:u w:val="none"/>
                      <w:lang w:val="en-US" w:eastAsia="zh-CN"/>
                    </w:rPr>
                    <w:t>112</w:t>
                  </w:r>
                </w:p>
              </w:tc>
              <w:tc>
                <w:tcPr>
                  <w:tcW w:w="485" w:type="pct"/>
                  <w:vAlign w:val="center"/>
                </w:tcPr>
                <w:p w14:paraId="422C0F01">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leftChars="0" w:right="0" w:rightChars="0"/>
                    <w:rPr>
                      <w:rFonts w:hint="default" w:ascii="Times New Roman" w:hAnsi="Times New Roman" w:cs="Times New Roman"/>
                      <w:color w:val="auto"/>
                      <w:kern w:val="2"/>
                      <w:position w:val="0"/>
                      <w:sz w:val="21"/>
                      <w:szCs w:val="21"/>
                      <w:highlight w:val="none"/>
                      <w:lang w:val="en-US" w:eastAsia="zh-CN"/>
                    </w:rPr>
                  </w:pPr>
                  <w:r>
                    <w:rPr>
                      <w:rFonts w:hint="default" w:ascii="Times New Roman" w:hAnsi="Times New Roman" w:cs="Times New Roman"/>
                      <w:color w:val="auto"/>
                      <w:kern w:val="2"/>
                      <w:position w:val="0"/>
                      <w:sz w:val="21"/>
                      <w:szCs w:val="21"/>
                      <w:highlight w:val="none"/>
                    </w:rPr>
                    <w:t>废</w:t>
                  </w:r>
                  <w:r>
                    <w:rPr>
                      <w:rFonts w:hint="default" w:ascii="Times New Roman" w:hAnsi="Times New Roman" w:cs="Times New Roman"/>
                      <w:color w:val="auto"/>
                      <w:kern w:val="2"/>
                      <w:position w:val="0"/>
                      <w:sz w:val="21"/>
                      <w:szCs w:val="21"/>
                      <w:highlight w:val="none"/>
                      <w:lang w:eastAsia="zh-CN"/>
                    </w:rPr>
                    <w:t>水</w:t>
                  </w:r>
                  <w:r>
                    <w:rPr>
                      <w:rFonts w:hint="default" w:ascii="Times New Roman" w:hAnsi="Times New Roman" w:cs="Times New Roman"/>
                      <w:color w:val="auto"/>
                      <w:kern w:val="2"/>
                      <w:position w:val="0"/>
                      <w:sz w:val="21"/>
                      <w:szCs w:val="21"/>
                      <w:highlight w:val="none"/>
                    </w:rPr>
                    <w:t>处理</w:t>
                  </w:r>
                </w:p>
              </w:tc>
              <w:tc>
                <w:tcPr>
                  <w:tcW w:w="326" w:type="pct"/>
                  <w:vAlign w:val="center"/>
                </w:tcPr>
                <w:p w14:paraId="271C5C76">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leftChars="0" w:right="0" w:rightChars="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position w:val="0"/>
                      <w:sz w:val="21"/>
                      <w:szCs w:val="21"/>
                      <w:highlight w:val="none"/>
                    </w:rPr>
                    <w:t>固态</w:t>
                  </w:r>
                </w:p>
              </w:tc>
              <w:tc>
                <w:tcPr>
                  <w:tcW w:w="332" w:type="pct"/>
                  <w:vAlign w:val="center"/>
                </w:tcPr>
                <w:p w14:paraId="3331AD9F">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leftChars="0" w:right="0" w:rightChars="0"/>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cs="Times New Roman"/>
                      <w:color w:val="auto"/>
                      <w:kern w:val="2"/>
                      <w:position w:val="0"/>
                      <w:sz w:val="21"/>
                      <w:szCs w:val="21"/>
                      <w:highlight w:val="none"/>
                      <w:lang w:eastAsia="zh-CN"/>
                    </w:rPr>
                    <w:t>硫酸</w:t>
                  </w:r>
                </w:p>
              </w:tc>
              <w:tc>
                <w:tcPr>
                  <w:tcW w:w="372" w:type="pct"/>
                  <w:vAlign w:val="center"/>
                </w:tcPr>
                <w:p w14:paraId="77BF31F7">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leftChars="0" w:right="0" w:rightChars="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position w:val="0"/>
                      <w:sz w:val="21"/>
                      <w:szCs w:val="21"/>
                      <w:highlight w:val="none"/>
                      <w:lang w:eastAsia="zh-CN"/>
                    </w:rPr>
                    <w:t>硫酸</w:t>
                  </w:r>
                </w:p>
              </w:tc>
              <w:tc>
                <w:tcPr>
                  <w:tcW w:w="329" w:type="pct"/>
                  <w:vAlign w:val="center"/>
                </w:tcPr>
                <w:p w14:paraId="07BCE35C">
                  <w:pPr>
                    <w:keepNext w:val="0"/>
                    <w:keepLines w:val="0"/>
                    <w:pageBreakBefore w:val="0"/>
                    <w:suppressLineNumbers w:val="0"/>
                    <w:kinsoku/>
                    <w:overflowPunct/>
                    <w:topLinePunct w:val="0"/>
                    <w:bidi w:val="0"/>
                    <w:adjustRightInd w:val="0"/>
                    <w:snapToGrid/>
                    <w:spacing w:before="0" w:beforeAutospacing="0" w:after="0" w:afterAutospacing="0" w:line="276" w:lineRule="auto"/>
                    <w:ind w:left="0" w:leftChars="0" w:right="0" w:right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1个月</w:t>
                  </w:r>
                </w:p>
              </w:tc>
              <w:tc>
                <w:tcPr>
                  <w:tcW w:w="361" w:type="pct"/>
                  <w:vAlign w:val="center"/>
                </w:tcPr>
                <w:p w14:paraId="278F9181">
                  <w:pPr>
                    <w:keepNext w:val="0"/>
                    <w:keepLines w:val="0"/>
                    <w:pageBreakBefore w:val="0"/>
                    <w:suppressLineNumbers w:val="0"/>
                    <w:kinsoku/>
                    <w:overflowPunct/>
                    <w:topLinePunct w:val="0"/>
                    <w:bidi w:val="0"/>
                    <w:adjustRightInd w:val="0"/>
                    <w:snapToGrid/>
                    <w:spacing w:before="0" w:beforeAutospacing="0" w:after="0" w:afterAutospacing="0" w:line="276" w:lineRule="auto"/>
                    <w:ind w:left="0" w:leftChars="0" w:right="0" w:right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3个月</w:t>
                  </w:r>
                </w:p>
              </w:tc>
              <w:tc>
                <w:tcPr>
                  <w:tcW w:w="361" w:type="pct"/>
                  <w:vAlign w:val="center"/>
                </w:tcPr>
                <w:p w14:paraId="4DEF7185">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leftChars="0" w:right="0" w:rightChars="0"/>
                    <w:rPr>
                      <w:rFonts w:hint="default" w:ascii="Times New Roman" w:hAnsi="Times New Roman" w:cs="Times New Roman"/>
                      <w:b/>
                      <w:bCs/>
                      <w:color w:val="auto"/>
                      <w:kern w:val="2"/>
                      <w:sz w:val="21"/>
                      <w:szCs w:val="21"/>
                      <w:highlight w:val="none"/>
                    </w:rPr>
                  </w:pPr>
                  <w:r>
                    <w:rPr>
                      <w:rFonts w:hint="default" w:ascii="Times New Roman" w:hAnsi="Times New Roman" w:cs="Times New Roman"/>
                      <w:color w:val="auto"/>
                      <w:kern w:val="2"/>
                      <w:position w:val="0"/>
                      <w:sz w:val="21"/>
                      <w:szCs w:val="21"/>
                      <w:highlight w:val="none"/>
                    </w:rPr>
                    <w:t>T</w:t>
                  </w:r>
                </w:p>
              </w:tc>
              <w:tc>
                <w:tcPr>
                  <w:tcW w:w="381" w:type="pct"/>
                  <w:vMerge w:val="restart"/>
                  <w:vAlign w:val="center"/>
                </w:tcPr>
                <w:p w14:paraId="07E248C8">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暂存在危险废物暂存间，定期由危废资质单位处理。</w:t>
                  </w:r>
                </w:p>
              </w:tc>
            </w:tr>
            <w:tr w14:paraId="224108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9" w:type="pct"/>
                  <w:vAlign w:val="center"/>
                </w:tcPr>
                <w:p w14:paraId="217DF4F3">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废机油</w:t>
                  </w:r>
                </w:p>
              </w:tc>
              <w:tc>
                <w:tcPr>
                  <w:tcW w:w="425" w:type="pct"/>
                  <w:vAlign w:val="center"/>
                </w:tcPr>
                <w:p w14:paraId="0BA936A1">
                  <w:pPr>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textAlignment w:val="center"/>
                    <w:rPr>
                      <w:rFonts w:hint="default" w:ascii="Times New Roman" w:hAnsi="Times New Roman" w:cs="Times New Roman"/>
                      <w:color w:val="auto"/>
                      <w:kern w:val="2"/>
                      <w:positio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HW08</w:t>
                  </w:r>
                </w:p>
              </w:tc>
              <w:tc>
                <w:tcPr>
                  <w:tcW w:w="656" w:type="pct"/>
                  <w:vAlign w:val="center"/>
                </w:tcPr>
                <w:p w14:paraId="11B8C8CE">
                  <w:pPr>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textAlignment w:val="center"/>
                    <w:rPr>
                      <w:rFonts w:hint="default" w:ascii="Times New Roman" w:hAnsi="Times New Roman" w:cs="Times New Roman"/>
                      <w:color w:val="auto"/>
                      <w:kern w:val="2"/>
                      <w:positio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900-249-08</w:t>
                  </w:r>
                </w:p>
              </w:tc>
              <w:tc>
                <w:tcPr>
                  <w:tcW w:w="378" w:type="pct"/>
                  <w:vAlign w:val="center"/>
                </w:tcPr>
                <w:p w14:paraId="67DD95EA">
                  <w:pPr>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textAlignment w:val="center"/>
                    <w:rPr>
                      <w:rFonts w:hint="default" w:ascii="Times New Roman" w:hAnsi="Times New Roman" w:eastAsia="宋体" w:cs="Times New Roman"/>
                      <w:color w:val="auto"/>
                      <w:kern w:val="2"/>
                      <w:position w:val="0"/>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0.</w:t>
                  </w:r>
                  <w:r>
                    <w:rPr>
                      <w:rFonts w:hint="default" w:ascii="Times New Roman" w:hAnsi="Times New Roman" w:cs="Times New Roman"/>
                      <w:i w:val="0"/>
                      <w:iCs w:val="0"/>
                      <w:color w:val="auto"/>
                      <w:kern w:val="0"/>
                      <w:sz w:val="21"/>
                      <w:szCs w:val="21"/>
                      <w:highlight w:val="none"/>
                      <w:u w:val="none"/>
                      <w:lang w:val="en-US" w:eastAsia="zh-CN"/>
                    </w:rPr>
                    <w:t>9</w:t>
                  </w: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485" w:type="pct"/>
                  <w:vAlign w:val="center"/>
                </w:tcPr>
                <w:p w14:paraId="62741448">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设备保养</w:t>
                  </w:r>
                </w:p>
              </w:tc>
              <w:tc>
                <w:tcPr>
                  <w:tcW w:w="326" w:type="pct"/>
                  <w:vAlign w:val="center"/>
                </w:tcPr>
                <w:p w14:paraId="2104DB70">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液态</w:t>
                  </w:r>
                </w:p>
              </w:tc>
              <w:tc>
                <w:tcPr>
                  <w:tcW w:w="332" w:type="pct"/>
                  <w:vAlign w:val="center"/>
                </w:tcPr>
                <w:p w14:paraId="4F6CDBF9">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lang w:val="en-US" w:eastAsia="zh-CN"/>
                    </w:rPr>
                    <w:t>矿物油</w:t>
                  </w:r>
                </w:p>
              </w:tc>
              <w:tc>
                <w:tcPr>
                  <w:tcW w:w="372" w:type="pct"/>
                  <w:vAlign w:val="center"/>
                </w:tcPr>
                <w:p w14:paraId="689E976B">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lang w:val="en-US" w:eastAsia="zh-CN"/>
                    </w:rPr>
                    <w:t>矿物油</w:t>
                  </w:r>
                </w:p>
              </w:tc>
              <w:tc>
                <w:tcPr>
                  <w:tcW w:w="329" w:type="pct"/>
                  <w:vAlign w:val="center"/>
                </w:tcPr>
                <w:p w14:paraId="6C37E048">
                  <w:pPr>
                    <w:keepNext w:val="0"/>
                    <w:keepLines w:val="0"/>
                    <w:pageBreakBefore w:val="0"/>
                    <w:suppressLineNumbers w:val="0"/>
                    <w:kinsoku/>
                    <w:overflowPunct/>
                    <w:topLinePunct w:val="0"/>
                    <w:bidi w:val="0"/>
                    <w:adjustRightInd w:val="0"/>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半</w:t>
                  </w:r>
                  <w:r>
                    <w:rPr>
                      <w:rFonts w:hint="default" w:ascii="Times New Roman" w:hAnsi="Times New Roman" w:cs="Times New Roman"/>
                      <w:color w:val="auto"/>
                      <w:sz w:val="21"/>
                      <w:szCs w:val="21"/>
                      <w:highlight w:val="none"/>
                    </w:rPr>
                    <w:t>年</w:t>
                  </w:r>
                </w:p>
              </w:tc>
              <w:tc>
                <w:tcPr>
                  <w:tcW w:w="361" w:type="pct"/>
                  <w:vAlign w:val="center"/>
                </w:tcPr>
                <w:p w14:paraId="536492B4">
                  <w:pPr>
                    <w:keepNext w:val="0"/>
                    <w:keepLines w:val="0"/>
                    <w:pageBreakBefore w:val="0"/>
                    <w:suppressLineNumbers w:val="0"/>
                    <w:kinsoku/>
                    <w:overflowPunct/>
                    <w:topLinePunct w:val="0"/>
                    <w:bidi w:val="0"/>
                    <w:adjustRightInd w:val="0"/>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半年</w:t>
                  </w:r>
                </w:p>
              </w:tc>
              <w:tc>
                <w:tcPr>
                  <w:tcW w:w="361" w:type="pct"/>
                  <w:vAlign w:val="center"/>
                </w:tcPr>
                <w:p w14:paraId="292F0E52">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T</w:t>
                  </w:r>
                  <w:r>
                    <w:rPr>
                      <w:rFonts w:hint="default" w:ascii="Times New Roman" w:hAnsi="Times New Roman" w:cs="Times New Roman"/>
                      <w:color w:val="auto"/>
                      <w:kern w:val="2"/>
                      <w:position w:val="0"/>
                      <w:sz w:val="21"/>
                      <w:szCs w:val="21"/>
                      <w:highlight w:val="none"/>
                      <w:lang w:val="en-US" w:eastAsia="zh-CN"/>
                    </w:rPr>
                    <w:t>,I</w:t>
                  </w:r>
                </w:p>
              </w:tc>
              <w:tc>
                <w:tcPr>
                  <w:tcW w:w="381" w:type="pct"/>
                  <w:vMerge w:val="continue"/>
                  <w:vAlign w:val="center"/>
                </w:tcPr>
                <w:p w14:paraId="36748730">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p>
              </w:tc>
            </w:tr>
            <w:tr w14:paraId="2807D6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9" w:type="pct"/>
                  <w:vAlign w:val="center"/>
                </w:tcPr>
                <w:p w14:paraId="04837507">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eastAsia="宋体" w:cs="Times New Roman"/>
                      <w:color w:val="auto"/>
                      <w:kern w:val="2"/>
                      <w:position w:val="0"/>
                      <w:sz w:val="21"/>
                      <w:szCs w:val="21"/>
                      <w:highlight w:val="none"/>
                      <w:lang w:val="en-US" w:eastAsia="zh-CN"/>
                    </w:rPr>
                  </w:pPr>
                  <w:r>
                    <w:rPr>
                      <w:rFonts w:hint="default" w:ascii="Times New Roman" w:hAnsi="Times New Roman" w:cs="Times New Roman"/>
                      <w:color w:val="auto"/>
                      <w:kern w:val="2"/>
                      <w:position w:val="0"/>
                      <w:sz w:val="21"/>
                      <w:szCs w:val="21"/>
                      <w:highlight w:val="none"/>
                      <w:lang w:val="en-US" w:eastAsia="zh-CN"/>
                    </w:rPr>
                    <w:t>含油废抹布</w:t>
                  </w:r>
                </w:p>
              </w:tc>
              <w:tc>
                <w:tcPr>
                  <w:tcW w:w="425" w:type="pct"/>
                  <w:vAlign w:val="center"/>
                </w:tcPr>
                <w:p w14:paraId="748099A5">
                  <w:pPr>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HW49</w:t>
                  </w:r>
                </w:p>
              </w:tc>
              <w:tc>
                <w:tcPr>
                  <w:tcW w:w="656" w:type="pct"/>
                  <w:vAlign w:val="center"/>
                </w:tcPr>
                <w:p w14:paraId="6DDB6911">
                  <w:pPr>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900-041-49</w:t>
                  </w:r>
                </w:p>
              </w:tc>
              <w:tc>
                <w:tcPr>
                  <w:tcW w:w="378" w:type="pct"/>
                  <w:vAlign w:val="center"/>
                </w:tcPr>
                <w:p w14:paraId="27DB30C8">
                  <w:pPr>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cs="Times New Roman"/>
                      <w:i w:val="0"/>
                      <w:iCs w:val="0"/>
                      <w:color w:val="auto"/>
                      <w:kern w:val="0"/>
                      <w:sz w:val="21"/>
                      <w:szCs w:val="21"/>
                      <w:highlight w:val="none"/>
                      <w:u w:val="none"/>
                      <w:lang w:val="en-US" w:eastAsia="zh-CN"/>
                    </w:rPr>
                    <w:t>0.05</w:t>
                  </w:r>
                </w:p>
              </w:tc>
              <w:tc>
                <w:tcPr>
                  <w:tcW w:w="485" w:type="pct"/>
                  <w:vAlign w:val="center"/>
                </w:tcPr>
                <w:p w14:paraId="5108A2BF">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eastAsia="宋体" w:cs="Times New Roman"/>
                      <w:color w:val="auto"/>
                      <w:kern w:val="2"/>
                      <w:position w:val="0"/>
                      <w:sz w:val="21"/>
                      <w:szCs w:val="21"/>
                      <w:highlight w:val="none"/>
                      <w:lang w:val="en-US" w:eastAsia="zh-CN"/>
                    </w:rPr>
                  </w:pPr>
                  <w:r>
                    <w:rPr>
                      <w:rFonts w:hint="default" w:ascii="Times New Roman" w:hAnsi="Times New Roman" w:cs="Times New Roman"/>
                      <w:color w:val="auto"/>
                      <w:kern w:val="2"/>
                      <w:position w:val="0"/>
                      <w:sz w:val="21"/>
                      <w:szCs w:val="21"/>
                      <w:highlight w:val="none"/>
                    </w:rPr>
                    <w:t>设备保养</w:t>
                  </w:r>
                </w:p>
              </w:tc>
              <w:tc>
                <w:tcPr>
                  <w:tcW w:w="326" w:type="pct"/>
                  <w:vAlign w:val="center"/>
                </w:tcPr>
                <w:p w14:paraId="7E16E8D1">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leftChars="0" w:right="0" w:rightChars="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固态</w:t>
                  </w:r>
                </w:p>
              </w:tc>
              <w:tc>
                <w:tcPr>
                  <w:tcW w:w="332" w:type="pct"/>
                  <w:vAlign w:val="center"/>
                </w:tcPr>
                <w:p w14:paraId="4F2A3638">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leftChars="0" w:right="0" w:rightChars="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lang w:val="en-US" w:eastAsia="zh-CN"/>
                    </w:rPr>
                    <w:t>矿物油</w:t>
                  </w:r>
                </w:p>
              </w:tc>
              <w:tc>
                <w:tcPr>
                  <w:tcW w:w="372" w:type="pct"/>
                  <w:vAlign w:val="center"/>
                </w:tcPr>
                <w:p w14:paraId="07499DD8">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leftChars="0" w:right="0" w:rightChars="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lang w:val="en-US" w:eastAsia="zh-CN"/>
                    </w:rPr>
                    <w:t>矿物油</w:t>
                  </w:r>
                </w:p>
              </w:tc>
              <w:tc>
                <w:tcPr>
                  <w:tcW w:w="329" w:type="pct"/>
                  <w:vAlign w:val="center"/>
                </w:tcPr>
                <w:p w14:paraId="320E0C1E">
                  <w:pPr>
                    <w:keepNext w:val="0"/>
                    <w:keepLines w:val="0"/>
                    <w:pageBreakBefore w:val="0"/>
                    <w:suppressLineNumbers w:val="0"/>
                    <w:kinsoku/>
                    <w:overflowPunct/>
                    <w:topLinePunct w:val="0"/>
                    <w:bidi w:val="0"/>
                    <w:adjustRightInd w:val="0"/>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每</w:t>
                  </w:r>
                  <w:r>
                    <w:rPr>
                      <w:rFonts w:hint="eastAsia" w:ascii="Times New Roman" w:hAnsi="Times New Roman" w:cs="Times New Roman"/>
                      <w:color w:val="auto"/>
                      <w:sz w:val="21"/>
                      <w:szCs w:val="21"/>
                      <w:highlight w:val="none"/>
                      <w:lang w:val="en-US" w:eastAsia="zh-CN"/>
                    </w:rPr>
                    <w:t>月</w:t>
                  </w:r>
                </w:p>
              </w:tc>
              <w:tc>
                <w:tcPr>
                  <w:tcW w:w="361" w:type="pct"/>
                  <w:vAlign w:val="center"/>
                </w:tcPr>
                <w:p w14:paraId="62CDCB4B">
                  <w:pPr>
                    <w:keepNext w:val="0"/>
                    <w:keepLines w:val="0"/>
                    <w:pageBreakBefore w:val="0"/>
                    <w:suppressLineNumbers w:val="0"/>
                    <w:kinsoku/>
                    <w:overflowPunct/>
                    <w:topLinePunct w:val="0"/>
                    <w:bidi w:val="0"/>
                    <w:adjustRightInd w:val="0"/>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半年</w:t>
                  </w:r>
                </w:p>
              </w:tc>
              <w:tc>
                <w:tcPr>
                  <w:tcW w:w="361" w:type="pct"/>
                  <w:vAlign w:val="center"/>
                </w:tcPr>
                <w:p w14:paraId="6C3FE65F">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T</w:t>
                  </w:r>
                  <w:r>
                    <w:rPr>
                      <w:rFonts w:hint="default" w:ascii="Times New Roman" w:hAnsi="Times New Roman" w:cs="Times New Roman"/>
                      <w:color w:val="auto"/>
                      <w:kern w:val="2"/>
                      <w:position w:val="0"/>
                      <w:sz w:val="21"/>
                      <w:szCs w:val="21"/>
                      <w:highlight w:val="none"/>
                      <w:lang w:val="en-US" w:eastAsia="zh-CN"/>
                    </w:rPr>
                    <w:t>,I</w:t>
                  </w:r>
                </w:p>
              </w:tc>
              <w:tc>
                <w:tcPr>
                  <w:tcW w:w="381" w:type="pct"/>
                  <w:vMerge w:val="continue"/>
                  <w:vAlign w:val="center"/>
                </w:tcPr>
                <w:p w14:paraId="224B4F37">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p>
              </w:tc>
            </w:tr>
            <w:tr w14:paraId="26C24C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9" w:type="pct"/>
                  <w:shd w:val="clear" w:color="auto" w:fill="auto"/>
                  <w:vAlign w:val="center"/>
                </w:tcPr>
                <w:p w14:paraId="4E9F05DA">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leftChars="0" w:right="0" w:rightChars="0"/>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rPr>
                    <w:t>废烧碱包装袋</w:t>
                  </w:r>
                </w:p>
              </w:tc>
              <w:tc>
                <w:tcPr>
                  <w:tcW w:w="425" w:type="pct"/>
                  <w:shd w:val="clear" w:color="auto" w:fill="auto"/>
                  <w:vAlign w:val="center"/>
                </w:tcPr>
                <w:p w14:paraId="3305E001">
                  <w:pPr>
                    <w:keepNext w:val="0"/>
                    <w:keepLines w:val="0"/>
                    <w:pageBreakBefore w:val="0"/>
                    <w:widowControl/>
                    <w:suppressLineNumbers w:val="0"/>
                    <w:kinsoku/>
                    <w:overflowPunct/>
                    <w:topLinePunct w:val="0"/>
                    <w:bidi w:val="0"/>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HW35</w:t>
                  </w:r>
                </w:p>
              </w:tc>
              <w:tc>
                <w:tcPr>
                  <w:tcW w:w="656" w:type="pct"/>
                  <w:shd w:val="clear" w:color="auto" w:fill="auto"/>
                  <w:vAlign w:val="center"/>
                </w:tcPr>
                <w:p w14:paraId="45CD2714">
                  <w:pPr>
                    <w:keepNext w:val="0"/>
                    <w:keepLines w:val="0"/>
                    <w:pageBreakBefore w:val="0"/>
                    <w:widowControl/>
                    <w:suppressLineNumbers w:val="0"/>
                    <w:kinsoku/>
                    <w:overflowPunct/>
                    <w:topLinePunct w:val="0"/>
                    <w:bidi w:val="0"/>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900-399-35</w:t>
                  </w:r>
                </w:p>
              </w:tc>
              <w:tc>
                <w:tcPr>
                  <w:tcW w:w="378" w:type="pct"/>
                  <w:shd w:val="clear" w:color="auto" w:fill="auto"/>
                  <w:vAlign w:val="center"/>
                </w:tcPr>
                <w:p w14:paraId="4E35968D">
                  <w:pPr>
                    <w:keepNext w:val="0"/>
                    <w:keepLines w:val="0"/>
                    <w:pageBreakBefore w:val="0"/>
                    <w:widowControl/>
                    <w:suppressLineNumbers w:val="0"/>
                    <w:kinsoku/>
                    <w:overflowPunct/>
                    <w:topLinePunct w:val="0"/>
                    <w:bidi w:val="0"/>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0.15</w:t>
                  </w:r>
                </w:p>
              </w:tc>
              <w:tc>
                <w:tcPr>
                  <w:tcW w:w="485" w:type="pct"/>
                  <w:shd w:val="clear" w:color="auto" w:fill="auto"/>
                  <w:vAlign w:val="center"/>
                </w:tcPr>
                <w:p w14:paraId="7392B6AA">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leftChars="0" w:right="0" w:rightChars="0"/>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rPr>
                    <w:t>洗料工序</w:t>
                  </w:r>
                </w:p>
              </w:tc>
              <w:tc>
                <w:tcPr>
                  <w:tcW w:w="326" w:type="pct"/>
                  <w:shd w:val="clear" w:color="auto" w:fill="auto"/>
                  <w:vAlign w:val="center"/>
                </w:tcPr>
                <w:p w14:paraId="736BCD8E">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leftChars="0" w:right="0" w:rightChars="0"/>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rPr>
                    <w:t>固态</w:t>
                  </w:r>
                </w:p>
              </w:tc>
              <w:tc>
                <w:tcPr>
                  <w:tcW w:w="332" w:type="pct"/>
                  <w:shd w:val="clear" w:color="auto" w:fill="auto"/>
                  <w:vAlign w:val="center"/>
                </w:tcPr>
                <w:p w14:paraId="466F5DE0">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leftChars="0" w:right="0" w:rightChars="0"/>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rPr>
                    <w:t>烧碱</w:t>
                  </w:r>
                </w:p>
              </w:tc>
              <w:tc>
                <w:tcPr>
                  <w:tcW w:w="372" w:type="pct"/>
                  <w:shd w:val="clear" w:color="auto" w:fill="auto"/>
                  <w:vAlign w:val="center"/>
                </w:tcPr>
                <w:p w14:paraId="51907134">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leftChars="0" w:right="0" w:rightChars="0"/>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rPr>
                    <w:t>烧碱</w:t>
                  </w:r>
                </w:p>
              </w:tc>
              <w:tc>
                <w:tcPr>
                  <w:tcW w:w="329" w:type="pct"/>
                  <w:shd w:val="clear" w:color="auto" w:fill="auto"/>
                  <w:vAlign w:val="center"/>
                </w:tcPr>
                <w:p w14:paraId="2581CE82">
                  <w:pPr>
                    <w:keepNext w:val="0"/>
                    <w:keepLines w:val="0"/>
                    <w:pageBreakBefore w:val="0"/>
                    <w:suppressLineNumbers w:val="0"/>
                    <w:kinsoku/>
                    <w:overflowPunct/>
                    <w:topLinePunct w:val="0"/>
                    <w:bidi w:val="0"/>
                    <w:adjustRightInd w:val="0"/>
                    <w:snapToGrid/>
                    <w:spacing w:before="0" w:beforeAutospacing="0" w:after="0" w:afterAutospacing="0" w:line="276"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半年</w:t>
                  </w:r>
                </w:p>
              </w:tc>
              <w:tc>
                <w:tcPr>
                  <w:tcW w:w="361" w:type="pct"/>
                  <w:shd w:val="clear" w:color="auto" w:fill="auto"/>
                  <w:vAlign w:val="center"/>
                </w:tcPr>
                <w:p w14:paraId="37872890">
                  <w:pPr>
                    <w:keepNext w:val="0"/>
                    <w:keepLines w:val="0"/>
                    <w:pageBreakBefore w:val="0"/>
                    <w:suppressLineNumbers w:val="0"/>
                    <w:kinsoku/>
                    <w:overflowPunct/>
                    <w:topLinePunct w:val="0"/>
                    <w:bidi w:val="0"/>
                    <w:adjustRightInd w:val="0"/>
                    <w:snapToGrid/>
                    <w:spacing w:before="0" w:beforeAutospacing="0" w:after="0" w:afterAutospacing="0" w:line="276" w:lineRule="auto"/>
                    <w:ind w:left="0" w:leftChars="0" w:right="0" w:right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半年</w:t>
                  </w:r>
                </w:p>
              </w:tc>
              <w:tc>
                <w:tcPr>
                  <w:tcW w:w="361" w:type="pct"/>
                  <w:shd w:val="clear" w:color="auto" w:fill="auto"/>
                  <w:vAlign w:val="center"/>
                </w:tcPr>
                <w:p w14:paraId="34AFA668">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leftChars="0" w:right="0" w:rightChars="0"/>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rPr>
                    <w:t>T,I</w:t>
                  </w:r>
                </w:p>
              </w:tc>
              <w:tc>
                <w:tcPr>
                  <w:tcW w:w="381" w:type="pct"/>
                  <w:vMerge w:val="continue"/>
                  <w:vAlign w:val="center"/>
                </w:tcPr>
                <w:p w14:paraId="7B0BCE89">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p>
              </w:tc>
            </w:tr>
            <w:tr w14:paraId="18EC80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9" w:type="pct"/>
                  <w:vAlign w:val="center"/>
                </w:tcPr>
                <w:p w14:paraId="159EE532">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position w:val="0"/>
                      <w:sz w:val="21"/>
                      <w:szCs w:val="21"/>
                      <w:highlight w:val="none"/>
                      <w:lang w:val="en-US" w:eastAsia="zh-CN"/>
                    </w:rPr>
                  </w:pPr>
                  <w:r>
                    <w:rPr>
                      <w:rFonts w:hint="eastAsia" w:cs="Times New Roman"/>
                      <w:color w:val="auto"/>
                      <w:kern w:val="2"/>
                      <w:position w:val="0"/>
                      <w:sz w:val="21"/>
                      <w:szCs w:val="21"/>
                      <w:highlight w:val="none"/>
                      <w:lang w:val="en-US" w:eastAsia="zh-CN"/>
                    </w:rPr>
                    <w:t>废柴油桶</w:t>
                  </w:r>
                </w:p>
              </w:tc>
              <w:tc>
                <w:tcPr>
                  <w:tcW w:w="425" w:type="pct"/>
                  <w:vAlign w:val="center"/>
                </w:tcPr>
                <w:p w14:paraId="46A32F29">
                  <w:pPr>
                    <w:keepNext w:val="0"/>
                    <w:keepLines w:val="0"/>
                    <w:pageBreakBefore w:val="0"/>
                    <w:widowControl/>
                    <w:suppressLineNumbers w:val="0"/>
                    <w:kinsoku/>
                    <w:overflowPunct/>
                    <w:topLinePunct w:val="0"/>
                    <w:bidi w:val="0"/>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HW08</w:t>
                  </w:r>
                </w:p>
              </w:tc>
              <w:tc>
                <w:tcPr>
                  <w:tcW w:w="656" w:type="pct"/>
                  <w:vAlign w:val="center"/>
                </w:tcPr>
                <w:p w14:paraId="4DD90D8F">
                  <w:pPr>
                    <w:keepNext w:val="0"/>
                    <w:keepLines w:val="0"/>
                    <w:pageBreakBefore w:val="0"/>
                    <w:widowControl/>
                    <w:suppressLineNumbers w:val="0"/>
                    <w:kinsoku/>
                    <w:overflowPunct/>
                    <w:topLinePunct w:val="0"/>
                    <w:bidi w:val="0"/>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900-249-08</w:t>
                  </w:r>
                </w:p>
              </w:tc>
              <w:tc>
                <w:tcPr>
                  <w:tcW w:w="378" w:type="pct"/>
                  <w:vAlign w:val="center"/>
                </w:tcPr>
                <w:p w14:paraId="0CA5030C">
                  <w:pPr>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0.125</w:t>
                  </w:r>
                </w:p>
              </w:tc>
              <w:tc>
                <w:tcPr>
                  <w:tcW w:w="485" w:type="pct"/>
                  <w:vAlign w:val="center"/>
                </w:tcPr>
                <w:p w14:paraId="31CABFE7">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eastAsia="宋体" w:cs="Times New Roman"/>
                      <w:color w:val="auto"/>
                      <w:kern w:val="2"/>
                      <w:position w:val="0"/>
                      <w:sz w:val="21"/>
                      <w:szCs w:val="21"/>
                      <w:highlight w:val="none"/>
                      <w:lang w:val="en-US" w:eastAsia="zh-CN"/>
                    </w:rPr>
                  </w:pPr>
                  <w:r>
                    <w:rPr>
                      <w:rFonts w:hint="eastAsia" w:cs="Times New Roman"/>
                      <w:color w:val="auto"/>
                      <w:kern w:val="2"/>
                      <w:position w:val="0"/>
                      <w:sz w:val="21"/>
                      <w:szCs w:val="21"/>
                      <w:highlight w:val="none"/>
                      <w:lang w:val="en-US" w:eastAsia="zh-CN"/>
                    </w:rPr>
                    <w:t>洗料工序</w:t>
                  </w:r>
                </w:p>
              </w:tc>
              <w:tc>
                <w:tcPr>
                  <w:tcW w:w="326" w:type="pct"/>
                  <w:vAlign w:val="center"/>
                </w:tcPr>
                <w:p w14:paraId="444DBCAF">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leftChars="0" w:right="0" w:rightChars="0"/>
                    <w:rPr>
                      <w:rFonts w:hint="eastAsia" w:ascii="Times New Roman" w:hAnsi="Times New Roman" w:eastAsia="宋体" w:cs="Times New Roman"/>
                      <w:color w:val="auto"/>
                      <w:kern w:val="2"/>
                      <w:position w:val="0"/>
                      <w:sz w:val="21"/>
                      <w:szCs w:val="21"/>
                      <w:highlight w:val="none"/>
                      <w:lang w:val="en-US" w:eastAsia="zh-CN"/>
                    </w:rPr>
                  </w:pPr>
                  <w:r>
                    <w:rPr>
                      <w:rFonts w:hint="eastAsia" w:cs="Times New Roman"/>
                      <w:color w:val="auto"/>
                      <w:kern w:val="2"/>
                      <w:position w:val="0"/>
                      <w:sz w:val="21"/>
                      <w:szCs w:val="21"/>
                      <w:highlight w:val="none"/>
                      <w:lang w:val="en-US" w:eastAsia="zh-CN"/>
                    </w:rPr>
                    <w:t>固态</w:t>
                  </w:r>
                </w:p>
              </w:tc>
              <w:tc>
                <w:tcPr>
                  <w:tcW w:w="332" w:type="pct"/>
                  <w:vAlign w:val="center"/>
                </w:tcPr>
                <w:p w14:paraId="13E85128">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leftChars="0" w:right="0" w:rightChars="0"/>
                    <w:rPr>
                      <w:rFonts w:hint="default" w:ascii="Times New Roman" w:hAnsi="Times New Roman" w:cs="Times New Roman"/>
                      <w:color w:val="auto"/>
                      <w:kern w:val="2"/>
                      <w:position w:val="0"/>
                      <w:sz w:val="21"/>
                      <w:szCs w:val="21"/>
                      <w:highlight w:val="none"/>
                      <w:lang w:val="en-US" w:eastAsia="zh-CN"/>
                    </w:rPr>
                  </w:pPr>
                  <w:r>
                    <w:rPr>
                      <w:rFonts w:hint="eastAsia" w:cs="Times New Roman"/>
                      <w:color w:val="auto"/>
                      <w:kern w:val="2"/>
                      <w:position w:val="0"/>
                      <w:sz w:val="21"/>
                      <w:szCs w:val="21"/>
                      <w:highlight w:val="none"/>
                      <w:lang w:val="en-US" w:eastAsia="zh-CN"/>
                    </w:rPr>
                    <w:t>柴油</w:t>
                  </w:r>
                </w:p>
              </w:tc>
              <w:tc>
                <w:tcPr>
                  <w:tcW w:w="372" w:type="pct"/>
                  <w:vAlign w:val="center"/>
                </w:tcPr>
                <w:p w14:paraId="3DAD9782">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leftChars="0" w:right="0" w:rightChars="0"/>
                    <w:rPr>
                      <w:rFonts w:hint="default" w:ascii="Times New Roman" w:hAnsi="Times New Roman" w:cs="Times New Roman"/>
                      <w:color w:val="auto"/>
                      <w:kern w:val="2"/>
                      <w:position w:val="0"/>
                      <w:sz w:val="21"/>
                      <w:szCs w:val="21"/>
                      <w:highlight w:val="none"/>
                      <w:lang w:val="en-US" w:eastAsia="zh-CN"/>
                    </w:rPr>
                  </w:pPr>
                  <w:r>
                    <w:rPr>
                      <w:rFonts w:hint="eastAsia" w:cs="Times New Roman"/>
                      <w:color w:val="auto"/>
                      <w:kern w:val="2"/>
                      <w:position w:val="0"/>
                      <w:sz w:val="21"/>
                      <w:szCs w:val="21"/>
                      <w:highlight w:val="none"/>
                      <w:lang w:val="en-US" w:eastAsia="zh-CN"/>
                    </w:rPr>
                    <w:t>柴油</w:t>
                  </w:r>
                </w:p>
              </w:tc>
              <w:tc>
                <w:tcPr>
                  <w:tcW w:w="329" w:type="pct"/>
                  <w:vAlign w:val="center"/>
                </w:tcPr>
                <w:p w14:paraId="23D0F896">
                  <w:pPr>
                    <w:keepNext w:val="0"/>
                    <w:keepLines w:val="0"/>
                    <w:pageBreakBefore w:val="0"/>
                    <w:suppressLineNumbers w:val="0"/>
                    <w:kinsoku/>
                    <w:overflowPunct/>
                    <w:topLinePunct w:val="0"/>
                    <w:bidi w:val="0"/>
                    <w:adjustRightInd w:val="0"/>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半年</w:t>
                  </w:r>
                </w:p>
              </w:tc>
              <w:tc>
                <w:tcPr>
                  <w:tcW w:w="361" w:type="pct"/>
                  <w:vAlign w:val="center"/>
                </w:tcPr>
                <w:p w14:paraId="1A5FFFAF">
                  <w:pPr>
                    <w:keepNext w:val="0"/>
                    <w:keepLines w:val="0"/>
                    <w:pageBreakBefore w:val="0"/>
                    <w:suppressLineNumbers w:val="0"/>
                    <w:kinsoku/>
                    <w:overflowPunct/>
                    <w:topLinePunct w:val="0"/>
                    <w:bidi w:val="0"/>
                    <w:adjustRightInd w:val="0"/>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半年</w:t>
                  </w:r>
                </w:p>
              </w:tc>
              <w:tc>
                <w:tcPr>
                  <w:tcW w:w="361" w:type="pct"/>
                  <w:vAlign w:val="center"/>
                </w:tcPr>
                <w:p w14:paraId="0B496FDC">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eastAsia="宋体" w:cs="Times New Roman"/>
                      <w:color w:val="auto"/>
                      <w:kern w:val="2"/>
                      <w:position w:val="0"/>
                      <w:sz w:val="21"/>
                      <w:szCs w:val="21"/>
                      <w:highlight w:val="none"/>
                      <w:lang w:val="en-US" w:eastAsia="zh-CN"/>
                    </w:rPr>
                  </w:pPr>
                  <w:r>
                    <w:rPr>
                      <w:rFonts w:hint="eastAsia" w:cs="Times New Roman"/>
                      <w:color w:val="auto"/>
                      <w:kern w:val="2"/>
                      <w:position w:val="0"/>
                      <w:sz w:val="21"/>
                      <w:szCs w:val="21"/>
                      <w:highlight w:val="none"/>
                      <w:lang w:val="en-US" w:eastAsia="zh-CN"/>
                    </w:rPr>
                    <w:t>T,I</w:t>
                  </w:r>
                </w:p>
              </w:tc>
              <w:tc>
                <w:tcPr>
                  <w:tcW w:w="381" w:type="pct"/>
                  <w:vMerge w:val="continue"/>
                  <w:vAlign w:val="center"/>
                </w:tcPr>
                <w:p w14:paraId="3A23DE7C">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p>
              </w:tc>
            </w:tr>
          </w:tbl>
          <w:p w14:paraId="1BAB631D">
            <w:pPr>
              <w:pStyle w:val="6"/>
              <w:widowControl/>
              <w:numPr>
                <w:ilvl w:val="4"/>
                <w:numId w:val="0"/>
              </w:numPr>
              <w:suppressLineNumbers w:val="0"/>
              <w:spacing w:before="0" w:beforeAutospacing="0" w:after="0" w:afterAutospacing="0"/>
              <w:ind w:left="48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（1）产生和收集</w:t>
            </w:r>
          </w:p>
          <w:p w14:paraId="491479C8">
            <w:pPr>
              <w:pStyle w:val="12"/>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本项目危险废物单次产生量很少，部分危险废物有</w:t>
            </w:r>
            <w:r>
              <w:rPr>
                <w:rFonts w:hint="default" w:ascii="Times New Roman" w:hAnsi="Times New Roman" w:cs="Times New Roman"/>
                <w:color w:val="auto"/>
                <w:highlight w:val="none"/>
                <w:lang w:val="en-US" w:eastAsia="zh-CN"/>
              </w:rPr>
              <w:t>易燃性</w:t>
            </w:r>
            <w:r>
              <w:rPr>
                <w:rFonts w:hint="default" w:ascii="Times New Roman" w:hAnsi="Times New Roman" w:cs="Times New Roman"/>
                <w:color w:val="auto"/>
                <w:highlight w:val="none"/>
              </w:rPr>
              <w:t>和毒性，其性质相对比较稳定，如果露天堆放，沾染、吸附的有机废气可能会因为日晒雨淋而逐步释放出来，进入大气、地表水体、土壤等环境要素，造成污染影响。</w:t>
            </w:r>
          </w:p>
          <w:p w14:paraId="532EFFB5">
            <w:pPr>
              <w:pStyle w:val="12"/>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这些危险废物如果收集不当，随意丢弃，其中的有害成分容易因为跑冒滴漏或者混入其他生活垃圾而进入外部环境，造成污染影响。对此，各类危险废物在产生源头需要立即采用密闭性好、耐腐蚀、相容的塑料容器分类封装，避免遗漏和撒漏；然后移入厂区内部独立专用的贮存设施存放。本项目从产生源头到贮存设施的收集过程基本上都在本项目内部进行，不涉及外部运输和厂区外部环境，因此产生和收集阶段不会对外部环境造成影响。</w:t>
            </w:r>
          </w:p>
          <w:p w14:paraId="7010BBA6">
            <w:pPr>
              <w:pStyle w:val="6"/>
              <w:widowControl/>
              <w:numPr>
                <w:ilvl w:val="4"/>
                <w:numId w:val="0"/>
              </w:numPr>
              <w:suppressLineNumbers w:val="0"/>
              <w:spacing w:before="0" w:beforeAutospacing="0" w:after="0" w:afterAutospacing="0"/>
              <w:ind w:left="48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（2）贮存库</w:t>
            </w:r>
          </w:p>
          <w:p w14:paraId="697321BD">
            <w:pPr>
              <w:pStyle w:val="12"/>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设置一个固定的危险废物贮存库，危险废物贮存过程满足《危险废物贮存污染控制标准》（GB18597-2023）的要求，建设单位应根据废物特性设置符合《危险废物贮存污染控制标准》(GB18597-2023)要求的危险废物暂存场所，且在暂存场所上空设有防雨淋设施，地面采取防渗措施，危险废物收集后分别临时贮存于废物储罐内；根据生产需要合理设置贮存量，尽量减少厂内的物料贮存量：严禁将危险废物混入生活垃圾；堆放危险废物的地方要有明显的标志。贮存设施应根据危险废物的形态、物理化学性质、包装形式和污染物迁移途径，采取必要的防风、防晒、防雨、防漏、防渗、防腐以及其他环境污染防治措施，不应露天堆放危险废物。</w:t>
            </w:r>
          </w:p>
          <w:p w14:paraId="5012CD96">
            <w:pPr>
              <w:pStyle w:val="12"/>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贮存设施应根据危险废物的类别、数量、形态、物理化学性质和污染防治等要求设置必要的贮存分区，避免不相容的危险废物接触、混合。危险废物贮存过程产生的液态废物和固态废物应分类收集，按其环境管理要求妥善处理。贮存库内不同贮存分区之间应采取隔离措施。隔离措施可根据危险废物特性采用过道、隔板或隔墙等方式。</w:t>
            </w:r>
          </w:p>
          <w:p w14:paraId="50FCB233">
            <w:pPr>
              <w:pStyle w:val="12"/>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在贮存库内或通过贮存分区方式贮存液态危险废物的，应具有液体泄漏堵截设施，堵截设施最小容积不应低于对应贮存区域最大液态废物容器容积或液态废物总储量1/10（二者取较大者）；用于贮存可能产生渗滤液的危险废物的贮存库或贮存分区应设计渗滤液收集设施，收集设施容积应满足渗滤液的收集要求。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rFonts w:hint="default" w:ascii="Times New Roman" w:hAnsi="Times New Roman" w:cs="Times New Roman"/>
                <w:color w:val="auto"/>
                <w:highlight w:val="none"/>
                <w:vertAlign w:val="superscript"/>
              </w:rPr>
              <w:t>-7</w:t>
            </w:r>
            <w:r>
              <w:rPr>
                <w:rFonts w:hint="default" w:ascii="Times New Roman" w:hAnsi="Times New Roman" w:cs="Times New Roman"/>
                <w:color w:val="auto"/>
                <w:highlight w:val="none"/>
              </w:rPr>
              <w:t>cm/s），或至少2mm厚高密度聚乙烯膜等人工防渗材料（渗透系数不大于10</w:t>
            </w:r>
            <w:r>
              <w:rPr>
                <w:rFonts w:hint="default" w:ascii="Times New Roman" w:hAnsi="Times New Roman" w:cs="Times New Roman"/>
                <w:color w:val="auto"/>
                <w:highlight w:val="none"/>
                <w:vertAlign w:val="superscript"/>
              </w:rPr>
              <w:t>-10</w:t>
            </w:r>
            <w:r>
              <w:rPr>
                <w:rFonts w:hint="default" w:ascii="Times New Roman" w:hAnsi="Times New Roman" w:cs="Times New Roman"/>
                <w:color w:val="auto"/>
                <w:highlight w:val="none"/>
              </w:rPr>
              <w:t>cm/s），或其他防渗性能等效的材料。</w:t>
            </w:r>
          </w:p>
          <w:p w14:paraId="182C6A16">
            <w:pPr>
              <w:pStyle w:val="19"/>
              <w:keepNext w:val="0"/>
              <w:keepLines w:val="0"/>
              <w:suppressLineNumbers w:val="0"/>
              <w:spacing w:before="0" w:beforeAutospacing="0" w:after="0" w:afterAutospacing="0"/>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项目危险废物贮存场所基本情况见下表。</w:t>
            </w:r>
          </w:p>
          <w:p w14:paraId="38354C67">
            <w:pPr>
              <w:pStyle w:val="20"/>
              <w:keepNext w:val="0"/>
              <w:keepLines w:val="0"/>
              <w:numPr>
                <w:ilvl w:val="0"/>
                <w:numId w:val="0"/>
              </w:numPr>
              <w:suppressLineNumbers w:val="0"/>
              <w:tabs>
                <w:tab w:val="left" w:pos="0"/>
              </w:tabs>
              <w:spacing w:before="0" w:beforeAutospacing="0" w:after="0" w:afterAutospacing="0" w:line="240" w:lineRule="auto"/>
              <w:ind w:left="0" w:leftChars="0" w:right="0" w:rightChars="0" w:firstLine="40" w:firstLineChars="0"/>
              <w:rPr>
                <w:rFonts w:hint="default" w:ascii="Times New Roman" w:hAnsi="Times New Roman" w:cs="Times New Roman"/>
                <w:color w:val="auto"/>
                <w:highlight w:val="none"/>
              </w:rPr>
            </w:pPr>
            <w:r>
              <w:rPr>
                <w:rFonts w:hint="default" w:ascii="Times New Roman" w:hAnsi="Times New Roman" w:eastAsia="宋体" w:cs="Times New Roman"/>
                <w:b/>
                <w:bCs/>
                <w:color w:val="auto"/>
                <w:kern w:val="2"/>
                <w:sz w:val="21"/>
                <w:szCs w:val="21"/>
                <w:highlight w:val="none"/>
                <w:lang w:val="en-US" w:eastAsia="zh-CN" w:bidi="ar-SA"/>
              </w:rPr>
              <w:t>表4-</w:t>
            </w:r>
            <w:r>
              <w:rPr>
                <w:rFonts w:hint="eastAsia" w:cs="Times New Roman"/>
                <w:b/>
                <w:bCs/>
                <w:color w:val="auto"/>
                <w:kern w:val="2"/>
                <w:sz w:val="21"/>
                <w:szCs w:val="21"/>
                <w:highlight w:val="none"/>
                <w:lang w:val="en-US" w:eastAsia="zh-CN" w:bidi="ar-SA"/>
              </w:rPr>
              <w:t xml:space="preserve">29 </w:t>
            </w:r>
            <w:r>
              <w:rPr>
                <w:rFonts w:hint="default" w:ascii="Times New Roman" w:hAnsi="Times New Roman" w:cs="Times New Roman"/>
                <w:color w:val="auto"/>
                <w:highlight w:val="none"/>
              </w:rPr>
              <w:t>危险废物贮存场所（设施）基本情况表</w:t>
            </w:r>
          </w:p>
          <w:tbl>
            <w:tblPr>
              <w:tblStyle w:val="39"/>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79"/>
              <w:gridCol w:w="1827"/>
              <w:gridCol w:w="811"/>
              <w:gridCol w:w="1316"/>
              <w:gridCol w:w="773"/>
              <w:gridCol w:w="706"/>
              <w:gridCol w:w="1116"/>
              <w:gridCol w:w="715"/>
              <w:gridCol w:w="769"/>
            </w:tblGrid>
            <w:tr w14:paraId="5DF996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2" w:type="pct"/>
                  <w:vMerge w:val="restart"/>
                  <w:vAlign w:val="center"/>
                </w:tcPr>
                <w:p w14:paraId="1BD5F01D">
                  <w:pPr>
                    <w:pStyle w:val="60"/>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贮存场所（设施）名称</w:t>
                  </w:r>
                </w:p>
              </w:tc>
              <w:tc>
                <w:tcPr>
                  <w:tcW w:w="2169" w:type="pct"/>
                  <w:gridSpan w:val="3"/>
                  <w:vAlign w:val="center"/>
                </w:tcPr>
                <w:p w14:paraId="56FA8EE4">
                  <w:pPr>
                    <w:pStyle w:val="60"/>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危险废物</w:t>
                  </w:r>
                </w:p>
              </w:tc>
              <w:tc>
                <w:tcPr>
                  <w:tcW w:w="424" w:type="pct"/>
                  <w:vMerge w:val="restart"/>
                  <w:vAlign w:val="center"/>
                </w:tcPr>
                <w:p w14:paraId="6F29B140">
                  <w:pPr>
                    <w:pStyle w:val="60"/>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位置</w:t>
                  </w:r>
                </w:p>
              </w:tc>
              <w:tc>
                <w:tcPr>
                  <w:tcW w:w="387" w:type="pct"/>
                  <w:vMerge w:val="restart"/>
                  <w:vAlign w:val="center"/>
                </w:tcPr>
                <w:p w14:paraId="544A29CB">
                  <w:pPr>
                    <w:pStyle w:val="60"/>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占地面积</w:t>
                  </w:r>
                </w:p>
              </w:tc>
              <w:tc>
                <w:tcPr>
                  <w:tcW w:w="612" w:type="pct"/>
                  <w:vMerge w:val="restart"/>
                  <w:vAlign w:val="center"/>
                </w:tcPr>
                <w:p w14:paraId="6F47B685">
                  <w:pPr>
                    <w:pStyle w:val="60"/>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贮存方式</w:t>
                  </w:r>
                </w:p>
              </w:tc>
              <w:tc>
                <w:tcPr>
                  <w:tcW w:w="392" w:type="pct"/>
                  <w:vMerge w:val="restart"/>
                  <w:vAlign w:val="center"/>
                </w:tcPr>
                <w:p w14:paraId="4B118556">
                  <w:pPr>
                    <w:pStyle w:val="60"/>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贮存能力</w:t>
                  </w:r>
                </w:p>
              </w:tc>
              <w:tc>
                <w:tcPr>
                  <w:tcW w:w="421" w:type="pct"/>
                  <w:vMerge w:val="restart"/>
                  <w:vAlign w:val="center"/>
                </w:tcPr>
                <w:p w14:paraId="169383B8">
                  <w:pPr>
                    <w:pStyle w:val="60"/>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贮存周期</w:t>
                  </w:r>
                </w:p>
              </w:tc>
            </w:tr>
            <w:tr w14:paraId="36A0FE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2" w:type="pct"/>
                  <w:vMerge w:val="continue"/>
                  <w:vAlign w:val="center"/>
                </w:tcPr>
                <w:p w14:paraId="4E97854B">
                  <w:pPr>
                    <w:pStyle w:val="60"/>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1002" w:type="pct"/>
                  <w:vAlign w:val="center"/>
                </w:tcPr>
                <w:p w14:paraId="4BAE9789">
                  <w:pPr>
                    <w:pStyle w:val="60"/>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名称</w:t>
                  </w:r>
                </w:p>
              </w:tc>
              <w:tc>
                <w:tcPr>
                  <w:tcW w:w="445" w:type="pct"/>
                  <w:vAlign w:val="center"/>
                </w:tcPr>
                <w:p w14:paraId="521F29B8">
                  <w:pPr>
                    <w:pStyle w:val="60"/>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类别</w:t>
                  </w:r>
                </w:p>
              </w:tc>
              <w:tc>
                <w:tcPr>
                  <w:tcW w:w="722" w:type="pct"/>
                  <w:vAlign w:val="center"/>
                </w:tcPr>
                <w:p w14:paraId="7C1D28CA">
                  <w:pPr>
                    <w:pStyle w:val="60"/>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代码</w:t>
                  </w:r>
                </w:p>
              </w:tc>
              <w:tc>
                <w:tcPr>
                  <w:tcW w:w="424" w:type="pct"/>
                  <w:vMerge w:val="continue"/>
                  <w:vAlign w:val="center"/>
                </w:tcPr>
                <w:p w14:paraId="01BF5B9E">
                  <w:pPr>
                    <w:pStyle w:val="60"/>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387" w:type="pct"/>
                  <w:vMerge w:val="continue"/>
                  <w:vAlign w:val="center"/>
                </w:tcPr>
                <w:p w14:paraId="71846F92">
                  <w:pPr>
                    <w:pStyle w:val="60"/>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612" w:type="pct"/>
                  <w:vMerge w:val="continue"/>
                  <w:vAlign w:val="center"/>
                </w:tcPr>
                <w:p w14:paraId="25F72A17">
                  <w:pPr>
                    <w:pStyle w:val="60"/>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392" w:type="pct"/>
                  <w:vMerge w:val="continue"/>
                  <w:vAlign w:val="center"/>
                </w:tcPr>
                <w:p w14:paraId="46C7A021">
                  <w:pPr>
                    <w:pStyle w:val="60"/>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421" w:type="pct"/>
                  <w:vMerge w:val="continue"/>
                  <w:vAlign w:val="center"/>
                </w:tcPr>
                <w:p w14:paraId="6B5B2FA4">
                  <w:pPr>
                    <w:pStyle w:val="60"/>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r>
            <w:tr w14:paraId="2C0502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jc w:val="center"/>
              </w:trPr>
              <w:tc>
                <w:tcPr>
                  <w:tcW w:w="592" w:type="pct"/>
                  <w:vMerge w:val="restart"/>
                  <w:vAlign w:val="center"/>
                </w:tcPr>
                <w:p w14:paraId="7803F7EE">
                  <w:pPr>
                    <w:pStyle w:val="60"/>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危险废物贮存库</w:t>
                  </w:r>
                </w:p>
              </w:tc>
              <w:tc>
                <w:tcPr>
                  <w:tcW w:w="1002" w:type="pct"/>
                  <w:vAlign w:val="center"/>
                </w:tcPr>
                <w:p w14:paraId="4F407D05">
                  <w:pPr>
                    <w:pStyle w:val="60"/>
                    <w:keepNext w:val="0"/>
                    <w:keepLines w:val="0"/>
                    <w:widowControl/>
                    <w:suppressLineNumbers w:val="0"/>
                    <w:snapToGrid w:val="0"/>
                    <w:spacing w:before="0" w:beforeAutospacing="0" w:after="0" w:afterAutospacing="0"/>
                    <w:ind w:left="0" w:right="0"/>
                    <w:rPr>
                      <w:rFonts w:hint="default" w:ascii="Times New Roman" w:hAnsi="Times New Roman" w:cs="Times New Roman"/>
                      <w:color w:val="auto"/>
                      <w:kern w:val="2"/>
                      <w:highlight w:val="none"/>
                    </w:rPr>
                  </w:pPr>
                  <w:r>
                    <w:rPr>
                      <w:rFonts w:hint="default" w:ascii="Times New Roman" w:hAnsi="Times New Roman" w:cs="Times New Roman"/>
                      <w:b w:val="0"/>
                      <w:bCs w:val="0"/>
                      <w:color w:val="auto"/>
                      <w:kern w:val="2"/>
                      <w:sz w:val="21"/>
                      <w:szCs w:val="21"/>
                      <w:highlight w:val="none"/>
                      <w:lang w:eastAsia="zh-CN"/>
                    </w:rPr>
                    <w:t>废</w:t>
                  </w:r>
                  <w:r>
                    <w:rPr>
                      <w:rFonts w:hint="default" w:ascii="Times New Roman" w:hAnsi="Times New Roman" w:cs="Times New Roman"/>
                      <w:b w:val="0"/>
                      <w:bCs w:val="0"/>
                      <w:color w:val="auto"/>
                      <w:kern w:val="2"/>
                      <w:sz w:val="21"/>
                      <w:szCs w:val="21"/>
                      <w:highlight w:val="none"/>
                    </w:rPr>
                    <w:t>pH调整剂</w:t>
                  </w:r>
                  <w:r>
                    <w:rPr>
                      <w:rFonts w:hint="default" w:ascii="Times New Roman" w:hAnsi="Times New Roman" w:cs="Times New Roman"/>
                      <w:b w:val="0"/>
                      <w:bCs w:val="0"/>
                      <w:color w:val="auto"/>
                      <w:kern w:val="2"/>
                      <w:sz w:val="21"/>
                      <w:szCs w:val="21"/>
                      <w:highlight w:val="none"/>
                      <w:lang w:eastAsia="zh-CN"/>
                    </w:rPr>
                    <w:t>包装桶</w:t>
                  </w:r>
                </w:p>
              </w:tc>
              <w:tc>
                <w:tcPr>
                  <w:tcW w:w="445" w:type="pct"/>
                  <w:vAlign w:val="center"/>
                </w:tcPr>
                <w:p w14:paraId="09178560">
                  <w:pPr>
                    <w:pStyle w:val="60"/>
                    <w:keepNext w:val="0"/>
                    <w:keepLines w:val="0"/>
                    <w:widowControl/>
                    <w:suppressLineNumbers w:val="0"/>
                    <w:snapToGrid w:val="0"/>
                    <w:spacing w:before="0" w:beforeAutospacing="0" w:after="0" w:afterAutospacing="0"/>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position w:val="0"/>
                      <w:highlight w:val="none"/>
                    </w:rPr>
                    <w:t>HW49</w:t>
                  </w:r>
                </w:p>
              </w:tc>
              <w:tc>
                <w:tcPr>
                  <w:tcW w:w="722" w:type="pct"/>
                  <w:vAlign w:val="center"/>
                </w:tcPr>
                <w:p w14:paraId="377EA4F8">
                  <w:pPr>
                    <w:pStyle w:val="60"/>
                    <w:keepNext w:val="0"/>
                    <w:keepLines w:val="0"/>
                    <w:widowControl/>
                    <w:suppressLineNumbers w:val="0"/>
                    <w:snapToGrid w:val="0"/>
                    <w:spacing w:before="0" w:beforeAutospacing="0" w:after="0" w:afterAutospacing="0"/>
                    <w:ind w:left="0" w:right="0"/>
                    <w:rPr>
                      <w:rFonts w:hint="default" w:ascii="Times New Roman" w:hAnsi="Times New Roman" w:cs="Times New Roman"/>
                      <w:bCs/>
                      <w:color w:val="auto"/>
                      <w:kern w:val="2"/>
                      <w:highlight w:val="none"/>
                    </w:rPr>
                  </w:pPr>
                  <w:r>
                    <w:rPr>
                      <w:rFonts w:hint="default" w:ascii="Times New Roman" w:hAnsi="Times New Roman" w:cs="Times New Roman"/>
                      <w:color w:val="auto"/>
                      <w:kern w:val="2"/>
                      <w:position w:val="0"/>
                      <w:highlight w:val="none"/>
                    </w:rPr>
                    <w:t>900-041-49</w:t>
                  </w:r>
                </w:p>
              </w:tc>
              <w:tc>
                <w:tcPr>
                  <w:tcW w:w="424" w:type="pct"/>
                  <w:vMerge w:val="restart"/>
                  <w:vAlign w:val="center"/>
                </w:tcPr>
                <w:p w14:paraId="264C46F6">
                  <w:pPr>
                    <w:pStyle w:val="60"/>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lang w:val="en-US"/>
                    </w:rPr>
                  </w:pPr>
                  <w:r>
                    <w:rPr>
                      <w:rFonts w:hint="default" w:ascii="Times New Roman" w:hAnsi="Times New Roman" w:cs="Times New Roman"/>
                      <w:color w:val="auto"/>
                      <w:kern w:val="2"/>
                      <w:highlight w:val="none"/>
                      <w:lang w:val="en-US" w:eastAsia="zh-CN"/>
                    </w:rPr>
                    <w:t>3#</w:t>
                  </w:r>
                  <w:r>
                    <w:rPr>
                      <w:rFonts w:hint="eastAsia" w:cs="Times New Roman"/>
                      <w:color w:val="auto"/>
                      <w:kern w:val="2"/>
                      <w:highlight w:val="none"/>
                      <w:lang w:val="en-US" w:eastAsia="zh-CN"/>
                    </w:rPr>
                    <w:t>厂房</w:t>
                  </w:r>
                </w:p>
              </w:tc>
              <w:tc>
                <w:tcPr>
                  <w:tcW w:w="387" w:type="pct"/>
                  <w:vMerge w:val="restart"/>
                  <w:vAlign w:val="center"/>
                </w:tcPr>
                <w:p w14:paraId="79F96E85">
                  <w:pPr>
                    <w:pStyle w:val="60"/>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2</w:t>
                  </w:r>
                  <w:r>
                    <w:rPr>
                      <w:rFonts w:hint="default" w:ascii="Times New Roman" w:hAnsi="Times New Roman" w:cs="Times New Roman"/>
                      <w:color w:val="auto"/>
                      <w:kern w:val="2"/>
                      <w:highlight w:val="none"/>
                      <w:lang w:val="en-US" w:eastAsia="zh-CN"/>
                    </w:rPr>
                    <w:t>5</w:t>
                  </w:r>
                  <w:r>
                    <w:rPr>
                      <w:rFonts w:hint="default" w:ascii="Times New Roman" w:hAnsi="Times New Roman" w:cs="Times New Roman"/>
                      <w:color w:val="auto"/>
                      <w:kern w:val="2"/>
                      <w:highlight w:val="none"/>
                    </w:rPr>
                    <w:t>m</w:t>
                  </w:r>
                  <w:r>
                    <w:rPr>
                      <w:rFonts w:hint="default" w:ascii="Times New Roman" w:hAnsi="Times New Roman" w:cs="Times New Roman"/>
                      <w:color w:val="auto"/>
                      <w:kern w:val="2"/>
                      <w:highlight w:val="none"/>
                      <w:vertAlign w:val="superscript"/>
                    </w:rPr>
                    <w:t>2</w:t>
                  </w:r>
                </w:p>
              </w:tc>
              <w:tc>
                <w:tcPr>
                  <w:tcW w:w="612" w:type="pct"/>
                  <w:vMerge w:val="restart"/>
                  <w:vAlign w:val="center"/>
                </w:tcPr>
                <w:p w14:paraId="72F8BC6A">
                  <w:pPr>
                    <w:pStyle w:val="60"/>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采用密闭性好、耐腐蚀的塑料容器封存</w:t>
                  </w:r>
                </w:p>
              </w:tc>
              <w:tc>
                <w:tcPr>
                  <w:tcW w:w="392" w:type="pct"/>
                  <w:vMerge w:val="restart"/>
                  <w:vAlign w:val="center"/>
                </w:tcPr>
                <w:p w14:paraId="20F2B009">
                  <w:pPr>
                    <w:pStyle w:val="60"/>
                    <w:keepNext w:val="0"/>
                    <w:keepLines w:val="0"/>
                    <w:widowControl/>
                    <w:suppressLineNumbers w:val="0"/>
                    <w:snapToGrid w:val="0"/>
                    <w:spacing w:before="0" w:beforeAutospacing="0" w:after="0" w:afterAutospacing="0"/>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lang w:val="en-US" w:eastAsia="zh-CN"/>
                    </w:rPr>
                    <w:t>15</w:t>
                  </w:r>
                  <w:r>
                    <w:rPr>
                      <w:rFonts w:hint="default" w:ascii="Times New Roman" w:hAnsi="Times New Roman" w:cs="Times New Roman"/>
                      <w:color w:val="auto"/>
                      <w:kern w:val="2"/>
                      <w:highlight w:val="none"/>
                    </w:rPr>
                    <w:t>t</w:t>
                  </w:r>
                </w:p>
              </w:tc>
              <w:tc>
                <w:tcPr>
                  <w:tcW w:w="421" w:type="pct"/>
                  <w:vMerge w:val="restart"/>
                  <w:vAlign w:val="center"/>
                </w:tcPr>
                <w:p w14:paraId="28A3D391">
                  <w:pPr>
                    <w:pStyle w:val="60"/>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lang w:val="en-US" w:eastAsia="zh-CN"/>
                    </w:rPr>
                    <w:t>半</w:t>
                  </w:r>
                  <w:r>
                    <w:rPr>
                      <w:rFonts w:hint="default" w:ascii="Times New Roman" w:hAnsi="Times New Roman" w:cs="Times New Roman"/>
                      <w:color w:val="auto"/>
                      <w:kern w:val="2"/>
                      <w:highlight w:val="none"/>
                    </w:rPr>
                    <w:t>年</w:t>
                  </w:r>
                </w:p>
              </w:tc>
            </w:tr>
            <w:tr w14:paraId="175CDD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592" w:type="pct"/>
                  <w:vMerge w:val="continue"/>
                  <w:vAlign w:val="center"/>
                </w:tcPr>
                <w:p w14:paraId="3BC5F649">
                  <w:pPr>
                    <w:pStyle w:val="60"/>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1002" w:type="pct"/>
                  <w:vAlign w:val="center"/>
                </w:tcPr>
                <w:p w14:paraId="74448A58">
                  <w:pPr>
                    <w:pStyle w:val="60"/>
                    <w:keepNext w:val="0"/>
                    <w:keepLines w:val="0"/>
                    <w:widowControl/>
                    <w:suppressLineNumbers w:val="0"/>
                    <w:snapToGrid w:val="0"/>
                    <w:spacing w:before="0" w:beforeAutospacing="0" w:after="0" w:afterAutospacing="0"/>
                    <w:ind w:left="0" w:right="0"/>
                    <w:rPr>
                      <w:rFonts w:hint="default" w:ascii="Times New Roman" w:hAnsi="Times New Roman" w:cs="Times New Roman"/>
                      <w:color w:val="auto"/>
                      <w:kern w:val="2"/>
                      <w:position w:val="0"/>
                      <w:highlight w:val="none"/>
                    </w:rPr>
                  </w:pPr>
                  <w:r>
                    <w:rPr>
                      <w:rFonts w:hint="default" w:ascii="Times New Roman" w:hAnsi="Times New Roman" w:cs="Times New Roman"/>
                      <w:color w:val="auto"/>
                      <w:kern w:val="2"/>
                      <w:position w:val="0"/>
                      <w:highlight w:val="none"/>
                    </w:rPr>
                    <w:t>废机油</w:t>
                  </w:r>
                </w:p>
              </w:tc>
              <w:tc>
                <w:tcPr>
                  <w:tcW w:w="445" w:type="pct"/>
                  <w:vAlign w:val="center"/>
                </w:tcPr>
                <w:p w14:paraId="4D90BAA9">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position w:val="0"/>
                      <w:highlight w:val="none"/>
                    </w:rPr>
                  </w:pPr>
                  <w:r>
                    <w:rPr>
                      <w:rFonts w:hint="default" w:ascii="Times New Roman" w:hAnsi="Times New Roman" w:eastAsia="宋体" w:cs="Times New Roman"/>
                      <w:i w:val="0"/>
                      <w:iCs w:val="0"/>
                      <w:color w:val="auto"/>
                      <w:kern w:val="0"/>
                      <w:sz w:val="21"/>
                      <w:szCs w:val="21"/>
                      <w:highlight w:val="none"/>
                      <w:u w:val="none"/>
                      <w:lang w:val="en-US" w:eastAsia="zh-CN"/>
                    </w:rPr>
                    <w:t>HW08</w:t>
                  </w:r>
                </w:p>
              </w:tc>
              <w:tc>
                <w:tcPr>
                  <w:tcW w:w="722" w:type="pct"/>
                  <w:vAlign w:val="center"/>
                </w:tcPr>
                <w:p w14:paraId="16F4ABDB">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position w:val="0"/>
                      <w:highlight w:val="none"/>
                    </w:rPr>
                  </w:pPr>
                  <w:r>
                    <w:rPr>
                      <w:rFonts w:hint="default" w:ascii="Times New Roman" w:hAnsi="Times New Roman" w:eastAsia="宋体" w:cs="Times New Roman"/>
                      <w:i w:val="0"/>
                      <w:iCs w:val="0"/>
                      <w:color w:val="auto"/>
                      <w:kern w:val="0"/>
                      <w:sz w:val="21"/>
                      <w:szCs w:val="21"/>
                      <w:highlight w:val="none"/>
                      <w:u w:val="none"/>
                      <w:lang w:val="en-US" w:eastAsia="zh-CN"/>
                    </w:rPr>
                    <w:t>900-249-08</w:t>
                  </w:r>
                </w:p>
              </w:tc>
              <w:tc>
                <w:tcPr>
                  <w:tcW w:w="424" w:type="pct"/>
                  <w:vMerge w:val="continue"/>
                  <w:vAlign w:val="center"/>
                </w:tcPr>
                <w:p w14:paraId="76D39761">
                  <w:pPr>
                    <w:pStyle w:val="60"/>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387" w:type="pct"/>
                  <w:vMerge w:val="continue"/>
                  <w:vAlign w:val="center"/>
                </w:tcPr>
                <w:p w14:paraId="30D55D2F">
                  <w:pPr>
                    <w:pStyle w:val="60"/>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612" w:type="pct"/>
                  <w:vMerge w:val="continue"/>
                  <w:vAlign w:val="center"/>
                </w:tcPr>
                <w:p w14:paraId="57494256">
                  <w:pPr>
                    <w:pStyle w:val="60"/>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392" w:type="pct"/>
                  <w:vMerge w:val="continue"/>
                  <w:vAlign w:val="center"/>
                </w:tcPr>
                <w:p w14:paraId="23665F63">
                  <w:pPr>
                    <w:pStyle w:val="60"/>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421" w:type="pct"/>
                  <w:vMerge w:val="continue"/>
                  <w:vAlign w:val="center"/>
                </w:tcPr>
                <w:p w14:paraId="6FCCF67B">
                  <w:pPr>
                    <w:pStyle w:val="60"/>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r>
            <w:tr w14:paraId="654B90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592" w:type="pct"/>
                  <w:vMerge w:val="continue"/>
                  <w:vAlign w:val="center"/>
                </w:tcPr>
                <w:p w14:paraId="6981B89E">
                  <w:pPr>
                    <w:pStyle w:val="60"/>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1002" w:type="pct"/>
                  <w:vAlign w:val="center"/>
                </w:tcPr>
                <w:p w14:paraId="049CF2CE">
                  <w:pPr>
                    <w:pStyle w:val="60"/>
                    <w:keepNext w:val="0"/>
                    <w:keepLines w:val="0"/>
                    <w:widowControl/>
                    <w:suppressLineNumbers w:val="0"/>
                    <w:snapToGrid w:val="0"/>
                    <w:spacing w:before="0" w:beforeAutospacing="0" w:after="0" w:afterAutospacing="0"/>
                    <w:ind w:left="0" w:right="0"/>
                    <w:rPr>
                      <w:rFonts w:hint="default" w:ascii="Times New Roman" w:hAnsi="Times New Roman" w:eastAsia="宋体" w:cs="Times New Roman"/>
                      <w:color w:val="auto"/>
                      <w:kern w:val="2"/>
                      <w:position w:val="0"/>
                      <w:highlight w:val="none"/>
                      <w:lang w:val="en-US" w:eastAsia="zh-CN"/>
                    </w:rPr>
                  </w:pPr>
                  <w:r>
                    <w:rPr>
                      <w:rFonts w:hint="default" w:ascii="Times New Roman" w:hAnsi="Times New Roman" w:cs="Times New Roman"/>
                      <w:color w:val="auto"/>
                      <w:kern w:val="2"/>
                      <w:position w:val="0"/>
                      <w:highlight w:val="none"/>
                      <w:lang w:val="en-US" w:eastAsia="zh-CN"/>
                    </w:rPr>
                    <w:t>含油废抹布</w:t>
                  </w:r>
                </w:p>
              </w:tc>
              <w:tc>
                <w:tcPr>
                  <w:tcW w:w="445" w:type="pct"/>
                  <w:vAlign w:val="center"/>
                </w:tcPr>
                <w:p w14:paraId="57CF4612">
                  <w:pPr>
                    <w:keepNext w:val="0"/>
                    <w:keepLines w:val="0"/>
                    <w:pageBreakBefore w:val="0"/>
                    <w:widowControl/>
                    <w:suppressLineNumbers w:val="0"/>
                    <w:kinsoku/>
                    <w:overflowPunct/>
                    <w:topLinePunct w:val="0"/>
                    <w:bidi w:val="0"/>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HW49</w:t>
                  </w:r>
                </w:p>
              </w:tc>
              <w:tc>
                <w:tcPr>
                  <w:tcW w:w="722" w:type="pct"/>
                  <w:vAlign w:val="center"/>
                </w:tcPr>
                <w:p w14:paraId="5EBB34AE">
                  <w:pPr>
                    <w:keepNext w:val="0"/>
                    <w:keepLines w:val="0"/>
                    <w:pageBreakBefore w:val="0"/>
                    <w:widowControl/>
                    <w:suppressLineNumbers w:val="0"/>
                    <w:kinsoku/>
                    <w:overflowPunct/>
                    <w:topLinePunct w:val="0"/>
                    <w:bidi w:val="0"/>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900-041-49</w:t>
                  </w:r>
                </w:p>
              </w:tc>
              <w:tc>
                <w:tcPr>
                  <w:tcW w:w="424" w:type="pct"/>
                  <w:vMerge w:val="continue"/>
                  <w:vAlign w:val="center"/>
                </w:tcPr>
                <w:p w14:paraId="10649B5D">
                  <w:pPr>
                    <w:pStyle w:val="60"/>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387" w:type="pct"/>
                  <w:vMerge w:val="continue"/>
                  <w:vAlign w:val="center"/>
                </w:tcPr>
                <w:p w14:paraId="60AA431E">
                  <w:pPr>
                    <w:pStyle w:val="60"/>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612" w:type="pct"/>
                  <w:vMerge w:val="continue"/>
                  <w:vAlign w:val="center"/>
                </w:tcPr>
                <w:p w14:paraId="6F3F26C9">
                  <w:pPr>
                    <w:pStyle w:val="60"/>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392" w:type="pct"/>
                  <w:vMerge w:val="continue"/>
                  <w:vAlign w:val="center"/>
                </w:tcPr>
                <w:p w14:paraId="525BB58E">
                  <w:pPr>
                    <w:pStyle w:val="60"/>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421" w:type="pct"/>
                  <w:vMerge w:val="continue"/>
                  <w:vAlign w:val="center"/>
                </w:tcPr>
                <w:p w14:paraId="34952A12">
                  <w:pPr>
                    <w:pStyle w:val="60"/>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r>
            <w:tr w14:paraId="7BE575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592" w:type="pct"/>
                  <w:vMerge w:val="continue"/>
                  <w:vAlign w:val="center"/>
                </w:tcPr>
                <w:p w14:paraId="5595A1E9">
                  <w:pPr>
                    <w:pStyle w:val="60"/>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1002" w:type="pct"/>
                  <w:shd w:val="clear" w:color="auto" w:fill="auto"/>
                  <w:vAlign w:val="center"/>
                </w:tcPr>
                <w:p w14:paraId="7F1315E9">
                  <w:pPr>
                    <w:pStyle w:val="60"/>
                    <w:keepNext w:val="0"/>
                    <w:keepLines w:val="0"/>
                    <w:widowControl/>
                    <w:suppressLineNumbers w:val="0"/>
                    <w:snapToGrid w:val="0"/>
                    <w:spacing w:before="0" w:beforeAutospacing="0" w:after="0" w:afterAutospacing="0"/>
                    <w:ind w:left="0" w:leftChars="0" w:right="0" w:rightChars="0"/>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highlight w:val="none"/>
                      <w:lang w:val="en-US" w:eastAsia="zh-CN"/>
                    </w:rPr>
                    <w:t>废烧碱包装袋</w:t>
                  </w:r>
                </w:p>
              </w:tc>
              <w:tc>
                <w:tcPr>
                  <w:tcW w:w="445" w:type="pct"/>
                  <w:shd w:val="clear" w:color="auto" w:fill="auto"/>
                  <w:vAlign w:val="center"/>
                </w:tcPr>
                <w:p w14:paraId="6BC60947">
                  <w:pPr>
                    <w:keepNext w:val="0"/>
                    <w:keepLines w:val="0"/>
                    <w:pageBreakBefore w:val="0"/>
                    <w:widowControl/>
                    <w:suppressLineNumbers w:val="0"/>
                    <w:kinsoku/>
                    <w:overflowPunct/>
                    <w:topLinePunct w:val="0"/>
                    <w:bidi w:val="0"/>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HW35</w:t>
                  </w:r>
                </w:p>
              </w:tc>
              <w:tc>
                <w:tcPr>
                  <w:tcW w:w="722" w:type="pct"/>
                  <w:shd w:val="clear" w:color="auto" w:fill="auto"/>
                  <w:vAlign w:val="center"/>
                </w:tcPr>
                <w:p w14:paraId="6430A750">
                  <w:pPr>
                    <w:keepNext w:val="0"/>
                    <w:keepLines w:val="0"/>
                    <w:pageBreakBefore w:val="0"/>
                    <w:widowControl/>
                    <w:suppressLineNumbers w:val="0"/>
                    <w:kinsoku/>
                    <w:overflowPunct/>
                    <w:topLinePunct w:val="0"/>
                    <w:bidi w:val="0"/>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900-399-35</w:t>
                  </w:r>
                </w:p>
              </w:tc>
              <w:tc>
                <w:tcPr>
                  <w:tcW w:w="424" w:type="pct"/>
                  <w:vMerge w:val="continue"/>
                  <w:vAlign w:val="center"/>
                </w:tcPr>
                <w:p w14:paraId="5BA143D7">
                  <w:pPr>
                    <w:pStyle w:val="60"/>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387" w:type="pct"/>
                  <w:vMerge w:val="continue"/>
                  <w:vAlign w:val="center"/>
                </w:tcPr>
                <w:p w14:paraId="61BF9A04">
                  <w:pPr>
                    <w:pStyle w:val="60"/>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612" w:type="pct"/>
                  <w:vMerge w:val="continue"/>
                  <w:vAlign w:val="center"/>
                </w:tcPr>
                <w:p w14:paraId="78ECA53F">
                  <w:pPr>
                    <w:pStyle w:val="60"/>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392" w:type="pct"/>
                  <w:vMerge w:val="continue"/>
                  <w:vAlign w:val="center"/>
                </w:tcPr>
                <w:p w14:paraId="052D4B3E">
                  <w:pPr>
                    <w:pStyle w:val="60"/>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421" w:type="pct"/>
                  <w:vMerge w:val="continue"/>
                  <w:vAlign w:val="center"/>
                </w:tcPr>
                <w:p w14:paraId="1356592A">
                  <w:pPr>
                    <w:pStyle w:val="60"/>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r>
            <w:tr w14:paraId="6039EC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592" w:type="pct"/>
                  <w:vMerge w:val="continue"/>
                  <w:vAlign w:val="center"/>
                </w:tcPr>
                <w:p w14:paraId="6DDD9CD1">
                  <w:pPr>
                    <w:pStyle w:val="60"/>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1002" w:type="pct"/>
                  <w:vAlign w:val="center"/>
                </w:tcPr>
                <w:p w14:paraId="0F8E50F8">
                  <w:pPr>
                    <w:pStyle w:val="60"/>
                    <w:keepNext w:val="0"/>
                    <w:keepLines w:val="0"/>
                    <w:widowControl/>
                    <w:suppressLineNumbers w:val="0"/>
                    <w:snapToGrid w:val="0"/>
                    <w:spacing w:before="0" w:beforeAutospacing="0" w:after="0" w:afterAutospacing="0"/>
                    <w:ind w:left="0" w:right="0"/>
                    <w:rPr>
                      <w:rFonts w:hint="default" w:ascii="Times New Roman" w:hAnsi="Times New Roman" w:cs="Times New Roman"/>
                      <w:color w:val="auto"/>
                      <w:kern w:val="2"/>
                      <w:position w:val="0"/>
                      <w:highlight w:val="none"/>
                      <w:lang w:val="en-US" w:eastAsia="zh-CN"/>
                    </w:rPr>
                  </w:pPr>
                  <w:r>
                    <w:rPr>
                      <w:rFonts w:hint="eastAsia" w:cs="Times New Roman"/>
                      <w:color w:val="auto"/>
                      <w:kern w:val="2"/>
                      <w:position w:val="0"/>
                      <w:highlight w:val="none"/>
                      <w:lang w:val="en-US" w:eastAsia="zh-CN"/>
                    </w:rPr>
                    <w:t>废柴油桶</w:t>
                  </w:r>
                </w:p>
              </w:tc>
              <w:tc>
                <w:tcPr>
                  <w:tcW w:w="811" w:type="dxa"/>
                  <w:vAlign w:val="center"/>
                </w:tcPr>
                <w:p w14:paraId="7CFAAEB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HW08</w:t>
                  </w:r>
                </w:p>
              </w:tc>
              <w:tc>
                <w:tcPr>
                  <w:tcW w:w="1316" w:type="dxa"/>
                  <w:vAlign w:val="center"/>
                </w:tcPr>
                <w:p w14:paraId="633B718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900-249-08</w:t>
                  </w:r>
                </w:p>
              </w:tc>
              <w:tc>
                <w:tcPr>
                  <w:tcW w:w="424" w:type="pct"/>
                  <w:vMerge w:val="continue"/>
                  <w:vAlign w:val="center"/>
                </w:tcPr>
                <w:p w14:paraId="22E0E9EB">
                  <w:pPr>
                    <w:pStyle w:val="60"/>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387" w:type="pct"/>
                  <w:vMerge w:val="continue"/>
                  <w:vAlign w:val="center"/>
                </w:tcPr>
                <w:p w14:paraId="066BB04A">
                  <w:pPr>
                    <w:pStyle w:val="60"/>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612" w:type="pct"/>
                  <w:vMerge w:val="continue"/>
                  <w:vAlign w:val="center"/>
                </w:tcPr>
                <w:p w14:paraId="7EF833C4">
                  <w:pPr>
                    <w:pStyle w:val="60"/>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392" w:type="pct"/>
                  <w:vMerge w:val="continue"/>
                  <w:vAlign w:val="center"/>
                </w:tcPr>
                <w:p w14:paraId="35CF9263">
                  <w:pPr>
                    <w:pStyle w:val="60"/>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421" w:type="pct"/>
                  <w:vMerge w:val="continue"/>
                  <w:vAlign w:val="center"/>
                </w:tcPr>
                <w:p w14:paraId="460641DE">
                  <w:pPr>
                    <w:pStyle w:val="60"/>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r>
          </w:tbl>
          <w:p w14:paraId="21335FD9">
            <w:pPr>
              <w:keepNext/>
              <w:keepLines/>
              <w:suppressLineNumbers w:val="0"/>
              <w:tabs>
                <w:tab w:val="left" w:pos="0"/>
              </w:tabs>
              <w:spacing w:before="0" w:beforeAutospacing="0" w:after="0" w:afterAutospacing="0"/>
              <w:ind w:left="480" w:right="0"/>
              <w:outlineLvl w:val="4"/>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（3）转运、处置</w:t>
            </w:r>
          </w:p>
          <w:bookmarkEnd w:id="147"/>
          <w:p w14:paraId="6C45A49B">
            <w:pPr>
              <w:pStyle w:val="12"/>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内部无利用或处置危险废物的能力和设施，需要委托具有危险废物处理资质的单位处置。根据广东省生态环境厅危险废物经营许可证颁发情况，广东省有可以处置本项目危险废物的企业，处理能力充足。建设单位可直接委托其转移处理。</w:t>
            </w:r>
          </w:p>
          <w:p w14:paraId="397D20CB">
            <w:pPr>
              <w:pStyle w:val="20"/>
              <w:keepNext w:val="0"/>
              <w:keepLines w:val="0"/>
              <w:numPr>
                <w:ilvl w:val="0"/>
                <w:numId w:val="0"/>
              </w:numPr>
              <w:suppressLineNumbers w:val="0"/>
              <w:tabs>
                <w:tab w:val="left" w:pos="0"/>
              </w:tabs>
              <w:spacing w:before="0" w:beforeAutospacing="0" w:after="0" w:afterAutospacing="0"/>
              <w:ind w:left="0" w:leftChars="0" w:right="0" w:rightChars="0" w:firstLine="40" w:firstLineChars="0"/>
              <w:rPr>
                <w:rFonts w:hint="default" w:ascii="Times New Roman" w:hAnsi="Times New Roman" w:cs="Times New Roman"/>
                <w:color w:val="auto"/>
                <w:highlight w:val="none"/>
              </w:rPr>
            </w:pPr>
            <w:r>
              <w:rPr>
                <w:rFonts w:hint="default" w:ascii="Times New Roman" w:hAnsi="Times New Roman" w:eastAsia="宋体" w:cs="Times New Roman"/>
                <w:b/>
                <w:bCs/>
                <w:color w:val="auto"/>
                <w:kern w:val="2"/>
                <w:sz w:val="21"/>
                <w:szCs w:val="21"/>
                <w:highlight w:val="none"/>
                <w:lang w:val="en-US" w:eastAsia="zh-CN" w:bidi="ar-SA"/>
              </w:rPr>
              <w:t>表4-3</w:t>
            </w:r>
            <w:r>
              <w:rPr>
                <w:rFonts w:hint="eastAsia" w:cs="Times New Roman"/>
                <w:b/>
                <w:bCs/>
                <w:color w:val="auto"/>
                <w:kern w:val="2"/>
                <w:sz w:val="21"/>
                <w:szCs w:val="21"/>
                <w:highlight w:val="none"/>
                <w:lang w:val="en-US" w:eastAsia="zh-CN" w:bidi="ar-SA"/>
              </w:rPr>
              <w:t>0</w:t>
            </w:r>
            <w:r>
              <w:rPr>
                <w:rFonts w:hint="default" w:ascii="Times New Roman" w:hAnsi="Times New Roman" w:cs="Times New Roman"/>
                <w:color w:val="auto"/>
                <w:highlight w:val="none"/>
              </w:rPr>
              <w:t>广东省内可接收本项目危险废物的处理单位一览表（摘录）</w:t>
            </w:r>
          </w:p>
          <w:tbl>
            <w:tblPr>
              <w:tblStyle w:val="3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1106"/>
              <w:gridCol w:w="1145"/>
              <w:gridCol w:w="981"/>
              <w:gridCol w:w="1444"/>
              <w:gridCol w:w="4012"/>
            </w:tblGrid>
            <w:tr w14:paraId="1A4BA6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8" w:type="pct"/>
                  <w:vAlign w:val="center"/>
                </w:tcPr>
                <w:p w14:paraId="7C93D551">
                  <w:pPr>
                    <w:pStyle w:val="68"/>
                    <w:keepNext w:val="0"/>
                    <w:keepLines w:val="0"/>
                    <w:suppressLineNumbers w:val="0"/>
                    <w:wordWrap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序号</w:t>
                  </w:r>
                </w:p>
              </w:tc>
              <w:tc>
                <w:tcPr>
                  <w:tcW w:w="608" w:type="pct"/>
                  <w:vAlign w:val="center"/>
                </w:tcPr>
                <w:p w14:paraId="47ABEB0F">
                  <w:pPr>
                    <w:pStyle w:val="68"/>
                    <w:keepNext w:val="0"/>
                    <w:keepLines w:val="0"/>
                    <w:suppressLineNumbers w:val="0"/>
                    <w:wordWrap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企业名称</w:t>
                  </w:r>
                </w:p>
              </w:tc>
              <w:tc>
                <w:tcPr>
                  <w:tcW w:w="629" w:type="pct"/>
                  <w:vAlign w:val="center"/>
                </w:tcPr>
                <w:p w14:paraId="04D7A491">
                  <w:pPr>
                    <w:pStyle w:val="68"/>
                    <w:keepNext w:val="0"/>
                    <w:keepLines w:val="0"/>
                    <w:suppressLineNumbers w:val="0"/>
                    <w:wordWrap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设施地址</w:t>
                  </w:r>
                </w:p>
              </w:tc>
              <w:tc>
                <w:tcPr>
                  <w:tcW w:w="539" w:type="pct"/>
                  <w:vAlign w:val="center"/>
                </w:tcPr>
                <w:p w14:paraId="19AE89CD">
                  <w:pPr>
                    <w:pStyle w:val="68"/>
                    <w:keepNext w:val="0"/>
                    <w:keepLines w:val="0"/>
                    <w:suppressLineNumbers w:val="0"/>
                    <w:wordWrap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许可证编号</w:t>
                  </w:r>
                </w:p>
              </w:tc>
              <w:tc>
                <w:tcPr>
                  <w:tcW w:w="793" w:type="pct"/>
                  <w:vAlign w:val="center"/>
                </w:tcPr>
                <w:p w14:paraId="5F0B2E9D">
                  <w:pPr>
                    <w:pStyle w:val="68"/>
                    <w:keepNext w:val="0"/>
                    <w:keepLines w:val="0"/>
                    <w:suppressLineNumbers w:val="0"/>
                    <w:wordWrap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经营时间有效期</w:t>
                  </w:r>
                </w:p>
              </w:tc>
              <w:tc>
                <w:tcPr>
                  <w:tcW w:w="2201" w:type="pct"/>
                  <w:vAlign w:val="center"/>
                </w:tcPr>
                <w:p w14:paraId="01310A66">
                  <w:pPr>
                    <w:pStyle w:val="68"/>
                    <w:keepNext w:val="0"/>
                    <w:keepLines w:val="0"/>
                    <w:suppressLineNumbers w:val="0"/>
                    <w:wordWrap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核准经营范围、类别</w:t>
                  </w:r>
                </w:p>
              </w:tc>
            </w:tr>
            <w:tr w14:paraId="039742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8" w:type="pct"/>
                  <w:vAlign w:val="center"/>
                </w:tcPr>
                <w:p w14:paraId="67127F08">
                  <w:pPr>
                    <w:pStyle w:val="68"/>
                    <w:keepNext w:val="0"/>
                    <w:keepLines w:val="0"/>
                    <w:suppressLineNumbers w:val="0"/>
                    <w:wordWrap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608" w:type="pct"/>
                  <w:vAlign w:val="center"/>
                </w:tcPr>
                <w:p w14:paraId="629ABD98">
                  <w:pPr>
                    <w:pStyle w:val="68"/>
                    <w:keepNext w:val="0"/>
                    <w:keepLines w:val="0"/>
                    <w:suppressLineNumbers w:val="0"/>
                    <w:wordWrap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shd w:val="clear" w:color="auto" w:fill="FFFFFF"/>
                    </w:rPr>
                  </w:pPr>
                  <w:r>
                    <w:rPr>
                      <w:rFonts w:hint="default" w:ascii="Times New Roman" w:hAnsi="Times New Roman" w:cs="Times New Roman"/>
                      <w:color w:val="auto"/>
                      <w:sz w:val="21"/>
                      <w:szCs w:val="21"/>
                      <w:highlight w:val="none"/>
                      <w:shd w:val="clear" w:color="auto" w:fill="FFFFFF"/>
                    </w:rPr>
                    <w:t>韶关鹏瑞环保科技有限公司</w:t>
                  </w:r>
                </w:p>
              </w:tc>
              <w:tc>
                <w:tcPr>
                  <w:tcW w:w="629" w:type="pct"/>
                  <w:vAlign w:val="center"/>
                </w:tcPr>
                <w:p w14:paraId="578793E6">
                  <w:pPr>
                    <w:pStyle w:val="68"/>
                    <w:keepNext w:val="0"/>
                    <w:keepLines w:val="0"/>
                    <w:suppressLineNumbers w:val="0"/>
                    <w:wordWrap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shd w:val="clear" w:color="auto" w:fill="FFFFFF"/>
                    </w:rPr>
                  </w:pPr>
                  <w:r>
                    <w:rPr>
                      <w:rFonts w:hint="default" w:ascii="Times New Roman" w:hAnsi="Times New Roman" w:cs="Times New Roman"/>
                      <w:color w:val="auto"/>
                      <w:sz w:val="21"/>
                      <w:szCs w:val="21"/>
                      <w:highlight w:val="none"/>
                      <w:shd w:val="clear" w:color="auto" w:fill="FFFFFF"/>
                    </w:rPr>
                    <w:t>韶关市翁源县官渡镇官渡经济开发区</w:t>
                  </w:r>
                </w:p>
              </w:tc>
              <w:tc>
                <w:tcPr>
                  <w:tcW w:w="539" w:type="pct"/>
                  <w:vAlign w:val="center"/>
                </w:tcPr>
                <w:p w14:paraId="3374CB7E">
                  <w:pPr>
                    <w:pStyle w:val="68"/>
                    <w:keepNext w:val="0"/>
                    <w:keepLines w:val="0"/>
                    <w:suppressLineNumbers w:val="0"/>
                    <w:wordWrap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shd w:val="clear" w:color="auto" w:fill="FFFFFF"/>
                    </w:rPr>
                  </w:pPr>
                  <w:r>
                    <w:rPr>
                      <w:rFonts w:hint="default" w:ascii="Times New Roman" w:hAnsi="Times New Roman" w:cs="Times New Roman"/>
                      <w:color w:val="auto"/>
                      <w:sz w:val="21"/>
                      <w:szCs w:val="21"/>
                      <w:highlight w:val="none"/>
                      <w:shd w:val="clear" w:color="auto" w:fill="FFFFFF"/>
                    </w:rPr>
                    <w:t>440229190731</w:t>
                  </w:r>
                </w:p>
              </w:tc>
              <w:tc>
                <w:tcPr>
                  <w:tcW w:w="793" w:type="pct"/>
                  <w:vAlign w:val="center"/>
                </w:tcPr>
                <w:p w14:paraId="3D799A9E">
                  <w:pPr>
                    <w:pStyle w:val="68"/>
                    <w:keepNext w:val="0"/>
                    <w:keepLines w:val="0"/>
                    <w:suppressLineNumbers w:val="0"/>
                    <w:wordWrap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shd w:val="clear" w:color="auto" w:fill="FFFFFF"/>
                    </w:rPr>
                  </w:pPr>
                  <w:r>
                    <w:rPr>
                      <w:rFonts w:hint="default" w:ascii="Times New Roman" w:hAnsi="Times New Roman" w:cs="Times New Roman"/>
                      <w:color w:val="auto"/>
                      <w:sz w:val="21"/>
                      <w:szCs w:val="21"/>
                      <w:highlight w:val="none"/>
                    </w:rPr>
                    <w:t>至2025年7月30日</w:t>
                  </w:r>
                </w:p>
              </w:tc>
              <w:tc>
                <w:tcPr>
                  <w:tcW w:w="2201" w:type="pct"/>
                  <w:vAlign w:val="center"/>
                </w:tcPr>
                <w:p w14:paraId="21983B23">
                  <w:pPr>
                    <w:pStyle w:val="68"/>
                    <w:keepNext w:val="0"/>
                    <w:keepLines w:val="0"/>
                    <w:suppressLineNumbers w:val="0"/>
                    <w:wordWrap w:val="0"/>
                    <w:adjustRightInd w:val="0"/>
                    <w:snapToGrid w:val="0"/>
                    <w:spacing w:before="0" w:beforeAutospacing="0" w:after="0" w:afterAutospacing="0"/>
                    <w:ind w:left="0" w:right="0"/>
                    <w:jc w:val="left"/>
                    <w:rPr>
                      <w:rFonts w:hint="default" w:ascii="Times New Roman" w:hAnsi="Times New Roman" w:cs="Times New Roman"/>
                      <w:color w:val="auto"/>
                      <w:sz w:val="21"/>
                      <w:szCs w:val="21"/>
                      <w:highlight w:val="none"/>
                      <w:shd w:val="clear" w:color="auto" w:fill="FFFFFF"/>
                    </w:rPr>
                  </w:pPr>
                  <w:r>
                    <w:rPr>
                      <w:rFonts w:hint="default" w:ascii="Times New Roman" w:hAnsi="Times New Roman" w:cs="Times New Roman"/>
                      <w:color w:val="auto"/>
                      <w:sz w:val="21"/>
                      <w:szCs w:val="21"/>
                      <w:highlight w:val="none"/>
                      <w:shd w:val="clear" w:color="auto" w:fill="FFFFFF"/>
                    </w:rPr>
                    <w:t>【收集、贮存、利用】感光材料废物（HW16类中266-009~010-16、231-001~002-16、398-001-16、873-001-16、806-001-16、900-019-16，限感光废菲林2000吨/年</w:t>
                  </w:r>
                </w:p>
                <w:p w14:paraId="5179D902">
                  <w:pPr>
                    <w:pStyle w:val="68"/>
                    <w:keepNext w:val="0"/>
                    <w:keepLines w:val="0"/>
                    <w:suppressLineNumbers w:val="0"/>
                    <w:wordWrap w:val="0"/>
                    <w:adjustRightInd w:val="0"/>
                    <w:snapToGrid w:val="0"/>
                    <w:spacing w:before="0" w:beforeAutospacing="0" w:after="0" w:afterAutospacing="0"/>
                    <w:ind w:left="0" w:right="0"/>
                    <w:jc w:val="left"/>
                    <w:rPr>
                      <w:rFonts w:hint="default" w:ascii="Times New Roman" w:hAnsi="Times New Roman" w:cs="Times New Roman"/>
                      <w:color w:val="auto"/>
                      <w:sz w:val="21"/>
                      <w:szCs w:val="21"/>
                      <w:highlight w:val="none"/>
                      <w:shd w:val="clear" w:color="auto" w:fill="FFFFFF"/>
                    </w:rPr>
                  </w:pPr>
                  <w:r>
                    <w:rPr>
                      <w:rFonts w:hint="default" w:ascii="Times New Roman" w:hAnsi="Times New Roman" w:cs="Times New Roman"/>
                      <w:color w:val="auto"/>
                      <w:sz w:val="21"/>
                      <w:szCs w:val="21"/>
                      <w:highlight w:val="none"/>
                      <w:shd w:val="clear" w:color="auto" w:fill="FFFFFF"/>
                    </w:rPr>
                    <w:t>、废定影液和显影液1000吨/年）3000吨/年，表面处理废物（HW17类中336-050-17、336-052-17、336-054~059-17、336-062~064-17、336-066-17，仅限污泥）50000吨/年，含铜废物（HW22类中304-001-22、398-004-22、398-005-22、398-051-22，仅限污泥）、有色金属采选和冶炼废物（HW48类中321-002-48，仅限污泥）50000吨/年，无机氰化物废物（HW33类中336-104-33、900-027~029-33）1000吨/年；</w:t>
                  </w:r>
                </w:p>
                <w:p w14:paraId="0ADA10C9">
                  <w:pPr>
                    <w:pStyle w:val="68"/>
                    <w:keepNext w:val="0"/>
                    <w:keepLines w:val="0"/>
                    <w:suppressLineNumbers w:val="0"/>
                    <w:wordWrap w:val="0"/>
                    <w:adjustRightInd w:val="0"/>
                    <w:snapToGrid w:val="0"/>
                    <w:spacing w:before="0" w:beforeAutospacing="0" w:after="0" w:afterAutospacing="0"/>
                    <w:ind w:left="0" w:right="0"/>
                    <w:jc w:val="left"/>
                    <w:rPr>
                      <w:rFonts w:hint="default" w:ascii="Times New Roman" w:hAnsi="Times New Roman" w:cs="Times New Roman"/>
                      <w:color w:val="auto"/>
                      <w:sz w:val="21"/>
                      <w:szCs w:val="21"/>
                      <w:highlight w:val="none"/>
                      <w:shd w:val="clear" w:color="auto" w:fill="FFFFFF"/>
                    </w:rPr>
                  </w:pPr>
                  <w:r>
                    <w:rPr>
                      <w:rFonts w:hint="default" w:ascii="Times New Roman" w:hAnsi="Times New Roman" w:cs="Times New Roman"/>
                      <w:color w:val="auto"/>
                      <w:sz w:val="21"/>
                      <w:szCs w:val="21"/>
                      <w:highlight w:val="none"/>
                      <w:shd w:val="clear" w:color="auto" w:fill="FFFFFF"/>
                    </w:rPr>
                    <w:t>【收集、贮存、处置】废酸（HW34类中398-005~007-34、900-300~308-34、900-349-34）10000吨/年，废碱（HW35类中900-350~356-35、900-399-35）10000吨/年；共计124000吨/年。</w:t>
                  </w:r>
                </w:p>
              </w:tc>
            </w:tr>
            <w:tr w14:paraId="479267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8" w:type="pct"/>
                  <w:vAlign w:val="center"/>
                </w:tcPr>
                <w:p w14:paraId="06B32486">
                  <w:pPr>
                    <w:pStyle w:val="68"/>
                    <w:keepNext w:val="0"/>
                    <w:keepLines w:val="0"/>
                    <w:suppressLineNumbers w:val="0"/>
                    <w:wordWrap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w:t>
                  </w:r>
                </w:p>
              </w:tc>
              <w:tc>
                <w:tcPr>
                  <w:tcW w:w="608" w:type="pct"/>
                  <w:vAlign w:val="center"/>
                </w:tcPr>
                <w:p w14:paraId="15A24804">
                  <w:pPr>
                    <w:pStyle w:val="68"/>
                    <w:keepNext w:val="0"/>
                    <w:keepLines w:val="0"/>
                    <w:suppressLineNumbers w:val="0"/>
                    <w:wordWrap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shd w:val="clear" w:color="auto" w:fill="FFFFFF"/>
                    </w:rPr>
                  </w:pPr>
                  <w:r>
                    <w:rPr>
                      <w:rFonts w:hint="default" w:ascii="Times New Roman" w:hAnsi="Times New Roman" w:cs="Times New Roman"/>
                      <w:color w:val="auto"/>
                      <w:sz w:val="21"/>
                      <w:szCs w:val="21"/>
                      <w:highlight w:val="none"/>
                      <w:shd w:val="clear" w:color="auto" w:fill="FFFFFF"/>
                    </w:rPr>
                    <w:t>韶关东江环保再生</w:t>
                  </w:r>
                </w:p>
                <w:p w14:paraId="121529F4">
                  <w:pPr>
                    <w:pStyle w:val="68"/>
                    <w:keepNext w:val="0"/>
                    <w:keepLines w:val="0"/>
                    <w:suppressLineNumbers w:val="0"/>
                    <w:wordWrap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shd w:val="clear" w:color="auto" w:fill="FFFFFF"/>
                    </w:rPr>
                  </w:pPr>
                  <w:r>
                    <w:rPr>
                      <w:rFonts w:hint="default" w:ascii="Times New Roman" w:hAnsi="Times New Roman" w:cs="Times New Roman"/>
                      <w:color w:val="auto"/>
                      <w:sz w:val="21"/>
                      <w:szCs w:val="21"/>
                      <w:highlight w:val="none"/>
                      <w:shd w:val="clear" w:color="auto" w:fill="FFFFFF"/>
                    </w:rPr>
                    <w:t>资源发展有限公司</w:t>
                  </w:r>
                </w:p>
              </w:tc>
              <w:tc>
                <w:tcPr>
                  <w:tcW w:w="629" w:type="pct"/>
                  <w:vAlign w:val="center"/>
                </w:tcPr>
                <w:p w14:paraId="2D9ABC33">
                  <w:pPr>
                    <w:pStyle w:val="68"/>
                    <w:keepNext w:val="0"/>
                    <w:keepLines w:val="0"/>
                    <w:suppressLineNumbers w:val="0"/>
                    <w:wordWrap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shd w:val="clear" w:color="auto" w:fill="FFFFFF"/>
                    </w:rPr>
                  </w:pPr>
                  <w:r>
                    <w:rPr>
                      <w:rFonts w:hint="default" w:ascii="Times New Roman" w:hAnsi="Times New Roman" w:cs="Times New Roman"/>
                      <w:color w:val="auto"/>
                      <w:sz w:val="21"/>
                      <w:szCs w:val="21"/>
                      <w:highlight w:val="none"/>
                      <w:shd w:val="clear" w:color="auto" w:fill="FFFFFF"/>
                    </w:rPr>
                    <w:t>韶关市翁源县铁龙林场将军屯</w:t>
                  </w:r>
                </w:p>
              </w:tc>
              <w:tc>
                <w:tcPr>
                  <w:tcW w:w="539" w:type="pct"/>
                  <w:vAlign w:val="center"/>
                </w:tcPr>
                <w:p w14:paraId="5F64E238">
                  <w:pPr>
                    <w:pStyle w:val="68"/>
                    <w:keepNext w:val="0"/>
                    <w:keepLines w:val="0"/>
                    <w:suppressLineNumbers w:val="0"/>
                    <w:wordWrap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shd w:val="clear" w:color="auto" w:fill="FFFFFF"/>
                    </w:rPr>
                  </w:pPr>
                  <w:r>
                    <w:rPr>
                      <w:rFonts w:hint="default" w:ascii="Times New Roman" w:hAnsi="Times New Roman" w:cs="Times New Roman"/>
                      <w:color w:val="auto"/>
                      <w:sz w:val="21"/>
                      <w:szCs w:val="21"/>
                      <w:highlight w:val="none"/>
                      <w:shd w:val="clear" w:color="auto" w:fill="FFFFFF"/>
                    </w:rPr>
                    <w:t>440229210121</w:t>
                  </w:r>
                </w:p>
              </w:tc>
              <w:tc>
                <w:tcPr>
                  <w:tcW w:w="793" w:type="pct"/>
                  <w:vAlign w:val="center"/>
                </w:tcPr>
                <w:p w14:paraId="2FB496B3">
                  <w:pPr>
                    <w:pStyle w:val="68"/>
                    <w:keepNext w:val="0"/>
                    <w:keepLines w:val="0"/>
                    <w:suppressLineNumbers w:val="0"/>
                    <w:wordWrap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至2027年3月5日</w:t>
                  </w:r>
                </w:p>
              </w:tc>
              <w:tc>
                <w:tcPr>
                  <w:tcW w:w="2201" w:type="pct"/>
                  <w:vAlign w:val="center"/>
                </w:tcPr>
                <w:p w14:paraId="18D0ECBF">
                  <w:pPr>
                    <w:pStyle w:val="68"/>
                    <w:keepNext w:val="0"/>
                    <w:keepLines w:val="0"/>
                    <w:suppressLineNumbers w:val="0"/>
                    <w:wordWrap w:val="0"/>
                    <w:adjustRightInd w:val="0"/>
                    <w:snapToGrid w:val="0"/>
                    <w:spacing w:before="0" w:beforeAutospacing="0" w:after="0" w:afterAutospacing="0"/>
                    <w:ind w:left="0" w:right="0"/>
                    <w:jc w:val="left"/>
                    <w:rPr>
                      <w:rFonts w:hint="default" w:ascii="Times New Roman" w:hAnsi="Times New Roman" w:cs="Times New Roman"/>
                      <w:color w:val="auto"/>
                      <w:sz w:val="21"/>
                      <w:szCs w:val="21"/>
                      <w:highlight w:val="none"/>
                      <w:shd w:val="clear" w:color="auto" w:fill="FFFFFF"/>
                    </w:rPr>
                  </w:pPr>
                  <w:r>
                    <w:rPr>
                      <w:rFonts w:hint="default" w:ascii="Times New Roman" w:hAnsi="Times New Roman" w:cs="Times New Roman"/>
                      <w:color w:val="auto"/>
                      <w:sz w:val="21"/>
                      <w:szCs w:val="21"/>
                      <w:highlight w:val="none"/>
                      <w:shd w:val="clear" w:color="auto" w:fill="FFFFFF"/>
                    </w:rPr>
                    <w:t>【收集、贮存、处置（填埋）】焚烧处置残渣（HW18类中的772-002~004-18）、含铍废物（HW20类）、含铬废物（HW21类中的193-001-21、261-041~044-21、314-001~003-21、336-100-21、398-002-21）、含铜废物（HW22类中的398-005-22、304-001-22）、含锌废物（HW23类中的336-103-23、384-001-23、312-001-23、900-021-23）、含砷废物（HW24类）、含硒废物（HW25类）、含镉废物（HW26类）、含锑废物（HW27类）、含碲废物（HW28类）、含汞废物（HW29类中的261-051~052-29、261-054-29、265-004-29、900-452-29，仅限低含汞污泥）、含铊废物（HW30类）、含铅废物（HW31类中的304-002-31）、石棉废物（HW36类）、含镍废物（HW46类）、含钡废物（HW47类）、有色金属冶炼废物（HW48类中的321-002~014-48、321-016~029-48）、其他废物（HW49类中的900-041~042-49、900-046~047-49），共3.45万吨/年。</w:t>
                  </w:r>
                </w:p>
              </w:tc>
            </w:tr>
            <w:tr w14:paraId="53A486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8" w:type="pct"/>
                  <w:vAlign w:val="center"/>
                </w:tcPr>
                <w:p w14:paraId="040F0D4B">
                  <w:pPr>
                    <w:pStyle w:val="68"/>
                    <w:keepNext w:val="0"/>
                    <w:keepLines w:val="0"/>
                    <w:suppressLineNumbers w:val="0"/>
                    <w:wordWrap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w:t>
                  </w:r>
                </w:p>
              </w:tc>
              <w:tc>
                <w:tcPr>
                  <w:tcW w:w="608" w:type="pct"/>
                  <w:vAlign w:val="center"/>
                </w:tcPr>
                <w:p w14:paraId="46364475">
                  <w:pPr>
                    <w:pStyle w:val="68"/>
                    <w:keepNext w:val="0"/>
                    <w:keepLines w:val="0"/>
                    <w:suppressLineNumbers w:val="0"/>
                    <w:wordWrap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shd w:val="clear" w:color="auto" w:fill="FFFFFF"/>
                    </w:rPr>
                  </w:pPr>
                  <w:r>
                    <w:rPr>
                      <w:rFonts w:hint="default" w:ascii="Times New Roman" w:hAnsi="Times New Roman" w:cs="Times New Roman"/>
                      <w:color w:val="auto"/>
                      <w:sz w:val="21"/>
                      <w:szCs w:val="21"/>
                      <w:highlight w:val="none"/>
                      <w:shd w:val="clear" w:color="auto" w:fill="FFFFFF"/>
                    </w:rPr>
                    <w:t>广东华欣环保科技有限公司</w:t>
                  </w:r>
                </w:p>
              </w:tc>
              <w:tc>
                <w:tcPr>
                  <w:tcW w:w="629" w:type="pct"/>
                  <w:vAlign w:val="center"/>
                </w:tcPr>
                <w:p w14:paraId="6D2FD9A0">
                  <w:pPr>
                    <w:pStyle w:val="68"/>
                    <w:keepNext w:val="0"/>
                    <w:keepLines w:val="0"/>
                    <w:suppressLineNumbers w:val="0"/>
                    <w:wordWrap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shd w:val="clear" w:color="auto" w:fill="FFFFFF"/>
                    </w:rPr>
                  </w:pPr>
                  <w:r>
                    <w:rPr>
                      <w:rFonts w:hint="default" w:ascii="Times New Roman" w:hAnsi="Times New Roman" w:cs="Times New Roman"/>
                      <w:color w:val="auto"/>
                      <w:sz w:val="21"/>
                      <w:szCs w:val="21"/>
                      <w:highlight w:val="none"/>
                      <w:shd w:val="clear" w:color="auto" w:fill="FFFFFF"/>
                    </w:rPr>
                    <w:t>韶关市曲江区广东韶钢松山股份有限公司厂区内</w:t>
                  </w:r>
                </w:p>
              </w:tc>
              <w:tc>
                <w:tcPr>
                  <w:tcW w:w="539" w:type="pct"/>
                  <w:vAlign w:val="center"/>
                </w:tcPr>
                <w:p w14:paraId="5052D23B">
                  <w:pPr>
                    <w:pStyle w:val="68"/>
                    <w:keepNext w:val="0"/>
                    <w:keepLines w:val="0"/>
                    <w:suppressLineNumbers w:val="0"/>
                    <w:wordWrap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shd w:val="clear" w:color="auto" w:fill="FFFFFF"/>
                    </w:rPr>
                  </w:pPr>
                  <w:r>
                    <w:rPr>
                      <w:rFonts w:hint="default" w:ascii="Times New Roman" w:hAnsi="Times New Roman" w:cs="Times New Roman"/>
                      <w:color w:val="auto"/>
                      <w:sz w:val="21"/>
                      <w:szCs w:val="21"/>
                      <w:highlight w:val="none"/>
                      <w:shd w:val="clear" w:color="auto" w:fill="FFFFFF"/>
                    </w:rPr>
                    <w:t>440205220412</w:t>
                  </w:r>
                </w:p>
              </w:tc>
              <w:tc>
                <w:tcPr>
                  <w:tcW w:w="793" w:type="pct"/>
                  <w:vAlign w:val="center"/>
                </w:tcPr>
                <w:p w14:paraId="0AC06430">
                  <w:pPr>
                    <w:pStyle w:val="68"/>
                    <w:keepNext w:val="0"/>
                    <w:keepLines w:val="0"/>
                    <w:suppressLineNumbers w:val="0"/>
                    <w:wordWrap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至2028年4月9日</w:t>
                  </w:r>
                </w:p>
              </w:tc>
              <w:tc>
                <w:tcPr>
                  <w:tcW w:w="2201" w:type="pct"/>
                  <w:vAlign w:val="center"/>
                </w:tcPr>
                <w:p w14:paraId="7D9F09A0">
                  <w:pPr>
                    <w:pStyle w:val="68"/>
                    <w:keepNext w:val="0"/>
                    <w:keepLines w:val="0"/>
                    <w:suppressLineNumbers w:val="0"/>
                    <w:wordWrap w:val="0"/>
                    <w:adjustRightInd w:val="0"/>
                    <w:snapToGrid w:val="0"/>
                    <w:spacing w:before="0" w:beforeAutospacing="0" w:after="0" w:afterAutospacing="0"/>
                    <w:ind w:left="0" w:right="0"/>
                    <w:jc w:val="left"/>
                    <w:rPr>
                      <w:rFonts w:hint="default" w:ascii="Times New Roman" w:hAnsi="Times New Roman" w:cs="Times New Roman"/>
                      <w:color w:val="auto"/>
                      <w:sz w:val="21"/>
                      <w:szCs w:val="21"/>
                      <w:highlight w:val="none"/>
                      <w:shd w:val="clear" w:color="auto" w:fill="FFFFFF"/>
                    </w:rPr>
                  </w:pPr>
                  <w:r>
                    <w:rPr>
                      <w:rFonts w:hint="default" w:ascii="Times New Roman" w:hAnsi="Times New Roman" w:cs="Times New Roman"/>
                      <w:color w:val="auto"/>
                      <w:sz w:val="21"/>
                      <w:szCs w:val="21"/>
                      <w:highlight w:val="none"/>
                      <w:shd w:val="clear" w:color="auto" w:fill="FFFFFF"/>
                    </w:rPr>
                    <w:t>【收集、贮存、利用】废矿物油与含矿物油废物（HW08类中的900-249-08，仅限沾染矿物油的废铁质包装桶 ）1.8万吨/年、其他废物（HW49类中的900-041-49，仅限废铁质包装桶）3.2万吨/年、含铬废物（HW21类中的314-001~002-21）10万吨/年、含锌废物（HW23类中的312-001-23、336-103-23（仅限集尘、除尘装置收集的粉尘））1万吨/年，共计16万吨/年。</w:t>
                  </w:r>
                </w:p>
              </w:tc>
            </w:tr>
          </w:tbl>
          <w:p w14:paraId="17E80F74">
            <w:pPr>
              <w:pStyle w:val="12"/>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本项目的危险废物种类不多，单次产生量不大，性质较稳定，落实好上述措施后，从产生到转移处置的全过程环境风险均可得到有效控制，不存在重大隐患，不会对外部环境造成重大影响。</w:t>
            </w:r>
          </w:p>
          <w:p w14:paraId="0EC9B2A2">
            <w:pPr>
              <w:pStyle w:val="4"/>
              <w:numPr>
                <w:ilvl w:val="2"/>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五、土壤、地下水环境影响分析</w:t>
            </w:r>
          </w:p>
          <w:p w14:paraId="044284D5">
            <w:pPr>
              <w:pStyle w:val="12"/>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本项目属于“</w:t>
            </w:r>
            <w:r>
              <w:rPr>
                <w:rFonts w:hint="eastAsia" w:cs="Times New Roman"/>
                <w:color w:val="auto"/>
                <w:kern w:val="2"/>
                <w:sz w:val="24"/>
                <w:szCs w:val="24"/>
                <w:highlight w:val="none"/>
                <w:lang w:eastAsia="zh-CN"/>
              </w:rPr>
              <w:t>三十九、废弃资源综合利用业42—85非金属废料和碎屑加工处理422</w:t>
            </w:r>
            <w:r>
              <w:rPr>
                <w:rFonts w:hint="default" w:ascii="Times New Roman" w:hAnsi="Times New Roman" w:cs="Times New Roman"/>
                <w:color w:val="auto"/>
                <w:highlight w:val="none"/>
              </w:rPr>
              <w:t>”，厂区地面已全部硬化，危废间</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化学品仓</w:t>
            </w:r>
            <w:r>
              <w:rPr>
                <w:rFonts w:hint="default" w:ascii="Times New Roman" w:hAnsi="Times New Roman" w:cs="Times New Roman"/>
                <w:color w:val="auto"/>
                <w:highlight w:val="none"/>
              </w:rPr>
              <w:t>地面硬化，并刷环氧树脂漆防渗层</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设置围堰</w:t>
            </w:r>
            <w:r>
              <w:rPr>
                <w:rFonts w:hint="default" w:ascii="Times New Roman" w:hAnsi="Times New Roman" w:cs="Times New Roman"/>
                <w:color w:val="auto"/>
                <w:highlight w:val="none"/>
              </w:rPr>
              <w:t>，正常情况下</w:t>
            </w:r>
            <w:r>
              <w:rPr>
                <w:rFonts w:hint="default" w:ascii="Times New Roman" w:hAnsi="Times New Roman" w:cs="Times New Roman"/>
                <w:color w:val="auto"/>
                <w:highlight w:val="none"/>
                <w:lang w:val="en-US" w:eastAsia="zh-CN"/>
              </w:rPr>
              <w:t>可有效阻止</w:t>
            </w:r>
            <w:r>
              <w:rPr>
                <w:rFonts w:hint="default" w:ascii="Times New Roman" w:hAnsi="Times New Roman" w:cs="Times New Roman"/>
                <w:color w:val="auto"/>
                <w:highlight w:val="none"/>
              </w:rPr>
              <w:t>地下水污染途径，对地下水环境不产生影响。本项目所采用的原辅材料组成不含重金属等土壤污染成分，对土壤环境影响极小。本项目厂区按照规范和要求对生产车间、仓库以及危险废物仓库等采取有效的防雨、防渗漏、防溢流等措施，生产车间和仓库已进行场地硬化，因此不进行土壤现状监测。</w:t>
            </w:r>
          </w:p>
          <w:p w14:paraId="66C67DA5">
            <w:pPr>
              <w:pStyle w:val="12"/>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各原料组分不含有毒有害的重金属等污染物，也不涉及建设用地、农用地土壤污染风险筛选值和管制值的其他污染物，即项目不涉及土壤影响特征因子，不会引起土壤环境的盐化、酸化、碱化等生态环境变化，因此本次评价不做进一步的土壤累积影响预测。</w:t>
            </w:r>
          </w:p>
          <w:p w14:paraId="629031FA">
            <w:pPr>
              <w:pStyle w:val="46"/>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分区管控：</w:t>
            </w:r>
          </w:p>
          <w:p w14:paraId="6A00F78D">
            <w:pPr>
              <w:pStyle w:val="51"/>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①简单防渗区：办公室及无液态原料的区域仅进行一般地面硬化，无需进行防渗处理。</w:t>
            </w:r>
          </w:p>
          <w:p w14:paraId="6AE1DB9F">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②一般防渗区：本项目不涉及重金属、持久性有机污染物</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本项目对打磨、抛光区域、钣金折弯加工车间</w:t>
            </w:r>
            <w:r>
              <w:rPr>
                <w:rFonts w:hint="default" w:ascii="Times New Roman" w:hAnsi="Times New Roman" w:cs="Times New Roman"/>
                <w:color w:val="auto"/>
                <w:highlight w:val="none"/>
              </w:rPr>
              <w:t>进行一般防渗处理，防渗要求按照等效黏土防渗层Mb≥1.5m，K≤1×10</w:t>
            </w:r>
            <w:r>
              <w:rPr>
                <w:rFonts w:hint="default" w:ascii="Times New Roman" w:hAnsi="Times New Roman" w:cs="Times New Roman"/>
                <w:color w:val="auto"/>
                <w:highlight w:val="none"/>
                <w:vertAlign w:val="superscript"/>
              </w:rPr>
              <w:t>-7</w:t>
            </w:r>
            <w:r>
              <w:rPr>
                <w:rFonts w:hint="default" w:ascii="Times New Roman" w:hAnsi="Times New Roman" w:cs="Times New Roman"/>
                <w:color w:val="auto"/>
                <w:highlight w:val="none"/>
              </w:rPr>
              <w:t>cm/s或参照GB16889执行；</w:t>
            </w:r>
          </w:p>
          <w:p w14:paraId="1D889DD5">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③重点防渗区：</w:t>
            </w:r>
            <w:r>
              <w:rPr>
                <w:rFonts w:hint="default" w:ascii="Times New Roman" w:hAnsi="Times New Roman" w:cs="Times New Roman"/>
                <w:color w:val="auto"/>
                <w:highlight w:val="none"/>
                <w:lang w:val="en-US" w:eastAsia="zh-CN"/>
              </w:rPr>
              <w:t>本项目危险化学品贮存在1#厂房中的化学品仓，</w:t>
            </w:r>
            <w:r>
              <w:rPr>
                <w:rFonts w:hint="default" w:ascii="Times New Roman" w:hAnsi="Times New Roman" w:cs="Times New Roman"/>
                <w:color w:val="auto"/>
                <w:highlight w:val="none"/>
              </w:rPr>
              <w:t>危险废物贮存在危废间，对</w:t>
            </w:r>
            <w:r>
              <w:rPr>
                <w:rFonts w:hint="default" w:ascii="Times New Roman" w:hAnsi="Times New Roman" w:cs="Times New Roman"/>
                <w:color w:val="auto"/>
                <w:highlight w:val="none"/>
                <w:lang w:val="en-US" w:eastAsia="zh-CN"/>
              </w:rPr>
              <w:t>化学品仓、</w:t>
            </w:r>
            <w:r>
              <w:rPr>
                <w:rFonts w:hint="default" w:ascii="Times New Roman" w:hAnsi="Times New Roman" w:cs="Times New Roman"/>
                <w:color w:val="auto"/>
                <w:highlight w:val="none"/>
              </w:rPr>
              <w:t>危废间</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预处理生产车间和废水处理站进行重点防渗处理，要求按照等效黏土防渗层Mb≥6.0m，K≤1×10</w:t>
            </w:r>
            <w:r>
              <w:rPr>
                <w:rFonts w:hint="default" w:ascii="Times New Roman" w:hAnsi="Times New Roman" w:cs="Times New Roman"/>
                <w:color w:val="auto"/>
                <w:highlight w:val="none"/>
                <w:vertAlign w:val="superscript"/>
              </w:rPr>
              <w:t>-7</w:t>
            </w:r>
            <w:r>
              <w:rPr>
                <w:rFonts w:hint="default" w:ascii="Times New Roman" w:hAnsi="Times New Roman" w:cs="Times New Roman"/>
                <w:color w:val="auto"/>
                <w:highlight w:val="none"/>
              </w:rPr>
              <w:t>cm/s或参照GB18598执行</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并设置围堰</w:t>
            </w:r>
            <w:r>
              <w:rPr>
                <w:rFonts w:hint="default" w:ascii="Times New Roman" w:hAnsi="Times New Roman" w:cs="Times New Roman"/>
                <w:color w:val="auto"/>
                <w:highlight w:val="none"/>
              </w:rPr>
              <w:t>。</w:t>
            </w:r>
          </w:p>
          <w:p w14:paraId="62FAFCD1">
            <w:pPr>
              <w:keepNext/>
              <w:keepLines/>
              <w:suppressLineNumbers w:val="0"/>
              <w:tabs>
                <w:tab w:val="left" w:pos="0"/>
              </w:tabs>
              <w:spacing w:before="0" w:beforeAutospacing="0" w:after="0" w:afterAutospacing="0"/>
              <w:ind w:left="0" w:right="0" w:firstLine="480" w:firstLineChars="200"/>
              <w:outlineLvl w:val="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六、生态环境影响分析</w:t>
            </w:r>
          </w:p>
          <w:p w14:paraId="44044D7E">
            <w:pPr>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经现场调查，项目周边500m范围内未发现珍稀、濒危植物，主要为人工绿化植物群落，植被覆盖率一般，无明显水土流失区；陆生动物以家禽、家畜为主；项目所在地周围100m范围内由于人为开发活动，已逐渐由自然生态环境转为城市人工生态环境，项目所在地属于非重要生境，没有特别受保护的生境和生物及水产资源，对周边生态环境影响较小。</w:t>
            </w:r>
          </w:p>
          <w:p w14:paraId="3033C14F">
            <w:pPr>
              <w:keepNext/>
              <w:keepLines/>
              <w:suppressLineNumbers w:val="0"/>
              <w:tabs>
                <w:tab w:val="left" w:pos="0"/>
              </w:tabs>
              <w:spacing w:before="0" w:beforeAutospacing="0" w:after="0" w:afterAutospacing="0"/>
              <w:ind w:left="478" w:right="0"/>
              <w:outlineLvl w:val="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七、环境风险影响分析</w:t>
            </w:r>
          </w:p>
          <w:p w14:paraId="74DC3CF1">
            <w:pPr>
              <w:keepNext/>
              <w:keepLines/>
              <w:suppressLineNumbers w:val="0"/>
              <w:tabs>
                <w:tab w:val="left" w:pos="0"/>
              </w:tabs>
              <w:spacing w:before="0" w:beforeAutospacing="0" w:after="0" w:afterAutospacing="0"/>
              <w:ind w:left="480" w:leftChars="200" w:right="0"/>
              <w:outlineLvl w:val="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1、环境风险识别</w:t>
            </w:r>
          </w:p>
          <w:p w14:paraId="74A43229">
            <w:pPr>
              <w:keepNext w:val="0"/>
              <w:keepLines w:val="0"/>
              <w:suppressLineNumbers w:val="0"/>
              <w:spacing w:before="0" w:beforeAutospacing="0" w:after="0" w:afterAutospacing="0"/>
              <w:ind w:left="0" w:right="0"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环境风险评价应以突发事故导致的危险物质环境急性损害防控为目标，对建设项目的环境风险进行分析、预测和评估，提出环境风险预防、控制、减缓措施，明确环境风险监控及应急建议要求，为建设项目环境风险防控提供科学依据。</w:t>
            </w:r>
          </w:p>
          <w:p w14:paraId="018D9B55">
            <w:pPr>
              <w:keepNext/>
              <w:keepLines/>
              <w:suppressLineNumbers w:val="0"/>
              <w:tabs>
                <w:tab w:val="left" w:pos="0"/>
              </w:tabs>
              <w:spacing w:before="0" w:beforeAutospacing="0" w:after="0" w:afterAutospacing="0"/>
              <w:ind w:left="480" w:leftChars="200" w:right="0"/>
              <w:outlineLvl w:val="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2、评价依据</w:t>
            </w:r>
          </w:p>
          <w:p w14:paraId="0AFFE152">
            <w:pPr>
              <w:keepNext w:val="0"/>
              <w:keepLines w:val="0"/>
              <w:suppressLineNumbers w:val="0"/>
              <w:spacing w:before="0" w:beforeAutospacing="0" w:after="0" w:afterAutospacing="0"/>
              <w:ind w:left="0" w:right="0"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①风险调查</w:t>
            </w:r>
          </w:p>
          <w:p w14:paraId="5B2A5132">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eastAsia" w:cs="Times New Roman"/>
                <w:color w:val="auto"/>
                <w:kern w:val="0"/>
                <w:highlight w:val="none"/>
                <w:lang w:val="en-US" w:eastAsia="zh-CN"/>
              </w:rPr>
              <w:t>项目</w:t>
            </w:r>
            <w:r>
              <w:rPr>
                <w:rFonts w:hint="default" w:ascii="Times New Roman" w:hAnsi="Times New Roman" w:cs="Times New Roman"/>
                <w:color w:val="auto"/>
                <w:kern w:val="0"/>
                <w:highlight w:val="none"/>
                <w:lang w:val="en-US" w:eastAsia="zh-CN"/>
              </w:rPr>
              <w:t>机油（</w:t>
            </w:r>
            <w:r>
              <w:rPr>
                <w:rFonts w:hint="default" w:ascii="Times New Roman" w:hAnsi="Times New Roman" w:cs="Times New Roman"/>
                <w:color w:val="auto"/>
                <w:highlight w:val="none"/>
              </w:rPr>
              <w:t>润滑油</w:t>
            </w:r>
            <w:r>
              <w:rPr>
                <w:rFonts w:hint="default" w:ascii="Times New Roman" w:hAnsi="Times New Roman" w:cs="Times New Roman"/>
                <w:color w:val="auto"/>
                <w:kern w:val="0"/>
                <w:highlight w:val="none"/>
                <w:lang w:val="en-US" w:eastAsia="zh-CN"/>
              </w:rPr>
              <w:t>）</w:t>
            </w:r>
            <w:r>
              <w:rPr>
                <w:rFonts w:hint="eastAsia" w:cs="Times New Roman"/>
                <w:color w:val="auto"/>
                <w:kern w:val="0"/>
                <w:highlight w:val="none"/>
                <w:lang w:val="en-US" w:eastAsia="zh-CN"/>
              </w:rPr>
              <w:t>和备用柴油</w:t>
            </w:r>
            <w:r>
              <w:rPr>
                <w:rFonts w:hint="default" w:ascii="Times New Roman" w:hAnsi="Times New Roman" w:cs="Times New Roman"/>
                <w:color w:val="auto"/>
                <w:highlight w:val="none"/>
              </w:rPr>
              <w:t>最大储存量</w:t>
            </w:r>
            <w:r>
              <w:rPr>
                <w:rFonts w:hint="default" w:ascii="Times New Roman" w:hAnsi="Times New Roman" w:cs="Times New Roman"/>
                <w:color w:val="auto"/>
                <w:highlight w:val="none"/>
                <w:lang w:val="en-US" w:eastAsia="zh-CN"/>
              </w:rPr>
              <w:t>分别</w:t>
            </w:r>
            <w:r>
              <w:rPr>
                <w:rFonts w:hint="default" w:ascii="Times New Roman" w:hAnsi="Times New Roman" w:cs="Times New Roman"/>
                <w:color w:val="auto"/>
                <w:highlight w:val="none"/>
              </w:rPr>
              <w:t>为</w:t>
            </w:r>
            <w:r>
              <w:rPr>
                <w:rFonts w:hint="default" w:ascii="Times New Roman" w:hAnsi="Times New Roman" w:cs="Times New Roman"/>
                <w:color w:val="auto"/>
                <w:highlight w:val="none"/>
                <w:lang w:val="en-US" w:eastAsia="zh-CN"/>
              </w:rPr>
              <w:t>0.90</w:t>
            </w:r>
            <w:r>
              <w:rPr>
                <w:rFonts w:hint="default" w:ascii="Times New Roman" w:hAnsi="Times New Roman" w:cs="Times New Roman"/>
                <w:color w:val="auto"/>
                <w:highlight w:val="none"/>
              </w:rPr>
              <w:t>吨</w:t>
            </w:r>
            <w:r>
              <w:rPr>
                <w:rFonts w:hint="default" w:ascii="Times New Roman" w:hAnsi="Times New Roman" w:cs="Times New Roman"/>
                <w:color w:val="auto"/>
                <w:highlight w:val="none"/>
                <w:lang w:val="en-US" w:eastAsia="zh-CN"/>
              </w:rPr>
              <w:t>、0.85</w:t>
            </w:r>
            <w:r>
              <w:rPr>
                <w:rFonts w:hint="default" w:ascii="Times New Roman" w:hAnsi="Times New Roman" w:cs="Times New Roman"/>
                <w:color w:val="auto"/>
                <w:highlight w:val="none"/>
              </w:rPr>
              <w:t>吨，</w:t>
            </w:r>
            <w:r>
              <w:rPr>
                <w:rFonts w:hint="eastAsia" w:ascii="Times New Roman" w:hAnsi="Times New Roman" w:cs="Times New Roman"/>
                <w:color w:val="auto"/>
                <w:highlight w:val="none"/>
                <w:lang w:val="en-US" w:eastAsia="zh-CN"/>
              </w:rPr>
              <w:t>危险废物中，废pH调整剂包装桶贮存周期按3个月计，其余危险废物按半年计。</w:t>
            </w:r>
          </w:p>
          <w:p w14:paraId="46AFE233">
            <w:pPr>
              <w:keepNext w:val="0"/>
              <w:keepLines w:val="0"/>
              <w:suppressLineNumbers w:val="0"/>
              <w:spacing w:before="0" w:beforeAutospacing="0" w:after="0" w:afterAutospacing="0"/>
              <w:ind w:left="0" w:right="0" w:firstLine="470" w:firstLineChars="196"/>
              <w:rPr>
                <w:rFonts w:hint="default" w:ascii="Times New Roman" w:hAnsi="Times New Roman" w:cs="Times New Roman"/>
                <w:color w:val="auto"/>
                <w:highlight w:val="none"/>
              </w:rPr>
            </w:pPr>
            <w:r>
              <w:rPr>
                <w:rFonts w:hint="default" w:ascii="Times New Roman" w:hAnsi="Times New Roman" w:cs="Times New Roman"/>
                <w:color w:val="auto"/>
                <w:highlight w:val="none"/>
              </w:rPr>
              <w:t>②风险潜势初判</w:t>
            </w:r>
          </w:p>
          <w:p w14:paraId="3ABA4272">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根据《建设项目环境风险评价技术导则》（HJ169-2018）附录B，本项目涉及的风险物质为润滑油、废机油、</w:t>
            </w:r>
            <w:r>
              <w:rPr>
                <w:rFonts w:hint="default" w:ascii="Times New Roman" w:hAnsi="Times New Roman" w:cs="Times New Roman"/>
                <w:color w:val="auto"/>
                <w:highlight w:val="none"/>
                <w:lang w:val="en-US" w:eastAsia="zh-CN"/>
              </w:rPr>
              <w:t>pH调整剂（按70%硫酸计）</w:t>
            </w:r>
            <w:r>
              <w:rPr>
                <w:rFonts w:hint="eastAsia" w:cs="Times New Roman"/>
                <w:color w:val="auto"/>
                <w:highlight w:val="none"/>
                <w:lang w:val="en-US" w:eastAsia="zh-CN"/>
              </w:rPr>
              <w:t>、柴油</w:t>
            </w:r>
            <w:r>
              <w:rPr>
                <w:rFonts w:hint="default" w:ascii="Times New Roman" w:hAnsi="Times New Roman" w:cs="Times New Roman"/>
                <w:color w:val="auto"/>
                <w:highlight w:val="none"/>
              </w:rPr>
              <w:t>，属于表B.1“油类物质（矿物油类，如石油、汽油、柴油等；生物柴油等）的临界值2500吨”。其余危险废物Q值参照《建设项目环境风险评价技术导则》（HJ169-2018）中“表B.2其他危险物质临界量推荐值--健康危险急性毒性物质（类别2、类别3）的临界值50吨”。</w:t>
            </w:r>
          </w:p>
          <w:p w14:paraId="5C50DFF9">
            <w:pPr>
              <w:pStyle w:val="76"/>
              <w:keepNext w:val="0"/>
              <w:keepLines w:val="0"/>
              <w:numPr>
                <w:ilvl w:val="0"/>
                <w:numId w:val="0"/>
              </w:numPr>
              <w:suppressLineNumbers w:val="0"/>
              <w:tabs>
                <w:tab w:val="left" w:pos="0"/>
              </w:tabs>
              <w:spacing w:before="0" w:beforeAutospacing="0" w:after="0" w:afterAutospacing="0" w:line="360" w:lineRule="auto"/>
              <w:ind w:left="0" w:leftChars="0" w:right="0" w:rightChars="0" w:firstLine="40" w:firstLineChars="0"/>
              <w:rPr>
                <w:rFonts w:hint="default" w:ascii="Times New Roman" w:hAnsi="Times New Roman" w:cs="Times New Roman"/>
                <w:bCs/>
                <w:color w:val="auto"/>
                <w:highlight w:val="none"/>
              </w:rPr>
            </w:pPr>
            <w:r>
              <w:rPr>
                <w:rFonts w:hint="default" w:ascii="Times New Roman" w:hAnsi="Times New Roman" w:eastAsia="宋体" w:cs="Times New Roman"/>
                <w:b/>
                <w:bCs/>
                <w:color w:val="auto"/>
                <w:kern w:val="2"/>
                <w:sz w:val="21"/>
                <w:szCs w:val="21"/>
                <w:highlight w:val="none"/>
                <w:lang w:val="en-US" w:eastAsia="zh-CN" w:bidi="ar-SA"/>
              </w:rPr>
              <w:t>表4-</w:t>
            </w:r>
            <w:r>
              <w:rPr>
                <w:rFonts w:hint="eastAsia" w:cs="Times New Roman"/>
                <w:b/>
                <w:bCs/>
                <w:color w:val="auto"/>
                <w:kern w:val="2"/>
                <w:sz w:val="21"/>
                <w:szCs w:val="21"/>
                <w:highlight w:val="none"/>
                <w:lang w:val="en-US" w:eastAsia="zh-CN" w:bidi="ar-SA"/>
              </w:rPr>
              <w:t xml:space="preserve">31 </w:t>
            </w:r>
            <w:r>
              <w:rPr>
                <w:rFonts w:hint="default" w:ascii="Times New Roman" w:hAnsi="Times New Roman" w:cs="Times New Roman"/>
                <w:bCs/>
                <w:color w:val="auto"/>
                <w:highlight w:val="none"/>
              </w:rPr>
              <w:t>危险物质识别一览表</w:t>
            </w:r>
          </w:p>
          <w:tbl>
            <w:tblPr>
              <w:tblStyle w:val="39"/>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92"/>
              <w:gridCol w:w="1012"/>
              <w:gridCol w:w="1222"/>
              <w:gridCol w:w="4564"/>
              <w:gridCol w:w="1824"/>
            </w:tblGrid>
            <w:tr w14:paraId="188EAF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0" w:type="pct"/>
                  <w:tcBorders>
                    <w:top w:val="single" w:color="auto" w:sz="4" w:space="0"/>
                    <w:left w:val="single" w:color="auto" w:sz="4" w:space="0"/>
                    <w:bottom w:val="single" w:color="auto" w:sz="4" w:space="0"/>
                    <w:right w:val="single" w:color="auto" w:sz="4" w:space="0"/>
                    <w:tl2br w:val="nil"/>
                    <w:tr2bl w:val="nil"/>
                  </w:tcBorders>
                  <w:vAlign w:val="center"/>
                </w:tcPr>
                <w:p w14:paraId="70C56A7F">
                  <w:pPr>
                    <w:pStyle w:val="76"/>
                    <w:keepNext w:val="0"/>
                    <w:keepLines w:val="0"/>
                    <w:suppressLineNumbers w:val="0"/>
                    <w:spacing w:before="0" w:beforeAutospacing="0" w:after="0" w:afterAutospacing="0"/>
                    <w:ind w:left="0" w:right="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序号</w:t>
                  </w:r>
                </w:p>
              </w:tc>
              <w:tc>
                <w:tcPr>
                  <w:tcW w:w="555" w:type="pct"/>
                  <w:tcBorders>
                    <w:top w:val="single" w:color="auto" w:sz="4" w:space="0"/>
                    <w:left w:val="single" w:color="auto" w:sz="4" w:space="0"/>
                    <w:bottom w:val="single" w:color="auto" w:sz="4" w:space="0"/>
                    <w:right w:val="single" w:color="auto" w:sz="4" w:space="0"/>
                    <w:tl2br w:val="nil"/>
                    <w:tr2bl w:val="nil"/>
                  </w:tcBorders>
                  <w:vAlign w:val="center"/>
                </w:tcPr>
                <w:p w14:paraId="20D49DF0">
                  <w:pPr>
                    <w:pStyle w:val="76"/>
                    <w:keepNext w:val="0"/>
                    <w:keepLines w:val="0"/>
                    <w:suppressLineNumbers w:val="0"/>
                    <w:spacing w:before="0" w:beforeAutospacing="0" w:after="0" w:afterAutospacing="0"/>
                    <w:ind w:left="0" w:right="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物质名称</w:t>
                  </w:r>
                </w:p>
              </w:tc>
              <w:tc>
                <w:tcPr>
                  <w:tcW w:w="670" w:type="pct"/>
                  <w:tcBorders>
                    <w:top w:val="single" w:color="auto" w:sz="4" w:space="0"/>
                    <w:left w:val="single" w:color="auto" w:sz="4" w:space="0"/>
                    <w:bottom w:val="single" w:color="auto" w:sz="4" w:space="0"/>
                    <w:right w:val="single" w:color="auto" w:sz="4" w:space="0"/>
                    <w:tl2br w:val="nil"/>
                    <w:tr2bl w:val="nil"/>
                  </w:tcBorders>
                  <w:vAlign w:val="center"/>
                </w:tcPr>
                <w:p w14:paraId="58A07AF2">
                  <w:pPr>
                    <w:pStyle w:val="76"/>
                    <w:keepNext w:val="0"/>
                    <w:keepLines w:val="0"/>
                    <w:suppressLineNumbers w:val="0"/>
                    <w:spacing w:before="0" w:beforeAutospacing="0" w:after="0" w:afterAutospacing="0"/>
                    <w:ind w:left="0" w:right="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风险特性</w:t>
                  </w:r>
                </w:p>
              </w:tc>
              <w:tc>
                <w:tcPr>
                  <w:tcW w:w="2503" w:type="pct"/>
                  <w:tcBorders>
                    <w:top w:val="single" w:color="auto" w:sz="4" w:space="0"/>
                    <w:left w:val="single" w:color="auto" w:sz="4" w:space="0"/>
                    <w:bottom w:val="single" w:color="auto" w:sz="4" w:space="0"/>
                    <w:right w:val="single" w:color="auto" w:sz="4" w:space="0"/>
                    <w:tl2br w:val="nil"/>
                    <w:tr2bl w:val="nil"/>
                  </w:tcBorders>
                  <w:vAlign w:val="center"/>
                </w:tcPr>
                <w:p w14:paraId="4298AA07">
                  <w:pPr>
                    <w:pStyle w:val="76"/>
                    <w:keepNext w:val="0"/>
                    <w:keepLines w:val="0"/>
                    <w:suppressLineNumbers w:val="0"/>
                    <w:spacing w:before="0" w:beforeAutospacing="0" w:after="0" w:afterAutospacing="0"/>
                    <w:ind w:left="0" w:right="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危险物质</w:t>
                  </w: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2B35D94C">
                  <w:pPr>
                    <w:pStyle w:val="76"/>
                    <w:keepNext w:val="0"/>
                    <w:keepLines w:val="0"/>
                    <w:suppressLineNumbers w:val="0"/>
                    <w:spacing w:before="0" w:beforeAutospacing="0" w:after="0" w:afterAutospacing="0"/>
                    <w:ind w:left="0" w:right="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判断依据</w:t>
                  </w:r>
                </w:p>
              </w:tc>
            </w:tr>
            <w:tr w14:paraId="45C30F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0" w:type="pct"/>
                  <w:tcBorders>
                    <w:top w:val="single" w:color="auto" w:sz="4" w:space="0"/>
                    <w:left w:val="single" w:color="auto" w:sz="4" w:space="0"/>
                    <w:bottom w:val="single" w:color="auto" w:sz="4" w:space="0"/>
                    <w:right w:val="single" w:color="auto" w:sz="4" w:space="0"/>
                    <w:tl2br w:val="nil"/>
                    <w:tr2bl w:val="nil"/>
                  </w:tcBorders>
                  <w:vAlign w:val="center"/>
                </w:tcPr>
                <w:p w14:paraId="12C3B4B1">
                  <w:pPr>
                    <w:pStyle w:val="76"/>
                    <w:keepNext w:val="0"/>
                    <w:keepLines w:val="0"/>
                    <w:suppressLineNumbers w:val="0"/>
                    <w:spacing w:before="0" w:beforeAutospacing="0" w:after="0" w:afterAutospacing="0"/>
                    <w:ind w:left="0" w:right="0"/>
                    <w:rPr>
                      <w:rFonts w:hint="eastAsia" w:ascii="Times New Roman" w:hAnsi="Times New Roman" w:eastAsia="宋体" w:cs="Times New Roman"/>
                      <w:b w:val="0"/>
                      <w:color w:val="auto"/>
                      <w:highlight w:val="none"/>
                      <w:lang w:val="en-US" w:eastAsia="zh-CN"/>
                    </w:rPr>
                  </w:pPr>
                  <w:r>
                    <w:rPr>
                      <w:rFonts w:hint="eastAsia" w:cs="Times New Roman"/>
                      <w:b w:val="0"/>
                      <w:color w:val="auto"/>
                      <w:highlight w:val="none"/>
                      <w:lang w:val="en-US" w:eastAsia="zh-CN"/>
                    </w:rPr>
                    <w:t>1</w:t>
                  </w:r>
                </w:p>
              </w:tc>
              <w:tc>
                <w:tcPr>
                  <w:tcW w:w="555" w:type="pct"/>
                  <w:tcBorders>
                    <w:top w:val="single" w:color="auto" w:sz="4" w:space="0"/>
                    <w:left w:val="single" w:color="auto" w:sz="4" w:space="0"/>
                    <w:bottom w:val="single" w:color="auto" w:sz="4" w:space="0"/>
                    <w:right w:val="single" w:color="auto" w:sz="4" w:space="0"/>
                    <w:tl2br w:val="nil"/>
                    <w:tr2bl w:val="nil"/>
                  </w:tcBorders>
                  <w:vAlign w:val="center"/>
                </w:tcPr>
                <w:p w14:paraId="4E96453A">
                  <w:pPr>
                    <w:pStyle w:val="76"/>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废机油</w:t>
                  </w:r>
                </w:p>
              </w:tc>
              <w:tc>
                <w:tcPr>
                  <w:tcW w:w="670" w:type="pct"/>
                  <w:tcBorders>
                    <w:top w:val="single" w:color="auto" w:sz="4" w:space="0"/>
                    <w:left w:val="single" w:color="auto" w:sz="4" w:space="0"/>
                    <w:bottom w:val="single" w:color="auto" w:sz="4" w:space="0"/>
                    <w:right w:val="single" w:color="auto" w:sz="4" w:space="0"/>
                    <w:tl2br w:val="nil"/>
                    <w:tr2bl w:val="nil"/>
                  </w:tcBorders>
                  <w:vAlign w:val="center"/>
                </w:tcPr>
                <w:p w14:paraId="6CA50E6F">
                  <w:pPr>
                    <w:pStyle w:val="76"/>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易燃性</w:t>
                  </w:r>
                </w:p>
              </w:tc>
              <w:tc>
                <w:tcPr>
                  <w:tcW w:w="2503" w:type="pct"/>
                  <w:tcBorders>
                    <w:top w:val="single" w:color="auto" w:sz="4" w:space="0"/>
                    <w:left w:val="single" w:color="auto" w:sz="4" w:space="0"/>
                    <w:bottom w:val="single" w:color="auto" w:sz="4" w:space="0"/>
                    <w:right w:val="single" w:color="auto" w:sz="4" w:space="0"/>
                    <w:tl2br w:val="nil"/>
                    <w:tr2bl w:val="nil"/>
                  </w:tcBorders>
                  <w:vAlign w:val="center"/>
                </w:tcPr>
                <w:p w14:paraId="592DF0D4">
                  <w:pPr>
                    <w:pStyle w:val="76"/>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废机油</w:t>
                  </w: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35D6E44B">
                  <w:pPr>
                    <w:pStyle w:val="76"/>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HJ 169-2018</w:t>
                  </w:r>
                </w:p>
              </w:tc>
            </w:tr>
            <w:tr w14:paraId="214E34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0" w:type="pct"/>
                  <w:tcBorders>
                    <w:top w:val="single" w:color="auto" w:sz="4" w:space="0"/>
                    <w:left w:val="single" w:color="auto" w:sz="4" w:space="0"/>
                    <w:bottom w:val="single" w:color="auto" w:sz="4" w:space="0"/>
                    <w:right w:val="single" w:color="auto" w:sz="4" w:space="0"/>
                    <w:tl2br w:val="nil"/>
                    <w:tr2bl w:val="nil"/>
                  </w:tcBorders>
                  <w:vAlign w:val="center"/>
                </w:tcPr>
                <w:p w14:paraId="64884EBA">
                  <w:pPr>
                    <w:pStyle w:val="76"/>
                    <w:keepNext w:val="0"/>
                    <w:keepLines w:val="0"/>
                    <w:suppressLineNumbers w:val="0"/>
                    <w:spacing w:before="0" w:beforeAutospacing="0" w:after="0" w:afterAutospacing="0"/>
                    <w:ind w:left="0" w:right="0"/>
                    <w:rPr>
                      <w:rFonts w:hint="eastAsia" w:ascii="Times New Roman" w:hAnsi="Times New Roman" w:eastAsia="宋体" w:cs="Times New Roman"/>
                      <w:b w:val="0"/>
                      <w:color w:val="auto"/>
                      <w:highlight w:val="none"/>
                      <w:lang w:val="en-US" w:eastAsia="zh-CN"/>
                    </w:rPr>
                  </w:pPr>
                  <w:r>
                    <w:rPr>
                      <w:rFonts w:hint="eastAsia" w:cs="Times New Roman"/>
                      <w:b w:val="0"/>
                      <w:color w:val="auto"/>
                      <w:highlight w:val="none"/>
                      <w:lang w:val="en-US" w:eastAsia="zh-CN"/>
                    </w:rPr>
                    <w:t>2</w:t>
                  </w:r>
                </w:p>
              </w:tc>
              <w:tc>
                <w:tcPr>
                  <w:tcW w:w="555" w:type="pct"/>
                  <w:tcBorders>
                    <w:top w:val="single" w:color="auto" w:sz="4" w:space="0"/>
                    <w:left w:val="single" w:color="auto" w:sz="4" w:space="0"/>
                    <w:bottom w:val="single" w:color="auto" w:sz="4" w:space="0"/>
                    <w:right w:val="single" w:color="auto" w:sz="4" w:space="0"/>
                    <w:tl2br w:val="nil"/>
                    <w:tr2bl w:val="nil"/>
                  </w:tcBorders>
                  <w:vAlign w:val="center"/>
                </w:tcPr>
                <w:p w14:paraId="234A78EB">
                  <w:pPr>
                    <w:pStyle w:val="76"/>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润滑油</w:t>
                  </w:r>
                </w:p>
              </w:tc>
              <w:tc>
                <w:tcPr>
                  <w:tcW w:w="670" w:type="pct"/>
                  <w:tcBorders>
                    <w:top w:val="single" w:color="auto" w:sz="4" w:space="0"/>
                    <w:left w:val="single" w:color="auto" w:sz="4" w:space="0"/>
                    <w:bottom w:val="single" w:color="auto" w:sz="4" w:space="0"/>
                    <w:right w:val="single" w:color="auto" w:sz="4" w:space="0"/>
                    <w:tl2br w:val="nil"/>
                    <w:tr2bl w:val="nil"/>
                  </w:tcBorders>
                  <w:vAlign w:val="center"/>
                </w:tcPr>
                <w:p w14:paraId="5036725D">
                  <w:pPr>
                    <w:pStyle w:val="76"/>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易燃性</w:t>
                  </w:r>
                </w:p>
              </w:tc>
              <w:tc>
                <w:tcPr>
                  <w:tcW w:w="2503" w:type="pct"/>
                  <w:tcBorders>
                    <w:top w:val="single" w:color="auto" w:sz="4" w:space="0"/>
                    <w:left w:val="single" w:color="auto" w:sz="4" w:space="0"/>
                    <w:bottom w:val="single" w:color="auto" w:sz="4" w:space="0"/>
                    <w:right w:val="single" w:color="auto" w:sz="4" w:space="0"/>
                    <w:tl2br w:val="nil"/>
                    <w:tr2bl w:val="nil"/>
                  </w:tcBorders>
                  <w:vAlign w:val="center"/>
                </w:tcPr>
                <w:p w14:paraId="1E404AAF">
                  <w:pPr>
                    <w:pStyle w:val="76"/>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润滑油</w:t>
                  </w: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4B24E6DE">
                  <w:pPr>
                    <w:pStyle w:val="76"/>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HJ 169-2018</w:t>
                  </w:r>
                </w:p>
              </w:tc>
            </w:tr>
            <w:tr w14:paraId="637011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0" w:type="pct"/>
                  <w:tcBorders>
                    <w:top w:val="single" w:color="auto" w:sz="4" w:space="0"/>
                    <w:left w:val="single" w:color="auto" w:sz="4" w:space="0"/>
                    <w:bottom w:val="single" w:color="auto" w:sz="4" w:space="0"/>
                    <w:right w:val="single" w:color="auto" w:sz="4" w:space="0"/>
                    <w:tl2br w:val="nil"/>
                    <w:tr2bl w:val="nil"/>
                  </w:tcBorders>
                  <w:vAlign w:val="center"/>
                </w:tcPr>
                <w:p w14:paraId="6F21FAF5">
                  <w:pPr>
                    <w:pStyle w:val="76"/>
                    <w:keepNext w:val="0"/>
                    <w:keepLines w:val="0"/>
                    <w:suppressLineNumbers w:val="0"/>
                    <w:spacing w:before="0" w:beforeAutospacing="0" w:after="0" w:afterAutospacing="0"/>
                    <w:ind w:left="0" w:right="0"/>
                    <w:rPr>
                      <w:rFonts w:hint="default" w:ascii="Times New Roman" w:hAnsi="Times New Roman" w:eastAsia="宋体" w:cs="Times New Roman"/>
                      <w:b w:val="0"/>
                      <w:color w:val="auto"/>
                      <w:highlight w:val="none"/>
                      <w:lang w:val="en-US" w:eastAsia="zh-CN"/>
                    </w:rPr>
                  </w:pPr>
                  <w:r>
                    <w:rPr>
                      <w:rFonts w:hint="eastAsia" w:cs="Times New Roman"/>
                      <w:b w:val="0"/>
                      <w:color w:val="auto"/>
                      <w:highlight w:val="none"/>
                      <w:lang w:val="en-US" w:eastAsia="zh-CN"/>
                    </w:rPr>
                    <w:t>3</w:t>
                  </w:r>
                </w:p>
              </w:tc>
              <w:tc>
                <w:tcPr>
                  <w:tcW w:w="555" w:type="pct"/>
                  <w:tcBorders>
                    <w:top w:val="single" w:color="auto" w:sz="4" w:space="0"/>
                    <w:left w:val="single" w:color="auto" w:sz="4" w:space="0"/>
                    <w:bottom w:val="single" w:color="auto" w:sz="4" w:space="0"/>
                    <w:right w:val="single" w:color="auto" w:sz="4" w:space="0"/>
                    <w:tl2br w:val="nil"/>
                    <w:tr2bl w:val="nil"/>
                  </w:tcBorders>
                  <w:vAlign w:val="center"/>
                </w:tcPr>
                <w:p w14:paraId="52740E62">
                  <w:pPr>
                    <w:pStyle w:val="76"/>
                    <w:keepNext w:val="0"/>
                    <w:keepLines w:val="0"/>
                    <w:suppressLineNumbers w:val="0"/>
                    <w:spacing w:before="0" w:beforeAutospacing="0" w:after="0" w:afterAutospacing="0"/>
                    <w:ind w:left="0" w:right="0"/>
                    <w:rPr>
                      <w:rFonts w:hint="default" w:ascii="Times New Roman" w:hAnsi="Times New Roman" w:eastAsia="宋体" w:cs="Times New Roman"/>
                      <w:b w:val="0"/>
                      <w:color w:val="auto"/>
                      <w:highlight w:val="none"/>
                      <w:lang w:eastAsia="zh-CN"/>
                    </w:rPr>
                  </w:pPr>
                  <w:r>
                    <w:rPr>
                      <w:rFonts w:hint="default" w:ascii="Times New Roman" w:hAnsi="Times New Roman" w:cs="Times New Roman"/>
                      <w:b w:val="0"/>
                      <w:color w:val="auto"/>
                      <w:highlight w:val="none"/>
                      <w:lang w:eastAsia="zh-CN"/>
                    </w:rPr>
                    <w:t>硫酸</w:t>
                  </w:r>
                </w:p>
              </w:tc>
              <w:tc>
                <w:tcPr>
                  <w:tcW w:w="670" w:type="pct"/>
                  <w:tcBorders>
                    <w:top w:val="single" w:color="auto" w:sz="4" w:space="0"/>
                    <w:left w:val="single" w:color="auto" w:sz="4" w:space="0"/>
                    <w:bottom w:val="single" w:color="auto" w:sz="4" w:space="0"/>
                    <w:right w:val="single" w:color="auto" w:sz="4" w:space="0"/>
                    <w:tl2br w:val="nil"/>
                    <w:tr2bl w:val="nil"/>
                  </w:tcBorders>
                  <w:vAlign w:val="center"/>
                </w:tcPr>
                <w:p w14:paraId="3A7D2680">
                  <w:pPr>
                    <w:pStyle w:val="76"/>
                    <w:keepNext w:val="0"/>
                    <w:keepLines w:val="0"/>
                    <w:suppressLineNumbers w:val="0"/>
                    <w:spacing w:before="0" w:beforeAutospacing="0" w:after="0" w:afterAutospacing="0"/>
                    <w:ind w:left="0" w:right="0"/>
                    <w:rPr>
                      <w:rFonts w:hint="default" w:ascii="Times New Roman" w:hAnsi="Times New Roman" w:eastAsia="宋体" w:cs="Times New Roman"/>
                      <w:b w:val="0"/>
                      <w:color w:val="auto"/>
                      <w:highlight w:val="none"/>
                      <w:lang w:eastAsia="zh-CN"/>
                    </w:rPr>
                  </w:pPr>
                  <w:r>
                    <w:rPr>
                      <w:rFonts w:hint="default" w:ascii="Times New Roman" w:hAnsi="Times New Roman" w:cs="Times New Roman"/>
                      <w:b w:val="0"/>
                      <w:color w:val="auto"/>
                      <w:highlight w:val="none"/>
                      <w:lang w:eastAsia="zh-CN"/>
                    </w:rPr>
                    <w:t>腐蚀性</w:t>
                  </w:r>
                </w:p>
              </w:tc>
              <w:tc>
                <w:tcPr>
                  <w:tcW w:w="2503" w:type="pct"/>
                  <w:tcBorders>
                    <w:top w:val="single" w:color="auto" w:sz="4" w:space="0"/>
                    <w:left w:val="single" w:color="auto" w:sz="4" w:space="0"/>
                    <w:bottom w:val="single" w:color="auto" w:sz="4" w:space="0"/>
                    <w:right w:val="single" w:color="auto" w:sz="4" w:space="0"/>
                    <w:tl2br w:val="nil"/>
                    <w:tr2bl w:val="nil"/>
                  </w:tcBorders>
                  <w:vAlign w:val="center"/>
                </w:tcPr>
                <w:p w14:paraId="2C708751">
                  <w:pPr>
                    <w:pStyle w:val="76"/>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lang w:eastAsia="zh-CN"/>
                    </w:rPr>
                    <w:t>硫酸</w:t>
                  </w: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6F54D7E5">
                  <w:pPr>
                    <w:pStyle w:val="76"/>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HJ 169-2018</w:t>
                  </w:r>
                </w:p>
              </w:tc>
            </w:tr>
            <w:tr w14:paraId="64162E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0" w:type="pct"/>
                  <w:tcBorders>
                    <w:top w:val="single" w:color="auto" w:sz="4" w:space="0"/>
                    <w:left w:val="single" w:color="auto" w:sz="4" w:space="0"/>
                    <w:bottom w:val="single" w:color="auto" w:sz="4" w:space="0"/>
                    <w:right w:val="single" w:color="auto" w:sz="4" w:space="0"/>
                    <w:tl2br w:val="nil"/>
                    <w:tr2bl w:val="nil"/>
                  </w:tcBorders>
                  <w:vAlign w:val="center"/>
                </w:tcPr>
                <w:p w14:paraId="444C2320">
                  <w:pPr>
                    <w:pStyle w:val="76"/>
                    <w:keepNext w:val="0"/>
                    <w:keepLines w:val="0"/>
                    <w:suppressLineNumbers w:val="0"/>
                    <w:spacing w:before="0" w:beforeAutospacing="0" w:after="0" w:afterAutospacing="0"/>
                    <w:ind w:left="0" w:right="0"/>
                    <w:rPr>
                      <w:rFonts w:hint="default" w:cs="Times New Roman"/>
                      <w:b w:val="0"/>
                      <w:color w:val="auto"/>
                      <w:highlight w:val="none"/>
                      <w:lang w:val="en-US" w:eastAsia="zh-CN"/>
                    </w:rPr>
                  </w:pPr>
                  <w:r>
                    <w:rPr>
                      <w:rFonts w:hint="eastAsia" w:cs="Times New Roman"/>
                      <w:b w:val="0"/>
                      <w:color w:val="auto"/>
                      <w:highlight w:val="none"/>
                      <w:lang w:val="en-US" w:eastAsia="zh-CN"/>
                    </w:rPr>
                    <w:t>4</w:t>
                  </w:r>
                </w:p>
              </w:tc>
              <w:tc>
                <w:tcPr>
                  <w:tcW w:w="555" w:type="pct"/>
                  <w:tcBorders>
                    <w:top w:val="single" w:color="auto" w:sz="4" w:space="0"/>
                    <w:left w:val="single" w:color="auto" w:sz="4" w:space="0"/>
                    <w:bottom w:val="single" w:color="auto" w:sz="4" w:space="0"/>
                    <w:right w:val="single" w:color="auto" w:sz="4" w:space="0"/>
                    <w:tl2br w:val="nil"/>
                    <w:tr2bl w:val="nil"/>
                  </w:tcBorders>
                  <w:vAlign w:val="center"/>
                </w:tcPr>
                <w:p w14:paraId="5D7CF374">
                  <w:pPr>
                    <w:pStyle w:val="76"/>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lang w:val="en-US" w:eastAsia="zh-CN"/>
                    </w:rPr>
                  </w:pPr>
                  <w:r>
                    <w:rPr>
                      <w:rFonts w:hint="eastAsia" w:cs="Times New Roman"/>
                      <w:b w:val="0"/>
                      <w:color w:val="auto"/>
                      <w:highlight w:val="none"/>
                      <w:lang w:val="en-US" w:eastAsia="zh-CN"/>
                    </w:rPr>
                    <w:t>柴油</w:t>
                  </w:r>
                </w:p>
              </w:tc>
              <w:tc>
                <w:tcPr>
                  <w:tcW w:w="670" w:type="pct"/>
                  <w:tcBorders>
                    <w:top w:val="single" w:color="auto" w:sz="4" w:space="0"/>
                    <w:left w:val="single" w:color="auto" w:sz="4" w:space="0"/>
                    <w:bottom w:val="single" w:color="auto" w:sz="4" w:space="0"/>
                    <w:right w:val="single" w:color="auto" w:sz="4" w:space="0"/>
                    <w:tl2br w:val="nil"/>
                    <w:tr2bl w:val="nil"/>
                  </w:tcBorders>
                  <w:vAlign w:val="center"/>
                </w:tcPr>
                <w:p w14:paraId="323C1344">
                  <w:pPr>
                    <w:pStyle w:val="76"/>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lang w:val="en-US" w:eastAsia="zh-CN"/>
                    </w:rPr>
                  </w:pPr>
                  <w:r>
                    <w:rPr>
                      <w:rFonts w:hint="eastAsia" w:cs="Times New Roman"/>
                      <w:b w:val="0"/>
                      <w:color w:val="auto"/>
                      <w:highlight w:val="none"/>
                      <w:lang w:val="en-US" w:eastAsia="zh-CN"/>
                    </w:rPr>
                    <w:t>易燃性</w:t>
                  </w:r>
                </w:p>
              </w:tc>
              <w:tc>
                <w:tcPr>
                  <w:tcW w:w="2503" w:type="pct"/>
                  <w:tcBorders>
                    <w:top w:val="single" w:color="auto" w:sz="4" w:space="0"/>
                    <w:left w:val="single" w:color="auto" w:sz="4" w:space="0"/>
                    <w:bottom w:val="single" w:color="auto" w:sz="4" w:space="0"/>
                    <w:right w:val="single" w:color="auto" w:sz="4" w:space="0"/>
                    <w:tl2br w:val="nil"/>
                    <w:tr2bl w:val="nil"/>
                  </w:tcBorders>
                  <w:vAlign w:val="center"/>
                </w:tcPr>
                <w:p w14:paraId="4E1BF12D">
                  <w:pPr>
                    <w:pStyle w:val="76"/>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lang w:val="en-US" w:eastAsia="zh-CN"/>
                    </w:rPr>
                  </w:pPr>
                  <w:r>
                    <w:rPr>
                      <w:rFonts w:hint="eastAsia" w:cs="Times New Roman"/>
                      <w:b w:val="0"/>
                      <w:color w:val="auto"/>
                      <w:highlight w:val="none"/>
                      <w:lang w:val="en-US" w:eastAsia="zh-CN"/>
                    </w:rPr>
                    <w:t>柴油</w:t>
                  </w: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0508213F">
                  <w:pPr>
                    <w:pStyle w:val="76"/>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HJ 169-2018</w:t>
                  </w:r>
                </w:p>
              </w:tc>
            </w:tr>
            <w:tr w14:paraId="1703FE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0" w:type="pct"/>
                  <w:tcBorders>
                    <w:top w:val="single" w:color="auto" w:sz="4" w:space="0"/>
                    <w:left w:val="single" w:color="auto" w:sz="4" w:space="0"/>
                    <w:bottom w:val="single" w:color="auto" w:sz="4" w:space="0"/>
                    <w:right w:val="single" w:color="auto" w:sz="4" w:space="0"/>
                    <w:tl2br w:val="nil"/>
                    <w:tr2bl w:val="nil"/>
                  </w:tcBorders>
                  <w:vAlign w:val="center"/>
                </w:tcPr>
                <w:p w14:paraId="57FED427">
                  <w:pPr>
                    <w:pStyle w:val="76"/>
                    <w:keepNext w:val="0"/>
                    <w:keepLines w:val="0"/>
                    <w:suppressLineNumbers w:val="0"/>
                    <w:spacing w:before="0" w:beforeAutospacing="0" w:after="0" w:afterAutospacing="0"/>
                    <w:ind w:left="0" w:right="0"/>
                    <w:rPr>
                      <w:rFonts w:hint="default" w:cs="Times New Roman"/>
                      <w:b w:val="0"/>
                      <w:color w:val="auto"/>
                      <w:highlight w:val="none"/>
                      <w:lang w:val="en-US" w:eastAsia="zh-CN"/>
                    </w:rPr>
                  </w:pPr>
                  <w:r>
                    <w:rPr>
                      <w:rFonts w:hint="eastAsia" w:cs="Times New Roman"/>
                      <w:b w:val="0"/>
                      <w:color w:val="auto"/>
                      <w:highlight w:val="none"/>
                      <w:lang w:val="en-US" w:eastAsia="zh-CN"/>
                    </w:rPr>
                    <w:t>5</w:t>
                  </w:r>
                </w:p>
              </w:tc>
              <w:tc>
                <w:tcPr>
                  <w:tcW w:w="555" w:type="pct"/>
                  <w:tcBorders>
                    <w:top w:val="single" w:color="auto" w:sz="4" w:space="0"/>
                    <w:left w:val="single" w:color="auto" w:sz="4" w:space="0"/>
                    <w:bottom w:val="single" w:color="auto" w:sz="4" w:space="0"/>
                    <w:right w:val="single" w:color="auto" w:sz="4" w:space="0"/>
                    <w:tl2br w:val="nil"/>
                    <w:tr2bl w:val="nil"/>
                  </w:tcBorders>
                  <w:vAlign w:val="center"/>
                </w:tcPr>
                <w:p w14:paraId="5B88E269">
                  <w:pPr>
                    <w:pStyle w:val="76"/>
                    <w:keepNext w:val="0"/>
                    <w:keepLines w:val="0"/>
                    <w:suppressLineNumbers w:val="0"/>
                    <w:spacing w:before="0" w:beforeAutospacing="0" w:after="0" w:afterAutospacing="0"/>
                    <w:ind w:left="0" w:right="0"/>
                    <w:rPr>
                      <w:rFonts w:hint="default" w:cs="Times New Roman"/>
                      <w:b w:val="0"/>
                      <w:color w:val="auto"/>
                      <w:highlight w:val="none"/>
                      <w:lang w:val="en-US" w:eastAsia="zh-CN"/>
                    </w:rPr>
                  </w:pPr>
                  <w:r>
                    <w:rPr>
                      <w:rFonts w:hint="eastAsia" w:cs="Times New Roman"/>
                      <w:b w:val="0"/>
                      <w:color w:val="auto"/>
                      <w:highlight w:val="none"/>
                      <w:lang w:val="en-US" w:eastAsia="zh-CN"/>
                    </w:rPr>
                    <w:t>烧碱</w:t>
                  </w:r>
                </w:p>
              </w:tc>
              <w:tc>
                <w:tcPr>
                  <w:tcW w:w="670" w:type="pct"/>
                  <w:tcBorders>
                    <w:top w:val="single" w:color="auto" w:sz="4" w:space="0"/>
                    <w:left w:val="single" w:color="auto" w:sz="4" w:space="0"/>
                    <w:bottom w:val="single" w:color="auto" w:sz="4" w:space="0"/>
                    <w:right w:val="single" w:color="auto" w:sz="4" w:space="0"/>
                    <w:tl2br w:val="nil"/>
                    <w:tr2bl w:val="nil"/>
                  </w:tcBorders>
                  <w:vAlign w:val="center"/>
                </w:tcPr>
                <w:p w14:paraId="1CC6DEDD">
                  <w:pPr>
                    <w:pStyle w:val="76"/>
                    <w:keepNext w:val="0"/>
                    <w:keepLines w:val="0"/>
                    <w:suppressLineNumbers w:val="0"/>
                    <w:spacing w:before="0" w:beforeAutospacing="0" w:after="0" w:afterAutospacing="0"/>
                    <w:ind w:left="0" w:right="0"/>
                    <w:rPr>
                      <w:rFonts w:hint="default" w:cs="Times New Roman"/>
                      <w:b w:val="0"/>
                      <w:color w:val="auto"/>
                      <w:highlight w:val="none"/>
                      <w:lang w:val="en-US" w:eastAsia="zh-CN"/>
                    </w:rPr>
                  </w:pPr>
                  <w:r>
                    <w:rPr>
                      <w:rFonts w:hint="eastAsia" w:cs="Times New Roman"/>
                      <w:b w:val="0"/>
                      <w:color w:val="auto"/>
                      <w:highlight w:val="none"/>
                      <w:lang w:val="en-US" w:eastAsia="zh-CN"/>
                    </w:rPr>
                    <w:t>腐蚀性</w:t>
                  </w:r>
                </w:p>
              </w:tc>
              <w:tc>
                <w:tcPr>
                  <w:tcW w:w="2503" w:type="pct"/>
                  <w:tcBorders>
                    <w:top w:val="single" w:color="auto" w:sz="4" w:space="0"/>
                    <w:left w:val="single" w:color="auto" w:sz="4" w:space="0"/>
                    <w:bottom w:val="single" w:color="auto" w:sz="4" w:space="0"/>
                    <w:right w:val="single" w:color="auto" w:sz="4" w:space="0"/>
                    <w:tl2br w:val="nil"/>
                    <w:tr2bl w:val="nil"/>
                  </w:tcBorders>
                  <w:vAlign w:val="center"/>
                </w:tcPr>
                <w:p w14:paraId="58A7AA61">
                  <w:pPr>
                    <w:pStyle w:val="76"/>
                    <w:keepNext w:val="0"/>
                    <w:keepLines w:val="0"/>
                    <w:suppressLineNumbers w:val="0"/>
                    <w:spacing w:before="0" w:beforeAutospacing="0" w:after="0" w:afterAutospacing="0"/>
                    <w:ind w:left="0" w:right="0"/>
                    <w:rPr>
                      <w:rFonts w:hint="default" w:cs="Times New Roman"/>
                      <w:b w:val="0"/>
                      <w:color w:val="auto"/>
                      <w:highlight w:val="none"/>
                      <w:lang w:val="en-US" w:eastAsia="zh-CN"/>
                    </w:rPr>
                  </w:pPr>
                  <w:r>
                    <w:rPr>
                      <w:rFonts w:hint="eastAsia" w:cs="Times New Roman"/>
                      <w:b w:val="0"/>
                      <w:color w:val="auto"/>
                      <w:highlight w:val="none"/>
                      <w:lang w:val="en-US" w:eastAsia="zh-CN"/>
                    </w:rPr>
                    <w:t>烧碱</w:t>
                  </w: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4BABED46">
                  <w:pPr>
                    <w:pStyle w:val="76"/>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HJ 169-2018</w:t>
                  </w:r>
                </w:p>
              </w:tc>
            </w:tr>
            <w:tr w14:paraId="1D7B55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0" w:type="pct"/>
                  <w:tcBorders>
                    <w:top w:val="single" w:color="auto" w:sz="4" w:space="0"/>
                    <w:left w:val="single" w:color="auto" w:sz="4" w:space="0"/>
                    <w:bottom w:val="single" w:color="auto" w:sz="4" w:space="0"/>
                    <w:right w:val="single" w:color="auto" w:sz="4" w:space="0"/>
                    <w:tl2br w:val="nil"/>
                    <w:tr2bl w:val="nil"/>
                  </w:tcBorders>
                  <w:vAlign w:val="center"/>
                </w:tcPr>
                <w:p w14:paraId="0E84FE82">
                  <w:pPr>
                    <w:pStyle w:val="76"/>
                    <w:keepNext w:val="0"/>
                    <w:keepLines w:val="0"/>
                    <w:suppressLineNumbers w:val="0"/>
                    <w:spacing w:before="0" w:beforeAutospacing="0" w:after="0" w:afterAutospacing="0"/>
                    <w:ind w:left="0" w:right="0"/>
                    <w:rPr>
                      <w:rFonts w:hint="default" w:ascii="Times New Roman" w:hAnsi="Times New Roman" w:eastAsia="宋体" w:cs="Times New Roman"/>
                      <w:b w:val="0"/>
                      <w:color w:val="auto"/>
                      <w:highlight w:val="none"/>
                      <w:lang w:val="en-US" w:eastAsia="zh-CN"/>
                    </w:rPr>
                  </w:pPr>
                  <w:r>
                    <w:rPr>
                      <w:rFonts w:hint="eastAsia" w:cs="Times New Roman"/>
                      <w:b w:val="0"/>
                      <w:color w:val="auto"/>
                      <w:highlight w:val="none"/>
                      <w:lang w:val="en-US" w:eastAsia="zh-CN"/>
                    </w:rPr>
                    <w:t>6</w:t>
                  </w:r>
                </w:p>
              </w:tc>
              <w:tc>
                <w:tcPr>
                  <w:tcW w:w="555" w:type="pct"/>
                  <w:tcBorders>
                    <w:top w:val="single" w:color="auto" w:sz="4" w:space="0"/>
                    <w:left w:val="single" w:color="auto" w:sz="4" w:space="0"/>
                    <w:bottom w:val="single" w:color="auto" w:sz="4" w:space="0"/>
                    <w:right w:val="single" w:color="auto" w:sz="4" w:space="0"/>
                    <w:tl2br w:val="nil"/>
                    <w:tr2bl w:val="nil"/>
                  </w:tcBorders>
                  <w:vAlign w:val="center"/>
                </w:tcPr>
                <w:p w14:paraId="11FA87B1">
                  <w:pPr>
                    <w:pStyle w:val="76"/>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危险废物</w:t>
                  </w:r>
                </w:p>
              </w:tc>
              <w:tc>
                <w:tcPr>
                  <w:tcW w:w="670" w:type="pct"/>
                  <w:tcBorders>
                    <w:top w:val="single" w:color="auto" w:sz="4" w:space="0"/>
                    <w:left w:val="single" w:color="auto" w:sz="4" w:space="0"/>
                    <w:bottom w:val="single" w:color="auto" w:sz="4" w:space="0"/>
                    <w:right w:val="single" w:color="auto" w:sz="4" w:space="0"/>
                    <w:tl2br w:val="nil"/>
                    <w:tr2bl w:val="nil"/>
                  </w:tcBorders>
                  <w:vAlign w:val="center"/>
                </w:tcPr>
                <w:p w14:paraId="22234841">
                  <w:pPr>
                    <w:pStyle w:val="76"/>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w:t>
                  </w:r>
                </w:p>
              </w:tc>
              <w:tc>
                <w:tcPr>
                  <w:tcW w:w="2503" w:type="pct"/>
                  <w:tcBorders>
                    <w:top w:val="single" w:color="auto" w:sz="4" w:space="0"/>
                    <w:left w:val="single" w:color="auto" w:sz="4" w:space="0"/>
                    <w:bottom w:val="single" w:color="auto" w:sz="4" w:space="0"/>
                    <w:right w:val="single" w:color="auto" w:sz="4" w:space="0"/>
                    <w:tl2br w:val="nil"/>
                    <w:tr2bl w:val="nil"/>
                  </w:tcBorders>
                  <w:vAlign w:val="center"/>
                </w:tcPr>
                <w:p w14:paraId="1577570E">
                  <w:pPr>
                    <w:pStyle w:val="76"/>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危险废物</w:t>
                  </w: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10D394E0">
                  <w:pPr>
                    <w:pStyle w:val="76"/>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HJ 169-2018</w:t>
                  </w:r>
                </w:p>
              </w:tc>
            </w:tr>
          </w:tbl>
          <w:p w14:paraId="7176769C">
            <w:pPr>
              <w:keepNext w:val="0"/>
              <w:keepLines w:val="0"/>
              <w:suppressLineNumbers w:val="0"/>
              <w:adjustRightInd w:val="0"/>
              <w:spacing w:before="0" w:beforeAutospacing="0" w:after="0" w:afterAutospacing="0"/>
              <w:ind w:left="0" w:right="0" w:firstLine="472" w:firstLineChars="200"/>
              <w:rPr>
                <w:rFonts w:hint="default" w:ascii="Times New Roman" w:hAnsi="Times New Roman" w:cs="Times New Roman"/>
                <w:color w:val="auto"/>
                <w:kern w:val="0"/>
                <w:highlight w:val="none"/>
              </w:rPr>
            </w:pPr>
            <w:r>
              <w:rPr>
                <w:rFonts w:hint="default" w:ascii="Times New Roman" w:hAnsi="Times New Roman" w:cs="Times New Roman"/>
                <w:color w:val="auto"/>
                <w:spacing w:val="-2"/>
                <w:highlight w:val="none"/>
              </w:rPr>
              <w:t>则本项目Q值确定见下表</w:t>
            </w:r>
            <w:r>
              <w:rPr>
                <w:rFonts w:hint="default" w:ascii="Times New Roman" w:hAnsi="Times New Roman" w:cs="Times New Roman"/>
                <w:color w:val="auto"/>
                <w:kern w:val="0"/>
                <w:highlight w:val="none"/>
              </w:rPr>
              <w:t>。</w:t>
            </w:r>
          </w:p>
          <w:p w14:paraId="19F944EA">
            <w:pPr>
              <w:keepNext w:val="0"/>
              <w:keepLines w:val="0"/>
              <w:numPr>
                <w:ilvl w:val="0"/>
                <w:numId w:val="0"/>
              </w:numPr>
              <w:suppressLineNumbers w:val="0"/>
              <w:tabs>
                <w:tab w:val="left" w:pos="0"/>
              </w:tabs>
              <w:adjustRightInd w:val="0"/>
              <w:spacing w:before="0" w:beforeAutospacing="0" w:after="0" w:afterAutospacing="0"/>
              <w:ind w:left="0" w:leftChars="0" w:right="0" w:rightChars="0" w:firstLine="40" w:firstLineChars="0"/>
              <w:jc w:val="center"/>
              <w:rPr>
                <w:rFonts w:hint="default" w:ascii="Times New Roman" w:hAnsi="Times New Roman" w:cs="Times New Roman"/>
                <w:color w:val="auto"/>
                <w:highlight w:val="none"/>
              </w:rPr>
            </w:pPr>
            <w:r>
              <w:rPr>
                <w:rFonts w:hint="default" w:ascii="Times New Roman" w:hAnsi="Times New Roman" w:eastAsia="宋体" w:cs="Times New Roman"/>
                <w:b/>
                <w:color w:val="auto"/>
                <w:kern w:val="2"/>
                <w:sz w:val="21"/>
                <w:szCs w:val="21"/>
                <w:highlight w:val="none"/>
                <w:lang w:val="en-US" w:eastAsia="zh-CN" w:bidi="ar-SA"/>
              </w:rPr>
              <w:t>表4-</w:t>
            </w:r>
            <w:r>
              <w:rPr>
                <w:rFonts w:hint="eastAsia" w:cs="Times New Roman"/>
                <w:b/>
                <w:color w:val="auto"/>
                <w:kern w:val="2"/>
                <w:sz w:val="21"/>
                <w:szCs w:val="21"/>
                <w:highlight w:val="none"/>
                <w:lang w:val="en-US" w:eastAsia="zh-CN" w:bidi="ar-SA"/>
              </w:rPr>
              <w:t xml:space="preserve">32 </w:t>
            </w:r>
            <w:r>
              <w:rPr>
                <w:rFonts w:hint="default" w:ascii="Times New Roman" w:hAnsi="Times New Roman" w:cs="Times New Roman"/>
                <w:b/>
                <w:bCs/>
                <w:color w:val="auto"/>
                <w:kern w:val="0"/>
                <w:sz w:val="21"/>
                <w:szCs w:val="21"/>
                <w:highlight w:val="none"/>
              </w:rPr>
              <w:t>建设项目Q值确定表</w:t>
            </w:r>
          </w:p>
          <w:tbl>
            <w:tblPr>
              <w:tblStyle w:val="40"/>
              <w:tblW w:w="499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7"/>
              <w:gridCol w:w="2136"/>
              <w:gridCol w:w="1524"/>
              <w:gridCol w:w="1517"/>
              <w:gridCol w:w="1516"/>
              <w:gridCol w:w="1521"/>
            </w:tblGrid>
            <w:tr w14:paraId="04F5DE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5" w:hRule="atLeast"/>
                <w:jc w:val="center"/>
              </w:trPr>
              <w:tc>
                <w:tcPr>
                  <w:tcW w:w="887" w:type="dxa"/>
                  <w:vAlign w:val="center"/>
                </w:tcPr>
                <w:p w14:paraId="4BDC2260">
                  <w:pPr>
                    <w:keepNext w:val="0"/>
                    <w:keepLines w:val="0"/>
                    <w:suppressLineNumbers w:val="0"/>
                    <w:adjustRightInd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序号</w:t>
                  </w:r>
                </w:p>
              </w:tc>
              <w:tc>
                <w:tcPr>
                  <w:tcW w:w="2136" w:type="dxa"/>
                  <w:vAlign w:val="center"/>
                </w:tcPr>
                <w:p w14:paraId="138C7E48">
                  <w:pPr>
                    <w:keepNext w:val="0"/>
                    <w:keepLines w:val="0"/>
                    <w:suppressLineNumbers w:val="0"/>
                    <w:adjustRightInd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危险物质名称</w:t>
                  </w:r>
                </w:p>
              </w:tc>
              <w:tc>
                <w:tcPr>
                  <w:tcW w:w="1524" w:type="dxa"/>
                  <w:vAlign w:val="center"/>
                </w:tcPr>
                <w:p w14:paraId="257BF580">
                  <w:pPr>
                    <w:keepNext w:val="0"/>
                    <w:keepLines w:val="0"/>
                    <w:suppressLineNumbers w:val="0"/>
                    <w:adjustRightInd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CAS号</w:t>
                  </w:r>
                </w:p>
              </w:tc>
              <w:tc>
                <w:tcPr>
                  <w:tcW w:w="1517" w:type="dxa"/>
                  <w:vAlign w:val="center"/>
                </w:tcPr>
                <w:p w14:paraId="77B9AED3">
                  <w:pPr>
                    <w:keepNext w:val="0"/>
                    <w:keepLines w:val="0"/>
                    <w:suppressLineNumbers w:val="0"/>
                    <w:adjustRightInd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最大存储总量（t）</w:t>
                  </w:r>
                </w:p>
              </w:tc>
              <w:tc>
                <w:tcPr>
                  <w:tcW w:w="1516" w:type="dxa"/>
                  <w:vAlign w:val="center"/>
                </w:tcPr>
                <w:p w14:paraId="2B99A6D0">
                  <w:pPr>
                    <w:keepNext w:val="0"/>
                    <w:keepLines w:val="0"/>
                    <w:suppressLineNumbers w:val="0"/>
                    <w:adjustRightInd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临界量Qn/t</w:t>
                  </w:r>
                </w:p>
              </w:tc>
              <w:tc>
                <w:tcPr>
                  <w:tcW w:w="1521" w:type="dxa"/>
                  <w:vAlign w:val="center"/>
                </w:tcPr>
                <w:p w14:paraId="08AE1E4D">
                  <w:pPr>
                    <w:keepNext w:val="0"/>
                    <w:keepLines w:val="0"/>
                    <w:suppressLineNumbers w:val="0"/>
                    <w:adjustRightInd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该种危险物质Q值</w:t>
                  </w:r>
                </w:p>
              </w:tc>
            </w:tr>
            <w:tr w14:paraId="272CA6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887" w:type="dxa"/>
                  <w:vAlign w:val="center"/>
                </w:tcPr>
                <w:p w14:paraId="584B6F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ascii="Times New Roman" w:hAnsi="Times New Roman" w:eastAsia="宋体" w:cs="Times New Roman"/>
                      <w:b w:val="0"/>
                      <w:bCs w:val="0"/>
                      <w:color w:val="auto"/>
                      <w:highlight w:val="none"/>
                      <w:lang w:val="en-US" w:eastAsia="zh-CN"/>
                    </w:rPr>
                  </w:pPr>
                  <w:r>
                    <w:rPr>
                      <w:rFonts w:hint="eastAsia" w:cs="Times New Roman"/>
                      <w:b w:val="0"/>
                      <w:bCs w:val="0"/>
                      <w:color w:val="auto"/>
                      <w:highlight w:val="none"/>
                      <w:lang w:val="en-US" w:eastAsia="zh-CN"/>
                    </w:rPr>
                    <w:t>1</w:t>
                  </w:r>
                </w:p>
              </w:tc>
              <w:tc>
                <w:tcPr>
                  <w:tcW w:w="2136" w:type="dxa"/>
                  <w:vAlign w:val="center"/>
                </w:tcPr>
                <w:p w14:paraId="36BD9A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rPr>
                    <w:t>废机油</w:t>
                  </w:r>
                </w:p>
              </w:tc>
              <w:tc>
                <w:tcPr>
                  <w:tcW w:w="1524" w:type="dxa"/>
                  <w:vAlign w:val="center"/>
                </w:tcPr>
                <w:p w14:paraId="49B6B4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sz w:val="21"/>
                      <w:szCs w:val="21"/>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rPr>
                    <w:t>/</w:t>
                  </w:r>
                </w:p>
              </w:tc>
              <w:tc>
                <w:tcPr>
                  <w:tcW w:w="1517" w:type="dxa"/>
                  <w:vAlign w:val="center"/>
                </w:tcPr>
                <w:p w14:paraId="59B4E3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i w:val="0"/>
                      <w:iCs w:val="0"/>
                      <w:color w:val="auto"/>
                      <w:kern w:val="0"/>
                      <w:sz w:val="21"/>
                      <w:szCs w:val="21"/>
                      <w:highlight w:val="none"/>
                      <w:u w:val="none"/>
                      <w:lang w:val="en-US" w:eastAsia="zh-CN"/>
                    </w:rPr>
                    <w:t>0.45</w:t>
                  </w:r>
                </w:p>
              </w:tc>
              <w:tc>
                <w:tcPr>
                  <w:tcW w:w="1516" w:type="dxa"/>
                  <w:vAlign w:val="center"/>
                </w:tcPr>
                <w:p w14:paraId="3785E8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sz w:val="21"/>
                      <w:szCs w:val="21"/>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rPr>
                    <w:t>2500</w:t>
                  </w:r>
                </w:p>
              </w:tc>
              <w:tc>
                <w:tcPr>
                  <w:tcW w:w="1521" w:type="dxa"/>
                  <w:vAlign w:val="center"/>
                </w:tcPr>
                <w:p w14:paraId="65EEB80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0.00018</w:t>
                  </w:r>
                </w:p>
              </w:tc>
            </w:tr>
            <w:tr w14:paraId="7718D3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887" w:type="dxa"/>
                  <w:vAlign w:val="center"/>
                </w:tcPr>
                <w:p w14:paraId="0AB791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ascii="Times New Roman" w:hAnsi="Times New Roman" w:eastAsia="宋体" w:cs="Times New Roman"/>
                      <w:b w:val="0"/>
                      <w:bCs w:val="0"/>
                      <w:color w:val="auto"/>
                      <w:highlight w:val="none"/>
                      <w:lang w:val="en-US" w:eastAsia="zh-CN"/>
                    </w:rPr>
                  </w:pPr>
                  <w:r>
                    <w:rPr>
                      <w:rFonts w:hint="eastAsia" w:cs="Times New Roman"/>
                      <w:b w:val="0"/>
                      <w:bCs w:val="0"/>
                      <w:color w:val="auto"/>
                      <w:highlight w:val="none"/>
                      <w:lang w:val="en-US" w:eastAsia="zh-CN"/>
                    </w:rPr>
                    <w:t>2</w:t>
                  </w:r>
                </w:p>
              </w:tc>
              <w:tc>
                <w:tcPr>
                  <w:tcW w:w="2136" w:type="dxa"/>
                  <w:vAlign w:val="center"/>
                </w:tcPr>
                <w:p w14:paraId="64039E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rPr>
                    <w:t>机油</w:t>
                  </w:r>
                </w:p>
              </w:tc>
              <w:tc>
                <w:tcPr>
                  <w:tcW w:w="1524" w:type="dxa"/>
                  <w:vAlign w:val="center"/>
                </w:tcPr>
                <w:p w14:paraId="7A25A3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sz w:val="21"/>
                      <w:szCs w:val="21"/>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rPr>
                    <w:t>/</w:t>
                  </w:r>
                </w:p>
              </w:tc>
              <w:tc>
                <w:tcPr>
                  <w:tcW w:w="1517" w:type="dxa"/>
                  <w:vAlign w:val="center"/>
                </w:tcPr>
                <w:p w14:paraId="6C108C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cs="Times New Roman"/>
                      <w:b w:val="0"/>
                      <w:bCs w:val="0"/>
                      <w:color w:val="auto"/>
                      <w:sz w:val="21"/>
                      <w:szCs w:val="21"/>
                      <w:highlight w:val="none"/>
                      <w:lang w:val="en-US"/>
                    </w:rPr>
                  </w:pPr>
                  <w:r>
                    <w:rPr>
                      <w:rFonts w:hint="default" w:ascii="Times New Roman" w:hAnsi="Times New Roman" w:eastAsia="宋体" w:cs="Times New Roman"/>
                      <w:b w:val="0"/>
                      <w:bCs w:val="0"/>
                      <w:i w:val="0"/>
                      <w:iCs w:val="0"/>
                      <w:color w:val="auto"/>
                      <w:kern w:val="0"/>
                      <w:sz w:val="21"/>
                      <w:szCs w:val="21"/>
                      <w:highlight w:val="none"/>
                      <w:u w:val="none"/>
                      <w:lang w:val="en-US" w:eastAsia="zh-CN"/>
                    </w:rPr>
                    <w:t>0.</w:t>
                  </w:r>
                  <w:r>
                    <w:rPr>
                      <w:rFonts w:hint="default" w:ascii="Times New Roman" w:hAnsi="Times New Roman" w:cs="Times New Roman"/>
                      <w:b w:val="0"/>
                      <w:bCs w:val="0"/>
                      <w:i w:val="0"/>
                      <w:iCs w:val="0"/>
                      <w:color w:val="auto"/>
                      <w:kern w:val="0"/>
                      <w:sz w:val="21"/>
                      <w:szCs w:val="21"/>
                      <w:highlight w:val="none"/>
                      <w:u w:val="none"/>
                      <w:lang w:val="en-US" w:eastAsia="zh-CN"/>
                    </w:rPr>
                    <w:t>9</w:t>
                  </w:r>
                  <w:r>
                    <w:rPr>
                      <w:rFonts w:hint="default" w:ascii="Times New Roman" w:hAnsi="Times New Roman" w:eastAsia="宋体" w:cs="Times New Roman"/>
                      <w:b w:val="0"/>
                      <w:bCs w:val="0"/>
                      <w:i w:val="0"/>
                      <w:iCs w:val="0"/>
                      <w:color w:val="auto"/>
                      <w:kern w:val="0"/>
                      <w:sz w:val="21"/>
                      <w:szCs w:val="21"/>
                      <w:highlight w:val="none"/>
                      <w:u w:val="none"/>
                      <w:lang w:val="en-US" w:eastAsia="zh-CN"/>
                    </w:rPr>
                    <w:t>0</w:t>
                  </w:r>
                </w:p>
              </w:tc>
              <w:tc>
                <w:tcPr>
                  <w:tcW w:w="1516" w:type="dxa"/>
                  <w:vAlign w:val="center"/>
                </w:tcPr>
                <w:p w14:paraId="183258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sz w:val="21"/>
                      <w:szCs w:val="21"/>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rPr>
                    <w:t>2500</w:t>
                  </w:r>
                </w:p>
              </w:tc>
              <w:tc>
                <w:tcPr>
                  <w:tcW w:w="1521" w:type="dxa"/>
                  <w:vAlign w:val="center"/>
                </w:tcPr>
                <w:p w14:paraId="67008C3A">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0.00036</w:t>
                  </w:r>
                </w:p>
              </w:tc>
            </w:tr>
            <w:tr w14:paraId="46B153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887" w:type="dxa"/>
                  <w:vAlign w:val="center"/>
                </w:tcPr>
                <w:p w14:paraId="6776CD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ascii="Times New Roman" w:hAnsi="Times New Roman" w:eastAsia="宋体" w:cs="Times New Roman"/>
                      <w:b w:val="0"/>
                      <w:bCs w:val="0"/>
                      <w:color w:val="auto"/>
                      <w:highlight w:val="none"/>
                      <w:lang w:val="en-US" w:eastAsia="zh-CN"/>
                    </w:rPr>
                  </w:pPr>
                  <w:r>
                    <w:rPr>
                      <w:rFonts w:hint="eastAsia" w:cs="Times New Roman"/>
                      <w:b w:val="0"/>
                      <w:bCs w:val="0"/>
                      <w:color w:val="auto"/>
                      <w:highlight w:val="none"/>
                      <w:lang w:val="en-US" w:eastAsia="zh-CN"/>
                    </w:rPr>
                    <w:t>3</w:t>
                  </w:r>
                </w:p>
              </w:tc>
              <w:tc>
                <w:tcPr>
                  <w:tcW w:w="2136" w:type="dxa"/>
                  <w:vAlign w:val="center"/>
                </w:tcPr>
                <w:p w14:paraId="7376D2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highlight w:val="none"/>
                    </w:rPr>
                  </w:pPr>
                  <w:r>
                    <w:rPr>
                      <w:rFonts w:hint="eastAsia" w:cs="Times New Roman"/>
                      <w:b w:val="0"/>
                      <w:bCs w:val="0"/>
                      <w:i w:val="0"/>
                      <w:iCs w:val="0"/>
                      <w:color w:val="auto"/>
                      <w:kern w:val="0"/>
                      <w:sz w:val="21"/>
                      <w:szCs w:val="21"/>
                      <w:highlight w:val="none"/>
                      <w:u w:val="none"/>
                      <w:lang w:val="en-US" w:eastAsia="zh-CN"/>
                    </w:rPr>
                    <w:t>柴油</w:t>
                  </w:r>
                </w:p>
              </w:tc>
              <w:tc>
                <w:tcPr>
                  <w:tcW w:w="1524" w:type="dxa"/>
                  <w:vAlign w:val="center"/>
                </w:tcPr>
                <w:p w14:paraId="484956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sz w:val="21"/>
                      <w:szCs w:val="21"/>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rPr>
                    <w:t>/</w:t>
                  </w:r>
                </w:p>
              </w:tc>
              <w:tc>
                <w:tcPr>
                  <w:tcW w:w="1517" w:type="dxa"/>
                  <w:vAlign w:val="center"/>
                </w:tcPr>
                <w:p w14:paraId="1EB9BA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cs="Times New Roman"/>
                      <w:b w:val="0"/>
                      <w:bCs w:val="0"/>
                      <w:color w:val="auto"/>
                      <w:sz w:val="21"/>
                      <w:szCs w:val="21"/>
                      <w:highlight w:val="none"/>
                      <w:lang w:val="en-US"/>
                    </w:rPr>
                  </w:pPr>
                  <w:r>
                    <w:rPr>
                      <w:rFonts w:hint="default" w:ascii="Times New Roman" w:hAnsi="Times New Roman" w:eastAsia="宋体" w:cs="Times New Roman"/>
                      <w:b w:val="0"/>
                      <w:bCs w:val="0"/>
                      <w:i w:val="0"/>
                      <w:iCs w:val="0"/>
                      <w:color w:val="auto"/>
                      <w:kern w:val="0"/>
                      <w:sz w:val="21"/>
                      <w:szCs w:val="21"/>
                      <w:highlight w:val="none"/>
                      <w:u w:val="none"/>
                      <w:lang w:val="en-US" w:eastAsia="zh-CN"/>
                    </w:rPr>
                    <w:t>0.</w:t>
                  </w:r>
                  <w:r>
                    <w:rPr>
                      <w:rFonts w:hint="default" w:ascii="Times New Roman" w:hAnsi="Times New Roman" w:cs="Times New Roman"/>
                      <w:b w:val="0"/>
                      <w:bCs w:val="0"/>
                      <w:i w:val="0"/>
                      <w:iCs w:val="0"/>
                      <w:color w:val="auto"/>
                      <w:kern w:val="0"/>
                      <w:sz w:val="21"/>
                      <w:szCs w:val="21"/>
                      <w:highlight w:val="none"/>
                      <w:u w:val="none"/>
                      <w:lang w:val="en-US" w:eastAsia="zh-CN"/>
                    </w:rPr>
                    <w:t>85</w:t>
                  </w:r>
                </w:p>
              </w:tc>
              <w:tc>
                <w:tcPr>
                  <w:tcW w:w="1516" w:type="dxa"/>
                  <w:vAlign w:val="center"/>
                </w:tcPr>
                <w:p w14:paraId="5E706D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sz w:val="21"/>
                      <w:szCs w:val="21"/>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rPr>
                    <w:t>2500</w:t>
                  </w:r>
                </w:p>
              </w:tc>
              <w:tc>
                <w:tcPr>
                  <w:tcW w:w="1521" w:type="dxa"/>
                  <w:vAlign w:val="center"/>
                </w:tcPr>
                <w:p w14:paraId="5420B664">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0.00034</w:t>
                  </w:r>
                </w:p>
              </w:tc>
            </w:tr>
            <w:tr w14:paraId="125E02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887" w:type="dxa"/>
                  <w:vAlign w:val="center"/>
                </w:tcPr>
                <w:p w14:paraId="3327BA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color w:val="auto"/>
                      <w:highlight w:val="none"/>
                      <w:lang w:val="en-US" w:eastAsia="zh-CN"/>
                    </w:rPr>
                  </w:pPr>
                  <w:r>
                    <w:rPr>
                      <w:rFonts w:hint="eastAsia" w:cs="Times New Roman"/>
                      <w:b w:val="0"/>
                      <w:bCs w:val="0"/>
                      <w:color w:val="auto"/>
                      <w:highlight w:val="none"/>
                      <w:lang w:val="en-US" w:eastAsia="zh-CN"/>
                    </w:rPr>
                    <w:t>4</w:t>
                  </w:r>
                </w:p>
              </w:tc>
              <w:tc>
                <w:tcPr>
                  <w:tcW w:w="2136" w:type="dxa"/>
                  <w:vAlign w:val="center"/>
                </w:tcPr>
                <w:p w14:paraId="78F354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color w:val="auto"/>
                      <w:highlight w:val="none"/>
                      <w:lang w:eastAsia="zh-CN"/>
                    </w:rPr>
                  </w:pPr>
                  <w:r>
                    <w:rPr>
                      <w:rFonts w:hint="default" w:ascii="Times New Roman" w:hAnsi="Times New Roman" w:eastAsia="宋体" w:cs="Times New Roman"/>
                      <w:b w:val="0"/>
                      <w:bCs w:val="0"/>
                      <w:i w:val="0"/>
                      <w:iCs w:val="0"/>
                      <w:color w:val="auto"/>
                      <w:kern w:val="0"/>
                      <w:sz w:val="21"/>
                      <w:szCs w:val="21"/>
                      <w:highlight w:val="none"/>
                      <w:u w:val="none"/>
                      <w:lang w:val="en-US" w:eastAsia="zh-CN"/>
                    </w:rPr>
                    <w:t>70%硫酸</w:t>
                  </w:r>
                </w:p>
              </w:tc>
              <w:tc>
                <w:tcPr>
                  <w:tcW w:w="1524" w:type="dxa"/>
                  <w:vAlign w:val="center"/>
                </w:tcPr>
                <w:p w14:paraId="7E0401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sz w:val="21"/>
                      <w:szCs w:val="21"/>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rPr>
                    <w:t>7664-93-9</w:t>
                  </w:r>
                </w:p>
              </w:tc>
              <w:tc>
                <w:tcPr>
                  <w:tcW w:w="1517" w:type="dxa"/>
                  <w:vAlign w:val="center"/>
                </w:tcPr>
                <w:p w14:paraId="493317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sz w:val="21"/>
                      <w:szCs w:val="21"/>
                      <w:highlight w:val="none"/>
                    </w:rPr>
                  </w:pPr>
                  <w:r>
                    <w:rPr>
                      <w:rFonts w:hint="eastAsia" w:cs="Times New Roman"/>
                      <w:b w:val="0"/>
                      <w:bCs w:val="0"/>
                      <w:i w:val="0"/>
                      <w:iCs w:val="0"/>
                      <w:color w:val="auto"/>
                      <w:kern w:val="0"/>
                      <w:sz w:val="21"/>
                      <w:szCs w:val="21"/>
                      <w:highlight w:val="none"/>
                      <w:u w:val="none"/>
                      <w:lang w:val="en-US" w:eastAsia="zh-CN"/>
                    </w:rPr>
                    <w:t>3</w:t>
                  </w:r>
                </w:p>
              </w:tc>
              <w:tc>
                <w:tcPr>
                  <w:tcW w:w="1516" w:type="dxa"/>
                  <w:vAlign w:val="center"/>
                </w:tcPr>
                <w:p w14:paraId="48066E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sz w:val="21"/>
                      <w:szCs w:val="21"/>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rPr>
                    <w:t>10</w:t>
                  </w:r>
                </w:p>
              </w:tc>
              <w:tc>
                <w:tcPr>
                  <w:tcW w:w="1521" w:type="dxa"/>
                  <w:vAlign w:val="center"/>
                </w:tcPr>
                <w:p w14:paraId="40ED8EC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0.</w:t>
                  </w:r>
                  <w:r>
                    <w:rPr>
                      <w:rFonts w:hint="eastAsia" w:cs="Times New Roman"/>
                      <w:i w:val="0"/>
                      <w:iCs w:val="0"/>
                      <w:color w:val="auto"/>
                      <w:kern w:val="0"/>
                      <w:sz w:val="21"/>
                      <w:szCs w:val="21"/>
                      <w:highlight w:val="none"/>
                      <w:u w:val="none"/>
                      <w:lang w:val="en-US" w:eastAsia="zh-CN"/>
                    </w:rPr>
                    <w:t>3</w:t>
                  </w:r>
                </w:p>
              </w:tc>
            </w:tr>
            <w:tr w14:paraId="549134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887" w:type="dxa"/>
                  <w:vAlign w:val="center"/>
                </w:tcPr>
                <w:p w14:paraId="0269D7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rPr>
                  </w:pPr>
                  <w:r>
                    <w:rPr>
                      <w:rFonts w:hint="eastAsia" w:cs="Times New Roman"/>
                      <w:b w:val="0"/>
                      <w:bCs w:val="0"/>
                      <w:i w:val="0"/>
                      <w:iCs w:val="0"/>
                      <w:color w:val="auto"/>
                      <w:kern w:val="0"/>
                      <w:sz w:val="21"/>
                      <w:szCs w:val="21"/>
                      <w:highlight w:val="none"/>
                      <w:u w:val="none"/>
                      <w:lang w:val="en-US" w:eastAsia="zh-CN"/>
                    </w:rPr>
                    <w:t>5</w:t>
                  </w:r>
                </w:p>
              </w:tc>
              <w:tc>
                <w:tcPr>
                  <w:tcW w:w="2136" w:type="dxa"/>
                  <w:vAlign w:val="center"/>
                </w:tcPr>
                <w:p w14:paraId="3FA083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rPr>
                  </w:pPr>
                  <w:r>
                    <w:rPr>
                      <w:rFonts w:hint="eastAsia" w:cs="Times New Roman"/>
                      <w:b w:val="0"/>
                      <w:bCs w:val="0"/>
                      <w:i w:val="0"/>
                      <w:iCs w:val="0"/>
                      <w:color w:val="auto"/>
                      <w:kern w:val="0"/>
                      <w:sz w:val="21"/>
                      <w:szCs w:val="21"/>
                      <w:highlight w:val="none"/>
                      <w:u w:val="none"/>
                      <w:lang w:val="en-US" w:eastAsia="zh-CN"/>
                    </w:rPr>
                    <w:t>烧碱</w:t>
                  </w:r>
                </w:p>
              </w:tc>
              <w:tc>
                <w:tcPr>
                  <w:tcW w:w="1524" w:type="dxa"/>
                  <w:vAlign w:val="center"/>
                </w:tcPr>
                <w:p w14:paraId="5BCC23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rPr>
                  </w:pPr>
                  <w:r>
                    <w:rPr>
                      <w:rFonts w:hint="default" w:ascii="Times New Roman" w:hAnsi="Times New Roman" w:eastAsia="宋体" w:cs="Times New Roman"/>
                      <w:b w:val="0"/>
                      <w:bCs w:val="0"/>
                      <w:i w:val="0"/>
                      <w:iCs w:val="0"/>
                      <w:color w:val="auto"/>
                      <w:kern w:val="0"/>
                      <w:sz w:val="21"/>
                      <w:szCs w:val="21"/>
                      <w:highlight w:val="none"/>
                      <w:u w:val="none"/>
                      <w:lang w:val="en-US" w:eastAsia="zh-CN"/>
                    </w:rPr>
                    <w:t>1310-73-2</w:t>
                  </w:r>
                </w:p>
              </w:tc>
              <w:tc>
                <w:tcPr>
                  <w:tcW w:w="1517" w:type="dxa"/>
                  <w:vAlign w:val="center"/>
                </w:tcPr>
                <w:p w14:paraId="1412E2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rPr>
                  </w:pPr>
                  <w:r>
                    <w:rPr>
                      <w:rFonts w:hint="eastAsia" w:cs="Times New Roman"/>
                      <w:b w:val="0"/>
                      <w:bCs w:val="0"/>
                      <w:i w:val="0"/>
                      <w:iCs w:val="0"/>
                      <w:color w:val="auto"/>
                      <w:kern w:val="0"/>
                      <w:sz w:val="21"/>
                      <w:szCs w:val="21"/>
                      <w:highlight w:val="none"/>
                      <w:u w:val="none"/>
                      <w:lang w:val="en-US" w:eastAsia="zh-CN"/>
                    </w:rPr>
                    <w:t>1.5</w:t>
                  </w:r>
                </w:p>
              </w:tc>
              <w:tc>
                <w:tcPr>
                  <w:tcW w:w="1516" w:type="dxa"/>
                  <w:vAlign w:val="center"/>
                </w:tcPr>
                <w:p w14:paraId="75EA4B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rPr>
                  </w:pPr>
                  <w:r>
                    <w:rPr>
                      <w:rFonts w:hint="eastAsia" w:cs="Times New Roman"/>
                      <w:b w:val="0"/>
                      <w:bCs w:val="0"/>
                      <w:i w:val="0"/>
                      <w:iCs w:val="0"/>
                      <w:color w:val="auto"/>
                      <w:kern w:val="0"/>
                      <w:sz w:val="21"/>
                      <w:szCs w:val="21"/>
                      <w:highlight w:val="none"/>
                      <w:u w:val="none"/>
                      <w:lang w:val="en-US" w:eastAsia="zh-CN"/>
                    </w:rPr>
                    <w:t>50</w:t>
                  </w:r>
                </w:p>
              </w:tc>
              <w:tc>
                <w:tcPr>
                  <w:tcW w:w="1521" w:type="dxa"/>
                  <w:vAlign w:val="center"/>
                </w:tcPr>
                <w:p w14:paraId="28CD22E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0.03</w:t>
                  </w:r>
                </w:p>
              </w:tc>
            </w:tr>
            <w:tr w14:paraId="481FEA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887" w:type="dxa"/>
                  <w:vAlign w:val="center"/>
                </w:tcPr>
                <w:p w14:paraId="245CB5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color w:val="auto"/>
                      <w:highlight w:val="none"/>
                      <w:lang w:val="en-US" w:eastAsia="zh-CN"/>
                    </w:rPr>
                  </w:pPr>
                  <w:r>
                    <w:rPr>
                      <w:rFonts w:hint="eastAsia" w:cs="Times New Roman"/>
                      <w:b w:val="0"/>
                      <w:bCs w:val="0"/>
                      <w:i w:val="0"/>
                      <w:iCs w:val="0"/>
                      <w:color w:val="auto"/>
                      <w:kern w:val="0"/>
                      <w:sz w:val="21"/>
                      <w:szCs w:val="21"/>
                      <w:highlight w:val="none"/>
                      <w:u w:val="none"/>
                      <w:lang w:val="en-US" w:eastAsia="zh-CN"/>
                    </w:rPr>
                    <w:t>6</w:t>
                  </w:r>
                </w:p>
              </w:tc>
              <w:tc>
                <w:tcPr>
                  <w:tcW w:w="2136" w:type="dxa"/>
                  <w:vAlign w:val="center"/>
                </w:tcPr>
                <w:p w14:paraId="2C07AD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rPr>
                    <w:t>危险废物</w:t>
                  </w:r>
                </w:p>
              </w:tc>
              <w:tc>
                <w:tcPr>
                  <w:tcW w:w="1524" w:type="dxa"/>
                  <w:vAlign w:val="center"/>
                </w:tcPr>
                <w:p w14:paraId="711764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sz w:val="21"/>
                      <w:szCs w:val="21"/>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rPr>
                    <w:t>/</w:t>
                  </w:r>
                </w:p>
              </w:tc>
              <w:tc>
                <w:tcPr>
                  <w:tcW w:w="1517" w:type="dxa"/>
                  <w:vAlign w:val="center"/>
                </w:tcPr>
                <w:p w14:paraId="3494B0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i w:val="0"/>
                      <w:iCs w:val="0"/>
                      <w:color w:val="auto"/>
                      <w:kern w:val="0"/>
                      <w:sz w:val="21"/>
                      <w:szCs w:val="21"/>
                      <w:highlight w:val="none"/>
                      <w:u w:val="none"/>
                      <w:lang w:val="en-US" w:eastAsia="zh-CN"/>
                    </w:rPr>
                    <w:t>0.979</w:t>
                  </w:r>
                </w:p>
              </w:tc>
              <w:tc>
                <w:tcPr>
                  <w:tcW w:w="1516" w:type="dxa"/>
                  <w:vAlign w:val="center"/>
                </w:tcPr>
                <w:p w14:paraId="0971A2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highlight w:val="none"/>
                      <w:u w:val="none"/>
                      <w:lang w:val="en-US" w:eastAsia="zh-CN"/>
                    </w:rPr>
                    <w:t>50</w:t>
                  </w:r>
                </w:p>
              </w:tc>
              <w:tc>
                <w:tcPr>
                  <w:tcW w:w="1521" w:type="dxa"/>
                  <w:vAlign w:val="center"/>
                </w:tcPr>
                <w:p w14:paraId="3AF90A20">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0.01958</w:t>
                  </w:r>
                </w:p>
              </w:tc>
            </w:tr>
            <w:tr w14:paraId="0446E6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7580" w:type="dxa"/>
                  <w:gridSpan w:val="5"/>
                  <w:vAlign w:val="center"/>
                </w:tcPr>
                <w:p w14:paraId="44B4A2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highlight w:val="none"/>
                      <w:u w:val="none"/>
                      <w:lang w:val="en-US" w:eastAsia="zh-CN"/>
                    </w:rPr>
                    <w:t>项目Q值</w:t>
                  </w:r>
                </w:p>
              </w:tc>
              <w:tc>
                <w:tcPr>
                  <w:tcW w:w="1521" w:type="dxa"/>
                  <w:shd w:val="clear" w:color="auto" w:fill="auto"/>
                  <w:vAlign w:val="center"/>
                </w:tcPr>
                <w:p w14:paraId="2E08881D">
                  <w:pPr>
                    <w:keepNext w:val="0"/>
                    <w:keepLines w:val="0"/>
                    <w:widowControl/>
                    <w:suppressLineNumbers w:val="0"/>
                    <w:spacing w:before="0" w:beforeAutospacing="0" w:after="0" w:afterAutospacing="0"/>
                    <w:ind w:left="0" w:right="0"/>
                    <w:jc w:val="center"/>
                    <w:textAlignment w:val="center"/>
                    <w:rPr>
                      <w:rFonts w:hint="default"/>
                      <w:color w:val="auto"/>
                      <w:highlight w:val="none"/>
                      <w:lang w:val="en-US" w:eastAsia="zh-CN"/>
                    </w:rPr>
                  </w:pPr>
                  <w:r>
                    <w:rPr>
                      <w:rFonts w:hint="eastAsia" w:cs="Times New Roman"/>
                      <w:i w:val="0"/>
                      <w:iCs w:val="0"/>
                      <w:color w:val="auto"/>
                      <w:kern w:val="0"/>
                      <w:sz w:val="21"/>
                      <w:szCs w:val="21"/>
                      <w:highlight w:val="none"/>
                      <w:u w:val="none"/>
                      <w:lang w:val="en-US" w:eastAsia="zh-CN"/>
                    </w:rPr>
                    <w:t>0.35</w:t>
                  </w:r>
                </w:p>
              </w:tc>
            </w:tr>
          </w:tbl>
          <w:p w14:paraId="7AA6E721">
            <w:pPr>
              <w:keepNext w:val="0"/>
              <w:keepLines w:val="0"/>
              <w:suppressLineNumbers w:val="0"/>
              <w:spacing w:before="0" w:beforeAutospacing="0" w:after="0" w:afterAutospacing="0"/>
              <w:ind w:left="0" w:right="0"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根据</w:t>
            </w:r>
            <w:r>
              <w:rPr>
                <w:rFonts w:hint="default" w:ascii="Times New Roman" w:hAnsi="Times New Roman" w:cs="Times New Roman"/>
                <w:color w:val="auto"/>
                <w:spacing w:val="-2"/>
                <w:highlight w:val="none"/>
              </w:rPr>
              <w:t>《建设项目环境风险评价技术导则》（HJ169-2018），当Q＜1时，环境风险潜势为I，仅需进行简单分析。</w:t>
            </w:r>
          </w:p>
          <w:p w14:paraId="161B6B4E">
            <w:pPr>
              <w:pStyle w:val="5"/>
              <w:numPr>
                <w:ilvl w:val="3"/>
                <w:numId w:val="0"/>
              </w:numPr>
              <w:suppressLineNumbers w:val="0"/>
              <w:spacing w:before="0" w:beforeAutospacing="0" w:after="0" w:afterAutospacing="0"/>
              <w:ind w:left="480" w:leftChars="200" w:right="0"/>
              <w:rPr>
                <w:rFonts w:hint="default" w:ascii="Times New Roman" w:hAnsi="Times New Roman" w:cs="Times New Roman"/>
                <w:color w:val="auto"/>
                <w:highlight w:val="none"/>
              </w:rPr>
            </w:pPr>
            <w:r>
              <w:rPr>
                <w:rFonts w:hint="default" w:ascii="Times New Roman" w:hAnsi="Times New Roman" w:cs="Times New Roman"/>
                <w:color w:val="auto"/>
                <w:highlight w:val="none"/>
              </w:rPr>
              <w:t>3、环境敏感目标调查</w:t>
            </w:r>
          </w:p>
          <w:p w14:paraId="16F4EB7D">
            <w:pPr>
              <w:keepNext w:val="0"/>
              <w:keepLines w:val="0"/>
              <w:suppressLineNumbers w:val="0"/>
              <w:spacing w:before="0" w:beforeAutospacing="0" w:after="0" w:afterAutospacing="0"/>
              <w:ind w:left="0" w:right="0"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本项目位于</w:t>
            </w:r>
            <w:r>
              <w:rPr>
                <w:rFonts w:hint="default" w:ascii="Times New Roman" w:hAnsi="Times New Roman" w:cs="Times New Roman"/>
                <w:color w:val="auto"/>
                <w:highlight w:val="none"/>
                <w:lang w:eastAsia="zh-CN"/>
              </w:rPr>
              <w:t>韶关市乐昌市乐昌产业转移工业园</w:t>
            </w:r>
            <w:r>
              <w:rPr>
                <w:rFonts w:hint="eastAsia" w:cs="Times New Roman"/>
                <w:color w:val="auto"/>
                <w:highlight w:val="none"/>
                <w:lang w:eastAsia="zh-CN"/>
              </w:rPr>
              <w:t>GL-02-04-02-03地块</w:t>
            </w:r>
            <w:r>
              <w:rPr>
                <w:rFonts w:hint="default" w:ascii="Times New Roman" w:hAnsi="Times New Roman" w:cs="Times New Roman"/>
                <w:color w:val="auto"/>
                <w:highlight w:val="none"/>
              </w:rPr>
              <w:t>，厂区四周为其他企业、园区公园、空地、山地，本项目厂界外500m范围内无自然保护区、风景名胜区、文化区，主要大气环境保护目标为居民区。本项目最近的环境保护目标为</w:t>
            </w:r>
            <w:r>
              <w:rPr>
                <w:rFonts w:hint="eastAsia" w:cs="Times New Roman"/>
                <w:bCs/>
                <w:color w:val="auto"/>
                <w:highlight w:val="none"/>
                <w:lang w:val="en-US" w:eastAsia="zh-CN"/>
              </w:rPr>
              <w:t>东</w:t>
            </w:r>
            <w:r>
              <w:rPr>
                <w:rFonts w:hint="default" w:ascii="Times New Roman" w:hAnsi="Times New Roman" w:cs="Times New Roman"/>
                <w:bCs/>
                <w:color w:val="auto"/>
                <w:highlight w:val="none"/>
              </w:rPr>
              <w:t>南侧</w:t>
            </w:r>
            <w:r>
              <w:rPr>
                <w:rFonts w:hint="eastAsia" w:cs="Times New Roman"/>
                <w:bCs/>
                <w:color w:val="auto"/>
                <w:highlight w:val="none"/>
                <w:lang w:val="en-US" w:eastAsia="zh-CN"/>
              </w:rPr>
              <w:t>385</w:t>
            </w:r>
            <w:r>
              <w:rPr>
                <w:rFonts w:hint="default" w:ascii="Times New Roman" w:hAnsi="Times New Roman" w:cs="Times New Roman"/>
                <w:bCs/>
                <w:color w:val="auto"/>
                <w:highlight w:val="none"/>
              </w:rPr>
              <w:t>m</w:t>
            </w:r>
            <w:r>
              <w:rPr>
                <w:rFonts w:hint="default" w:ascii="Times New Roman" w:hAnsi="Times New Roman" w:cs="Times New Roman"/>
                <w:bCs/>
                <w:color w:val="auto"/>
                <w:highlight w:val="none"/>
                <w:lang w:val="en-US" w:eastAsia="zh-CN"/>
              </w:rPr>
              <w:t>的</w:t>
            </w:r>
            <w:r>
              <w:rPr>
                <w:rFonts w:hint="eastAsia" w:cs="Times New Roman"/>
                <w:bCs/>
                <w:color w:val="auto"/>
                <w:highlight w:val="none"/>
                <w:lang w:val="en-US" w:eastAsia="zh-CN"/>
              </w:rPr>
              <w:t>高粱头村</w:t>
            </w:r>
            <w:r>
              <w:rPr>
                <w:rFonts w:hint="default" w:ascii="Times New Roman" w:hAnsi="Times New Roman" w:cs="Times New Roman"/>
                <w:color w:val="auto"/>
                <w:highlight w:val="none"/>
              </w:rPr>
              <w:t>。</w:t>
            </w:r>
          </w:p>
          <w:p w14:paraId="7CC3789A">
            <w:pPr>
              <w:pStyle w:val="5"/>
              <w:numPr>
                <w:ilvl w:val="3"/>
                <w:numId w:val="0"/>
              </w:numPr>
              <w:suppressLineNumbers w:val="0"/>
              <w:spacing w:before="0" w:beforeAutospacing="0" w:after="0" w:afterAutospacing="0"/>
              <w:ind w:left="480" w:leftChars="200" w:right="0"/>
              <w:rPr>
                <w:rFonts w:hint="default" w:ascii="Times New Roman" w:hAnsi="Times New Roman" w:cs="Times New Roman"/>
                <w:color w:val="auto"/>
                <w:highlight w:val="none"/>
              </w:rPr>
            </w:pPr>
            <w:r>
              <w:rPr>
                <w:rFonts w:hint="default" w:ascii="Times New Roman" w:hAnsi="Times New Roman" w:cs="Times New Roman"/>
                <w:color w:val="auto"/>
                <w:highlight w:val="none"/>
              </w:rPr>
              <w:t>4、环境风险分析</w:t>
            </w:r>
          </w:p>
          <w:p w14:paraId="029A8CA5">
            <w:pPr>
              <w:pStyle w:val="6"/>
              <w:widowControl/>
              <w:numPr>
                <w:ilvl w:val="4"/>
                <w:numId w:val="0"/>
              </w:numPr>
              <w:suppressLineNumbers w:val="0"/>
              <w:spacing w:before="0" w:beforeAutospacing="0" w:after="0" w:afterAutospacing="0"/>
              <w:ind w:left="48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（1）大气环境风险分析</w:t>
            </w:r>
          </w:p>
          <w:p w14:paraId="4AEA0744">
            <w:pPr>
              <w:keepNext w:val="0"/>
              <w:keepLines w:val="0"/>
              <w:widowControl/>
              <w:suppressLineNumbers w:val="0"/>
              <w:spacing w:before="0" w:beforeAutospacing="0" w:after="0" w:afterAutospacing="0"/>
              <w:ind w:left="0" w:right="0" w:firstLine="48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物料在运输、装卸、储存和使用过程中发生泄漏、火灾，有毒有害物质在高温情况下散发到空气中，泄漏的物料、物料燃烧产生的次生污染物如烟尘、CO等将对周边的环境空气带来较为严重的污染甚至对人群健康造成危害。</w:t>
            </w:r>
          </w:p>
          <w:p w14:paraId="33BF35EA">
            <w:pPr>
              <w:pStyle w:val="6"/>
              <w:widowControl/>
              <w:numPr>
                <w:ilvl w:val="4"/>
                <w:numId w:val="0"/>
              </w:numPr>
              <w:suppressLineNumbers w:val="0"/>
              <w:spacing w:before="0" w:beforeAutospacing="0" w:after="0" w:afterAutospacing="0"/>
              <w:ind w:left="48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（2）地表水、地下水环境风险分析</w:t>
            </w:r>
          </w:p>
          <w:p w14:paraId="320B28EE">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液态有毒有害物质经地表径流或雨水管进入周边水体，或通过地表下渗污染地下水水质，严重污染河涌、水道水质，比如，液态有毒有害物质在运输、装卸、储存和使用过程中发生泄漏，危险废物仓库防渗层损坏等，对地表水、地下水环境带来较为严重的污染。本项目液态化学品均储存在厂房设置的化学品仓内，且出入口处设置围堰围挡，物料随用随取，不使用时密闭封存，本项目厂区内均已进行地面硬化，厂界四周设置围墙围挡。因此</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本项目</w:t>
            </w:r>
            <w:r>
              <w:rPr>
                <w:rFonts w:hint="default" w:ascii="Times New Roman" w:hAnsi="Times New Roman" w:cs="Times New Roman"/>
                <w:color w:val="auto"/>
                <w:highlight w:val="none"/>
              </w:rPr>
              <w:t>地表水、地下水环境污染途径</w:t>
            </w:r>
            <w:r>
              <w:rPr>
                <w:rFonts w:hint="default" w:ascii="Times New Roman" w:hAnsi="Times New Roman" w:cs="Times New Roman"/>
                <w:color w:val="auto"/>
                <w:highlight w:val="none"/>
                <w:lang w:val="en-US" w:eastAsia="zh-CN"/>
              </w:rPr>
              <w:t>较少，且有对应防范措施</w:t>
            </w:r>
            <w:r>
              <w:rPr>
                <w:rFonts w:hint="default" w:ascii="Times New Roman" w:hAnsi="Times New Roman" w:cs="Times New Roman"/>
                <w:color w:val="auto"/>
                <w:highlight w:val="none"/>
              </w:rPr>
              <w:t>。</w:t>
            </w:r>
          </w:p>
          <w:p w14:paraId="537EBAAF">
            <w:pPr>
              <w:pStyle w:val="5"/>
              <w:numPr>
                <w:ilvl w:val="3"/>
                <w:numId w:val="0"/>
              </w:numPr>
              <w:suppressLineNumbers w:val="0"/>
              <w:spacing w:before="0" w:beforeAutospacing="0" w:after="0" w:afterAutospacing="0"/>
              <w:ind w:left="480" w:leftChars="200" w:right="0"/>
              <w:rPr>
                <w:rFonts w:hint="default" w:ascii="Times New Roman" w:hAnsi="Times New Roman" w:cs="Times New Roman"/>
                <w:color w:val="auto"/>
                <w:highlight w:val="none"/>
              </w:rPr>
            </w:pPr>
            <w:r>
              <w:rPr>
                <w:rFonts w:hint="default" w:ascii="Times New Roman" w:hAnsi="Times New Roman" w:cs="Times New Roman"/>
                <w:color w:val="auto"/>
                <w:highlight w:val="none"/>
              </w:rPr>
              <w:t>5、环境风险防范措施及应急要求</w:t>
            </w:r>
          </w:p>
          <w:p w14:paraId="60E353AB">
            <w:pPr>
              <w:pStyle w:val="7"/>
              <w:numPr>
                <w:ilvl w:val="5"/>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①严格执行应急管理、消防等相关规范，从总图布置和建筑安全方面进行风险防范，预留疏散通道或安置场所。</w:t>
            </w:r>
          </w:p>
          <w:p w14:paraId="3D15CFD5">
            <w:pPr>
              <w:pStyle w:val="7"/>
              <w:numPr>
                <w:ilvl w:val="5"/>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②从优化改进生产工艺、减少储存量、改善储存条件等方面降低风险程度。</w:t>
            </w:r>
          </w:p>
          <w:p w14:paraId="0941EC02">
            <w:pPr>
              <w:pStyle w:val="7"/>
              <w:numPr>
                <w:ilvl w:val="5"/>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③加强日常管理，降低管理失误而出现的风险事故，提高员工规范性操作水平，减少误操作引发的风险事故。</w:t>
            </w:r>
          </w:p>
          <w:p w14:paraId="6D644402">
            <w:pPr>
              <w:pStyle w:val="7"/>
              <w:numPr>
                <w:ilvl w:val="5"/>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④根据贮存的相关要求进行贮存、使用，设置满足要求的围堰区。遵循“源头控制，分区防渗”的原则，做好仓库、车间、危废暂存间的防渗措施，满足相应标准要求。危废间在建筑物内部，达到防风防雨防晒要求，地面硬化并刷环氧树脂漆防渗，四周设置围堰，满足四防要求。</w:t>
            </w:r>
          </w:p>
          <w:p w14:paraId="509E8AEE">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项目风险防范措施详见下表：</w:t>
            </w:r>
          </w:p>
          <w:p w14:paraId="654B2391">
            <w:pPr>
              <w:pStyle w:val="46"/>
              <w:keepNext w:val="0"/>
              <w:keepLines w:val="0"/>
              <w:numPr>
                <w:ilvl w:val="0"/>
                <w:numId w:val="0"/>
              </w:numPr>
              <w:suppressLineNumbers w:val="0"/>
              <w:tabs>
                <w:tab w:val="left" w:pos="0"/>
              </w:tabs>
              <w:spacing w:before="0" w:beforeAutospacing="0" w:after="0" w:afterAutospacing="0"/>
              <w:ind w:left="0" w:leftChars="0" w:right="0" w:rightChars="0" w:firstLine="40" w:firstLineChars="0"/>
              <w:jc w:val="center"/>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bCs/>
                <w:color w:val="auto"/>
                <w:kern w:val="2"/>
                <w:sz w:val="21"/>
                <w:szCs w:val="21"/>
                <w:highlight w:val="none"/>
                <w:lang w:val="en-US" w:eastAsia="zh-CN" w:bidi="ar-SA"/>
              </w:rPr>
              <w:t>表4-</w:t>
            </w:r>
            <w:r>
              <w:rPr>
                <w:rFonts w:hint="eastAsia" w:ascii="Times New Roman" w:cs="Times New Roman"/>
                <w:b/>
                <w:bCs/>
                <w:color w:val="auto"/>
                <w:kern w:val="2"/>
                <w:sz w:val="21"/>
                <w:szCs w:val="21"/>
                <w:highlight w:val="none"/>
                <w:lang w:val="en-US" w:eastAsia="zh-CN" w:bidi="ar-SA"/>
              </w:rPr>
              <w:t xml:space="preserve">33 </w:t>
            </w:r>
            <w:r>
              <w:rPr>
                <w:rFonts w:hint="default" w:ascii="Times New Roman" w:hAnsi="Times New Roman" w:cs="Times New Roman"/>
                <w:b/>
                <w:bCs/>
                <w:color w:val="auto"/>
                <w:sz w:val="21"/>
                <w:szCs w:val="21"/>
                <w:highlight w:val="none"/>
              </w:rPr>
              <w:t>项目风险防范措施一览表</w:t>
            </w:r>
          </w:p>
          <w:tbl>
            <w:tblPr>
              <w:tblStyle w:val="4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2"/>
              <w:gridCol w:w="1082"/>
              <w:gridCol w:w="4043"/>
              <w:gridCol w:w="3352"/>
            </w:tblGrid>
            <w:tr w14:paraId="21EC60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5" w:type="pct"/>
                  <w:gridSpan w:val="2"/>
                  <w:vAlign w:val="center"/>
                </w:tcPr>
                <w:p w14:paraId="0A192FB3">
                  <w:pPr>
                    <w:pStyle w:val="51"/>
                    <w:keepNext w:val="0"/>
                    <w:keepLines w:val="0"/>
                    <w:suppressLineNumbers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环境风险因素</w:t>
                  </w:r>
                </w:p>
              </w:tc>
              <w:tc>
                <w:tcPr>
                  <w:tcW w:w="2216" w:type="pct"/>
                  <w:vAlign w:val="center"/>
                </w:tcPr>
                <w:p w14:paraId="69A4971F">
                  <w:pPr>
                    <w:pStyle w:val="51"/>
                    <w:keepNext w:val="0"/>
                    <w:keepLines w:val="0"/>
                    <w:suppressLineNumbers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环境风险影响</w:t>
                  </w:r>
                </w:p>
              </w:tc>
              <w:tc>
                <w:tcPr>
                  <w:tcW w:w="1837" w:type="pct"/>
                  <w:vAlign w:val="center"/>
                </w:tcPr>
                <w:p w14:paraId="288350EA">
                  <w:pPr>
                    <w:pStyle w:val="51"/>
                    <w:keepNext w:val="0"/>
                    <w:keepLines w:val="0"/>
                    <w:suppressLineNumbers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风险防范措施</w:t>
                  </w:r>
                </w:p>
              </w:tc>
            </w:tr>
            <w:tr w14:paraId="356936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2" w:type="pct"/>
                  <w:vMerge w:val="restart"/>
                  <w:vAlign w:val="center"/>
                </w:tcPr>
                <w:p w14:paraId="3EA07D8D">
                  <w:pPr>
                    <w:pStyle w:val="51"/>
                    <w:keepNext w:val="0"/>
                    <w:keepLines w:val="0"/>
                    <w:suppressLineNumbers w:val="0"/>
                    <w:spacing w:before="0" w:beforeAutospacing="0" w:after="0" w:afterAutospacing="0"/>
                    <w:ind w:left="0" w:right="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储运工程</w:t>
                  </w:r>
                </w:p>
              </w:tc>
              <w:tc>
                <w:tcPr>
                  <w:tcW w:w="593" w:type="pct"/>
                  <w:vAlign w:val="center"/>
                </w:tcPr>
                <w:p w14:paraId="39768750">
                  <w:pPr>
                    <w:pStyle w:val="51"/>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cs="Times New Roman"/>
                      <w:b w:val="0"/>
                      <w:bCs w:val="0"/>
                      <w:color w:val="auto"/>
                      <w:sz w:val="21"/>
                      <w:szCs w:val="21"/>
                      <w:highlight w:val="none"/>
                    </w:rPr>
                    <w:t>原辅材料</w:t>
                  </w:r>
                  <w:r>
                    <w:rPr>
                      <w:rFonts w:hint="default" w:ascii="Times New Roman" w:hAnsi="Times New Roman" w:cs="Times New Roman"/>
                      <w:b w:val="0"/>
                      <w:bCs w:val="0"/>
                      <w:color w:val="auto"/>
                      <w:sz w:val="21"/>
                      <w:szCs w:val="21"/>
                      <w:highlight w:val="none"/>
                      <w:lang w:eastAsia="zh-CN"/>
                    </w:rPr>
                    <w:t>泄漏</w:t>
                  </w:r>
                </w:p>
              </w:tc>
              <w:tc>
                <w:tcPr>
                  <w:tcW w:w="2216" w:type="pct"/>
                  <w:vAlign w:val="center"/>
                </w:tcPr>
                <w:p w14:paraId="1DDA0627">
                  <w:pPr>
                    <w:pStyle w:val="51"/>
                    <w:keepNext w:val="0"/>
                    <w:keepLines w:val="0"/>
                    <w:suppressLineNumbers w:val="0"/>
                    <w:spacing w:before="0" w:beforeAutospacing="0" w:after="0" w:afterAutospacing="0"/>
                    <w:ind w:left="0" w:right="0"/>
                    <w:jc w:val="center"/>
                    <w:rPr>
                      <w:rFonts w:hint="default" w:ascii="Times New Roman" w:hAnsi="Times New Roman" w:cs="Times New Roman"/>
                      <w:b w:val="0"/>
                      <w:bCs w:val="0"/>
                      <w:color w:val="auto"/>
                      <w:sz w:val="21"/>
                      <w:szCs w:val="21"/>
                      <w:highlight w:val="none"/>
                    </w:rPr>
                  </w:pPr>
                  <w:r>
                    <w:rPr>
                      <w:rFonts w:hint="eastAsia" w:ascii="Times New Roman" w:cs="Times New Roman"/>
                      <w:b w:val="0"/>
                      <w:bCs w:val="0"/>
                      <w:color w:val="auto"/>
                      <w:sz w:val="21"/>
                      <w:szCs w:val="21"/>
                      <w:highlight w:val="none"/>
                      <w:lang w:val="en-US" w:eastAsia="zh-CN"/>
                    </w:rPr>
                    <w:t>机油、柴油、硫酸</w:t>
                  </w:r>
                  <w:r>
                    <w:rPr>
                      <w:rFonts w:hint="default" w:ascii="Times New Roman" w:hAnsi="Times New Roman" w:cs="Times New Roman"/>
                      <w:b w:val="0"/>
                      <w:bCs w:val="0"/>
                      <w:color w:val="auto"/>
                      <w:sz w:val="21"/>
                      <w:szCs w:val="21"/>
                      <w:highlight w:val="none"/>
                    </w:rPr>
                    <w:t>等物质在存储、使用、转运过程中</w:t>
                  </w:r>
                </w:p>
              </w:tc>
              <w:tc>
                <w:tcPr>
                  <w:tcW w:w="1837" w:type="pct"/>
                  <w:vAlign w:val="center"/>
                </w:tcPr>
                <w:p w14:paraId="2D7423FF">
                  <w:pPr>
                    <w:pStyle w:val="51"/>
                    <w:keepNext w:val="0"/>
                    <w:keepLines w:val="0"/>
                    <w:suppressLineNumbers w:val="0"/>
                    <w:spacing w:before="0" w:beforeAutospacing="0" w:after="0" w:afterAutospacing="0"/>
                    <w:ind w:left="0" w:right="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原料区</w:t>
                  </w:r>
                  <w:r>
                    <w:rPr>
                      <w:rFonts w:hint="default" w:ascii="Times New Roman" w:hAnsi="Times New Roman" w:cs="Times New Roman"/>
                      <w:b w:val="0"/>
                      <w:bCs w:val="0"/>
                      <w:color w:val="auto"/>
                      <w:sz w:val="21"/>
                      <w:szCs w:val="21"/>
                      <w:highlight w:val="none"/>
                      <w:lang w:val="en-US" w:eastAsia="zh-CN"/>
                    </w:rPr>
                    <w:t>中用于储存危险化学品的化学品仓</w:t>
                  </w:r>
                  <w:r>
                    <w:rPr>
                      <w:rFonts w:hint="default" w:ascii="Times New Roman" w:hAnsi="Times New Roman" w:cs="Times New Roman"/>
                      <w:b w:val="0"/>
                      <w:bCs w:val="0"/>
                      <w:color w:val="auto"/>
                      <w:sz w:val="21"/>
                      <w:szCs w:val="21"/>
                      <w:highlight w:val="none"/>
                    </w:rPr>
                    <w:t>进行</w:t>
                  </w:r>
                  <w:r>
                    <w:rPr>
                      <w:rFonts w:hint="default" w:ascii="Times New Roman" w:hAnsi="Times New Roman" w:cs="Times New Roman"/>
                      <w:b w:val="0"/>
                      <w:bCs w:val="0"/>
                      <w:color w:val="auto"/>
                      <w:sz w:val="21"/>
                      <w:szCs w:val="21"/>
                      <w:highlight w:val="none"/>
                      <w:lang w:val="en-US" w:eastAsia="zh-CN"/>
                    </w:rPr>
                    <w:t>重点防渗，并设置围堰，其余区域作</w:t>
                  </w:r>
                  <w:r>
                    <w:rPr>
                      <w:rFonts w:hint="default" w:ascii="Times New Roman" w:hAnsi="Times New Roman" w:cs="Times New Roman"/>
                      <w:b w:val="0"/>
                      <w:bCs w:val="0"/>
                      <w:color w:val="auto"/>
                      <w:sz w:val="21"/>
                      <w:szCs w:val="21"/>
                      <w:highlight w:val="none"/>
                    </w:rPr>
                    <w:t>一般防渗，安全操作；配备一定的环境应急物资</w:t>
                  </w:r>
                </w:p>
              </w:tc>
            </w:tr>
            <w:tr w14:paraId="4AA805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2" w:type="pct"/>
                  <w:vMerge w:val="continue"/>
                  <w:vAlign w:val="center"/>
                </w:tcPr>
                <w:p w14:paraId="40BCD108">
                  <w:pPr>
                    <w:pStyle w:val="51"/>
                    <w:keepNext w:val="0"/>
                    <w:keepLines w:val="0"/>
                    <w:suppressLineNumbers w:val="0"/>
                    <w:spacing w:before="0" w:beforeAutospacing="0" w:after="0" w:afterAutospacing="0"/>
                    <w:ind w:right="0"/>
                    <w:jc w:val="center"/>
                    <w:rPr>
                      <w:rFonts w:hint="default" w:ascii="Times New Roman" w:hAnsi="Times New Roman" w:cs="Times New Roman"/>
                      <w:b w:val="0"/>
                      <w:bCs w:val="0"/>
                      <w:color w:val="auto"/>
                      <w:sz w:val="21"/>
                      <w:szCs w:val="21"/>
                      <w:highlight w:val="none"/>
                    </w:rPr>
                  </w:pPr>
                </w:p>
              </w:tc>
              <w:tc>
                <w:tcPr>
                  <w:tcW w:w="593" w:type="pct"/>
                  <w:vAlign w:val="center"/>
                </w:tcPr>
                <w:p w14:paraId="454F2FEF">
                  <w:pPr>
                    <w:pStyle w:val="51"/>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cs="Times New Roman"/>
                      <w:b w:val="0"/>
                      <w:bCs w:val="0"/>
                      <w:color w:val="auto"/>
                      <w:sz w:val="21"/>
                      <w:szCs w:val="21"/>
                      <w:highlight w:val="none"/>
                    </w:rPr>
                    <w:t>危险废物</w:t>
                  </w:r>
                  <w:r>
                    <w:rPr>
                      <w:rFonts w:hint="default" w:ascii="Times New Roman" w:hAnsi="Times New Roman" w:cs="Times New Roman"/>
                      <w:b w:val="0"/>
                      <w:bCs w:val="0"/>
                      <w:color w:val="auto"/>
                      <w:sz w:val="21"/>
                      <w:szCs w:val="21"/>
                      <w:highlight w:val="none"/>
                      <w:lang w:eastAsia="zh-CN"/>
                    </w:rPr>
                    <w:t>泄漏</w:t>
                  </w:r>
                </w:p>
              </w:tc>
              <w:tc>
                <w:tcPr>
                  <w:tcW w:w="2216" w:type="pct"/>
                  <w:vAlign w:val="center"/>
                </w:tcPr>
                <w:p w14:paraId="21418F99">
                  <w:pPr>
                    <w:pStyle w:val="51"/>
                    <w:keepNext w:val="0"/>
                    <w:keepLines w:val="0"/>
                    <w:suppressLineNumbers w:val="0"/>
                    <w:spacing w:before="0" w:beforeAutospacing="0" w:after="0" w:afterAutospacing="0"/>
                    <w:ind w:left="0" w:right="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危险废物在存储、转运过程中发生</w:t>
                  </w:r>
                  <w:r>
                    <w:rPr>
                      <w:rFonts w:hint="default" w:ascii="Times New Roman" w:hAnsi="Times New Roman" w:cs="Times New Roman"/>
                      <w:b w:val="0"/>
                      <w:bCs w:val="0"/>
                      <w:color w:val="auto"/>
                      <w:sz w:val="21"/>
                      <w:szCs w:val="21"/>
                      <w:highlight w:val="none"/>
                      <w:lang w:eastAsia="zh-CN"/>
                    </w:rPr>
                    <w:t>泄漏</w:t>
                  </w:r>
                  <w:r>
                    <w:rPr>
                      <w:rFonts w:hint="default" w:ascii="Times New Roman" w:hAnsi="Times New Roman" w:cs="Times New Roman"/>
                      <w:b w:val="0"/>
                      <w:bCs w:val="0"/>
                      <w:color w:val="auto"/>
                      <w:sz w:val="21"/>
                      <w:szCs w:val="21"/>
                      <w:highlight w:val="none"/>
                    </w:rPr>
                    <w:t>事件，导致项目有毒有害物质经地表径流或雨水管道进入周边水体或通过地表下渗污染地下水水质</w:t>
                  </w:r>
                </w:p>
              </w:tc>
              <w:tc>
                <w:tcPr>
                  <w:tcW w:w="1837" w:type="pct"/>
                  <w:vAlign w:val="center"/>
                </w:tcPr>
                <w:p w14:paraId="2AF6EA63">
                  <w:pPr>
                    <w:pStyle w:val="51"/>
                    <w:keepNext w:val="0"/>
                    <w:keepLines w:val="0"/>
                    <w:suppressLineNumbers w:val="0"/>
                    <w:spacing w:before="0" w:beforeAutospacing="0" w:after="0" w:afterAutospacing="0"/>
                    <w:ind w:left="0" w:right="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危废间进行重点防渗，安全操作配备一定的环境应急物资</w:t>
                  </w:r>
                </w:p>
              </w:tc>
            </w:tr>
            <w:tr w14:paraId="20DE39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2" w:type="pct"/>
                  <w:vMerge w:val="restart"/>
                  <w:vAlign w:val="center"/>
                </w:tcPr>
                <w:p w14:paraId="42E3144F">
                  <w:pPr>
                    <w:pStyle w:val="51"/>
                    <w:keepNext w:val="0"/>
                    <w:keepLines w:val="0"/>
                    <w:suppressLineNumbers w:val="0"/>
                    <w:spacing w:before="0" w:beforeAutospacing="0" w:after="0" w:afterAutospacing="0"/>
                    <w:ind w:left="0" w:right="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环保工程</w:t>
                  </w:r>
                </w:p>
              </w:tc>
              <w:tc>
                <w:tcPr>
                  <w:tcW w:w="593" w:type="pct"/>
                  <w:vAlign w:val="center"/>
                </w:tcPr>
                <w:p w14:paraId="0988C6CA">
                  <w:pPr>
                    <w:pStyle w:val="51"/>
                    <w:keepNext w:val="0"/>
                    <w:keepLines w:val="0"/>
                    <w:suppressLineNumbers w:val="0"/>
                    <w:spacing w:before="0" w:beforeAutospacing="0" w:after="0" w:afterAutospacing="0"/>
                    <w:ind w:left="0" w:right="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废气处理措施故障</w:t>
                  </w:r>
                </w:p>
              </w:tc>
              <w:tc>
                <w:tcPr>
                  <w:tcW w:w="2216" w:type="pct"/>
                  <w:vAlign w:val="center"/>
                </w:tcPr>
                <w:p w14:paraId="092D4514">
                  <w:pPr>
                    <w:pStyle w:val="51"/>
                    <w:keepNext w:val="0"/>
                    <w:keepLines w:val="0"/>
                    <w:suppressLineNumbers w:val="0"/>
                    <w:spacing w:before="0" w:beforeAutospacing="0" w:after="0" w:afterAutospacing="0"/>
                    <w:ind w:left="0" w:right="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废气超标排放，影响区域大气环境</w:t>
                  </w:r>
                </w:p>
              </w:tc>
              <w:tc>
                <w:tcPr>
                  <w:tcW w:w="1837" w:type="pct"/>
                  <w:vAlign w:val="center"/>
                </w:tcPr>
                <w:p w14:paraId="1F8E5DAF">
                  <w:pPr>
                    <w:pStyle w:val="51"/>
                    <w:keepNext w:val="0"/>
                    <w:keepLines w:val="0"/>
                    <w:suppressLineNumbers w:val="0"/>
                    <w:spacing w:before="0" w:beforeAutospacing="0" w:after="0" w:afterAutospacing="0"/>
                    <w:ind w:left="0" w:right="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定期进行检修，及时排除故障，废气处理设施故障时及时停产检修</w:t>
                  </w:r>
                </w:p>
              </w:tc>
            </w:tr>
            <w:tr w14:paraId="250ACD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2" w:type="pct"/>
                  <w:vMerge w:val="continue"/>
                  <w:vAlign w:val="center"/>
                </w:tcPr>
                <w:p w14:paraId="23721E6A">
                  <w:pPr>
                    <w:pStyle w:val="51"/>
                    <w:keepNext w:val="0"/>
                    <w:keepLines w:val="0"/>
                    <w:suppressLineNumbers w:val="0"/>
                    <w:spacing w:before="0" w:beforeAutospacing="0" w:after="0" w:afterAutospacing="0"/>
                    <w:ind w:right="0"/>
                    <w:jc w:val="center"/>
                    <w:rPr>
                      <w:rFonts w:hint="default" w:ascii="Times New Roman" w:hAnsi="Times New Roman" w:cs="Times New Roman"/>
                      <w:b w:val="0"/>
                      <w:bCs w:val="0"/>
                      <w:color w:val="auto"/>
                      <w:sz w:val="21"/>
                      <w:szCs w:val="21"/>
                      <w:highlight w:val="none"/>
                    </w:rPr>
                  </w:pPr>
                </w:p>
              </w:tc>
              <w:tc>
                <w:tcPr>
                  <w:tcW w:w="593" w:type="pct"/>
                  <w:vAlign w:val="center"/>
                </w:tcPr>
                <w:p w14:paraId="0B32F9F2">
                  <w:pPr>
                    <w:pStyle w:val="51"/>
                    <w:keepNext w:val="0"/>
                    <w:keepLines w:val="0"/>
                    <w:suppressLineNumbers w:val="0"/>
                    <w:spacing w:before="0" w:beforeAutospacing="0" w:after="0" w:afterAutospacing="0"/>
                    <w:ind w:left="0" w:right="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废水处理措施故障</w:t>
                  </w:r>
                </w:p>
              </w:tc>
              <w:tc>
                <w:tcPr>
                  <w:tcW w:w="2216" w:type="pct"/>
                  <w:vAlign w:val="center"/>
                </w:tcPr>
                <w:p w14:paraId="1C966A81">
                  <w:pPr>
                    <w:pStyle w:val="51"/>
                    <w:keepNext w:val="0"/>
                    <w:keepLines w:val="0"/>
                    <w:suppressLineNumbers w:val="0"/>
                    <w:spacing w:before="0" w:beforeAutospacing="0" w:after="0" w:afterAutospacing="0"/>
                    <w:ind w:left="0" w:right="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废水超标排放，影响地表水环境；发生</w:t>
                  </w:r>
                  <w:r>
                    <w:rPr>
                      <w:rFonts w:hint="default" w:ascii="Times New Roman" w:hAnsi="Times New Roman" w:cs="Times New Roman"/>
                      <w:b w:val="0"/>
                      <w:bCs w:val="0"/>
                      <w:color w:val="auto"/>
                      <w:sz w:val="21"/>
                      <w:szCs w:val="21"/>
                      <w:highlight w:val="none"/>
                      <w:lang w:eastAsia="zh-CN"/>
                    </w:rPr>
                    <w:t>泄漏</w:t>
                  </w:r>
                  <w:r>
                    <w:rPr>
                      <w:rFonts w:hint="default" w:ascii="Times New Roman" w:hAnsi="Times New Roman" w:cs="Times New Roman"/>
                      <w:b w:val="0"/>
                      <w:bCs w:val="0"/>
                      <w:color w:val="auto"/>
                      <w:sz w:val="21"/>
                      <w:szCs w:val="21"/>
                      <w:highlight w:val="none"/>
                    </w:rPr>
                    <w:t>事故，导致废水经地表径流或雨水管道进入周边水体或通过地表下渗污染地下水水质</w:t>
                  </w:r>
                </w:p>
              </w:tc>
              <w:tc>
                <w:tcPr>
                  <w:tcW w:w="1837" w:type="pct"/>
                  <w:vAlign w:val="center"/>
                </w:tcPr>
                <w:p w14:paraId="37673747">
                  <w:pPr>
                    <w:pStyle w:val="51"/>
                    <w:keepNext w:val="0"/>
                    <w:keepLines w:val="0"/>
                    <w:suppressLineNumbers w:val="0"/>
                    <w:spacing w:before="0" w:beforeAutospacing="0" w:after="0" w:afterAutospacing="0"/>
                    <w:ind w:left="0" w:right="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定期进行检修，及时排除故障，废水处理设施故障时及时停产检修。</w:t>
                  </w:r>
                </w:p>
              </w:tc>
            </w:tr>
          </w:tbl>
          <w:p w14:paraId="2186DFA0">
            <w:pPr>
              <w:pStyle w:val="51"/>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cs="Times New Roman"/>
                <w:b w:val="0"/>
                <w:bCs w:val="0"/>
                <w:color w:val="auto"/>
                <w:sz w:val="24"/>
                <w:szCs w:val="21"/>
                <w:highlight w:val="none"/>
              </w:rPr>
              <w:t>⑤事故应急池：</w:t>
            </w:r>
          </w:p>
          <w:p w14:paraId="4CB08E71">
            <w:pPr>
              <w:pStyle w:val="5"/>
              <w:numPr>
                <w:ilvl w:val="3"/>
                <w:numId w:val="0"/>
              </w:numPr>
              <w:suppressLineNumbers w:val="0"/>
              <w:spacing w:before="0" w:beforeAutospacing="0" w:after="0" w:afterAutospacing="0"/>
              <w:ind w:right="0" w:firstLine="480" w:firstLineChars="200"/>
              <w:rPr>
                <w:rFonts w:hint="default" w:ascii="Times New Roman" w:hAnsi="Times New Roman" w:cs="Times New Roman"/>
                <w:b w:val="0"/>
                <w:bCs w:val="0"/>
                <w:color w:val="auto"/>
                <w:sz w:val="24"/>
                <w:szCs w:val="24"/>
                <w:highlight w:val="none"/>
                <w:lang w:eastAsia="zh-CN"/>
              </w:rPr>
            </w:pPr>
            <w:r>
              <w:rPr>
                <w:rFonts w:hint="default" w:ascii="Times New Roman" w:hAnsi="Times New Roman" w:cs="Times New Roman"/>
                <w:b w:val="0"/>
                <w:bCs w:val="0"/>
                <w:color w:val="auto"/>
                <w:sz w:val="24"/>
                <w:szCs w:val="24"/>
                <w:highlight w:val="none"/>
              </w:rPr>
              <w:t>本项目设有1个有效容积为</w:t>
            </w:r>
            <w:r>
              <w:rPr>
                <w:rFonts w:hint="default" w:ascii="Times New Roman" w:hAnsi="Times New Roman" w:cs="Times New Roman"/>
                <w:b w:val="0"/>
                <w:bCs w:val="0"/>
                <w:color w:val="auto"/>
                <w:sz w:val="24"/>
                <w:szCs w:val="24"/>
                <w:highlight w:val="none"/>
                <w:lang w:val="en-US" w:eastAsia="zh-CN"/>
              </w:rPr>
              <w:t>350</w:t>
            </w:r>
            <w:r>
              <w:rPr>
                <w:rFonts w:hint="default" w:ascii="Times New Roman" w:hAnsi="Times New Roman" w:cs="Times New Roman"/>
                <w:b w:val="0"/>
                <w:bCs w:val="0"/>
                <w:color w:val="auto"/>
                <w:sz w:val="24"/>
                <w:szCs w:val="24"/>
                <w:highlight w:val="none"/>
              </w:rPr>
              <w:t>m</w:t>
            </w:r>
            <w:r>
              <w:rPr>
                <w:rFonts w:hint="default" w:ascii="Times New Roman" w:hAnsi="Times New Roman" w:cs="Times New Roman"/>
                <w:b w:val="0"/>
                <w:bCs w:val="0"/>
                <w:color w:val="auto"/>
                <w:sz w:val="24"/>
                <w:szCs w:val="24"/>
                <w:highlight w:val="none"/>
                <w:vertAlign w:val="superscript"/>
              </w:rPr>
              <w:t>3</w:t>
            </w:r>
            <w:r>
              <w:rPr>
                <w:rFonts w:hint="default" w:ascii="Times New Roman" w:hAnsi="Times New Roman" w:cs="Times New Roman"/>
                <w:b w:val="0"/>
                <w:bCs w:val="0"/>
                <w:color w:val="auto"/>
                <w:sz w:val="24"/>
                <w:szCs w:val="24"/>
                <w:highlight w:val="none"/>
              </w:rPr>
              <w:t>的事故应急池</w:t>
            </w:r>
            <w:r>
              <w:rPr>
                <w:rFonts w:hint="eastAsia" w:cs="Times New Roman"/>
                <w:b w:val="0"/>
                <w:bCs w:val="0"/>
                <w:color w:val="auto"/>
                <w:sz w:val="24"/>
                <w:szCs w:val="24"/>
                <w:highlight w:val="none"/>
                <w:lang w:eastAsia="zh-CN"/>
              </w:rPr>
              <w:t>，</w:t>
            </w:r>
            <w:r>
              <w:rPr>
                <w:rFonts w:hint="eastAsia" w:cs="Times New Roman"/>
                <w:b w:val="0"/>
                <w:bCs w:val="0"/>
                <w:color w:val="auto"/>
                <w:sz w:val="24"/>
                <w:szCs w:val="24"/>
                <w:highlight w:val="none"/>
                <w:lang w:val="en-US" w:eastAsia="zh-CN"/>
              </w:rPr>
              <w:t>大于所需的事故储存设施总有效容积</w:t>
            </w:r>
            <w:r>
              <w:rPr>
                <w:rFonts w:hint="default" w:ascii="Times New Roman" w:hAnsi="Times New Roman" w:cs="Times New Roman"/>
                <w:b w:val="0"/>
                <w:bCs w:val="0"/>
                <w:color w:val="auto"/>
                <w:sz w:val="24"/>
                <w:szCs w:val="24"/>
                <w:highlight w:val="none"/>
                <w:lang w:eastAsia="zh-CN"/>
              </w:rPr>
              <w:t>，</w:t>
            </w:r>
            <w:r>
              <w:rPr>
                <w:rFonts w:hint="default" w:ascii="Times New Roman" w:hAnsi="Times New Roman" w:cs="Times New Roman"/>
                <w:b w:val="0"/>
                <w:bCs w:val="0"/>
                <w:color w:val="auto"/>
                <w:sz w:val="24"/>
                <w:szCs w:val="24"/>
                <w:highlight w:val="none"/>
              </w:rPr>
              <w:t>且本项目厂房设有围堰及沙包等应急措施及物资。当发生事故时，泄漏物料、消防废水等事故废水均能截留在厂区内。园区定期对事故应急系统进行排查，发现存在问题，马上进行检修，确保事故时能有效运行</w:t>
            </w:r>
            <w:r>
              <w:rPr>
                <w:rFonts w:hint="default" w:ascii="Times New Roman" w:hAnsi="Times New Roman" w:cs="Times New Roman"/>
                <w:b w:val="0"/>
                <w:bCs w:val="0"/>
                <w:color w:val="auto"/>
                <w:sz w:val="24"/>
                <w:szCs w:val="24"/>
                <w:highlight w:val="none"/>
                <w:lang w:eastAsia="zh-CN"/>
              </w:rPr>
              <w:t>。</w:t>
            </w:r>
          </w:p>
          <w:p w14:paraId="034EA98D">
            <w:pPr>
              <w:pStyle w:val="5"/>
              <w:numPr>
                <w:ilvl w:val="3"/>
                <w:numId w:val="0"/>
              </w:numPr>
              <w:suppressLineNumbers w:val="0"/>
              <w:spacing w:before="0" w:beforeAutospacing="0" w:after="0" w:afterAutospacing="0"/>
              <w:ind w:right="0" w:firstLine="480" w:firstLineChars="200"/>
              <w:rPr>
                <w:rFonts w:hint="eastAsia" w:cs="Times New Roman"/>
                <w:b w:val="0"/>
                <w:bCs w:val="0"/>
                <w:color w:val="auto"/>
                <w:sz w:val="24"/>
                <w:szCs w:val="24"/>
                <w:highlight w:val="none"/>
                <w:lang w:val="en-US" w:eastAsia="zh-CN"/>
              </w:rPr>
            </w:pPr>
            <w:r>
              <w:rPr>
                <w:rFonts w:hint="eastAsia" w:cs="Times New Roman"/>
                <w:b w:val="0"/>
                <w:bCs w:val="0"/>
                <w:color w:val="auto"/>
                <w:sz w:val="24"/>
                <w:szCs w:val="24"/>
                <w:highlight w:val="none"/>
                <w:lang w:val="en-US" w:eastAsia="zh-CN"/>
              </w:rPr>
              <w:t>经前文分析，本项目进入废水处理站的生产废水量为203.32m</w:t>
            </w:r>
            <w:r>
              <w:rPr>
                <w:rFonts w:hint="eastAsia" w:cs="Times New Roman"/>
                <w:b w:val="0"/>
                <w:bCs w:val="0"/>
                <w:color w:val="auto"/>
                <w:sz w:val="24"/>
                <w:szCs w:val="24"/>
                <w:highlight w:val="none"/>
                <w:vertAlign w:val="superscript"/>
                <w:lang w:val="en-US" w:eastAsia="zh-CN"/>
              </w:rPr>
              <w:t>3</w:t>
            </w:r>
            <w:r>
              <w:rPr>
                <w:rFonts w:hint="eastAsia" w:cs="Times New Roman"/>
                <w:b w:val="0"/>
                <w:bCs w:val="0"/>
                <w:color w:val="auto"/>
                <w:sz w:val="24"/>
                <w:szCs w:val="24"/>
                <w:highlight w:val="none"/>
                <w:lang w:val="en-US" w:eastAsia="zh-CN"/>
              </w:rPr>
              <w:t>/d（24h）＜350m</w:t>
            </w:r>
            <w:r>
              <w:rPr>
                <w:rFonts w:hint="eastAsia" w:cs="Times New Roman"/>
                <w:b w:val="0"/>
                <w:bCs w:val="0"/>
                <w:color w:val="auto"/>
                <w:sz w:val="24"/>
                <w:szCs w:val="24"/>
                <w:highlight w:val="none"/>
                <w:vertAlign w:val="superscript"/>
                <w:lang w:val="en-US" w:eastAsia="zh-CN"/>
              </w:rPr>
              <w:t>3</w:t>
            </w:r>
            <w:r>
              <w:rPr>
                <w:rFonts w:hint="eastAsia" w:cs="Times New Roman"/>
                <w:b w:val="0"/>
                <w:bCs w:val="0"/>
                <w:color w:val="auto"/>
                <w:sz w:val="24"/>
                <w:szCs w:val="24"/>
                <w:highlight w:val="none"/>
                <w:lang w:val="en-US" w:eastAsia="zh-CN"/>
              </w:rPr>
              <w:t>，本项目设置的应急事故水池的容积满足要求。</w:t>
            </w:r>
          </w:p>
          <w:p w14:paraId="2C1809C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firstLineChars="200"/>
              <w:textAlignment w:val="auto"/>
              <w:rPr>
                <w:rFonts w:hint="default"/>
                <w:color w:val="auto"/>
                <w:highlight w:val="none"/>
                <w:lang w:val="en-US" w:eastAsia="zh-CN"/>
              </w:rPr>
            </w:pPr>
            <w:r>
              <w:rPr>
                <w:rFonts w:hint="default" w:ascii="Times New Roman" w:hAnsi="Times New Roman" w:eastAsia="宋体" w:cs="Times New Roman"/>
                <w:color w:val="auto"/>
                <w:kern w:val="2"/>
                <w:sz w:val="24"/>
                <w:szCs w:val="24"/>
                <w:highlight w:val="none"/>
                <w:lang w:val="en-US" w:eastAsia="zh-CN" w:bidi="ar-SA"/>
              </w:rPr>
              <w:t>综上，本项目设置的应急事故水池是合理的。采取以上措施后，只要严格按照事故应急预案进行处置，一般可认为此类事故对环境的影响不大。为了防止事故状态下事故废水排入地表水体中，企业必须严格执行环境风险防控措施，并加强环境管理，确保发生事故时事故废水可控制在厂区范围内。</w:t>
            </w:r>
          </w:p>
          <w:p w14:paraId="405015B2">
            <w:pPr>
              <w:pStyle w:val="5"/>
              <w:numPr>
                <w:ilvl w:val="3"/>
                <w:numId w:val="0"/>
              </w:numPr>
              <w:suppressLineNumbers w:val="0"/>
              <w:spacing w:before="0" w:beforeAutospacing="0" w:after="0" w:afterAutospacing="0"/>
              <w:ind w:left="480" w:leftChars="200" w:right="0"/>
              <w:rPr>
                <w:rFonts w:hint="default" w:ascii="Times New Roman" w:hAnsi="Times New Roman" w:eastAsia="宋体" w:cs="Times New Roman"/>
                <w:color w:val="auto"/>
                <w:kern w:val="2"/>
                <w:sz w:val="24"/>
                <w:highlight w:val="none"/>
                <w:lang w:val="en-US" w:eastAsia="zh-CN"/>
              </w:rPr>
            </w:pPr>
            <w:r>
              <w:rPr>
                <w:rFonts w:hint="default" w:ascii="Times New Roman" w:hAnsi="Times New Roman" w:cs="Times New Roman"/>
                <w:color w:val="auto"/>
                <w:kern w:val="2"/>
                <w:sz w:val="24"/>
                <w:highlight w:val="none"/>
                <w:lang w:val="en-US" w:eastAsia="zh-CN"/>
              </w:rPr>
              <w:t>6</w:t>
            </w:r>
            <w:r>
              <w:rPr>
                <w:rFonts w:hint="default" w:ascii="Times New Roman" w:hAnsi="Times New Roman" w:eastAsia="宋体" w:cs="Times New Roman"/>
                <w:color w:val="auto"/>
                <w:kern w:val="2"/>
                <w:sz w:val="24"/>
                <w:highlight w:val="none"/>
                <w:lang w:val="en-US" w:eastAsia="zh-CN"/>
              </w:rPr>
              <w:t>、项目</w:t>
            </w:r>
            <w:r>
              <w:rPr>
                <w:rFonts w:hint="default" w:ascii="Times New Roman" w:hAnsi="Times New Roman" w:eastAsia="宋体" w:cs="Times New Roman"/>
                <w:color w:val="auto"/>
                <w:highlight w:val="none"/>
              </w:rPr>
              <w:t>制定突发环境事件应急措施</w:t>
            </w:r>
          </w:p>
          <w:p w14:paraId="0E0CB4E1">
            <w:pPr>
              <w:pStyle w:val="46"/>
              <w:keepNext w:val="0"/>
              <w:keepLines w:val="0"/>
              <w:suppressLineNumbers w:val="0"/>
              <w:spacing w:before="0" w:beforeAutospacing="0" w:after="0" w:afterAutospacing="0"/>
              <w:ind w:left="0" w:right="0" w:firstLine="480" w:firstLineChars="200"/>
              <w:rPr>
                <w:rFonts w:hint="default" w:ascii="Times New Roman" w:hAnsi="Times New Roman" w:eastAsia="宋体" w:cs="Times New Roman"/>
                <w:color w:val="auto"/>
                <w:kern w:val="2"/>
                <w:sz w:val="24"/>
                <w:highlight w:val="none"/>
                <w:lang w:eastAsia="zh-CN"/>
              </w:rPr>
            </w:pPr>
            <w:r>
              <w:rPr>
                <w:rFonts w:hint="default" w:ascii="Times New Roman" w:hAnsi="Times New Roman" w:eastAsia="宋体" w:cs="Times New Roman"/>
                <w:color w:val="auto"/>
                <w:kern w:val="2"/>
                <w:sz w:val="24"/>
                <w:highlight w:val="none"/>
              </w:rPr>
              <w:t>为有效防范突发环境事件的发生，及时、合理处置可能发生的各类重大、特大环境污染事故，保障人民群众身心健康及正常生产、生活活动，</w:t>
            </w:r>
            <w:r>
              <w:rPr>
                <w:rFonts w:hint="default" w:ascii="Times New Roman" w:hAnsi="Times New Roman" w:eastAsia="宋体" w:cs="Times New Roman"/>
                <w:color w:val="auto"/>
                <w:kern w:val="2"/>
                <w:sz w:val="24"/>
                <w:highlight w:val="none"/>
                <w:lang w:eastAsia="zh-CN"/>
              </w:rPr>
              <w:t>本项目</w:t>
            </w:r>
            <w:r>
              <w:rPr>
                <w:rFonts w:hint="default" w:ascii="Times New Roman" w:hAnsi="Times New Roman" w:eastAsia="宋体" w:cs="Times New Roman"/>
                <w:color w:val="auto"/>
                <w:kern w:val="2"/>
                <w:sz w:val="24"/>
                <w:highlight w:val="none"/>
              </w:rPr>
              <w:t>应依据《中华人民共和国环境保护法》</w:t>
            </w:r>
            <w:r>
              <w:rPr>
                <w:rFonts w:hint="default" w:ascii="Times New Roman" w:hAnsi="Times New Roman" w:eastAsia="宋体" w:cs="Times New Roman"/>
                <w:color w:val="auto"/>
                <w:kern w:val="2"/>
                <w:sz w:val="24"/>
                <w:highlight w:val="none"/>
                <w:lang w:eastAsia="zh-CN"/>
              </w:rPr>
              <w:t>及相关法律</w:t>
            </w:r>
            <w:r>
              <w:rPr>
                <w:rFonts w:hint="default" w:ascii="Times New Roman" w:hAnsi="Times New Roman" w:eastAsia="宋体" w:cs="Times New Roman"/>
                <w:color w:val="auto"/>
                <w:kern w:val="2"/>
                <w:sz w:val="24"/>
                <w:highlight w:val="none"/>
              </w:rPr>
              <w:t>的规定，制定本项目的应急预案，详见</w:t>
            </w:r>
            <w:r>
              <w:rPr>
                <w:rFonts w:hint="default" w:ascii="Times New Roman" w:hAnsi="Times New Roman" w:cs="Times New Roman"/>
                <w:color w:val="auto"/>
                <w:kern w:val="2"/>
                <w:sz w:val="24"/>
                <w:highlight w:val="none"/>
                <w:lang w:val="en-US" w:eastAsia="zh-CN"/>
              </w:rPr>
              <w:t>下</w:t>
            </w:r>
            <w:r>
              <w:rPr>
                <w:rFonts w:hint="default" w:ascii="Times New Roman" w:hAnsi="Times New Roman" w:eastAsia="宋体" w:cs="Times New Roman"/>
                <w:color w:val="auto"/>
                <w:kern w:val="2"/>
                <w:sz w:val="24"/>
                <w:highlight w:val="none"/>
              </w:rPr>
              <w:t>表突发事故应急预案要点</w:t>
            </w:r>
            <w:r>
              <w:rPr>
                <w:rFonts w:hint="default" w:ascii="Times New Roman" w:hAnsi="Times New Roman" w:eastAsia="宋体" w:cs="Times New Roman"/>
                <w:color w:val="auto"/>
                <w:kern w:val="2"/>
                <w:sz w:val="24"/>
                <w:highlight w:val="none"/>
                <w:lang w:eastAsia="zh-CN"/>
              </w:rPr>
              <w:t>。</w:t>
            </w:r>
          </w:p>
          <w:p w14:paraId="7C166014">
            <w:pPr>
              <w:keepNext w:val="0"/>
              <w:keepLines w:val="0"/>
              <w:numPr>
                <w:ilvl w:val="0"/>
                <w:numId w:val="0"/>
              </w:numPr>
              <w:suppressLineNumbers w:val="0"/>
              <w:tabs>
                <w:tab w:val="left" w:pos="0"/>
              </w:tabs>
              <w:spacing w:before="0" w:beforeAutospacing="0" w:after="0" w:afterAutospacing="0"/>
              <w:ind w:left="0" w:leftChars="0" w:right="0" w:rightChars="0" w:firstLine="40" w:firstLineChars="0"/>
              <w:jc w:val="center"/>
              <w:rPr>
                <w:rFonts w:hint="default" w:ascii="Times New Roman" w:hAnsi="Times New Roman"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lang w:val="en-US" w:eastAsia="zh-CN" w:bidi="ar-SA"/>
              </w:rPr>
              <w:t>表4-</w:t>
            </w:r>
            <w:r>
              <w:rPr>
                <w:rFonts w:hint="eastAsia" w:cs="Times New Roman"/>
                <w:b/>
                <w:bCs/>
                <w:color w:val="auto"/>
                <w:kern w:val="0"/>
                <w:sz w:val="21"/>
                <w:szCs w:val="21"/>
                <w:highlight w:val="none"/>
                <w:lang w:val="en-US" w:eastAsia="zh-CN" w:bidi="ar-SA"/>
              </w:rPr>
              <w:t xml:space="preserve">34 </w:t>
            </w:r>
            <w:r>
              <w:rPr>
                <w:rFonts w:hint="default" w:ascii="Times New Roman" w:hAnsi="Times New Roman" w:cs="Times New Roman"/>
                <w:b/>
                <w:bCs/>
                <w:color w:val="auto"/>
                <w:kern w:val="0"/>
                <w:sz w:val="21"/>
                <w:szCs w:val="21"/>
                <w:highlight w:val="none"/>
              </w:rPr>
              <w:t>突发环境事件应急预案表</w:t>
            </w:r>
          </w:p>
          <w:tbl>
            <w:tblPr>
              <w:tblStyle w:val="39"/>
              <w:tblW w:w="492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7"/>
              <w:gridCol w:w="2175"/>
              <w:gridCol w:w="6157"/>
            </w:tblGrid>
            <w:tr w14:paraId="4EC3F7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 w:hRule="atLeast"/>
                <w:jc w:val="center"/>
              </w:trPr>
              <w:tc>
                <w:tcPr>
                  <w:tcW w:w="360" w:type="pct"/>
                  <w:vAlign w:val="center"/>
                </w:tcPr>
                <w:p w14:paraId="667017D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序号</w:t>
                  </w:r>
                </w:p>
              </w:tc>
              <w:tc>
                <w:tcPr>
                  <w:tcW w:w="1211" w:type="pct"/>
                  <w:vAlign w:val="center"/>
                </w:tcPr>
                <w:p w14:paraId="263D88E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项目</w:t>
                  </w:r>
                </w:p>
              </w:tc>
              <w:tc>
                <w:tcPr>
                  <w:tcW w:w="3428" w:type="pct"/>
                  <w:vAlign w:val="center"/>
                </w:tcPr>
                <w:p w14:paraId="7EA4B80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内容及要求</w:t>
                  </w:r>
                </w:p>
              </w:tc>
            </w:tr>
            <w:tr w14:paraId="4CF1A6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360" w:type="pct"/>
                  <w:vAlign w:val="center"/>
                </w:tcPr>
                <w:p w14:paraId="33AF308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1</w:t>
                  </w:r>
                </w:p>
              </w:tc>
              <w:tc>
                <w:tcPr>
                  <w:tcW w:w="1211" w:type="pct"/>
                  <w:vAlign w:val="center"/>
                </w:tcPr>
                <w:p w14:paraId="6563ECB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应急组织机构、人员</w:t>
                  </w:r>
                </w:p>
              </w:tc>
              <w:tc>
                <w:tcPr>
                  <w:tcW w:w="3428" w:type="pct"/>
                  <w:vAlign w:val="center"/>
                </w:tcPr>
                <w:p w14:paraId="1482A94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firstLine="0" w:firstLineChars="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设立事故应急机构、人员由企业主要领导、安全负责人、环保负责人等主要人员组成</w:t>
                  </w:r>
                </w:p>
              </w:tc>
            </w:tr>
            <w:tr w14:paraId="524351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 w:hRule="atLeast"/>
                <w:jc w:val="center"/>
              </w:trPr>
              <w:tc>
                <w:tcPr>
                  <w:tcW w:w="360" w:type="pct"/>
                  <w:vAlign w:val="center"/>
                </w:tcPr>
                <w:p w14:paraId="427E7A8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2</w:t>
                  </w:r>
                </w:p>
              </w:tc>
              <w:tc>
                <w:tcPr>
                  <w:tcW w:w="1211" w:type="pct"/>
                  <w:vAlign w:val="center"/>
                </w:tcPr>
                <w:p w14:paraId="1D45B7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预案分级响应条件</w:t>
                  </w:r>
                </w:p>
              </w:tc>
              <w:tc>
                <w:tcPr>
                  <w:tcW w:w="3428" w:type="pct"/>
                  <w:vAlign w:val="center"/>
                </w:tcPr>
                <w:p w14:paraId="0759A31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firstLine="0" w:firstLineChars="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规定预案的级别及分级响应程序</w:t>
                  </w:r>
                </w:p>
              </w:tc>
            </w:tr>
            <w:tr w14:paraId="119347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360" w:type="pct"/>
                  <w:vAlign w:val="center"/>
                </w:tcPr>
                <w:p w14:paraId="6D08035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3</w:t>
                  </w:r>
                </w:p>
              </w:tc>
              <w:tc>
                <w:tcPr>
                  <w:tcW w:w="1211" w:type="pct"/>
                  <w:vAlign w:val="center"/>
                </w:tcPr>
                <w:p w14:paraId="48AEE4C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应急救援保障</w:t>
                  </w:r>
                </w:p>
              </w:tc>
              <w:tc>
                <w:tcPr>
                  <w:tcW w:w="3428" w:type="pct"/>
                  <w:vAlign w:val="center"/>
                </w:tcPr>
                <w:p w14:paraId="4A68320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firstLine="0" w:firstLineChars="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企业应配备必要的应急设施设备器材：事故易发的工作岗位配备必需的防护用品等</w:t>
                  </w:r>
                </w:p>
              </w:tc>
            </w:tr>
            <w:tr w14:paraId="754C69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360" w:type="pct"/>
                  <w:vAlign w:val="center"/>
                </w:tcPr>
                <w:p w14:paraId="0ED452E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4</w:t>
                  </w:r>
                </w:p>
              </w:tc>
              <w:tc>
                <w:tcPr>
                  <w:tcW w:w="1211" w:type="pct"/>
                  <w:vAlign w:val="center"/>
                </w:tcPr>
                <w:p w14:paraId="63F7D6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报警、通讯联络方式</w:t>
                  </w:r>
                </w:p>
              </w:tc>
              <w:tc>
                <w:tcPr>
                  <w:tcW w:w="3428" w:type="pct"/>
                  <w:vAlign w:val="center"/>
                </w:tcPr>
                <w:p w14:paraId="1D311AC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firstLine="0" w:firstLineChars="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建立专用的报警和通讯线路，保证指挥部人员与现场人员手机与信息交流的渠道畅通</w:t>
                  </w:r>
                </w:p>
              </w:tc>
            </w:tr>
            <w:tr w14:paraId="7D32A0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4" w:hRule="atLeast"/>
                <w:jc w:val="center"/>
              </w:trPr>
              <w:tc>
                <w:tcPr>
                  <w:tcW w:w="360" w:type="pct"/>
                  <w:vAlign w:val="center"/>
                </w:tcPr>
                <w:p w14:paraId="03A94AE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5</w:t>
                  </w:r>
                </w:p>
              </w:tc>
              <w:tc>
                <w:tcPr>
                  <w:tcW w:w="1211" w:type="pct"/>
                  <w:vAlign w:val="center"/>
                </w:tcPr>
                <w:p w14:paraId="14EDC5E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应急监测、抢险救援及控制措施</w:t>
                  </w:r>
                </w:p>
              </w:tc>
              <w:tc>
                <w:tcPr>
                  <w:tcW w:w="3428" w:type="pct"/>
                  <w:vAlign w:val="center"/>
                </w:tcPr>
                <w:p w14:paraId="43C83E3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firstLine="0" w:firstLineChars="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发生事故时，要保证现场的事故处理设施和全厂的应急处理系统能够紧急启动，并对事故产生的污染物进行有效的控制，同时启动当地的环境应急监测系统</w:t>
                  </w:r>
                </w:p>
              </w:tc>
            </w:tr>
            <w:tr w14:paraId="09E03A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4" w:hRule="atLeast"/>
                <w:jc w:val="center"/>
              </w:trPr>
              <w:tc>
                <w:tcPr>
                  <w:tcW w:w="360" w:type="pct"/>
                  <w:vAlign w:val="center"/>
                </w:tcPr>
                <w:p w14:paraId="6A3A48C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6</w:t>
                  </w:r>
                </w:p>
              </w:tc>
              <w:tc>
                <w:tcPr>
                  <w:tcW w:w="1211" w:type="pct"/>
                  <w:vAlign w:val="center"/>
                </w:tcPr>
                <w:p w14:paraId="2A87535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应急监测、防护措施、泄漏措施和器材</w:t>
                  </w:r>
                </w:p>
              </w:tc>
              <w:tc>
                <w:tcPr>
                  <w:tcW w:w="3428" w:type="pct"/>
                  <w:vAlign w:val="center"/>
                </w:tcPr>
                <w:p w14:paraId="651F2FC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firstLine="0" w:firstLineChars="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设立必要的控制和清除污染的相应措施。事故发生时，要及时发现事故发生地点和环节，并利用已有的防护措施减少污染物的排放</w:t>
                  </w:r>
                </w:p>
              </w:tc>
            </w:tr>
            <w:tr w14:paraId="4F8290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4" w:hRule="atLeast"/>
                <w:jc w:val="center"/>
              </w:trPr>
              <w:tc>
                <w:tcPr>
                  <w:tcW w:w="360" w:type="pct"/>
                  <w:vAlign w:val="center"/>
                </w:tcPr>
                <w:p w14:paraId="0B2CF83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7</w:t>
                  </w:r>
                </w:p>
              </w:tc>
              <w:tc>
                <w:tcPr>
                  <w:tcW w:w="1211" w:type="pct"/>
                  <w:vAlign w:val="center"/>
                </w:tcPr>
                <w:p w14:paraId="72C5C4A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人员紧急撤离、疏散组织计划</w:t>
                  </w:r>
                </w:p>
              </w:tc>
              <w:tc>
                <w:tcPr>
                  <w:tcW w:w="3428" w:type="pct"/>
                  <w:vAlign w:val="center"/>
                </w:tcPr>
                <w:p w14:paraId="70DE847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firstLine="0" w:firstLineChars="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由事故应急现场指挥部负责及时向上级各有关部门及周边邻近单位和居民点告知事故的危险程度及严重性，指派人员协助邻近单位、村民疏散、撤离至安全地带。</w:t>
                  </w:r>
                </w:p>
              </w:tc>
            </w:tr>
            <w:tr w14:paraId="40E0DD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360" w:type="pct"/>
                  <w:vAlign w:val="center"/>
                </w:tcPr>
                <w:p w14:paraId="2FB48F6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8</w:t>
                  </w:r>
                </w:p>
              </w:tc>
              <w:tc>
                <w:tcPr>
                  <w:tcW w:w="1211" w:type="pct"/>
                  <w:vAlign w:val="center"/>
                </w:tcPr>
                <w:p w14:paraId="7B9C0F3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事故应急救援关闭程序与恢复措施</w:t>
                  </w:r>
                </w:p>
              </w:tc>
              <w:tc>
                <w:tcPr>
                  <w:tcW w:w="3428" w:type="pct"/>
                  <w:vAlign w:val="center"/>
                </w:tcPr>
                <w:p w14:paraId="577F89D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firstLine="0" w:firstLineChars="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规定应急状态终止程序、事故现场善后处理、邻近区域解除事故警戒及善后恢复措施</w:t>
                  </w:r>
                </w:p>
              </w:tc>
            </w:tr>
            <w:tr w14:paraId="64AB91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360" w:type="pct"/>
                  <w:vAlign w:val="center"/>
                </w:tcPr>
                <w:p w14:paraId="10F10B4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9</w:t>
                  </w:r>
                </w:p>
              </w:tc>
              <w:tc>
                <w:tcPr>
                  <w:tcW w:w="1211" w:type="pct"/>
                  <w:vAlign w:val="center"/>
                </w:tcPr>
                <w:p w14:paraId="718D68C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应急培训计划</w:t>
                  </w:r>
                </w:p>
              </w:tc>
              <w:tc>
                <w:tcPr>
                  <w:tcW w:w="3428" w:type="pct"/>
                  <w:vAlign w:val="center"/>
                </w:tcPr>
                <w:p w14:paraId="2983DF5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firstLine="0" w:firstLineChars="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企业要注意日常工作中对事故应急处理的培训，以提高职工的安全防范意识</w:t>
                  </w:r>
                </w:p>
              </w:tc>
            </w:tr>
            <w:tr w14:paraId="5DC622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jc w:val="center"/>
              </w:trPr>
              <w:tc>
                <w:tcPr>
                  <w:tcW w:w="360" w:type="pct"/>
                  <w:vAlign w:val="center"/>
                </w:tcPr>
                <w:p w14:paraId="79F9B18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10</w:t>
                  </w:r>
                </w:p>
              </w:tc>
              <w:tc>
                <w:tcPr>
                  <w:tcW w:w="1211" w:type="pct"/>
                  <w:vAlign w:val="center"/>
                </w:tcPr>
                <w:p w14:paraId="33B82FD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公众教育和信息</w:t>
                  </w:r>
                </w:p>
              </w:tc>
              <w:tc>
                <w:tcPr>
                  <w:tcW w:w="3428" w:type="pct"/>
                  <w:vAlign w:val="center"/>
                </w:tcPr>
                <w:p w14:paraId="02423F9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firstLine="0" w:firstLineChars="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通过各种方式，对周围居民等进行事故防范宣传</w:t>
                  </w:r>
                </w:p>
              </w:tc>
            </w:tr>
          </w:tbl>
          <w:p w14:paraId="3C9D5E0D">
            <w:pPr>
              <w:pStyle w:val="5"/>
              <w:numPr>
                <w:ilvl w:val="3"/>
                <w:numId w:val="0"/>
              </w:numPr>
              <w:suppressLineNumbers w:val="0"/>
              <w:spacing w:before="0" w:beforeAutospacing="0" w:after="0" w:afterAutospacing="0"/>
              <w:ind w:left="480" w:leftChars="200" w:right="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7</w:t>
            </w:r>
            <w:r>
              <w:rPr>
                <w:rFonts w:hint="default" w:ascii="Times New Roman" w:hAnsi="Times New Roman" w:cs="Times New Roman"/>
                <w:color w:val="auto"/>
                <w:highlight w:val="none"/>
              </w:rPr>
              <w:t>、环境风险分析小结与建议</w:t>
            </w:r>
          </w:p>
          <w:p w14:paraId="1E8F420C">
            <w:pPr>
              <w:keepNext w:val="0"/>
              <w:keepLines w:val="0"/>
              <w:suppressLineNumbers w:val="0"/>
              <w:spacing w:before="0" w:beforeAutospacing="0" w:after="0" w:afterAutospacing="0"/>
              <w:ind w:left="0" w:right="0" w:firstLine="480" w:firstLineChars="200"/>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本项目无风险物质，泄漏、火灾、爆炸等事故发生概率较低，物质泄漏、火灾、爆炸等事故下引发的伴生/次生污染物排放的风险隐患较低，在落实上述防范措施后，生产过程的环境风险总体可控。</w:t>
            </w:r>
          </w:p>
          <w:p w14:paraId="7DFC0206">
            <w:pPr>
              <w:keepNext w:val="0"/>
              <w:keepLines w:val="0"/>
              <w:suppressLineNumbers w:val="0"/>
              <w:spacing w:before="0" w:beforeAutospacing="0" w:after="0" w:afterAutospacing="0"/>
              <w:ind w:left="0" w:right="0" w:firstLine="480" w:firstLineChars="200"/>
              <w:jc w:val="left"/>
              <w:rPr>
                <w:rFonts w:hint="default" w:ascii="Times New Roman" w:hAnsi="Times New Roman" w:cs="Times New Roman"/>
                <w:b/>
                <w:bCs/>
                <w:color w:val="auto"/>
                <w:kern w:val="0"/>
                <w:sz w:val="24"/>
                <w:szCs w:val="24"/>
                <w:highlight w:val="none"/>
              </w:rPr>
            </w:pPr>
            <w:r>
              <w:rPr>
                <w:rFonts w:hint="default" w:ascii="Times New Roman" w:hAnsi="Times New Roman" w:cs="Times New Roman"/>
                <w:b/>
                <w:bCs/>
                <w:color w:val="auto"/>
                <w:kern w:val="0"/>
                <w:sz w:val="24"/>
                <w:szCs w:val="24"/>
                <w:highlight w:val="none"/>
              </w:rPr>
              <w:t>8、环保验收“三同时”</w:t>
            </w:r>
          </w:p>
          <w:p w14:paraId="359CA3DB">
            <w:pPr>
              <w:keepNext w:val="0"/>
              <w:keepLines w:val="0"/>
              <w:suppressLineNumbers w:val="0"/>
              <w:spacing w:before="0" w:beforeAutospacing="0" w:after="0" w:afterAutospacing="0"/>
              <w:ind w:left="0" w:right="0" w:firstLine="480" w:firstLineChars="200"/>
              <w:jc w:val="left"/>
              <w:rPr>
                <w:rFonts w:hint="default" w:ascii="Times New Roman" w:hAnsi="Times New Roman" w:cs="Times New Roman"/>
                <w:b w:val="0"/>
                <w:bCs w:val="0"/>
                <w:color w:val="auto"/>
                <w:kern w:val="0"/>
                <w:sz w:val="24"/>
                <w:szCs w:val="24"/>
                <w:highlight w:val="none"/>
              </w:rPr>
            </w:pPr>
            <w:r>
              <w:rPr>
                <w:rFonts w:hint="default" w:ascii="Times New Roman" w:hAnsi="Times New Roman" w:cs="Times New Roman"/>
                <w:b w:val="0"/>
                <w:bCs w:val="0"/>
                <w:color w:val="auto"/>
                <w:kern w:val="0"/>
                <w:sz w:val="24"/>
                <w:szCs w:val="24"/>
                <w:highlight w:val="none"/>
              </w:rPr>
              <w:t>建设单位应严格按照国家“三同时”政策及时做好有关工作，保证环保工程与主体工程同时设计、同时施工、同时投入使用，切实履行本评价所提出的各项污染防治对策与建议，保证做到各污染物达标排放。项目“三同时”环境保护验收情况见下表：</w:t>
            </w:r>
          </w:p>
          <w:p w14:paraId="7242A9EF">
            <w:pPr>
              <w:keepNext w:val="0"/>
              <w:keepLines w:val="0"/>
              <w:numPr>
                <w:ilvl w:val="0"/>
                <w:numId w:val="0"/>
              </w:numPr>
              <w:suppressLineNumbers w:val="0"/>
              <w:tabs>
                <w:tab w:val="left" w:pos="0"/>
              </w:tabs>
              <w:spacing w:before="0" w:beforeAutospacing="0" w:after="0" w:afterAutospacing="0" w:line="276" w:lineRule="auto"/>
              <w:ind w:left="0" w:leftChars="0" w:right="0" w:rightChars="0" w:firstLine="40" w:firstLineChars="0"/>
              <w:jc w:val="center"/>
              <w:rPr>
                <w:rFonts w:hint="default" w:ascii="Times New Roman" w:hAnsi="Times New Roman" w:cs="Times New Roman"/>
                <w:b/>
                <w:color w:val="auto"/>
                <w:sz w:val="21"/>
                <w:szCs w:val="20"/>
                <w:highlight w:val="none"/>
              </w:rPr>
            </w:pPr>
            <w:r>
              <w:rPr>
                <w:rFonts w:hint="default" w:ascii="Times New Roman" w:hAnsi="Times New Roman" w:eastAsia="宋体" w:cs="Times New Roman"/>
                <w:b/>
                <w:color w:val="auto"/>
                <w:kern w:val="2"/>
                <w:sz w:val="21"/>
                <w:szCs w:val="21"/>
                <w:highlight w:val="none"/>
                <w:lang w:val="en-US" w:eastAsia="zh-CN" w:bidi="ar-SA"/>
              </w:rPr>
              <w:t>表4-</w:t>
            </w:r>
            <w:r>
              <w:rPr>
                <w:rFonts w:hint="eastAsia" w:cs="Times New Roman"/>
                <w:b/>
                <w:color w:val="auto"/>
                <w:kern w:val="2"/>
                <w:sz w:val="21"/>
                <w:szCs w:val="21"/>
                <w:highlight w:val="none"/>
                <w:lang w:val="en-US" w:eastAsia="zh-CN" w:bidi="ar-SA"/>
              </w:rPr>
              <w:t xml:space="preserve">35 </w:t>
            </w:r>
            <w:r>
              <w:rPr>
                <w:rFonts w:hint="default" w:ascii="Times New Roman" w:hAnsi="Times New Roman" w:eastAsia="宋体" w:cs="Times New Roman"/>
                <w:b/>
                <w:bCs/>
                <w:color w:val="auto"/>
                <w:kern w:val="2"/>
                <w:sz w:val="21"/>
                <w:szCs w:val="21"/>
                <w:highlight w:val="none"/>
                <w:lang w:val="en-US" w:eastAsia="zh-CN" w:bidi="ar-SA"/>
              </w:rPr>
              <w:t>项目环境保护“三同时”验收一览表</w:t>
            </w:r>
          </w:p>
          <w:tbl>
            <w:tblPr>
              <w:tblStyle w:val="39"/>
              <w:tblW w:w="494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8"/>
              <w:gridCol w:w="1193"/>
              <w:gridCol w:w="1377"/>
              <w:gridCol w:w="1255"/>
              <w:gridCol w:w="1368"/>
              <w:gridCol w:w="3140"/>
            </w:tblGrid>
            <w:tr w14:paraId="069B3B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1" w:type="pct"/>
                  <w:vAlign w:val="center"/>
                </w:tcPr>
                <w:p w14:paraId="31FCB5A1">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类别</w:t>
                  </w:r>
                </w:p>
              </w:tc>
              <w:tc>
                <w:tcPr>
                  <w:tcW w:w="661" w:type="pct"/>
                  <w:vAlign w:val="center"/>
                </w:tcPr>
                <w:p w14:paraId="2AE9B69B">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污染源</w:t>
                  </w:r>
                </w:p>
              </w:tc>
              <w:tc>
                <w:tcPr>
                  <w:tcW w:w="763" w:type="pct"/>
                  <w:vAlign w:val="center"/>
                </w:tcPr>
                <w:p w14:paraId="527F437C">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污染物</w:t>
                  </w:r>
                </w:p>
              </w:tc>
              <w:tc>
                <w:tcPr>
                  <w:tcW w:w="695" w:type="pct"/>
                  <w:vAlign w:val="center"/>
                </w:tcPr>
                <w:p w14:paraId="062AFE15">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污染防</w:t>
                  </w:r>
                </w:p>
                <w:p w14:paraId="726D16AB">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治措施</w:t>
                  </w:r>
                </w:p>
              </w:tc>
              <w:tc>
                <w:tcPr>
                  <w:tcW w:w="758" w:type="pct"/>
                  <w:vAlign w:val="center"/>
                </w:tcPr>
                <w:p w14:paraId="6E23FFA3">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验收及监测内容</w:t>
                  </w:r>
                </w:p>
              </w:tc>
              <w:tc>
                <w:tcPr>
                  <w:tcW w:w="1739" w:type="pct"/>
                  <w:vAlign w:val="center"/>
                </w:tcPr>
                <w:p w14:paraId="5EFA1BA5">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预期效果</w:t>
                  </w:r>
                </w:p>
              </w:tc>
            </w:tr>
            <w:tr w14:paraId="739F2C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1" w:type="pct"/>
                  <w:vMerge w:val="restart"/>
                  <w:vAlign w:val="center"/>
                </w:tcPr>
                <w:p w14:paraId="74720499">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废水</w:t>
                  </w:r>
                </w:p>
              </w:tc>
              <w:tc>
                <w:tcPr>
                  <w:tcW w:w="661" w:type="pct"/>
                  <w:vAlign w:val="center"/>
                </w:tcPr>
                <w:p w14:paraId="530371B2">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生活污水</w:t>
                  </w:r>
                </w:p>
              </w:tc>
              <w:tc>
                <w:tcPr>
                  <w:tcW w:w="763" w:type="pct"/>
                  <w:vAlign w:val="center"/>
                </w:tcPr>
                <w:p w14:paraId="2D30EB08">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COD</w:t>
                  </w:r>
                  <w:r>
                    <w:rPr>
                      <w:rFonts w:hint="default" w:ascii="Times New Roman" w:hAnsi="Times New Roman" w:eastAsia="宋体" w:cs="Times New Roman"/>
                      <w:b w:val="0"/>
                      <w:bCs w:val="0"/>
                      <w:color w:val="auto"/>
                      <w:kern w:val="2"/>
                      <w:sz w:val="21"/>
                      <w:szCs w:val="21"/>
                      <w:highlight w:val="none"/>
                      <w:vertAlign w:val="subscript"/>
                      <w:lang w:val="en-US" w:eastAsia="zh-CN" w:bidi="ar-SA"/>
                    </w:rPr>
                    <w:t>Cr</w:t>
                  </w:r>
                  <w:r>
                    <w:rPr>
                      <w:rFonts w:hint="default" w:ascii="Times New Roman" w:hAnsi="Times New Roman" w:eastAsia="宋体" w:cs="Times New Roman"/>
                      <w:b w:val="0"/>
                      <w:bCs w:val="0"/>
                      <w:color w:val="auto"/>
                      <w:kern w:val="2"/>
                      <w:sz w:val="21"/>
                      <w:szCs w:val="21"/>
                      <w:highlight w:val="none"/>
                      <w:lang w:val="en-US" w:eastAsia="zh-CN" w:bidi="ar-SA"/>
                    </w:rPr>
                    <w:t>、BOD</w:t>
                  </w:r>
                  <w:r>
                    <w:rPr>
                      <w:rFonts w:hint="default" w:ascii="Times New Roman" w:hAnsi="Times New Roman" w:eastAsia="宋体" w:cs="Times New Roman"/>
                      <w:b w:val="0"/>
                      <w:bCs w:val="0"/>
                      <w:color w:val="auto"/>
                      <w:kern w:val="2"/>
                      <w:sz w:val="21"/>
                      <w:szCs w:val="21"/>
                      <w:highlight w:val="none"/>
                      <w:vertAlign w:val="subscript"/>
                      <w:lang w:val="en-US" w:eastAsia="zh-CN" w:bidi="ar-SA"/>
                    </w:rPr>
                    <w:t>5</w:t>
                  </w:r>
                  <w:r>
                    <w:rPr>
                      <w:rFonts w:hint="default" w:ascii="Times New Roman" w:hAnsi="Times New Roman" w:eastAsia="宋体" w:cs="Times New Roman"/>
                      <w:b w:val="0"/>
                      <w:bCs w:val="0"/>
                      <w:color w:val="auto"/>
                      <w:kern w:val="2"/>
                      <w:sz w:val="21"/>
                      <w:szCs w:val="21"/>
                      <w:highlight w:val="none"/>
                      <w:lang w:val="en-US" w:eastAsia="zh-CN" w:bidi="ar-SA"/>
                    </w:rPr>
                    <w:t>、SS、NH</w:t>
                  </w:r>
                  <w:r>
                    <w:rPr>
                      <w:rFonts w:hint="default" w:ascii="Times New Roman" w:hAnsi="Times New Roman" w:eastAsia="宋体" w:cs="Times New Roman"/>
                      <w:b w:val="0"/>
                      <w:bCs w:val="0"/>
                      <w:color w:val="auto"/>
                      <w:kern w:val="2"/>
                      <w:sz w:val="21"/>
                      <w:szCs w:val="21"/>
                      <w:highlight w:val="none"/>
                      <w:vertAlign w:val="subscript"/>
                      <w:lang w:val="en-US" w:eastAsia="zh-CN" w:bidi="ar-SA"/>
                    </w:rPr>
                    <w:t>3</w:t>
                  </w:r>
                  <w:r>
                    <w:rPr>
                      <w:rFonts w:hint="default" w:ascii="Times New Roman" w:hAnsi="Times New Roman" w:eastAsia="宋体" w:cs="Times New Roman"/>
                      <w:b w:val="0"/>
                      <w:bCs w:val="0"/>
                      <w:color w:val="auto"/>
                      <w:kern w:val="2"/>
                      <w:sz w:val="21"/>
                      <w:szCs w:val="21"/>
                      <w:highlight w:val="none"/>
                      <w:lang w:val="en-US" w:eastAsia="zh-CN" w:bidi="ar-SA"/>
                    </w:rPr>
                    <w:t>-N、</w:t>
                  </w:r>
                  <w:r>
                    <w:rPr>
                      <w:rFonts w:hint="default" w:ascii="Times New Roman" w:hAnsi="Times New Roman" w:cs="Times New Roman"/>
                      <w:b w:val="0"/>
                      <w:bCs w:val="0"/>
                      <w:color w:val="auto"/>
                      <w:kern w:val="2"/>
                      <w:sz w:val="21"/>
                      <w:szCs w:val="21"/>
                      <w:highlight w:val="none"/>
                      <w:lang w:val="en-US" w:eastAsia="zh-CN" w:bidi="ar-SA"/>
                    </w:rPr>
                    <w:t>总磷、</w:t>
                  </w:r>
                  <w:r>
                    <w:rPr>
                      <w:rFonts w:hint="eastAsia" w:cs="Times New Roman"/>
                      <w:b w:val="0"/>
                      <w:bCs w:val="0"/>
                      <w:color w:val="auto"/>
                      <w:kern w:val="2"/>
                      <w:sz w:val="21"/>
                      <w:szCs w:val="21"/>
                      <w:highlight w:val="none"/>
                      <w:lang w:val="en-US" w:eastAsia="zh-CN" w:bidi="ar-SA"/>
                    </w:rPr>
                    <w:t>动植物油</w:t>
                  </w:r>
                </w:p>
              </w:tc>
              <w:tc>
                <w:tcPr>
                  <w:tcW w:w="695" w:type="pct"/>
                  <w:vAlign w:val="center"/>
                </w:tcPr>
                <w:p w14:paraId="34BD3CD8">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三级化粪池</w:t>
                  </w:r>
                  <w:r>
                    <w:rPr>
                      <w:rFonts w:hint="default" w:ascii="Times New Roman" w:hAnsi="Times New Roman" w:cs="Times New Roman"/>
                      <w:b w:val="0"/>
                      <w:bCs w:val="0"/>
                      <w:color w:val="auto"/>
                      <w:kern w:val="2"/>
                      <w:sz w:val="21"/>
                      <w:szCs w:val="21"/>
                      <w:highlight w:val="none"/>
                      <w:lang w:val="en-US" w:eastAsia="zh-CN" w:bidi="ar-SA"/>
                    </w:rPr>
                    <w:t>、隔油隔渣池</w:t>
                  </w:r>
                </w:p>
              </w:tc>
              <w:tc>
                <w:tcPr>
                  <w:tcW w:w="758" w:type="pct"/>
                  <w:vAlign w:val="center"/>
                </w:tcPr>
                <w:p w14:paraId="7EADFFF6">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污水处理设施、出水管道设置情况</w:t>
                  </w:r>
                  <w:r>
                    <w:rPr>
                      <w:rFonts w:hint="default" w:ascii="Times New Roman" w:hAnsi="Times New Roman" w:cs="Times New Roman"/>
                      <w:b w:val="0"/>
                      <w:bCs w:val="0"/>
                      <w:color w:val="auto"/>
                      <w:kern w:val="2"/>
                      <w:sz w:val="21"/>
                      <w:szCs w:val="21"/>
                      <w:highlight w:val="none"/>
                      <w:lang w:val="en-US" w:eastAsia="zh-CN" w:bidi="ar-SA"/>
                    </w:rPr>
                    <w:t>；</w:t>
                  </w:r>
                  <w:r>
                    <w:rPr>
                      <w:rFonts w:hint="default" w:ascii="Times New Roman" w:hAnsi="Times New Roman" w:eastAsia="宋体" w:cs="Times New Roman"/>
                      <w:b w:val="0"/>
                      <w:bCs w:val="0"/>
                      <w:color w:val="auto"/>
                      <w:kern w:val="2"/>
                      <w:sz w:val="21"/>
                      <w:szCs w:val="21"/>
                      <w:highlight w:val="none"/>
                      <w:lang w:val="en-US" w:eastAsia="zh-CN" w:bidi="ar-SA"/>
                    </w:rPr>
                    <w:t>污染物实际排放浓度</w:t>
                  </w:r>
                </w:p>
              </w:tc>
              <w:tc>
                <w:tcPr>
                  <w:tcW w:w="1739" w:type="pct"/>
                  <w:vAlign w:val="center"/>
                </w:tcPr>
                <w:p w14:paraId="4CD89740">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园区污水处理厂接管水质要求及广东省《</w:t>
                  </w:r>
                  <w:r>
                    <w:rPr>
                      <w:rFonts w:hint="default" w:ascii="Times New Roman" w:hAnsi="Times New Roman" w:cs="Times New Roman"/>
                      <w:b w:val="0"/>
                      <w:bCs w:val="0"/>
                      <w:color w:val="auto"/>
                      <w:kern w:val="2"/>
                      <w:sz w:val="21"/>
                      <w:szCs w:val="21"/>
                      <w:highlight w:val="none"/>
                      <w:lang w:val="en-US" w:eastAsia="zh-CN" w:bidi="ar-SA"/>
                    </w:rPr>
                    <w:t>水污染物排放限值</w:t>
                  </w:r>
                  <w:r>
                    <w:rPr>
                      <w:rFonts w:hint="default" w:ascii="Times New Roman" w:hAnsi="Times New Roman" w:eastAsia="宋体" w:cs="Times New Roman"/>
                      <w:b w:val="0"/>
                      <w:bCs w:val="0"/>
                      <w:color w:val="auto"/>
                      <w:kern w:val="2"/>
                      <w:sz w:val="21"/>
                      <w:szCs w:val="21"/>
                      <w:highlight w:val="none"/>
                      <w:lang w:val="en-US" w:eastAsia="zh-CN" w:bidi="ar-SA"/>
                    </w:rPr>
                    <w:t>》（DB44/26-2001）第二时段三级标准两者较严值</w:t>
                  </w:r>
                </w:p>
              </w:tc>
            </w:tr>
            <w:tr w14:paraId="3C3766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1" w:type="pct"/>
                  <w:vMerge w:val="continue"/>
                  <w:vAlign w:val="center"/>
                </w:tcPr>
                <w:p w14:paraId="5C977934">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61" w:type="pct"/>
                  <w:vAlign w:val="center"/>
                </w:tcPr>
                <w:p w14:paraId="375DB892">
                  <w:pPr>
                    <w:keepNext w:val="0"/>
                    <w:keepLines w:val="0"/>
                    <w:suppressLineNumbers w:val="0"/>
                    <w:spacing w:before="0" w:beforeAutospacing="0" w:after="0" w:afterAutospacing="0" w:line="240" w:lineRule="auto"/>
                    <w:ind w:left="0" w:right="0" w:firstLine="0" w:firstLineChars="0"/>
                    <w:jc w:val="center"/>
                    <w:rPr>
                      <w:rFonts w:hint="default"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生产废水</w:t>
                  </w:r>
                </w:p>
              </w:tc>
              <w:tc>
                <w:tcPr>
                  <w:tcW w:w="763" w:type="pct"/>
                  <w:vAlign w:val="center"/>
                </w:tcPr>
                <w:p w14:paraId="45A672DD">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COD</w:t>
                  </w:r>
                  <w:r>
                    <w:rPr>
                      <w:rFonts w:hint="default" w:ascii="Times New Roman" w:hAnsi="Times New Roman" w:eastAsia="宋体" w:cs="Times New Roman"/>
                      <w:b w:val="0"/>
                      <w:bCs w:val="0"/>
                      <w:color w:val="auto"/>
                      <w:kern w:val="2"/>
                      <w:sz w:val="21"/>
                      <w:szCs w:val="21"/>
                      <w:highlight w:val="none"/>
                      <w:vertAlign w:val="subscript"/>
                      <w:lang w:val="en-US" w:eastAsia="zh-CN" w:bidi="ar-SA"/>
                    </w:rPr>
                    <w:t>Cr</w:t>
                  </w:r>
                  <w:r>
                    <w:rPr>
                      <w:rFonts w:hint="default" w:ascii="Times New Roman" w:hAnsi="Times New Roman" w:eastAsia="宋体" w:cs="Times New Roman"/>
                      <w:b w:val="0"/>
                      <w:bCs w:val="0"/>
                      <w:color w:val="auto"/>
                      <w:kern w:val="2"/>
                      <w:sz w:val="21"/>
                      <w:szCs w:val="21"/>
                      <w:highlight w:val="none"/>
                      <w:lang w:val="en-US" w:eastAsia="zh-CN" w:bidi="ar-SA"/>
                    </w:rPr>
                    <w:t>、NH</w:t>
                  </w:r>
                  <w:r>
                    <w:rPr>
                      <w:rFonts w:hint="default" w:ascii="Times New Roman" w:hAnsi="Times New Roman" w:eastAsia="宋体" w:cs="Times New Roman"/>
                      <w:b w:val="0"/>
                      <w:bCs w:val="0"/>
                      <w:color w:val="auto"/>
                      <w:kern w:val="2"/>
                      <w:sz w:val="21"/>
                      <w:szCs w:val="21"/>
                      <w:highlight w:val="none"/>
                      <w:vertAlign w:val="subscript"/>
                      <w:lang w:val="en-US" w:eastAsia="zh-CN" w:bidi="ar-SA"/>
                    </w:rPr>
                    <w:t>3</w:t>
                  </w:r>
                  <w:r>
                    <w:rPr>
                      <w:rFonts w:hint="default" w:ascii="Times New Roman" w:hAnsi="Times New Roman" w:eastAsia="宋体" w:cs="Times New Roman"/>
                      <w:b w:val="0"/>
                      <w:bCs w:val="0"/>
                      <w:color w:val="auto"/>
                      <w:kern w:val="2"/>
                      <w:sz w:val="21"/>
                      <w:szCs w:val="21"/>
                      <w:highlight w:val="none"/>
                      <w:lang w:val="en-US" w:eastAsia="zh-CN" w:bidi="ar-SA"/>
                    </w:rPr>
                    <w:t>-N、</w:t>
                  </w:r>
                  <w:r>
                    <w:rPr>
                      <w:rFonts w:hint="eastAsia" w:cs="Times New Roman"/>
                      <w:b w:val="0"/>
                      <w:bCs w:val="0"/>
                      <w:color w:val="auto"/>
                      <w:kern w:val="2"/>
                      <w:sz w:val="21"/>
                      <w:szCs w:val="21"/>
                      <w:highlight w:val="none"/>
                      <w:lang w:val="en-US" w:eastAsia="zh-CN" w:bidi="ar-SA"/>
                    </w:rPr>
                    <w:t>总氮、</w:t>
                  </w:r>
                  <w:r>
                    <w:rPr>
                      <w:rFonts w:hint="default" w:ascii="Times New Roman" w:hAnsi="Times New Roman" w:cs="Times New Roman"/>
                      <w:b w:val="0"/>
                      <w:bCs w:val="0"/>
                      <w:color w:val="auto"/>
                      <w:kern w:val="2"/>
                      <w:sz w:val="21"/>
                      <w:szCs w:val="21"/>
                      <w:highlight w:val="none"/>
                      <w:lang w:val="en-US" w:eastAsia="zh-CN" w:bidi="ar-SA"/>
                    </w:rPr>
                    <w:t>总磷、</w:t>
                  </w:r>
                  <w:r>
                    <w:rPr>
                      <w:rFonts w:hint="eastAsia" w:cs="Times New Roman"/>
                      <w:b w:val="0"/>
                      <w:bCs w:val="0"/>
                      <w:color w:val="auto"/>
                      <w:kern w:val="2"/>
                      <w:sz w:val="21"/>
                      <w:szCs w:val="21"/>
                      <w:highlight w:val="none"/>
                      <w:lang w:val="en-US" w:eastAsia="zh-CN" w:bidi="ar-SA"/>
                    </w:rPr>
                    <w:t>石油类</w:t>
                  </w:r>
                </w:p>
              </w:tc>
              <w:tc>
                <w:tcPr>
                  <w:tcW w:w="695" w:type="pct"/>
                  <w:vAlign w:val="center"/>
                </w:tcPr>
                <w:p w14:paraId="3ECDDF87">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w:t>
                  </w:r>
                  <w:r>
                    <w:rPr>
                      <w:rFonts w:hint="eastAsia" w:cs="Times New Roman"/>
                      <w:b w:val="0"/>
                      <w:bCs w:val="0"/>
                      <w:color w:val="auto"/>
                      <w:kern w:val="2"/>
                      <w:sz w:val="21"/>
                      <w:szCs w:val="21"/>
                      <w:highlight w:val="none"/>
                      <w:lang w:val="en-US" w:eastAsia="zh-CN" w:bidi="ar-SA"/>
                    </w:rPr>
                    <w:t>中和调节+絮凝沉淀+A/O+二沉池+消毒</w:t>
                  </w:r>
                  <w:r>
                    <w:rPr>
                      <w:rFonts w:hint="default" w:ascii="Times New Roman" w:hAnsi="Times New Roman" w:eastAsia="宋体" w:cs="Times New Roman"/>
                      <w:b w:val="0"/>
                      <w:bCs w:val="0"/>
                      <w:color w:val="auto"/>
                      <w:kern w:val="2"/>
                      <w:sz w:val="21"/>
                      <w:szCs w:val="21"/>
                      <w:highlight w:val="none"/>
                      <w:lang w:val="en-US" w:eastAsia="zh-CN" w:bidi="ar-SA"/>
                    </w:rPr>
                    <w:t>”</w:t>
                  </w:r>
                </w:p>
              </w:tc>
              <w:tc>
                <w:tcPr>
                  <w:tcW w:w="758" w:type="pct"/>
                  <w:vAlign w:val="center"/>
                </w:tcPr>
                <w:p w14:paraId="7E6FF077">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污水处理设施、出水管道设置情况</w:t>
                  </w:r>
                </w:p>
              </w:tc>
              <w:tc>
                <w:tcPr>
                  <w:tcW w:w="1739" w:type="pct"/>
                  <w:vAlign w:val="center"/>
                </w:tcPr>
                <w:p w14:paraId="1DE7E15B">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olor w:val="auto"/>
                      <w:sz w:val="21"/>
                      <w:szCs w:val="21"/>
                      <w:highlight w:val="none"/>
                      <w:lang w:val="en-US" w:eastAsia="zh-CN"/>
                    </w:rPr>
                    <w:t>回用水执行</w:t>
                  </w:r>
                  <w:r>
                    <w:rPr>
                      <w:rFonts w:hint="eastAsia"/>
                      <w:color w:val="auto"/>
                      <w:sz w:val="21"/>
                      <w:szCs w:val="21"/>
                      <w:highlight w:val="none"/>
                      <w:lang w:eastAsia="zh-CN"/>
                    </w:rPr>
                    <w:t>《城市污水再生利用 工业用水水质》《GB/T19923-2024》</w:t>
                  </w:r>
                  <w:r>
                    <w:rPr>
                      <w:rFonts w:hint="eastAsia"/>
                      <w:color w:val="auto"/>
                      <w:sz w:val="21"/>
                      <w:szCs w:val="21"/>
                      <w:highlight w:val="none"/>
                      <w:lang w:val="en-US" w:eastAsia="zh-CN"/>
                    </w:rPr>
                    <w:t>要求，外排水执行</w:t>
                  </w:r>
                  <w:r>
                    <w:rPr>
                      <w:rFonts w:hint="default" w:ascii="Times New Roman" w:hAnsi="Times New Roman" w:eastAsia="宋体" w:cs="Times New Roman"/>
                      <w:b w:val="0"/>
                      <w:bCs w:val="0"/>
                      <w:color w:val="auto"/>
                      <w:kern w:val="2"/>
                      <w:sz w:val="21"/>
                      <w:szCs w:val="21"/>
                      <w:highlight w:val="none"/>
                      <w:lang w:val="en-US" w:eastAsia="zh-CN" w:bidi="ar-SA"/>
                    </w:rPr>
                    <w:t>园区污水处理厂接管水质要求及广东省《</w:t>
                  </w:r>
                  <w:r>
                    <w:rPr>
                      <w:rFonts w:hint="default" w:ascii="Times New Roman" w:hAnsi="Times New Roman" w:cs="Times New Roman"/>
                      <w:b w:val="0"/>
                      <w:bCs w:val="0"/>
                      <w:color w:val="auto"/>
                      <w:kern w:val="2"/>
                      <w:sz w:val="21"/>
                      <w:szCs w:val="21"/>
                      <w:highlight w:val="none"/>
                      <w:lang w:val="en-US" w:eastAsia="zh-CN" w:bidi="ar-SA"/>
                    </w:rPr>
                    <w:t>水污染物排放限值</w:t>
                  </w:r>
                  <w:r>
                    <w:rPr>
                      <w:rFonts w:hint="default" w:ascii="Times New Roman" w:hAnsi="Times New Roman" w:eastAsia="宋体" w:cs="Times New Roman"/>
                      <w:b w:val="0"/>
                      <w:bCs w:val="0"/>
                      <w:color w:val="auto"/>
                      <w:kern w:val="2"/>
                      <w:sz w:val="21"/>
                      <w:szCs w:val="21"/>
                      <w:highlight w:val="none"/>
                      <w:lang w:val="en-US" w:eastAsia="zh-CN" w:bidi="ar-SA"/>
                    </w:rPr>
                    <w:t>》（DB44/26-2001）第二时段三级标准两者较严值</w:t>
                  </w:r>
                </w:p>
              </w:tc>
            </w:tr>
            <w:tr w14:paraId="49AC46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1" w:type="pct"/>
                  <w:vMerge w:val="restart"/>
                  <w:vAlign w:val="center"/>
                </w:tcPr>
                <w:p w14:paraId="52A3EEBC">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废气</w:t>
                  </w:r>
                </w:p>
              </w:tc>
              <w:tc>
                <w:tcPr>
                  <w:tcW w:w="661" w:type="pct"/>
                  <w:vAlign w:val="center"/>
                </w:tcPr>
                <w:p w14:paraId="3CD9D539">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燃烧废气</w:t>
                  </w:r>
                  <w:r>
                    <w:rPr>
                      <w:rFonts w:hint="default" w:ascii="Times New Roman" w:hAnsi="Times New Roman" w:eastAsia="宋体" w:cs="Times New Roman"/>
                      <w:b w:val="0"/>
                      <w:bCs w:val="0"/>
                      <w:color w:val="auto"/>
                      <w:kern w:val="2"/>
                      <w:sz w:val="21"/>
                      <w:szCs w:val="21"/>
                      <w:highlight w:val="none"/>
                      <w:lang w:val="en-US" w:eastAsia="zh-CN" w:bidi="ar-SA"/>
                    </w:rPr>
                    <w:br w:type="textWrapping"/>
                  </w:r>
                  <w:r>
                    <w:rPr>
                      <w:rFonts w:hint="default" w:ascii="Times New Roman" w:hAnsi="Times New Roman" w:cs="Times New Roman"/>
                      <w:b w:val="0"/>
                      <w:bCs w:val="0"/>
                      <w:color w:val="auto"/>
                      <w:kern w:val="2"/>
                      <w:sz w:val="21"/>
                      <w:szCs w:val="21"/>
                      <w:highlight w:val="none"/>
                      <w:lang w:val="en-US" w:eastAsia="zh-CN" w:bidi="ar-SA"/>
                    </w:rPr>
                    <w:t>DA001</w:t>
                  </w:r>
                </w:p>
              </w:tc>
              <w:tc>
                <w:tcPr>
                  <w:tcW w:w="763" w:type="pct"/>
                  <w:vAlign w:val="center"/>
                </w:tcPr>
                <w:p w14:paraId="618FBC29">
                  <w:pPr>
                    <w:pStyle w:val="60"/>
                    <w:keepNext w:val="0"/>
                    <w:keepLines w:val="0"/>
                    <w:pageBreakBefore w:val="0"/>
                    <w:widowControl/>
                    <w:suppressLineNumbers w:val="0"/>
                    <w:kinsoku/>
                    <w:overflowPunct/>
                    <w:topLinePunct w:val="0"/>
                    <w:bidi w:val="0"/>
                    <w:snapToGrid/>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rPr>
                    <w:t>颗粒物</w:t>
                  </w:r>
                </w:p>
              </w:tc>
              <w:tc>
                <w:tcPr>
                  <w:tcW w:w="695" w:type="pct"/>
                  <w:vAlign w:val="center"/>
                </w:tcPr>
                <w:p w14:paraId="75E2F7B3">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布袋除尘后</w:t>
                  </w:r>
                  <w:r>
                    <w:rPr>
                      <w:rFonts w:hint="default" w:ascii="Times New Roman" w:hAnsi="Times New Roman" w:cs="Times New Roman"/>
                      <w:b w:val="0"/>
                      <w:bCs w:val="0"/>
                      <w:color w:val="auto"/>
                      <w:kern w:val="2"/>
                      <w:sz w:val="21"/>
                      <w:szCs w:val="21"/>
                      <w:highlight w:val="none"/>
                      <w:lang w:val="en-US" w:eastAsia="zh-CN" w:bidi="ar-SA"/>
                    </w:rPr>
                    <w:t>经15m高排气筒（DA001）排放</w:t>
                  </w:r>
                </w:p>
              </w:tc>
              <w:tc>
                <w:tcPr>
                  <w:tcW w:w="758" w:type="pct"/>
                  <w:vAlign w:val="center"/>
                </w:tcPr>
                <w:p w14:paraId="42D79F49">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排气筒设置情况；污染物实际排放浓度</w:t>
                  </w:r>
                </w:p>
              </w:tc>
              <w:tc>
                <w:tcPr>
                  <w:tcW w:w="1739" w:type="pct"/>
                  <w:vAlign w:val="center"/>
                </w:tcPr>
                <w:p w14:paraId="4B4C3E3C">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 xml:space="preserve">《合成树脂工业污染物排放标准》(GB31572-2015) 及其 2024 年修改单中表 5 </w:t>
                  </w:r>
                  <w:r>
                    <w:rPr>
                      <w:rFonts w:hint="eastAsia" w:cs="Times New Roman"/>
                      <w:b w:val="0"/>
                      <w:bCs w:val="0"/>
                      <w:color w:val="auto"/>
                      <w:sz w:val="21"/>
                      <w:szCs w:val="21"/>
                      <w:highlight w:val="none"/>
                      <w:lang w:val="en-US" w:eastAsia="zh-CN"/>
                    </w:rPr>
                    <w:t>和表9企业边界大气污染物浓度限值</w:t>
                  </w:r>
                </w:p>
              </w:tc>
            </w:tr>
            <w:tr w14:paraId="43F983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1" w:type="pct"/>
                  <w:vMerge w:val="continue"/>
                  <w:vAlign w:val="center"/>
                </w:tcPr>
                <w:p w14:paraId="4A290392">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61" w:type="pct"/>
                  <w:vAlign w:val="center"/>
                </w:tcPr>
                <w:p w14:paraId="65E35134">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油烟DA002</w:t>
                  </w:r>
                </w:p>
              </w:tc>
              <w:tc>
                <w:tcPr>
                  <w:tcW w:w="763" w:type="pct"/>
                  <w:vAlign w:val="center"/>
                </w:tcPr>
                <w:p w14:paraId="3E3E7396">
                  <w:pPr>
                    <w:pStyle w:val="60"/>
                    <w:keepNext w:val="0"/>
                    <w:keepLines w:val="0"/>
                    <w:pageBreakBefore w:val="0"/>
                    <w:widowControl/>
                    <w:suppressLineNumbers w:val="0"/>
                    <w:kinsoku/>
                    <w:overflowPunct/>
                    <w:topLinePunct w:val="0"/>
                    <w:bidi w:val="0"/>
                    <w:snapToGrid/>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油烟</w:t>
                  </w:r>
                </w:p>
              </w:tc>
              <w:tc>
                <w:tcPr>
                  <w:tcW w:w="695" w:type="pct"/>
                  <w:vAlign w:val="center"/>
                </w:tcPr>
                <w:p w14:paraId="1D503C6E">
                  <w:pPr>
                    <w:keepNext w:val="0"/>
                    <w:keepLines w:val="0"/>
                    <w:suppressLineNumbers w:val="0"/>
                    <w:spacing w:before="0" w:beforeAutospacing="0" w:after="0" w:afterAutospacing="0" w:line="240" w:lineRule="auto"/>
                    <w:ind w:left="0" w:right="0" w:firstLine="0" w:firstLineChars="0"/>
                    <w:jc w:val="center"/>
                    <w:rPr>
                      <w:rFonts w:hint="default"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油烟净化器</w:t>
                  </w:r>
                </w:p>
              </w:tc>
              <w:tc>
                <w:tcPr>
                  <w:tcW w:w="758" w:type="pct"/>
                  <w:vAlign w:val="center"/>
                </w:tcPr>
                <w:p w14:paraId="4C1ABEA0">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排气筒设置情况；污染物实际排放浓度</w:t>
                  </w:r>
                </w:p>
              </w:tc>
              <w:tc>
                <w:tcPr>
                  <w:tcW w:w="1739" w:type="pct"/>
                  <w:vAlign w:val="center"/>
                </w:tcPr>
                <w:p w14:paraId="4173992D">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《饮食业油烟排放标准（试行）》（GB18483-2001）</w:t>
                  </w:r>
                  <w:r>
                    <w:rPr>
                      <w:rFonts w:hint="eastAsia" w:ascii="Times New Roman" w:hAnsi="Times New Roman" w:eastAsia="宋体" w:cs="Times New Roman"/>
                      <w:color w:val="auto"/>
                      <w:sz w:val="21"/>
                      <w:szCs w:val="21"/>
                      <w:highlight w:val="none"/>
                      <w:lang w:val="en-US" w:eastAsia="zh-CN"/>
                    </w:rPr>
                    <w:t>中</w:t>
                  </w:r>
                  <w:r>
                    <w:rPr>
                      <w:rFonts w:hint="default" w:ascii="Times New Roman" w:hAnsi="Times New Roman" w:eastAsia="宋体" w:cs="Times New Roman"/>
                      <w:color w:val="auto"/>
                      <w:sz w:val="21"/>
                      <w:szCs w:val="21"/>
                      <w:highlight w:val="none"/>
                    </w:rPr>
                    <w:t>型规模标准</w:t>
                  </w:r>
                </w:p>
              </w:tc>
            </w:tr>
            <w:tr w14:paraId="53FF1B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1" w:type="pct"/>
                  <w:vMerge w:val="continue"/>
                  <w:vAlign w:val="center"/>
                </w:tcPr>
                <w:p w14:paraId="0212C5EA">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61" w:type="pct"/>
                  <w:vMerge w:val="restart"/>
                  <w:vAlign w:val="center"/>
                </w:tcPr>
                <w:p w14:paraId="236B6DFF">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污水处理站恶臭</w:t>
                  </w:r>
                </w:p>
              </w:tc>
              <w:tc>
                <w:tcPr>
                  <w:tcW w:w="763" w:type="pct"/>
                  <w:vAlign w:val="center"/>
                </w:tcPr>
                <w:p w14:paraId="522DC354">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臭气浓度</w:t>
                  </w:r>
                </w:p>
              </w:tc>
              <w:tc>
                <w:tcPr>
                  <w:tcW w:w="695" w:type="pct"/>
                  <w:vMerge w:val="restart"/>
                  <w:vAlign w:val="center"/>
                </w:tcPr>
                <w:p w14:paraId="4A57E4CE">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采取加盖密闭、加强</w:t>
                  </w:r>
                </w:p>
              </w:tc>
              <w:tc>
                <w:tcPr>
                  <w:tcW w:w="758" w:type="pct"/>
                  <w:vMerge w:val="restart"/>
                  <w:vAlign w:val="center"/>
                </w:tcPr>
                <w:p w14:paraId="20410DF3">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废气防治措施；厂界浓度监测</w:t>
                  </w:r>
                </w:p>
              </w:tc>
              <w:tc>
                <w:tcPr>
                  <w:tcW w:w="1739" w:type="pct"/>
                  <w:vMerge w:val="restart"/>
                  <w:vAlign w:val="center"/>
                </w:tcPr>
                <w:p w14:paraId="7CC518EE">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《恶臭污染物排放标准》(GB14554-93)表1二级标准中“新改扩建”限值要求</w:t>
                  </w:r>
                </w:p>
              </w:tc>
            </w:tr>
            <w:tr w14:paraId="2E6CE1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1" w:type="pct"/>
                  <w:vMerge w:val="continue"/>
                  <w:vAlign w:val="center"/>
                </w:tcPr>
                <w:p w14:paraId="09964E24">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61" w:type="pct"/>
                  <w:vMerge w:val="continue"/>
                  <w:vAlign w:val="center"/>
                </w:tcPr>
                <w:p w14:paraId="6E436169">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763" w:type="pct"/>
                  <w:vAlign w:val="center"/>
                </w:tcPr>
                <w:p w14:paraId="0902114A">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氨气</w:t>
                  </w:r>
                </w:p>
              </w:tc>
              <w:tc>
                <w:tcPr>
                  <w:tcW w:w="695" w:type="pct"/>
                  <w:vMerge w:val="continue"/>
                  <w:vAlign w:val="center"/>
                </w:tcPr>
                <w:p w14:paraId="499C2280">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758" w:type="pct"/>
                  <w:vMerge w:val="continue"/>
                  <w:vAlign w:val="center"/>
                </w:tcPr>
                <w:p w14:paraId="430135A6">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739" w:type="pct"/>
                  <w:vMerge w:val="continue"/>
                  <w:vAlign w:val="center"/>
                </w:tcPr>
                <w:p w14:paraId="2BF0A3D3">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r>
            <w:tr w14:paraId="24C346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1" w:type="pct"/>
                  <w:vMerge w:val="continue"/>
                  <w:vAlign w:val="center"/>
                </w:tcPr>
                <w:p w14:paraId="6D5EC9A5">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61" w:type="pct"/>
                  <w:vMerge w:val="continue"/>
                  <w:vAlign w:val="center"/>
                </w:tcPr>
                <w:p w14:paraId="1DCBAD9B">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763" w:type="pct"/>
                  <w:vAlign w:val="center"/>
                </w:tcPr>
                <w:p w14:paraId="4F578C24">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硫化氢</w:t>
                  </w:r>
                </w:p>
              </w:tc>
              <w:tc>
                <w:tcPr>
                  <w:tcW w:w="695" w:type="pct"/>
                  <w:vMerge w:val="continue"/>
                  <w:vAlign w:val="center"/>
                </w:tcPr>
                <w:p w14:paraId="5ADEA96E">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758" w:type="pct"/>
                  <w:vMerge w:val="continue"/>
                  <w:vAlign w:val="center"/>
                </w:tcPr>
                <w:p w14:paraId="07425509">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739" w:type="pct"/>
                  <w:vMerge w:val="continue"/>
                  <w:vAlign w:val="center"/>
                </w:tcPr>
                <w:p w14:paraId="4824A1DF">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r>
            <w:tr w14:paraId="38EAA0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1" w:type="pct"/>
                  <w:vAlign w:val="center"/>
                </w:tcPr>
                <w:p w14:paraId="06C273DE">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噪声</w:t>
                  </w:r>
                </w:p>
              </w:tc>
              <w:tc>
                <w:tcPr>
                  <w:tcW w:w="661" w:type="pct"/>
                  <w:vAlign w:val="center"/>
                </w:tcPr>
                <w:p w14:paraId="57892B6D">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设备噪声</w:t>
                  </w:r>
                </w:p>
              </w:tc>
              <w:tc>
                <w:tcPr>
                  <w:tcW w:w="763" w:type="pct"/>
                  <w:vAlign w:val="center"/>
                </w:tcPr>
                <w:p w14:paraId="57D4B9ED">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边界等效声级</w:t>
                  </w:r>
                </w:p>
              </w:tc>
              <w:tc>
                <w:tcPr>
                  <w:tcW w:w="695" w:type="pct"/>
                  <w:vAlign w:val="center"/>
                </w:tcPr>
                <w:p w14:paraId="12DBF74C">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减振、隔声、吸声、消声等</w:t>
                  </w:r>
                </w:p>
              </w:tc>
              <w:tc>
                <w:tcPr>
                  <w:tcW w:w="758" w:type="pct"/>
                  <w:vAlign w:val="center"/>
                </w:tcPr>
                <w:p w14:paraId="2ED725DD">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厂界噪声</w:t>
                  </w:r>
                </w:p>
              </w:tc>
              <w:tc>
                <w:tcPr>
                  <w:tcW w:w="1739" w:type="pct"/>
                  <w:vAlign w:val="center"/>
                </w:tcPr>
                <w:p w14:paraId="54DD6E0A">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满足《工业企业厂界环境噪声排放标准》(GB12348-2008)的3类标准</w:t>
                  </w:r>
                </w:p>
              </w:tc>
            </w:tr>
            <w:tr w14:paraId="20C23F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1" w:type="pct"/>
                  <w:vMerge w:val="restart"/>
                  <w:vAlign w:val="center"/>
                </w:tcPr>
                <w:p w14:paraId="4EBA527E">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固体</w:t>
                  </w:r>
                </w:p>
                <w:p w14:paraId="171FB521">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废物</w:t>
                  </w:r>
                </w:p>
              </w:tc>
              <w:tc>
                <w:tcPr>
                  <w:tcW w:w="661" w:type="pct"/>
                  <w:vAlign w:val="center"/>
                </w:tcPr>
                <w:p w14:paraId="53C73402">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生活垃圾</w:t>
                  </w:r>
                </w:p>
              </w:tc>
              <w:tc>
                <w:tcPr>
                  <w:tcW w:w="763" w:type="pct"/>
                  <w:vAlign w:val="center"/>
                </w:tcPr>
                <w:p w14:paraId="641BCF2B">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w:t>
                  </w:r>
                </w:p>
              </w:tc>
              <w:tc>
                <w:tcPr>
                  <w:tcW w:w="695" w:type="pct"/>
                  <w:vAlign w:val="center"/>
                </w:tcPr>
                <w:p w14:paraId="3A4D66E4">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交由环卫部门定期清理</w:t>
                  </w:r>
                </w:p>
              </w:tc>
              <w:tc>
                <w:tcPr>
                  <w:tcW w:w="758" w:type="pct"/>
                  <w:vMerge w:val="restart"/>
                  <w:vAlign w:val="center"/>
                </w:tcPr>
                <w:p w14:paraId="1E450452">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检查固废收集、储存、处置方式</w:t>
                  </w:r>
                </w:p>
              </w:tc>
              <w:tc>
                <w:tcPr>
                  <w:tcW w:w="1739" w:type="pct"/>
                  <w:vMerge w:val="restart"/>
                  <w:vAlign w:val="center"/>
                </w:tcPr>
                <w:p w14:paraId="28579CA2">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对项目所在地环境无不良影响</w:t>
                  </w:r>
                </w:p>
              </w:tc>
            </w:tr>
            <w:tr w14:paraId="04E8CD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1" w:type="pct"/>
                  <w:vMerge w:val="continue"/>
                  <w:vAlign w:val="center"/>
                </w:tcPr>
                <w:p w14:paraId="4F055B91">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61" w:type="pct"/>
                  <w:vAlign w:val="center"/>
                </w:tcPr>
                <w:p w14:paraId="173E5120">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包装废料</w:t>
                  </w:r>
                </w:p>
              </w:tc>
              <w:tc>
                <w:tcPr>
                  <w:tcW w:w="763" w:type="pct"/>
                  <w:vAlign w:val="center"/>
                </w:tcPr>
                <w:p w14:paraId="57B1C9C4">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w:t>
                  </w:r>
                </w:p>
              </w:tc>
              <w:tc>
                <w:tcPr>
                  <w:tcW w:w="695" w:type="pct"/>
                  <w:vMerge w:val="restart"/>
                  <w:vAlign w:val="center"/>
                </w:tcPr>
                <w:p w14:paraId="674A40AB">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交由有资质单位统一清运处理</w:t>
                  </w:r>
                </w:p>
              </w:tc>
              <w:tc>
                <w:tcPr>
                  <w:tcW w:w="758" w:type="pct"/>
                  <w:vMerge w:val="continue"/>
                  <w:vAlign w:val="center"/>
                </w:tcPr>
                <w:p w14:paraId="17A5816F">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739" w:type="pct"/>
                  <w:vMerge w:val="continue"/>
                  <w:vAlign w:val="center"/>
                </w:tcPr>
                <w:p w14:paraId="73A034C0">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r>
            <w:tr w14:paraId="11D77C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1" w:type="pct"/>
                  <w:vMerge w:val="continue"/>
                  <w:vAlign w:val="center"/>
                </w:tcPr>
                <w:p w14:paraId="15E83E70">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61" w:type="pct"/>
                  <w:vAlign w:val="center"/>
                </w:tcPr>
                <w:p w14:paraId="04C7F941">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废</w:t>
                  </w:r>
                  <w:r>
                    <w:rPr>
                      <w:rFonts w:hint="eastAsia" w:cs="Times New Roman"/>
                      <w:b w:val="0"/>
                      <w:bCs w:val="0"/>
                      <w:color w:val="auto"/>
                      <w:kern w:val="2"/>
                      <w:sz w:val="21"/>
                      <w:szCs w:val="21"/>
                      <w:highlight w:val="none"/>
                      <w:lang w:val="en-US" w:eastAsia="zh-CN" w:bidi="ar-SA"/>
                    </w:rPr>
                    <w:t>布袋</w:t>
                  </w:r>
                </w:p>
              </w:tc>
              <w:tc>
                <w:tcPr>
                  <w:tcW w:w="763" w:type="pct"/>
                  <w:vAlign w:val="center"/>
                </w:tcPr>
                <w:p w14:paraId="673F68AD">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w:t>
                  </w:r>
                </w:p>
              </w:tc>
              <w:tc>
                <w:tcPr>
                  <w:tcW w:w="695" w:type="pct"/>
                  <w:vMerge w:val="continue"/>
                  <w:vAlign w:val="center"/>
                </w:tcPr>
                <w:p w14:paraId="5F09EF78">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758" w:type="pct"/>
                  <w:vMerge w:val="continue"/>
                  <w:vAlign w:val="center"/>
                </w:tcPr>
                <w:p w14:paraId="5C5B7758">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739" w:type="pct"/>
                  <w:vMerge w:val="continue"/>
                  <w:vAlign w:val="center"/>
                </w:tcPr>
                <w:p w14:paraId="28C66B9F">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r>
            <w:tr w14:paraId="221AC3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381" w:type="pct"/>
                  <w:vMerge w:val="continue"/>
                  <w:vAlign w:val="center"/>
                </w:tcPr>
                <w:p w14:paraId="0ACA7178">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61" w:type="pct"/>
                  <w:vAlign w:val="center"/>
                </w:tcPr>
                <w:p w14:paraId="493F14A5">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废橡胶</w:t>
                  </w:r>
                </w:p>
              </w:tc>
              <w:tc>
                <w:tcPr>
                  <w:tcW w:w="763" w:type="pct"/>
                  <w:vAlign w:val="center"/>
                </w:tcPr>
                <w:p w14:paraId="7E87AADE">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w:t>
                  </w:r>
                </w:p>
              </w:tc>
              <w:tc>
                <w:tcPr>
                  <w:tcW w:w="695" w:type="pct"/>
                  <w:vMerge w:val="continue"/>
                  <w:vAlign w:val="center"/>
                </w:tcPr>
                <w:p w14:paraId="16AA2C0D">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758" w:type="pct"/>
                  <w:vMerge w:val="continue"/>
                  <w:vAlign w:val="center"/>
                </w:tcPr>
                <w:p w14:paraId="3EEEC32A">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739" w:type="pct"/>
                  <w:vMerge w:val="continue"/>
                  <w:vAlign w:val="center"/>
                </w:tcPr>
                <w:p w14:paraId="0B52EBA3">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r>
            <w:tr w14:paraId="7FAC6D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1" w:type="pct"/>
                  <w:vMerge w:val="continue"/>
                  <w:vAlign w:val="center"/>
                </w:tcPr>
                <w:p w14:paraId="4D80C607">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61" w:type="pct"/>
                  <w:vAlign w:val="center"/>
                </w:tcPr>
                <w:p w14:paraId="046710E5">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除尘器收集粉尘</w:t>
                  </w:r>
                </w:p>
              </w:tc>
              <w:tc>
                <w:tcPr>
                  <w:tcW w:w="763" w:type="pct"/>
                  <w:vAlign w:val="center"/>
                </w:tcPr>
                <w:p w14:paraId="1D8E698C">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w:t>
                  </w:r>
                </w:p>
              </w:tc>
              <w:tc>
                <w:tcPr>
                  <w:tcW w:w="695" w:type="pct"/>
                  <w:vMerge w:val="continue"/>
                  <w:vAlign w:val="center"/>
                </w:tcPr>
                <w:p w14:paraId="5842F78B">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758" w:type="pct"/>
                  <w:vMerge w:val="continue"/>
                  <w:vAlign w:val="center"/>
                </w:tcPr>
                <w:p w14:paraId="01EECB2C">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739" w:type="pct"/>
                  <w:vMerge w:val="continue"/>
                  <w:vAlign w:val="center"/>
                </w:tcPr>
                <w:p w14:paraId="3D41F282">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r>
            <w:tr w14:paraId="6FE102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1" w:type="pct"/>
                  <w:vMerge w:val="continue"/>
                  <w:vAlign w:val="center"/>
                </w:tcPr>
                <w:p w14:paraId="551A824C">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61" w:type="pct"/>
                  <w:vAlign w:val="center"/>
                </w:tcPr>
                <w:p w14:paraId="0DA8283C">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木屑杂物</w:t>
                  </w:r>
                </w:p>
              </w:tc>
              <w:tc>
                <w:tcPr>
                  <w:tcW w:w="763" w:type="pct"/>
                  <w:vAlign w:val="center"/>
                </w:tcPr>
                <w:p w14:paraId="2546279C">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w:t>
                  </w:r>
                </w:p>
              </w:tc>
              <w:tc>
                <w:tcPr>
                  <w:tcW w:w="695" w:type="pct"/>
                  <w:vMerge w:val="continue"/>
                  <w:vAlign w:val="center"/>
                </w:tcPr>
                <w:p w14:paraId="6BA3540A">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758" w:type="pct"/>
                  <w:vMerge w:val="continue"/>
                  <w:vAlign w:val="center"/>
                </w:tcPr>
                <w:p w14:paraId="55871675">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739" w:type="pct"/>
                  <w:vMerge w:val="restart"/>
                  <w:vAlign w:val="center"/>
                </w:tcPr>
                <w:p w14:paraId="4909CB1C">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对项目所在地环境无不良影响</w:t>
                  </w:r>
                </w:p>
              </w:tc>
            </w:tr>
            <w:tr w14:paraId="742735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1" w:type="pct"/>
                  <w:vMerge w:val="continue"/>
                  <w:vAlign w:val="center"/>
                </w:tcPr>
                <w:p w14:paraId="638F35B1">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61" w:type="pct"/>
                  <w:vAlign w:val="center"/>
                </w:tcPr>
                <w:p w14:paraId="5B8E0B97">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废水处理站污泥</w:t>
                  </w:r>
                </w:p>
              </w:tc>
              <w:tc>
                <w:tcPr>
                  <w:tcW w:w="763" w:type="pct"/>
                  <w:vAlign w:val="center"/>
                </w:tcPr>
                <w:p w14:paraId="11B23203">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w:t>
                  </w:r>
                </w:p>
              </w:tc>
              <w:tc>
                <w:tcPr>
                  <w:tcW w:w="695" w:type="pct"/>
                  <w:vMerge w:val="continue"/>
                  <w:vAlign w:val="center"/>
                </w:tcPr>
                <w:p w14:paraId="4C1E0B29">
                  <w:pPr>
                    <w:keepNext w:val="0"/>
                    <w:keepLines w:val="0"/>
                    <w:widowControl/>
                    <w:suppressLineNumbers w:val="0"/>
                    <w:autoSpaceDE w:val="0"/>
                    <w:autoSpaceDN w:val="0"/>
                    <w:snapToGrid/>
                    <w:spacing w:before="0" w:beforeAutospacing="0" w:after="0" w:afterAutospacing="0" w:line="240" w:lineRule="auto"/>
                    <w:ind w:left="0" w:right="0"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758" w:type="pct"/>
                  <w:vMerge w:val="continue"/>
                  <w:vAlign w:val="center"/>
                </w:tcPr>
                <w:p w14:paraId="4A6A11E2">
                  <w:pPr>
                    <w:keepNext w:val="0"/>
                    <w:keepLines w:val="0"/>
                    <w:widowControl/>
                    <w:suppressLineNumbers w:val="0"/>
                    <w:autoSpaceDE w:val="0"/>
                    <w:autoSpaceDN w:val="0"/>
                    <w:snapToGrid/>
                    <w:spacing w:before="0" w:beforeAutospacing="0" w:after="0" w:afterAutospacing="0" w:line="240" w:lineRule="auto"/>
                    <w:ind w:left="0" w:right="0"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1739" w:type="pct"/>
                  <w:vMerge w:val="continue"/>
                  <w:vAlign w:val="center"/>
                </w:tcPr>
                <w:p w14:paraId="2E6C68F6">
                  <w:pPr>
                    <w:keepNext w:val="0"/>
                    <w:keepLines w:val="0"/>
                    <w:suppressLineNumbers w:val="0"/>
                    <w:autoSpaceDE w:val="0"/>
                    <w:autoSpaceDN w:val="0"/>
                    <w:snapToGrid/>
                    <w:spacing w:before="0" w:beforeAutospacing="0" w:after="0" w:afterAutospacing="0" w:line="240" w:lineRule="auto"/>
                    <w:ind w:left="0" w:right="0" w:firstLine="567" w:firstLineChars="0"/>
                    <w:contextualSpacing/>
                    <w:jc w:val="center"/>
                    <w:textAlignment w:val="baseline"/>
                    <w:rPr>
                      <w:rFonts w:hint="default" w:ascii="Times New Roman" w:hAnsi="Times New Roman" w:eastAsia="宋体" w:cs="Times New Roman"/>
                      <w:bCs/>
                      <w:color w:val="auto"/>
                      <w:sz w:val="21"/>
                      <w:szCs w:val="21"/>
                      <w:highlight w:val="none"/>
                    </w:rPr>
                  </w:pPr>
                </w:p>
              </w:tc>
            </w:tr>
            <w:tr w14:paraId="19F3BF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1" w:type="pct"/>
                  <w:vMerge w:val="continue"/>
                  <w:vAlign w:val="center"/>
                </w:tcPr>
                <w:p w14:paraId="23A13080">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61" w:type="pct"/>
                  <w:vAlign w:val="center"/>
                </w:tcPr>
                <w:p w14:paraId="36B790C7">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废机油桶、废机油、</w:t>
                  </w:r>
                  <w:r>
                    <w:rPr>
                      <w:rFonts w:hint="default" w:ascii="Times New Roman" w:hAnsi="Times New Roman" w:cs="Times New Roman"/>
                      <w:b w:val="0"/>
                      <w:bCs w:val="0"/>
                      <w:color w:val="auto"/>
                      <w:kern w:val="2"/>
                      <w:sz w:val="21"/>
                      <w:szCs w:val="21"/>
                      <w:highlight w:val="none"/>
                      <w:lang w:val="en-US" w:eastAsia="zh-CN" w:bidi="ar-SA"/>
                    </w:rPr>
                    <w:t>含</w:t>
                  </w:r>
                  <w:r>
                    <w:rPr>
                      <w:rFonts w:hint="eastAsia" w:cs="Times New Roman"/>
                      <w:b w:val="0"/>
                      <w:bCs w:val="0"/>
                      <w:color w:val="auto"/>
                      <w:kern w:val="2"/>
                      <w:sz w:val="21"/>
                      <w:szCs w:val="21"/>
                      <w:highlight w:val="none"/>
                      <w:lang w:val="en-US" w:eastAsia="zh-CN" w:bidi="ar-SA"/>
                    </w:rPr>
                    <w:t>油</w:t>
                  </w:r>
                  <w:r>
                    <w:rPr>
                      <w:rFonts w:hint="default" w:ascii="Times New Roman" w:hAnsi="Times New Roman" w:cs="Times New Roman"/>
                      <w:b w:val="0"/>
                      <w:bCs w:val="0"/>
                      <w:color w:val="auto"/>
                      <w:kern w:val="2"/>
                      <w:sz w:val="21"/>
                      <w:szCs w:val="21"/>
                      <w:highlight w:val="none"/>
                      <w:lang w:val="en-US" w:eastAsia="zh-CN" w:bidi="ar-SA"/>
                    </w:rPr>
                    <w:t>废抹布</w:t>
                  </w:r>
                </w:p>
              </w:tc>
              <w:tc>
                <w:tcPr>
                  <w:tcW w:w="763" w:type="pct"/>
                  <w:vAlign w:val="center"/>
                </w:tcPr>
                <w:p w14:paraId="78D0E9BC">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w:t>
                  </w:r>
                </w:p>
              </w:tc>
              <w:tc>
                <w:tcPr>
                  <w:tcW w:w="695" w:type="pct"/>
                  <w:vMerge w:val="restart"/>
                  <w:vAlign w:val="center"/>
                </w:tcPr>
                <w:p w14:paraId="72079D25">
                  <w:pPr>
                    <w:keepNext w:val="0"/>
                    <w:keepLines w:val="0"/>
                    <w:widowControl/>
                    <w:suppressLineNumbers w:val="0"/>
                    <w:autoSpaceDE w:val="0"/>
                    <w:autoSpaceDN w:val="0"/>
                    <w:snapToGrid/>
                    <w:spacing w:before="0" w:beforeAutospacing="0" w:after="0" w:afterAutospacing="0" w:line="240" w:lineRule="auto"/>
                    <w:ind w:left="0" w:right="0" w:firstLine="0" w:firstLineChars="0"/>
                    <w:contextualSpacing/>
                    <w:jc w:val="center"/>
                    <w:textAlignment w:val="baseline"/>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 w:val="0"/>
                      <w:bCs w:val="0"/>
                      <w:color w:val="auto"/>
                      <w:kern w:val="2"/>
                      <w:sz w:val="21"/>
                      <w:szCs w:val="21"/>
                      <w:highlight w:val="none"/>
                      <w:lang w:val="en-US" w:eastAsia="zh-CN" w:bidi="ar-SA"/>
                    </w:rPr>
                    <w:t>交由有危险废物处理资质的单位处理</w:t>
                  </w:r>
                </w:p>
              </w:tc>
              <w:tc>
                <w:tcPr>
                  <w:tcW w:w="758" w:type="pct"/>
                  <w:vMerge w:val="restart"/>
                  <w:vAlign w:val="center"/>
                </w:tcPr>
                <w:p w14:paraId="02ECFBC4">
                  <w:pPr>
                    <w:keepNext w:val="0"/>
                    <w:keepLines w:val="0"/>
                    <w:widowControl/>
                    <w:suppressLineNumbers w:val="0"/>
                    <w:autoSpaceDE w:val="0"/>
                    <w:autoSpaceDN w:val="0"/>
                    <w:snapToGrid/>
                    <w:spacing w:before="0" w:beforeAutospacing="0" w:after="0" w:afterAutospacing="0" w:line="240" w:lineRule="auto"/>
                    <w:ind w:left="0" w:right="0" w:firstLine="0" w:firstLineChars="0"/>
                    <w:contextualSpacing/>
                    <w:jc w:val="center"/>
                    <w:textAlignment w:val="baseline"/>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 w:val="0"/>
                      <w:bCs w:val="0"/>
                      <w:color w:val="auto"/>
                      <w:kern w:val="2"/>
                      <w:sz w:val="21"/>
                      <w:szCs w:val="21"/>
                      <w:highlight w:val="none"/>
                      <w:lang w:val="en-US" w:eastAsia="zh-CN" w:bidi="ar-SA"/>
                    </w:rPr>
                    <w:t>检查固废收集、储存、处置方式</w:t>
                  </w:r>
                  <w:r>
                    <w:rPr>
                      <w:rFonts w:hint="default" w:ascii="Times New Roman" w:hAnsi="Times New Roman" w:cs="Times New Roman"/>
                      <w:b w:val="0"/>
                      <w:bCs w:val="0"/>
                      <w:color w:val="auto"/>
                      <w:kern w:val="2"/>
                      <w:sz w:val="21"/>
                      <w:szCs w:val="21"/>
                      <w:highlight w:val="none"/>
                      <w:lang w:val="en-US" w:eastAsia="zh-CN" w:bidi="ar-SA"/>
                    </w:rPr>
                    <w:t>，危废暂存间做好防渗防漏</w:t>
                  </w:r>
                </w:p>
              </w:tc>
              <w:tc>
                <w:tcPr>
                  <w:tcW w:w="1739" w:type="pct"/>
                  <w:vMerge w:val="continue"/>
                  <w:vAlign w:val="center"/>
                </w:tcPr>
                <w:p w14:paraId="2BD781BC">
                  <w:pPr>
                    <w:keepNext w:val="0"/>
                    <w:keepLines w:val="0"/>
                    <w:suppressLineNumbers w:val="0"/>
                    <w:autoSpaceDE w:val="0"/>
                    <w:autoSpaceDN w:val="0"/>
                    <w:snapToGrid/>
                    <w:spacing w:before="0" w:beforeAutospacing="0" w:after="0" w:afterAutospacing="0" w:line="240" w:lineRule="auto"/>
                    <w:ind w:left="0" w:right="0" w:firstLine="567" w:firstLineChars="0"/>
                    <w:contextualSpacing/>
                    <w:jc w:val="center"/>
                    <w:textAlignment w:val="baseline"/>
                    <w:rPr>
                      <w:rFonts w:hint="default" w:ascii="Times New Roman" w:hAnsi="Times New Roman" w:eastAsia="宋体" w:cs="Times New Roman"/>
                      <w:bCs/>
                      <w:color w:val="auto"/>
                      <w:sz w:val="21"/>
                      <w:szCs w:val="21"/>
                      <w:highlight w:val="none"/>
                    </w:rPr>
                  </w:pPr>
                </w:p>
              </w:tc>
            </w:tr>
            <w:tr w14:paraId="666A89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1" w:type="pct"/>
                  <w:vMerge w:val="continue"/>
                  <w:vAlign w:val="center"/>
                </w:tcPr>
                <w:p w14:paraId="6AB0A422">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61" w:type="pct"/>
                  <w:vAlign w:val="center"/>
                </w:tcPr>
                <w:p w14:paraId="2521EBD5">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废柴油桶</w:t>
                  </w:r>
                </w:p>
              </w:tc>
              <w:tc>
                <w:tcPr>
                  <w:tcW w:w="763" w:type="pct"/>
                  <w:vAlign w:val="center"/>
                </w:tcPr>
                <w:p w14:paraId="3ADCF5FE">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w:t>
                  </w:r>
                </w:p>
              </w:tc>
              <w:tc>
                <w:tcPr>
                  <w:tcW w:w="695" w:type="pct"/>
                  <w:vMerge w:val="continue"/>
                  <w:vAlign w:val="center"/>
                </w:tcPr>
                <w:p w14:paraId="7209479B">
                  <w:pPr>
                    <w:keepNext w:val="0"/>
                    <w:keepLines w:val="0"/>
                    <w:widowControl/>
                    <w:suppressLineNumbers w:val="0"/>
                    <w:autoSpaceDE w:val="0"/>
                    <w:autoSpaceDN w:val="0"/>
                    <w:snapToGrid/>
                    <w:spacing w:before="0" w:beforeAutospacing="0" w:after="0" w:afterAutospacing="0" w:line="240" w:lineRule="auto"/>
                    <w:ind w:left="0" w:right="0" w:firstLine="0" w:firstLineChars="0"/>
                    <w:contextualSpacing/>
                    <w:jc w:val="center"/>
                    <w:textAlignment w:val="baseline"/>
                    <w:rPr>
                      <w:rFonts w:hint="default" w:ascii="Times New Roman" w:hAnsi="Times New Roman" w:eastAsia="宋体" w:cs="Times New Roman"/>
                      <w:b w:val="0"/>
                      <w:bCs w:val="0"/>
                      <w:color w:val="auto"/>
                      <w:kern w:val="2"/>
                      <w:sz w:val="21"/>
                      <w:szCs w:val="21"/>
                      <w:highlight w:val="none"/>
                      <w:lang w:val="en-US" w:eastAsia="zh-CN" w:bidi="ar-SA"/>
                    </w:rPr>
                  </w:pPr>
                </w:p>
              </w:tc>
              <w:tc>
                <w:tcPr>
                  <w:tcW w:w="758" w:type="pct"/>
                  <w:vMerge w:val="continue"/>
                  <w:vAlign w:val="center"/>
                </w:tcPr>
                <w:p w14:paraId="797E03E3">
                  <w:pPr>
                    <w:keepNext w:val="0"/>
                    <w:keepLines w:val="0"/>
                    <w:widowControl/>
                    <w:suppressLineNumbers w:val="0"/>
                    <w:autoSpaceDE w:val="0"/>
                    <w:autoSpaceDN w:val="0"/>
                    <w:snapToGrid/>
                    <w:spacing w:before="0" w:beforeAutospacing="0" w:after="0" w:afterAutospacing="0" w:line="240" w:lineRule="auto"/>
                    <w:ind w:left="0" w:right="0" w:firstLine="0" w:firstLineChars="0"/>
                    <w:contextualSpacing/>
                    <w:jc w:val="center"/>
                    <w:textAlignment w:val="baseline"/>
                    <w:rPr>
                      <w:rFonts w:hint="default" w:ascii="Times New Roman" w:hAnsi="Times New Roman" w:eastAsia="宋体" w:cs="Times New Roman"/>
                      <w:b w:val="0"/>
                      <w:bCs w:val="0"/>
                      <w:color w:val="auto"/>
                      <w:kern w:val="2"/>
                      <w:sz w:val="21"/>
                      <w:szCs w:val="21"/>
                      <w:highlight w:val="none"/>
                      <w:lang w:val="en-US" w:eastAsia="zh-CN" w:bidi="ar-SA"/>
                    </w:rPr>
                  </w:pPr>
                </w:p>
              </w:tc>
              <w:tc>
                <w:tcPr>
                  <w:tcW w:w="1739" w:type="pct"/>
                  <w:vMerge w:val="continue"/>
                  <w:vAlign w:val="center"/>
                </w:tcPr>
                <w:p w14:paraId="742B3A1F">
                  <w:pPr>
                    <w:keepNext w:val="0"/>
                    <w:keepLines w:val="0"/>
                    <w:suppressLineNumbers w:val="0"/>
                    <w:autoSpaceDE w:val="0"/>
                    <w:autoSpaceDN w:val="0"/>
                    <w:snapToGrid/>
                    <w:spacing w:before="0" w:beforeAutospacing="0" w:after="0" w:afterAutospacing="0" w:line="240" w:lineRule="auto"/>
                    <w:ind w:left="0" w:right="0" w:firstLine="567" w:firstLineChars="0"/>
                    <w:contextualSpacing/>
                    <w:jc w:val="center"/>
                    <w:textAlignment w:val="baseline"/>
                    <w:rPr>
                      <w:rFonts w:hint="default" w:ascii="Times New Roman" w:hAnsi="Times New Roman" w:eastAsia="宋体" w:cs="Times New Roman"/>
                      <w:bCs/>
                      <w:color w:val="auto"/>
                      <w:sz w:val="21"/>
                      <w:szCs w:val="21"/>
                      <w:highlight w:val="none"/>
                    </w:rPr>
                  </w:pPr>
                </w:p>
              </w:tc>
            </w:tr>
            <w:tr w14:paraId="3711A3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1" w:type="pct"/>
                  <w:vMerge w:val="continue"/>
                  <w:vAlign w:val="center"/>
                </w:tcPr>
                <w:p w14:paraId="041B8849">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61" w:type="pct"/>
                  <w:vAlign w:val="center"/>
                </w:tcPr>
                <w:p w14:paraId="0FD356E3">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废pH调整剂包装桶</w:t>
                  </w:r>
                </w:p>
              </w:tc>
              <w:tc>
                <w:tcPr>
                  <w:tcW w:w="763" w:type="pct"/>
                  <w:vAlign w:val="center"/>
                </w:tcPr>
                <w:p w14:paraId="7314062B">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w:t>
                  </w:r>
                </w:p>
              </w:tc>
              <w:tc>
                <w:tcPr>
                  <w:tcW w:w="695" w:type="pct"/>
                  <w:vMerge w:val="continue"/>
                  <w:vAlign w:val="center"/>
                </w:tcPr>
                <w:p w14:paraId="76FCB4A6">
                  <w:pPr>
                    <w:keepNext w:val="0"/>
                    <w:keepLines w:val="0"/>
                    <w:widowControl/>
                    <w:suppressLineNumbers w:val="0"/>
                    <w:autoSpaceDE w:val="0"/>
                    <w:autoSpaceDN w:val="0"/>
                    <w:snapToGrid/>
                    <w:spacing w:before="0" w:beforeAutospacing="0" w:after="0" w:afterAutospacing="0" w:line="240" w:lineRule="auto"/>
                    <w:ind w:left="0" w:right="0"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758" w:type="pct"/>
                  <w:vMerge w:val="continue"/>
                  <w:vAlign w:val="center"/>
                </w:tcPr>
                <w:p w14:paraId="195F1353">
                  <w:pPr>
                    <w:keepNext w:val="0"/>
                    <w:keepLines w:val="0"/>
                    <w:widowControl/>
                    <w:suppressLineNumbers w:val="0"/>
                    <w:autoSpaceDE w:val="0"/>
                    <w:autoSpaceDN w:val="0"/>
                    <w:snapToGrid/>
                    <w:spacing w:before="0" w:beforeAutospacing="0" w:after="0" w:afterAutospacing="0" w:line="240" w:lineRule="auto"/>
                    <w:ind w:left="0" w:right="0"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1739" w:type="pct"/>
                  <w:vMerge w:val="continue"/>
                  <w:vAlign w:val="center"/>
                </w:tcPr>
                <w:p w14:paraId="0C5739F2">
                  <w:pPr>
                    <w:keepNext w:val="0"/>
                    <w:keepLines w:val="0"/>
                    <w:suppressLineNumbers w:val="0"/>
                    <w:autoSpaceDE w:val="0"/>
                    <w:autoSpaceDN w:val="0"/>
                    <w:snapToGrid/>
                    <w:spacing w:before="0" w:beforeAutospacing="0" w:after="0" w:afterAutospacing="0" w:line="240" w:lineRule="auto"/>
                    <w:ind w:left="0" w:right="0" w:firstLine="567" w:firstLineChars="0"/>
                    <w:contextualSpacing/>
                    <w:jc w:val="center"/>
                    <w:textAlignment w:val="baseline"/>
                    <w:rPr>
                      <w:rFonts w:hint="default" w:ascii="Times New Roman" w:hAnsi="Times New Roman" w:eastAsia="宋体" w:cs="Times New Roman"/>
                      <w:bCs/>
                      <w:color w:val="auto"/>
                      <w:sz w:val="21"/>
                      <w:szCs w:val="21"/>
                      <w:highlight w:val="none"/>
                    </w:rPr>
                  </w:pPr>
                </w:p>
              </w:tc>
            </w:tr>
            <w:tr w14:paraId="278864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1" w:type="pct"/>
                  <w:vAlign w:val="center"/>
                </w:tcPr>
                <w:p w14:paraId="16ACAD47">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风险防范措施</w:t>
                  </w:r>
                </w:p>
              </w:tc>
              <w:tc>
                <w:tcPr>
                  <w:tcW w:w="661" w:type="pct"/>
                  <w:vAlign w:val="center"/>
                </w:tcPr>
                <w:p w14:paraId="18662CB8">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事故废水</w:t>
                  </w:r>
                </w:p>
              </w:tc>
              <w:tc>
                <w:tcPr>
                  <w:tcW w:w="763" w:type="pct"/>
                  <w:vAlign w:val="center"/>
                </w:tcPr>
                <w:p w14:paraId="656E2347">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COD</w:t>
                  </w:r>
                  <w:r>
                    <w:rPr>
                      <w:rFonts w:hint="default" w:ascii="Times New Roman" w:hAnsi="Times New Roman" w:eastAsia="宋体" w:cs="Times New Roman"/>
                      <w:b w:val="0"/>
                      <w:bCs w:val="0"/>
                      <w:color w:val="auto"/>
                      <w:kern w:val="2"/>
                      <w:sz w:val="21"/>
                      <w:szCs w:val="21"/>
                      <w:highlight w:val="none"/>
                      <w:vertAlign w:val="subscript"/>
                      <w:lang w:val="en-US" w:eastAsia="zh-CN" w:bidi="ar-SA"/>
                    </w:rPr>
                    <w:t>Cr</w:t>
                  </w:r>
                  <w:r>
                    <w:rPr>
                      <w:rFonts w:hint="default" w:ascii="Times New Roman" w:hAnsi="Times New Roman" w:eastAsia="宋体" w:cs="Times New Roman"/>
                      <w:b w:val="0"/>
                      <w:bCs w:val="0"/>
                      <w:color w:val="auto"/>
                      <w:kern w:val="2"/>
                      <w:sz w:val="21"/>
                      <w:szCs w:val="21"/>
                      <w:highlight w:val="none"/>
                      <w:lang w:val="en-US" w:eastAsia="zh-CN" w:bidi="ar-SA"/>
                    </w:rPr>
                    <w:t>、BOD</w:t>
                  </w:r>
                  <w:r>
                    <w:rPr>
                      <w:rFonts w:hint="default" w:ascii="Times New Roman" w:hAnsi="Times New Roman" w:eastAsia="宋体" w:cs="Times New Roman"/>
                      <w:b w:val="0"/>
                      <w:bCs w:val="0"/>
                      <w:color w:val="auto"/>
                      <w:kern w:val="2"/>
                      <w:sz w:val="21"/>
                      <w:szCs w:val="21"/>
                      <w:highlight w:val="none"/>
                      <w:vertAlign w:val="subscript"/>
                      <w:lang w:val="en-US" w:eastAsia="zh-CN" w:bidi="ar-SA"/>
                    </w:rPr>
                    <w:t>5</w:t>
                  </w:r>
                  <w:r>
                    <w:rPr>
                      <w:rFonts w:hint="default" w:ascii="Times New Roman" w:hAnsi="Times New Roman" w:eastAsia="宋体" w:cs="Times New Roman"/>
                      <w:b w:val="0"/>
                      <w:bCs w:val="0"/>
                      <w:color w:val="auto"/>
                      <w:kern w:val="2"/>
                      <w:sz w:val="21"/>
                      <w:szCs w:val="21"/>
                      <w:highlight w:val="none"/>
                      <w:lang w:val="en-US" w:eastAsia="zh-CN" w:bidi="ar-SA"/>
                    </w:rPr>
                    <w:t>、SS、NH</w:t>
                  </w:r>
                  <w:r>
                    <w:rPr>
                      <w:rFonts w:hint="default" w:ascii="Times New Roman" w:hAnsi="Times New Roman" w:eastAsia="宋体" w:cs="Times New Roman"/>
                      <w:b w:val="0"/>
                      <w:bCs w:val="0"/>
                      <w:color w:val="auto"/>
                      <w:kern w:val="2"/>
                      <w:sz w:val="21"/>
                      <w:szCs w:val="21"/>
                      <w:highlight w:val="none"/>
                      <w:vertAlign w:val="subscript"/>
                      <w:lang w:val="en-US" w:eastAsia="zh-CN" w:bidi="ar-SA"/>
                    </w:rPr>
                    <w:t>3</w:t>
                  </w:r>
                  <w:r>
                    <w:rPr>
                      <w:rFonts w:hint="default" w:ascii="Times New Roman" w:hAnsi="Times New Roman" w:eastAsia="宋体" w:cs="Times New Roman"/>
                      <w:b w:val="0"/>
                      <w:bCs w:val="0"/>
                      <w:color w:val="auto"/>
                      <w:kern w:val="2"/>
                      <w:sz w:val="21"/>
                      <w:szCs w:val="21"/>
                      <w:highlight w:val="none"/>
                      <w:lang w:val="en-US" w:eastAsia="zh-CN" w:bidi="ar-SA"/>
                    </w:rPr>
                    <w:t>-N、</w:t>
                  </w:r>
                  <w:r>
                    <w:rPr>
                      <w:rFonts w:hint="default" w:ascii="Times New Roman" w:hAnsi="Times New Roman" w:cs="Times New Roman"/>
                      <w:b w:val="0"/>
                      <w:bCs w:val="0"/>
                      <w:color w:val="auto"/>
                      <w:kern w:val="2"/>
                      <w:sz w:val="21"/>
                      <w:szCs w:val="21"/>
                      <w:highlight w:val="none"/>
                      <w:lang w:val="en-US" w:eastAsia="zh-CN" w:bidi="ar-SA"/>
                    </w:rPr>
                    <w:t>总磷、</w:t>
                  </w:r>
                  <w:r>
                    <w:rPr>
                      <w:rFonts w:hint="default" w:ascii="Times New Roman" w:hAnsi="Times New Roman" w:eastAsia="宋体" w:cs="Times New Roman"/>
                      <w:b w:val="0"/>
                      <w:bCs w:val="0"/>
                      <w:color w:val="auto"/>
                      <w:kern w:val="2"/>
                      <w:sz w:val="21"/>
                      <w:szCs w:val="21"/>
                      <w:highlight w:val="none"/>
                      <w:lang w:val="en-US" w:eastAsia="zh-CN" w:bidi="ar-SA"/>
                    </w:rPr>
                    <w:t>石油类</w:t>
                  </w:r>
                </w:p>
              </w:tc>
              <w:tc>
                <w:tcPr>
                  <w:tcW w:w="695" w:type="pct"/>
                  <w:vAlign w:val="center"/>
                </w:tcPr>
                <w:p w14:paraId="7E9A1394">
                  <w:pPr>
                    <w:keepNext w:val="0"/>
                    <w:keepLines w:val="0"/>
                    <w:widowControl/>
                    <w:suppressLineNumbers w:val="0"/>
                    <w:autoSpaceDE w:val="0"/>
                    <w:autoSpaceDN w:val="0"/>
                    <w:snapToGrid/>
                    <w:spacing w:before="0" w:beforeAutospacing="0" w:after="0" w:afterAutospacing="0" w:line="240" w:lineRule="auto"/>
                    <w:ind w:left="0" w:right="0" w:firstLine="0" w:firstLineChars="0"/>
                    <w:contextualSpacing/>
                    <w:jc w:val="center"/>
                    <w:textAlignment w:val="baseline"/>
                    <w:rPr>
                      <w:rFonts w:hint="default" w:ascii="Times New Roman" w:hAnsi="Times New Roman" w:eastAsia="宋体" w:cs="Times New Roman"/>
                      <w:bCs/>
                      <w:color w:val="auto"/>
                      <w:sz w:val="21"/>
                      <w:szCs w:val="21"/>
                      <w:highlight w:val="none"/>
                    </w:rPr>
                  </w:pPr>
                  <w:r>
                    <w:rPr>
                      <w:rFonts w:hint="eastAsia" w:cs="Times New Roman"/>
                      <w:b w:val="0"/>
                      <w:bCs w:val="0"/>
                      <w:color w:val="auto"/>
                      <w:kern w:val="2"/>
                      <w:sz w:val="21"/>
                      <w:szCs w:val="21"/>
                      <w:highlight w:val="none"/>
                      <w:lang w:val="en-US" w:eastAsia="zh-CN" w:bidi="ar-SA"/>
                    </w:rPr>
                    <w:t>事故应急池</w:t>
                  </w:r>
                </w:p>
              </w:tc>
              <w:tc>
                <w:tcPr>
                  <w:tcW w:w="758" w:type="pct"/>
                  <w:vAlign w:val="center"/>
                </w:tcPr>
                <w:p w14:paraId="76A75136">
                  <w:pPr>
                    <w:keepNext w:val="0"/>
                    <w:keepLines w:val="0"/>
                    <w:widowControl/>
                    <w:suppressLineNumbers w:val="0"/>
                    <w:autoSpaceDE w:val="0"/>
                    <w:autoSpaceDN w:val="0"/>
                    <w:snapToGrid/>
                    <w:spacing w:before="0" w:beforeAutospacing="0" w:after="0" w:afterAutospacing="0" w:line="240" w:lineRule="auto"/>
                    <w:ind w:left="0" w:right="0" w:firstLine="0" w:firstLineChars="0"/>
                    <w:contextualSpacing/>
                    <w:jc w:val="center"/>
                    <w:textAlignment w:val="baseline"/>
                    <w:rPr>
                      <w:rFonts w:hint="default" w:ascii="Times New Roman" w:hAnsi="Times New Roman" w:eastAsia="宋体" w:cs="Times New Roman"/>
                      <w:bCs/>
                      <w:color w:val="auto"/>
                      <w:sz w:val="21"/>
                      <w:szCs w:val="21"/>
                      <w:highlight w:val="none"/>
                    </w:rPr>
                  </w:pPr>
                  <w:r>
                    <w:rPr>
                      <w:rFonts w:hint="eastAsia" w:cs="Times New Roman"/>
                      <w:b w:val="0"/>
                      <w:bCs w:val="0"/>
                      <w:color w:val="auto"/>
                      <w:kern w:val="2"/>
                      <w:sz w:val="21"/>
                      <w:szCs w:val="21"/>
                      <w:highlight w:val="none"/>
                      <w:lang w:val="en-US" w:eastAsia="zh-CN" w:bidi="ar-SA"/>
                    </w:rPr>
                    <w:t>事故应急池</w:t>
                  </w:r>
                  <w:r>
                    <w:rPr>
                      <w:rFonts w:hint="default" w:ascii="Times New Roman" w:hAnsi="Times New Roman" w:eastAsia="宋体" w:cs="Times New Roman"/>
                      <w:b w:val="0"/>
                      <w:bCs w:val="0"/>
                      <w:color w:val="auto"/>
                      <w:kern w:val="2"/>
                      <w:sz w:val="21"/>
                      <w:szCs w:val="21"/>
                      <w:highlight w:val="none"/>
                      <w:lang w:val="en-US" w:eastAsia="zh-CN" w:bidi="ar-SA"/>
                    </w:rPr>
                    <w:t>设置情况</w:t>
                  </w:r>
                  <w:r>
                    <w:rPr>
                      <w:rFonts w:hint="eastAsia" w:cs="Times New Roman"/>
                      <w:b w:val="0"/>
                      <w:bCs w:val="0"/>
                      <w:color w:val="auto"/>
                      <w:kern w:val="2"/>
                      <w:sz w:val="21"/>
                      <w:szCs w:val="21"/>
                      <w:highlight w:val="none"/>
                      <w:lang w:val="en-US" w:eastAsia="zh-CN" w:bidi="ar-SA"/>
                    </w:rPr>
                    <w:t>，事故废水收集管网</w:t>
                  </w:r>
                  <w:r>
                    <w:rPr>
                      <w:rFonts w:hint="default" w:ascii="Times New Roman" w:hAnsi="Times New Roman" w:eastAsia="宋体" w:cs="Times New Roman"/>
                      <w:b w:val="0"/>
                      <w:bCs w:val="0"/>
                      <w:color w:val="auto"/>
                      <w:kern w:val="2"/>
                      <w:sz w:val="21"/>
                      <w:szCs w:val="21"/>
                      <w:highlight w:val="none"/>
                      <w:lang w:val="en-US" w:eastAsia="zh-CN" w:bidi="ar-SA"/>
                    </w:rPr>
                    <w:t>设置情况</w:t>
                  </w:r>
                </w:p>
              </w:tc>
              <w:tc>
                <w:tcPr>
                  <w:tcW w:w="1739" w:type="pct"/>
                  <w:vAlign w:val="center"/>
                </w:tcPr>
                <w:p w14:paraId="51BF3CD5">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contextualSpacing/>
                    <w:jc w:val="center"/>
                    <w:textAlignment w:val="baseline"/>
                    <w:rPr>
                      <w:rFonts w:hint="eastAsia" w:ascii="Times New Roman" w:hAnsi="Times New Roman" w:eastAsia="宋体" w:cs="Times New Roman"/>
                      <w:bCs/>
                      <w:color w:val="auto"/>
                      <w:sz w:val="21"/>
                      <w:szCs w:val="21"/>
                      <w:highlight w:val="none"/>
                      <w:lang w:eastAsia="zh-CN"/>
                    </w:rPr>
                  </w:pPr>
                  <w:r>
                    <w:rPr>
                      <w:rFonts w:hint="eastAsia" w:cs="Times New Roman"/>
                      <w:bCs/>
                      <w:color w:val="auto"/>
                      <w:sz w:val="21"/>
                      <w:szCs w:val="21"/>
                      <w:highlight w:val="none"/>
                      <w:lang w:val="en-US" w:eastAsia="zh-CN"/>
                    </w:rPr>
                    <w:t>满足</w:t>
                  </w:r>
                  <w:r>
                    <w:rPr>
                      <w:rFonts w:hint="default" w:ascii="Times New Roman" w:hAnsi="Times New Roman" w:eastAsia="宋体" w:cs="Times New Roman"/>
                      <w:bCs/>
                      <w:color w:val="auto"/>
                      <w:sz w:val="21"/>
                      <w:szCs w:val="21"/>
                      <w:highlight w:val="none"/>
                    </w:rPr>
                    <w:t>《事故状态下水体污染的预防与控制技术要求》（Q/SY 1190-2013）的规定</w:t>
                  </w:r>
                  <w:r>
                    <w:rPr>
                      <w:rFonts w:hint="eastAsia" w:cs="Times New Roman"/>
                      <w:bCs/>
                      <w:color w:val="auto"/>
                      <w:sz w:val="21"/>
                      <w:szCs w:val="21"/>
                      <w:highlight w:val="none"/>
                      <w:lang w:eastAsia="zh-CN"/>
                    </w:rPr>
                    <w:t>，发生事故时，泄漏物料、消防废水等事故废水均能截留在厂区内</w:t>
                  </w:r>
                </w:p>
              </w:tc>
            </w:tr>
          </w:tbl>
          <w:p w14:paraId="77228BFA">
            <w:pPr>
              <w:keepNext/>
              <w:keepLines/>
              <w:suppressLineNumbers w:val="0"/>
              <w:tabs>
                <w:tab w:val="left" w:pos="0"/>
              </w:tabs>
              <w:spacing w:before="0" w:beforeAutospacing="0" w:after="0" w:afterAutospacing="0"/>
              <w:ind w:left="478" w:right="0"/>
              <w:outlineLvl w:val="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八、电磁辐射环境</w:t>
            </w:r>
          </w:p>
          <w:p w14:paraId="5A154C64">
            <w:pPr>
              <w:pStyle w:val="12"/>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本项目不存在电磁辐射影响。</w:t>
            </w:r>
          </w:p>
          <w:p w14:paraId="2AC11E62">
            <w:pPr>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p>
          <w:p w14:paraId="05F3BF7B">
            <w:pPr>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p>
          <w:p w14:paraId="6D786852">
            <w:pPr>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p>
        </w:tc>
      </w:tr>
    </w:tbl>
    <w:p w14:paraId="470540EA">
      <w:pPr>
        <w:rPr>
          <w:color w:val="auto"/>
          <w:highlight w:val="none"/>
        </w:rPr>
        <w:sectPr>
          <w:pgSz w:w="11906" w:h="16838"/>
          <w:pgMar w:top="1440" w:right="1080" w:bottom="1440" w:left="1080" w:header="851" w:footer="680" w:gutter="0"/>
          <w:pgBorders>
            <w:top w:val="none" w:sz="0" w:space="0"/>
            <w:left w:val="none" w:sz="0" w:space="0"/>
            <w:bottom w:val="none" w:sz="0" w:space="0"/>
            <w:right w:val="none" w:sz="0" w:space="0"/>
          </w:pgBorders>
          <w:pgNumType w:fmt="numberInDash"/>
          <w:cols w:space="720" w:num="1"/>
          <w:docGrid w:type="linesAndChars" w:linePitch="312" w:charSpace="0"/>
        </w:sectPr>
      </w:pPr>
    </w:p>
    <w:p w14:paraId="0BD6F560">
      <w:pPr>
        <w:pStyle w:val="2"/>
        <w:numPr>
          <w:ilvl w:val="0"/>
          <w:numId w:val="0"/>
        </w:numPr>
        <w:rPr>
          <w:rFonts w:cs="Times New Roman"/>
          <w:b/>
          <w:bCs/>
          <w:color w:val="auto"/>
          <w:highlight w:val="none"/>
        </w:rPr>
      </w:pPr>
      <w:bookmarkStart w:id="148" w:name="_Toc7179"/>
      <w:bookmarkStart w:id="149" w:name="_Toc23240"/>
      <w:bookmarkStart w:id="150" w:name="_Toc30723"/>
      <w:r>
        <w:rPr>
          <w:rFonts w:hint="eastAsia" w:cs="Times New Roman"/>
          <w:b/>
          <w:bCs/>
          <w:color w:val="auto"/>
          <w:highlight w:val="none"/>
        </w:rPr>
        <w:t>五、</w:t>
      </w:r>
      <w:r>
        <w:rPr>
          <w:rFonts w:cs="Times New Roman"/>
          <w:b/>
          <w:bCs/>
          <w:color w:val="auto"/>
          <w:highlight w:val="none"/>
        </w:rPr>
        <w:t>环境保护措施监督检查清单</w:t>
      </w:r>
      <w:bookmarkEnd w:id="146"/>
      <w:bookmarkEnd w:id="148"/>
      <w:bookmarkEnd w:id="149"/>
      <w:bookmarkEnd w:id="150"/>
    </w:p>
    <w:tbl>
      <w:tblPr>
        <w:tblStyle w:val="39"/>
        <w:tblW w:w="50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9"/>
        <w:gridCol w:w="1352"/>
        <w:gridCol w:w="983"/>
        <w:gridCol w:w="1461"/>
        <w:gridCol w:w="1898"/>
        <w:gridCol w:w="2823"/>
      </w:tblGrid>
      <w:tr w14:paraId="46C942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418" w:type="pct"/>
            <w:tcBorders>
              <w:tl2br w:val="single" w:color="auto" w:sz="4" w:space="0"/>
            </w:tcBorders>
            <w:vAlign w:val="center"/>
          </w:tcPr>
          <w:p w14:paraId="74E9B6D6">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b/>
                <w:bCs/>
                <w:color w:val="auto"/>
                <w:kern w:val="2"/>
                <w:highlight w:val="none"/>
              </w:rPr>
            </w:pPr>
            <w:r>
              <w:rPr>
                <w:rFonts w:hint="eastAsia"/>
                <w:b/>
                <w:bCs/>
                <w:color w:val="auto"/>
                <w:kern w:val="2"/>
                <w:highlight w:val="none"/>
              </w:rPr>
              <w:t>内容</w:t>
            </w:r>
          </w:p>
          <w:p w14:paraId="2CBE8CB3">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both"/>
              <w:rPr>
                <w:rFonts w:hint="eastAsia"/>
                <w:b/>
                <w:bCs/>
                <w:color w:val="auto"/>
                <w:kern w:val="2"/>
                <w:highlight w:val="none"/>
              </w:rPr>
            </w:pPr>
            <w:r>
              <w:rPr>
                <w:rFonts w:hint="eastAsia"/>
                <w:b/>
                <w:bCs/>
                <w:color w:val="auto"/>
                <w:kern w:val="2"/>
                <w:highlight w:val="none"/>
              </w:rPr>
              <w:t>要素</w:t>
            </w:r>
          </w:p>
        </w:tc>
        <w:tc>
          <w:tcPr>
            <w:tcW w:w="1255" w:type="pct"/>
            <w:gridSpan w:val="2"/>
            <w:vAlign w:val="center"/>
          </w:tcPr>
          <w:p w14:paraId="5F7CDD1B">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b/>
                <w:bCs/>
                <w:color w:val="auto"/>
                <w:kern w:val="2"/>
                <w:highlight w:val="none"/>
              </w:rPr>
            </w:pPr>
            <w:r>
              <w:rPr>
                <w:rFonts w:hint="eastAsia"/>
                <w:b/>
                <w:bCs/>
                <w:color w:val="auto"/>
                <w:kern w:val="2"/>
                <w:highlight w:val="none"/>
              </w:rPr>
              <w:t>排放口（编号、名称）/污染源</w:t>
            </w:r>
          </w:p>
        </w:tc>
        <w:tc>
          <w:tcPr>
            <w:tcW w:w="785" w:type="pct"/>
            <w:vAlign w:val="center"/>
          </w:tcPr>
          <w:p w14:paraId="127138A5">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b/>
                <w:bCs/>
                <w:color w:val="auto"/>
                <w:kern w:val="2"/>
                <w:highlight w:val="none"/>
              </w:rPr>
            </w:pPr>
            <w:r>
              <w:rPr>
                <w:rFonts w:hint="eastAsia"/>
                <w:b/>
                <w:bCs/>
                <w:color w:val="auto"/>
                <w:kern w:val="2"/>
                <w:highlight w:val="none"/>
              </w:rPr>
              <w:t>污染物项目</w:t>
            </w:r>
          </w:p>
        </w:tc>
        <w:tc>
          <w:tcPr>
            <w:tcW w:w="1020" w:type="pct"/>
            <w:vAlign w:val="center"/>
          </w:tcPr>
          <w:p w14:paraId="5403213F">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b/>
                <w:bCs/>
                <w:color w:val="auto"/>
                <w:kern w:val="2"/>
                <w:highlight w:val="none"/>
              </w:rPr>
            </w:pPr>
            <w:r>
              <w:rPr>
                <w:rFonts w:hint="eastAsia"/>
                <w:b/>
                <w:bCs/>
                <w:color w:val="auto"/>
                <w:kern w:val="2"/>
                <w:highlight w:val="none"/>
              </w:rPr>
              <w:t>环境保护措施</w:t>
            </w:r>
          </w:p>
        </w:tc>
        <w:tc>
          <w:tcPr>
            <w:tcW w:w="1518" w:type="pct"/>
            <w:vAlign w:val="center"/>
          </w:tcPr>
          <w:p w14:paraId="080994AC">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b/>
                <w:bCs/>
                <w:color w:val="auto"/>
                <w:kern w:val="2"/>
                <w:highlight w:val="none"/>
              </w:rPr>
            </w:pPr>
            <w:r>
              <w:rPr>
                <w:rFonts w:hint="eastAsia"/>
                <w:b/>
                <w:bCs/>
                <w:color w:val="auto"/>
                <w:kern w:val="2"/>
                <w:highlight w:val="none"/>
              </w:rPr>
              <w:t>执行标准</w:t>
            </w:r>
          </w:p>
        </w:tc>
      </w:tr>
      <w:tr w14:paraId="6CEE1E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18" w:hRule="atLeast"/>
          <w:jc w:val="center"/>
        </w:trPr>
        <w:tc>
          <w:tcPr>
            <w:tcW w:w="418" w:type="pct"/>
            <w:vMerge w:val="restart"/>
            <w:vAlign w:val="center"/>
          </w:tcPr>
          <w:p w14:paraId="0042C21E">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大气环境</w:t>
            </w:r>
          </w:p>
        </w:tc>
        <w:tc>
          <w:tcPr>
            <w:tcW w:w="727" w:type="pct"/>
            <w:vAlign w:val="center"/>
          </w:tcPr>
          <w:p w14:paraId="238EF11A">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s="Times New Roman"/>
                <w:i w:val="0"/>
                <w:iCs w:val="0"/>
                <w:color w:val="auto"/>
                <w:kern w:val="0"/>
                <w:sz w:val="21"/>
                <w:szCs w:val="21"/>
                <w:highlight w:val="none"/>
                <w:u w:val="none"/>
                <w:lang w:val="en-US" w:eastAsia="zh-CN"/>
              </w:rPr>
              <w:t>破碎粉尘排气筒</w:t>
            </w:r>
            <w:r>
              <w:rPr>
                <w:rFonts w:hint="eastAsia"/>
                <w:color w:val="auto"/>
                <w:kern w:val="2"/>
                <w:highlight w:val="none"/>
              </w:rPr>
              <w:t>（DA001）</w:t>
            </w:r>
          </w:p>
        </w:tc>
        <w:tc>
          <w:tcPr>
            <w:tcW w:w="528" w:type="pct"/>
            <w:vAlign w:val="center"/>
          </w:tcPr>
          <w:p w14:paraId="52C4A157">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eastAsia="宋体"/>
                <w:color w:val="auto"/>
                <w:kern w:val="2"/>
                <w:highlight w:val="none"/>
                <w:lang w:eastAsia="zh-CN"/>
              </w:rPr>
            </w:pPr>
            <w:r>
              <w:rPr>
                <w:rFonts w:hint="eastAsia"/>
                <w:color w:val="auto"/>
                <w:kern w:val="2"/>
                <w:highlight w:val="none"/>
                <w:lang w:val="en-US" w:eastAsia="zh-CN"/>
              </w:rPr>
              <w:t>破碎粉尘</w:t>
            </w:r>
          </w:p>
        </w:tc>
        <w:tc>
          <w:tcPr>
            <w:tcW w:w="785" w:type="pct"/>
            <w:vAlign w:val="center"/>
          </w:tcPr>
          <w:p w14:paraId="6AEB5D94">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default" w:eastAsia="宋体"/>
                <w:color w:val="auto"/>
                <w:kern w:val="2"/>
                <w:highlight w:val="none"/>
                <w:lang w:val="en-US" w:eastAsia="zh-CN"/>
              </w:rPr>
            </w:pPr>
            <w:r>
              <w:rPr>
                <w:rFonts w:hint="eastAsia"/>
                <w:color w:val="auto"/>
                <w:kern w:val="2"/>
                <w:highlight w:val="none"/>
              </w:rPr>
              <w:t>颗粒物</w:t>
            </w:r>
          </w:p>
        </w:tc>
        <w:tc>
          <w:tcPr>
            <w:tcW w:w="1020" w:type="pct"/>
            <w:vAlign w:val="center"/>
          </w:tcPr>
          <w:p w14:paraId="07EDA3C8">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lang w:val="en-US" w:eastAsia="zh-CN"/>
              </w:rPr>
              <w:t>采取布袋除尘器处理后经</w:t>
            </w:r>
            <w:r>
              <w:rPr>
                <w:rFonts w:hint="eastAsia"/>
                <w:color w:val="auto"/>
                <w:kern w:val="0"/>
                <w:highlight w:val="none"/>
                <w:lang w:val="en-US" w:eastAsia="zh-CN"/>
              </w:rPr>
              <w:t>15</w:t>
            </w:r>
            <w:r>
              <w:rPr>
                <w:rFonts w:hint="eastAsia"/>
                <w:color w:val="auto"/>
                <w:kern w:val="0"/>
                <w:highlight w:val="none"/>
              </w:rPr>
              <w:t>m</w:t>
            </w:r>
            <w:r>
              <w:rPr>
                <w:rFonts w:hint="eastAsia"/>
                <w:color w:val="auto"/>
                <w:kern w:val="2"/>
                <w:highlight w:val="none"/>
              </w:rPr>
              <w:t>高排气筒（DA001）排放</w:t>
            </w:r>
          </w:p>
        </w:tc>
        <w:tc>
          <w:tcPr>
            <w:tcW w:w="1518" w:type="pct"/>
            <w:vAlign w:val="center"/>
          </w:tcPr>
          <w:p w14:paraId="2C15596E">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default" w:eastAsia="宋体"/>
                <w:color w:val="auto"/>
                <w:kern w:val="2"/>
                <w:highlight w:val="none"/>
                <w:lang w:val="en-US" w:eastAsia="zh-CN"/>
              </w:rPr>
            </w:pPr>
            <w:r>
              <w:rPr>
                <w:rFonts w:hint="eastAsia" w:cs="Times New Roman"/>
                <w:b w:val="0"/>
                <w:bCs w:val="0"/>
                <w:color w:val="auto"/>
                <w:kern w:val="2"/>
                <w:highlight w:val="none"/>
                <w:lang w:val="en-US" w:eastAsia="zh-CN"/>
              </w:rPr>
              <w:t>《合成树脂工业污染物排放标准》(GB31572-2015) 及其 2024 年修改单中表 5 大气污染物特别排放限值</w:t>
            </w:r>
          </w:p>
        </w:tc>
      </w:tr>
      <w:tr w14:paraId="643F0F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3" w:hRule="atLeast"/>
          <w:jc w:val="center"/>
        </w:trPr>
        <w:tc>
          <w:tcPr>
            <w:tcW w:w="418" w:type="pct"/>
            <w:vMerge w:val="continue"/>
            <w:vAlign w:val="center"/>
          </w:tcPr>
          <w:p w14:paraId="03F04B82">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p>
        </w:tc>
        <w:tc>
          <w:tcPr>
            <w:tcW w:w="727" w:type="pct"/>
            <w:vAlign w:val="center"/>
          </w:tcPr>
          <w:p w14:paraId="20476F84">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油烟（DA002）</w:t>
            </w:r>
          </w:p>
        </w:tc>
        <w:tc>
          <w:tcPr>
            <w:tcW w:w="528" w:type="pct"/>
            <w:vAlign w:val="center"/>
          </w:tcPr>
          <w:p w14:paraId="20E7A8F9">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default"/>
                <w:color w:val="auto"/>
                <w:kern w:val="2"/>
                <w:highlight w:val="none"/>
                <w:lang w:val="en-US" w:eastAsia="zh-CN"/>
              </w:rPr>
            </w:pPr>
            <w:r>
              <w:rPr>
                <w:rFonts w:hint="eastAsia"/>
                <w:color w:val="auto"/>
                <w:kern w:val="2"/>
                <w:highlight w:val="none"/>
                <w:lang w:val="en-US" w:eastAsia="zh-CN"/>
              </w:rPr>
              <w:t>食堂油烟</w:t>
            </w:r>
          </w:p>
        </w:tc>
        <w:tc>
          <w:tcPr>
            <w:tcW w:w="785" w:type="pct"/>
            <w:vAlign w:val="center"/>
          </w:tcPr>
          <w:p w14:paraId="602E0624">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eastAsia="宋体"/>
                <w:color w:val="auto"/>
                <w:kern w:val="2"/>
                <w:highlight w:val="none"/>
                <w:lang w:val="en-US" w:eastAsia="zh-CN"/>
              </w:rPr>
            </w:pPr>
            <w:r>
              <w:rPr>
                <w:rFonts w:hint="eastAsia"/>
                <w:color w:val="auto"/>
                <w:kern w:val="2"/>
                <w:highlight w:val="none"/>
                <w:lang w:val="en-US" w:eastAsia="zh-CN"/>
              </w:rPr>
              <w:t>油烟</w:t>
            </w:r>
          </w:p>
        </w:tc>
        <w:tc>
          <w:tcPr>
            <w:tcW w:w="1020" w:type="pct"/>
            <w:vAlign w:val="center"/>
          </w:tcPr>
          <w:p w14:paraId="3EC63873">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default"/>
                <w:color w:val="auto"/>
                <w:kern w:val="2"/>
                <w:highlight w:val="none"/>
                <w:lang w:val="en-US" w:eastAsia="zh-CN"/>
              </w:rPr>
            </w:pPr>
            <w:r>
              <w:rPr>
                <w:rFonts w:hint="eastAsia"/>
                <w:color w:val="auto"/>
                <w:kern w:val="2"/>
                <w:highlight w:val="none"/>
                <w:lang w:val="en-US" w:eastAsia="zh-CN"/>
              </w:rPr>
              <w:t>经油烟净化器净化后通过15m高排气筒排放</w:t>
            </w:r>
          </w:p>
        </w:tc>
        <w:tc>
          <w:tcPr>
            <w:tcW w:w="1518" w:type="pct"/>
            <w:vAlign w:val="center"/>
          </w:tcPr>
          <w:p w14:paraId="6006D648">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s="Times New Roman"/>
                <w:b w:val="0"/>
                <w:bCs w:val="0"/>
                <w:color w:val="auto"/>
                <w:kern w:val="2"/>
                <w:highlight w:val="none"/>
                <w:lang w:val="en-US" w:eastAsia="zh-CN"/>
              </w:rPr>
            </w:pPr>
            <w:r>
              <w:rPr>
                <w:rFonts w:hint="default" w:ascii="Times New Roman" w:hAnsi="Times New Roman" w:eastAsia="宋体" w:cs="Times New Roman"/>
                <w:color w:val="auto"/>
                <w:kern w:val="2"/>
                <w:sz w:val="21"/>
                <w:szCs w:val="21"/>
                <w:highlight w:val="none"/>
              </w:rPr>
              <w:t>《饮食业油烟排放标准（试行）》（GB18483-2001）</w:t>
            </w:r>
            <w:r>
              <w:rPr>
                <w:rFonts w:hint="eastAsia" w:ascii="Times New Roman" w:hAnsi="Times New Roman" w:eastAsia="宋体" w:cs="Times New Roman"/>
                <w:color w:val="auto"/>
                <w:kern w:val="2"/>
                <w:sz w:val="21"/>
                <w:szCs w:val="21"/>
                <w:highlight w:val="none"/>
                <w:lang w:val="en-US" w:eastAsia="zh-CN"/>
              </w:rPr>
              <w:t>中</w:t>
            </w:r>
            <w:r>
              <w:rPr>
                <w:rFonts w:hint="default" w:ascii="Times New Roman" w:hAnsi="Times New Roman" w:eastAsia="宋体" w:cs="Times New Roman"/>
                <w:color w:val="auto"/>
                <w:kern w:val="2"/>
                <w:sz w:val="21"/>
                <w:szCs w:val="21"/>
                <w:highlight w:val="none"/>
              </w:rPr>
              <w:t>型规模标准</w:t>
            </w:r>
          </w:p>
        </w:tc>
      </w:tr>
      <w:tr w14:paraId="217750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5" w:hRule="atLeast"/>
          <w:jc w:val="center"/>
        </w:trPr>
        <w:tc>
          <w:tcPr>
            <w:tcW w:w="418" w:type="pct"/>
            <w:vMerge w:val="continue"/>
            <w:vAlign w:val="center"/>
          </w:tcPr>
          <w:p w14:paraId="282294C5">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p>
        </w:tc>
        <w:tc>
          <w:tcPr>
            <w:tcW w:w="727" w:type="pct"/>
            <w:vMerge w:val="restart"/>
            <w:vAlign w:val="center"/>
          </w:tcPr>
          <w:p w14:paraId="3B4D19FE">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无组织排放</w:t>
            </w:r>
          </w:p>
        </w:tc>
        <w:tc>
          <w:tcPr>
            <w:tcW w:w="528" w:type="pct"/>
            <w:vAlign w:val="center"/>
          </w:tcPr>
          <w:p w14:paraId="51E45DFA">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default" w:eastAsia="宋体"/>
                <w:color w:val="auto"/>
                <w:kern w:val="2"/>
                <w:highlight w:val="none"/>
                <w:lang w:val="en-US" w:eastAsia="zh-CN"/>
              </w:rPr>
            </w:pPr>
            <w:r>
              <w:rPr>
                <w:rFonts w:hint="eastAsia"/>
                <w:color w:val="auto"/>
                <w:kern w:val="2"/>
                <w:highlight w:val="none"/>
                <w:lang w:val="en-US" w:eastAsia="zh-CN"/>
              </w:rPr>
              <w:t>破碎粉尘</w:t>
            </w:r>
          </w:p>
        </w:tc>
        <w:tc>
          <w:tcPr>
            <w:tcW w:w="785" w:type="pct"/>
            <w:vAlign w:val="center"/>
          </w:tcPr>
          <w:p w14:paraId="6171E540">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颗粒物</w:t>
            </w:r>
          </w:p>
        </w:tc>
        <w:tc>
          <w:tcPr>
            <w:tcW w:w="1020" w:type="pct"/>
            <w:vAlign w:val="center"/>
          </w:tcPr>
          <w:p w14:paraId="73533491">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lang w:val="en-US" w:eastAsia="zh-CN"/>
              </w:rPr>
              <w:t>经布袋除尘器</w:t>
            </w:r>
            <w:r>
              <w:rPr>
                <w:rFonts w:hint="eastAsia"/>
                <w:color w:val="auto"/>
                <w:kern w:val="2"/>
                <w:highlight w:val="none"/>
              </w:rPr>
              <w:t>处理后于车间内无组织排放，并加强厂内通风</w:t>
            </w:r>
          </w:p>
        </w:tc>
        <w:tc>
          <w:tcPr>
            <w:tcW w:w="1518" w:type="pct"/>
            <w:vAlign w:val="center"/>
          </w:tcPr>
          <w:p w14:paraId="32E1EA7A">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s="Times New Roman"/>
                <w:b w:val="0"/>
                <w:bCs w:val="0"/>
                <w:color w:val="auto"/>
                <w:kern w:val="2"/>
                <w:highlight w:val="none"/>
                <w:lang w:val="en-US" w:eastAsia="zh-CN"/>
              </w:rPr>
              <w:t>《合成树脂工业污染物排放标准》(GB31572-2015) 及其 2024 年修改单中表9企业边界大气污染物浓度限值</w:t>
            </w:r>
          </w:p>
        </w:tc>
      </w:tr>
      <w:tr w14:paraId="03A04E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2" w:hRule="atLeast"/>
          <w:jc w:val="center"/>
        </w:trPr>
        <w:tc>
          <w:tcPr>
            <w:tcW w:w="418" w:type="pct"/>
            <w:vMerge w:val="continue"/>
            <w:vAlign w:val="center"/>
          </w:tcPr>
          <w:p w14:paraId="0FA0B2B4">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p>
        </w:tc>
        <w:tc>
          <w:tcPr>
            <w:tcW w:w="727" w:type="pct"/>
            <w:vMerge w:val="continue"/>
            <w:vAlign w:val="center"/>
          </w:tcPr>
          <w:p w14:paraId="4671472D">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p>
        </w:tc>
        <w:tc>
          <w:tcPr>
            <w:tcW w:w="528" w:type="pct"/>
            <w:vAlign w:val="center"/>
          </w:tcPr>
          <w:p w14:paraId="2691C0EA">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default" w:eastAsia="宋体"/>
                <w:color w:val="auto"/>
                <w:kern w:val="2"/>
                <w:highlight w:val="none"/>
                <w:lang w:val="en-US" w:eastAsia="zh-CN"/>
              </w:rPr>
            </w:pPr>
            <w:r>
              <w:rPr>
                <w:rFonts w:hint="eastAsia"/>
                <w:color w:val="auto"/>
                <w:kern w:val="2"/>
                <w:highlight w:val="none"/>
                <w:lang w:val="en-US" w:eastAsia="zh-CN"/>
              </w:rPr>
              <w:t>污水处理站恶臭</w:t>
            </w:r>
          </w:p>
        </w:tc>
        <w:tc>
          <w:tcPr>
            <w:tcW w:w="785" w:type="pct"/>
            <w:vAlign w:val="center"/>
          </w:tcPr>
          <w:p w14:paraId="2094BD35">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default" w:eastAsia="宋体"/>
                <w:color w:val="auto"/>
                <w:kern w:val="2"/>
                <w:highlight w:val="none"/>
                <w:lang w:val="en-US" w:eastAsia="zh-CN"/>
              </w:rPr>
            </w:pPr>
            <w:r>
              <w:rPr>
                <w:rFonts w:hint="eastAsia"/>
                <w:color w:val="auto"/>
                <w:kern w:val="2"/>
                <w:highlight w:val="none"/>
                <w:lang w:val="en-US" w:eastAsia="zh-CN"/>
              </w:rPr>
              <w:t>臭气浓度、硫化氢、氨气</w:t>
            </w:r>
          </w:p>
        </w:tc>
        <w:tc>
          <w:tcPr>
            <w:tcW w:w="1020" w:type="pct"/>
            <w:vAlign w:val="center"/>
          </w:tcPr>
          <w:p w14:paraId="3197B443">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采取加盖密闭、加强通风</w:t>
            </w:r>
          </w:p>
        </w:tc>
        <w:tc>
          <w:tcPr>
            <w:tcW w:w="1518" w:type="pct"/>
            <w:vAlign w:val="center"/>
          </w:tcPr>
          <w:p w14:paraId="209A8A1C">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《恶臭污染物排放标准》(GB14554-93)表1二级标准中“新改扩建”限值要求</w:t>
            </w:r>
          </w:p>
        </w:tc>
      </w:tr>
      <w:tr w14:paraId="5E85F5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2" w:hRule="atLeast"/>
          <w:jc w:val="center"/>
        </w:trPr>
        <w:tc>
          <w:tcPr>
            <w:tcW w:w="418" w:type="pct"/>
            <w:vMerge w:val="restart"/>
            <w:vAlign w:val="center"/>
          </w:tcPr>
          <w:p w14:paraId="3870F5C3">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地表水环境</w:t>
            </w:r>
          </w:p>
        </w:tc>
        <w:tc>
          <w:tcPr>
            <w:tcW w:w="1255" w:type="pct"/>
            <w:gridSpan w:val="2"/>
            <w:vAlign w:val="center"/>
          </w:tcPr>
          <w:p w14:paraId="06BDC5A9">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生活污水</w:t>
            </w:r>
          </w:p>
          <w:p w14:paraId="10D50A78">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w:t>
            </w:r>
            <w:r>
              <w:rPr>
                <w:rFonts w:hint="default" w:ascii="Times New Roman" w:hAnsi="Times New Roman" w:cs="Times New Roman"/>
                <w:color w:val="auto"/>
                <w:kern w:val="2"/>
                <w:highlight w:val="none"/>
                <w:lang w:val="en-US" w:eastAsia="zh-CN"/>
              </w:rPr>
              <w:t>DW00</w:t>
            </w:r>
            <w:r>
              <w:rPr>
                <w:rFonts w:hint="eastAsia"/>
                <w:color w:val="auto"/>
                <w:kern w:val="2"/>
                <w:highlight w:val="none"/>
              </w:rPr>
              <w:t>1）</w:t>
            </w:r>
          </w:p>
        </w:tc>
        <w:tc>
          <w:tcPr>
            <w:tcW w:w="785" w:type="pct"/>
            <w:vAlign w:val="center"/>
          </w:tcPr>
          <w:p w14:paraId="07864A60">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default" w:eastAsia="宋体"/>
                <w:color w:val="auto"/>
                <w:kern w:val="2"/>
                <w:highlight w:val="none"/>
                <w:lang w:val="en-US" w:eastAsia="zh-CN"/>
              </w:rPr>
            </w:pPr>
            <w:r>
              <w:rPr>
                <w:rFonts w:hint="eastAsia"/>
                <w:color w:val="auto"/>
                <w:kern w:val="2"/>
                <w:highlight w:val="none"/>
              </w:rPr>
              <w:t>pH、COD</w:t>
            </w:r>
            <w:r>
              <w:rPr>
                <w:rFonts w:hint="eastAsia"/>
                <w:color w:val="auto"/>
                <w:kern w:val="2"/>
                <w:highlight w:val="none"/>
                <w:vertAlign w:val="subscript"/>
              </w:rPr>
              <w:t>Cr</w:t>
            </w:r>
            <w:r>
              <w:rPr>
                <w:rFonts w:hint="eastAsia"/>
                <w:color w:val="auto"/>
                <w:kern w:val="2"/>
                <w:highlight w:val="none"/>
              </w:rPr>
              <w:t>、BOD</w:t>
            </w:r>
            <w:r>
              <w:rPr>
                <w:rFonts w:hint="eastAsia"/>
                <w:color w:val="auto"/>
                <w:kern w:val="2"/>
                <w:highlight w:val="none"/>
                <w:vertAlign w:val="subscript"/>
              </w:rPr>
              <w:t>5</w:t>
            </w:r>
            <w:r>
              <w:rPr>
                <w:rFonts w:hint="eastAsia"/>
                <w:color w:val="auto"/>
                <w:kern w:val="2"/>
                <w:highlight w:val="none"/>
              </w:rPr>
              <w:t>、SS、氨氮、</w:t>
            </w:r>
            <w:r>
              <w:rPr>
                <w:rFonts w:hint="eastAsia"/>
                <w:color w:val="auto"/>
                <w:kern w:val="2"/>
                <w:highlight w:val="none"/>
                <w:lang w:val="en-US" w:eastAsia="zh-CN"/>
              </w:rPr>
              <w:t>总磷、动植物油</w:t>
            </w:r>
          </w:p>
        </w:tc>
        <w:tc>
          <w:tcPr>
            <w:tcW w:w="1020" w:type="pct"/>
            <w:vAlign w:val="center"/>
          </w:tcPr>
          <w:p w14:paraId="4AEC1624">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default" w:eastAsia="宋体"/>
                <w:color w:val="auto"/>
                <w:kern w:val="2"/>
                <w:highlight w:val="none"/>
                <w:lang w:val="en-US" w:eastAsia="zh-CN"/>
              </w:rPr>
            </w:pPr>
            <w:r>
              <w:rPr>
                <w:rFonts w:hint="eastAsia"/>
                <w:color w:val="auto"/>
                <w:kern w:val="2"/>
                <w:highlight w:val="none"/>
              </w:rPr>
              <w:t>生活污水经三级化粪池处理后，经园区污水管网排入园区污水处理厂进一步处理后，排入武江</w:t>
            </w:r>
          </w:p>
        </w:tc>
        <w:tc>
          <w:tcPr>
            <w:tcW w:w="1518" w:type="pct"/>
            <w:vAlign w:val="center"/>
          </w:tcPr>
          <w:p w14:paraId="4DABEB22">
            <w:pPr>
              <w:pStyle w:val="24"/>
              <w:keepNext w:val="0"/>
              <w:keepLines w:val="0"/>
              <w:pageBreakBefore w:val="0"/>
              <w:suppressLineNumbers w:val="0"/>
              <w:kinsoku/>
              <w:overflowPunct/>
              <w:topLinePunct w:val="0"/>
              <w:bidi w:val="0"/>
              <w:snapToGrid/>
              <w:spacing w:before="0" w:beforeAutospacing="0" w:after="0" w:afterAutospacing="0" w:line="276" w:lineRule="auto"/>
              <w:ind w:left="0" w:right="0"/>
              <w:jc w:val="center"/>
              <w:rPr>
                <w:rFonts w:hint="default"/>
                <w:color w:val="auto"/>
                <w:highlight w:val="none"/>
                <w:lang w:val="en-US"/>
              </w:rPr>
            </w:pPr>
            <w:r>
              <w:rPr>
                <w:rFonts w:hint="eastAsia"/>
                <w:color w:val="auto"/>
                <w:sz w:val="21"/>
                <w:szCs w:val="21"/>
                <w:highlight w:val="none"/>
                <w:lang w:eastAsia="zh-CN"/>
              </w:rPr>
              <w:t>园区污水处理厂接管水质</w:t>
            </w:r>
            <w:r>
              <w:rPr>
                <w:rFonts w:hint="eastAsia"/>
                <w:color w:val="auto"/>
                <w:sz w:val="21"/>
                <w:szCs w:val="21"/>
                <w:highlight w:val="none"/>
                <w:lang w:val="en-US" w:eastAsia="zh-CN"/>
              </w:rPr>
              <w:t>要求及广东省《水污染物排放限值》（DB44/26-2001）第二时段三级标准两者较严值</w:t>
            </w:r>
          </w:p>
        </w:tc>
      </w:tr>
      <w:tr w14:paraId="47A780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2" w:hRule="atLeast"/>
          <w:jc w:val="center"/>
        </w:trPr>
        <w:tc>
          <w:tcPr>
            <w:tcW w:w="418" w:type="pct"/>
            <w:vMerge w:val="continue"/>
            <w:vAlign w:val="center"/>
          </w:tcPr>
          <w:p w14:paraId="3830DEBC">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p>
        </w:tc>
        <w:tc>
          <w:tcPr>
            <w:tcW w:w="1255" w:type="pct"/>
            <w:gridSpan w:val="2"/>
            <w:vAlign w:val="center"/>
          </w:tcPr>
          <w:p w14:paraId="67EFF42A">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生产废水</w:t>
            </w:r>
          </w:p>
        </w:tc>
        <w:tc>
          <w:tcPr>
            <w:tcW w:w="785" w:type="pct"/>
            <w:vAlign w:val="center"/>
          </w:tcPr>
          <w:p w14:paraId="7A12EDBA">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pH、COD</w:t>
            </w:r>
            <w:r>
              <w:rPr>
                <w:rFonts w:hint="eastAsia"/>
                <w:color w:val="auto"/>
                <w:kern w:val="2"/>
                <w:highlight w:val="none"/>
                <w:vertAlign w:val="subscript"/>
              </w:rPr>
              <w:t>Cr</w:t>
            </w:r>
            <w:r>
              <w:rPr>
                <w:rFonts w:hint="eastAsia"/>
                <w:color w:val="auto"/>
                <w:kern w:val="2"/>
                <w:highlight w:val="none"/>
              </w:rPr>
              <w:t>、氨氮、</w:t>
            </w:r>
            <w:r>
              <w:rPr>
                <w:rFonts w:hint="eastAsia"/>
                <w:color w:val="auto"/>
                <w:kern w:val="2"/>
                <w:highlight w:val="none"/>
                <w:lang w:val="en-US" w:eastAsia="zh-CN"/>
              </w:rPr>
              <w:t>总氮、总磷、</w:t>
            </w:r>
            <w:r>
              <w:rPr>
                <w:rFonts w:hint="eastAsia"/>
                <w:color w:val="auto"/>
                <w:kern w:val="2"/>
                <w:highlight w:val="none"/>
              </w:rPr>
              <w:t>石油类</w:t>
            </w:r>
          </w:p>
        </w:tc>
        <w:tc>
          <w:tcPr>
            <w:tcW w:w="1020" w:type="pct"/>
            <w:vAlign w:val="center"/>
          </w:tcPr>
          <w:p w14:paraId="472213FE">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生产废水经企业自建污水处理站处理</w:t>
            </w:r>
            <w:r>
              <w:rPr>
                <w:rFonts w:hint="eastAsia"/>
                <w:color w:val="auto"/>
                <w:kern w:val="2"/>
                <w:highlight w:val="none"/>
                <w:lang w:val="en-US" w:eastAsia="zh-CN"/>
              </w:rPr>
              <w:t>后部分回用，部分外排</w:t>
            </w:r>
          </w:p>
        </w:tc>
        <w:tc>
          <w:tcPr>
            <w:tcW w:w="1518" w:type="pct"/>
            <w:vAlign w:val="center"/>
          </w:tcPr>
          <w:p w14:paraId="6D90722C">
            <w:pPr>
              <w:pStyle w:val="24"/>
              <w:keepNext w:val="0"/>
              <w:keepLines w:val="0"/>
              <w:pageBreakBefore w:val="0"/>
              <w:suppressLineNumbers w:val="0"/>
              <w:kinsoku/>
              <w:overflowPunct/>
              <w:topLinePunct w:val="0"/>
              <w:bidi w:val="0"/>
              <w:snapToGrid/>
              <w:spacing w:before="0" w:beforeAutospacing="0" w:after="0" w:afterAutospacing="0" w:line="276" w:lineRule="auto"/>
              <w:ind w:left="0" w:right="0"/>
              <w:jc w:val="center"/>
              <w:rPr>
                <w:rFonts w:hint="default"/>
                <w:color w:val="auto"/>
                <w:sz w:val="21"/>
                <w:szCs w:val="21"/>
                <w:highlight w:val="none"/>
                <w:lang w:val="en-US" w:eastAsia="zh-CN"/>
              </w:rPr>
            </w:pPr>
            <w:r>
              <w:rPr>
                <w:rFonts w:hint="eastAsia"/>
                <w:color w:val="auto"/>
                <w:sz w:val="21"/>
                <w:szCs w:val="21"/>
                <w:highlight w:val="none"/>
                <w:lang w:val="en-US" w:eastAsia="zh-CN"/>
              </w:rPr>
              <w:t>回用水水质执行</w:t>
            </w:r>
            <w:r>
              <w:rPr>
                <w:rFonts w:hint="eastAsia"/>
                <w:color w:val="auto"/>
                <w:sz w:val="21"/>
                <w:szCs w:val="21"/>
                <w:highlight w:val="none"/>
                <w:lang w:eastAsia="zh-CN"/>
              </w:rPr>
              <w:t>《城市污水再生利用 工业用水水质》《GB/T19923-2024》</w:t>
            </w:r>
            <w:r>
              <w:rPr>
                <w:rFonts w:hint="eastAsia"/>
                <w:color w:val="auto"/>
                <w:sz w:val="21"/>
                <w:szCs w:val="21"/>
                <w:highlight w:val="none"/>
                <w:lang w:val="en-US" w:eastAsia="zh-CN"/>
              </w:rPr>
              <w:t>要求，外排生产废水执行</w:t>
            </w:r>
            <w:r>
              <w:rPr>
                <w:rFonts w:hint="eastAsia"/>
                <w:color w:val="auto"/>
                <w:sz w:val="21"/>
                <w:szCs w:val="21"/>
                <w:highlight w:val="none"/>
                <w:lang w:eastAsia="zh-CN"/>
              </w:rPr>
              <w:t>园区污水处理厂接管水质</w:t>
            </w:r>
            <w:r>
              <w:rPr>
                <w:rFonts w:hint="eastAsia"/>
                <w:color w:val="auto"/>
                <w:sz w:val="21"/>
                <w:szCs w:val="21"/>
                <w:highlight w:val="none"/>
                <w:lang w:val="en-US" w:eastAsia="zh-CN"/>
              </w:rPr>
              <w:t>要求及广东省《水污染物排放限值》（DB44/26-2001）第二时段三级标准两者较严值</w:t>
            </w:r>
          </w:p>
        </w:tc>
      </w:tr>
      <w:tr w14:paraId="4DB78E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4" w:hRule="atLeast"/>
          <w:jc w:val="center"/>
        </w:trPr>
        <w:tc>
          <w:tcPr>
            <w:tcW w:w="418" w:type="pct"/>
            <w:vAlign w:val="center"/>
          </w:tcPr>
          <w:p w14:paraId="2DA4661A">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声环境</w:t>
            </w:r>
          </w:p>
        </w:tc>
        <w:tc>
          <w:tcPr>
            <w:tcW w:w="1255" w:type="pct"/>
            <w:gridSpan w:val="2"/>
            <w:vAlign w:val="center"/>
          </w:tcPr>
          <w:p w14:paraId="6522E9E1">
            <w:pPr>
              <w:keepNext w:val="0"/>
              <w:keepLines w:val="0"/>
              <w:pageBreakBefore w:val="0"/>
              <w:suppressLineNumbers w:val="0"/>
              <w:kinsoku/>
              <w:overflowPunct/>
              <w:topLinePunct w:val="0"/>
              <w:bidi w:val="0"/>
              <w:adjustRightInd w:val="0"/>
              <w:snapToGrid/>
              <w:spacing w:before="0" w:beforeAutospacing="0" w:after="0" w:afterAutospacing="0" w:line="276" w:lineRule="auto"/>
              <w:ind w:left="0" w:right="0"/>
              <w:jc w:val="center"/>
              <w:rPr>
                <w:rFonts w:hint="eastAsia"/>
                <w:color w:val="auto"/>
                <w:highlight w:val="none"/>
              </w:rPr>
            </w:pPr>
            <w:r>
              <w:rPr>
                <w:rFonts w:hint="eastAsia"/>
                <w:color w:val="auto"/>
                <w:sz w:val="21"/>
                <w:szCs w:val="21"/>
                <w:highlight w:val="none"/>
              </w:rPr>
              <w:t>机械设备</w:t>
            </w:r>
          </w:p>
        </w:tc>
        <w:tc>
          <w:tcPr>
            <w:tcW w:w="785" w:type="pct"/>
            <w:vAlign w:val="center"/>
          </w:tcPr>
          <w:p w14:paraId="20357B7F">
            <w:pPr>
              <w:keepNext w:val="0"/>
              <w:keepLines w:val="0"/>
              <w:pageBreakBefore w:val="0"/>
              <w:suppressLineNumbers w:val="0"/>
              <w:kinsoku/>
              <w:overflowPunct/>
              <w:topLinePunct w:val="0"/>
              <w:bidi w:val="0"/>
              <w:adjustRightInd w:val="0"/>
              <w:snapToGrid/>
              <w:spacing w:before="0" w:beforeAutospacing="0" w:after="0" w:afterAutospacing="0" w:line="276" w:lineRule="auto"/>
              <w:ind w:left="0" w:right="0"/>
              <w:jc w:val="center"/>
              <w:rPr>
                <w:rFonts w:hint="eastAsia"/>
                <w:color w:val="auto"/>
                <w:highlight w:val="none"/>
              </w:rPr>
            </w:pPr>
            <w:r>
              <w:rPr>
                <w:rFonts w:hint="eastAsia"/>
                <w:color w:val="auto"/>
                <w:sz w:val="21"/>
                <w:szCs w:val="21"/>
                <w:highlight w:val="none"/>
              </w:rPr>
              <w:t>噪声</w:t>
            </w:r>
          </w:p>
        </w:tc>
        <w:tc>
          <w:tcPr>
            <w:tcW w:w="1020" w:type="pct"/>
            <w:vAlign w:val="center"/>
          </w:tcPr>
          <w:p w14:paraId="449670B2">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采取防振、隔声、降噪等措施</w:t>
            </w:r>
          </w:p>
        </w:tc>
        <w:tc>
          <w:tcPr>
            <w:tcW w:w="1518" w:type="pct"/>
            <w:vAlign w:val="center"/>
          </w:tcPr>
          <w:p w14:paraId="509AD24E">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《工业企业厂界环境噪声排放标准》（GB12348-2008）3类标准</w:t>
            </w:r>
          </w:p>
        </w:tc>
      </w:tr>
      <w:tr w14:paraId="6C0CC6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418" w:type="pct"/>
            <w:vAlign w:val="center"/>
          </w:tcPr>
          <w:p w14:paraId="14EE9FB5">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电磁辐射</w:t>
            </w:r>
          </w:p>
        </w:tc>
        <w:tc>
          <w:tcPr>
            <w:tcW w:w="1255" w:type="pct"/>
            <w:gridSpan w:val="2"/>
            <w:vAlign w:val="center"/>
          </w:tcPr>
          <w:p w14:paraId="36992644">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w:t>
            </w:r>
          </w:p>
        </w:tc>
        <w:tc>
          <w:tcPr>
            <w:tcW w:w="785" w:type="pct"/>
            <w:vAlign w:val="center"/>
          </w:tcPr>
          <w:p w14:paraId="5BAE4EAD">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w:t>
            </w:r>
          </w:p>
        </w:tc>
        <w:tc>
          <w:tcPr>
            <w:tcW w:w="1020" w:type="pct"/>
            <w:vAlign w:val="center"/>
          </w:tcPr>
          <w:p w14:paraId="4AC92353">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w:t>
            </w:r>
          </w:p>
        </w:tc>
        <w:tc>
          <w:tcPr>
            <w:tcW w:w="1518" w:type="pct"/>
            <w:vAlign w:val="center"/>
          </w:tcPr>
          <w:p w14:paraId="5AEA68AD">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w:t>
            </w:r>
          </w:p>
        </w:tc>
      </w:tr>
      <w:tr w14:paraId="283308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jc w:val="center"/>
        </w:trPr>
        <w:tc>
          <w:tcPr>
            <w:tcW w:w="418" w:type="pct"/>
            <w:vAlign w:val="center"/>
          </w:tcPr>
          <w:p w14:paraId="1F616369">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固体废物</w:t>
            </w:r>
          </w:p>
        </w:tc>
        <w:tc>
          <w:tcPr>
            <w:tcW w:w="4581" w:type="pct"/>
            <w:gridSpan w:val="5"/>
            <w:vAlign w:val="center"/>
          </w:tcPr>
          <w:p w14:paraId="309BE7F9">
            <w:pPr>
              <w:keepNext w:val="0"/>
              <w:keepLines w:val="0"/>
              <w:pageBreakBefore w:val="0"/>
              <w:suppressLineNumbers w:val="0"/>
              <w:kinsoku/>
              <w:overflowPunct/>
              <w:topLinePunct w:val="0"/>
              <w:bidi w:val="0"/>
              <w:adjustRightInd w:val="0"/>
              <w:snapToGrid/>
              <w:spacing w:before="0" w:beforeAutospacing="0" w:after="0" w:afterAutospacing="0" w:line="276" w:lineRule="auto"/>
              <w:ind w:left="0" w:right="0" w:firstLine="420" w:firstLineChars="200"/>
              <w:jc w:val="both"/>
              <w:rPr>
                <w:rFonts w:hint="eastAsia"/>
                <w:color w:val="auto"/>
                <w:sz w:val="21"/>
                <w:szCs w:val="21"/>
                <w:highlight w:val="none"/>
              </w:rPr>
            </w:pPr>
            <w:r>
              <w:rPr>
                <w:rFonts w:hint="eastAsia"/>
                <w:color w:val="auto"/>
                <w:sz w:val="21"/>
                <w:szCs w:val="21"/>
                <w:highlight w:val="none"/>
              </w:rPr>
              <w:t>一般工业固体废物：在厂区内采用库房贮存，贮存过程满足相应防渗漏、防雨淋、防扬尘等环境保护要求；</w:t>
            </w:r>
          </w:p>
          <w:p w14:paraId="03819F5B">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firstLine="420" w:firstLineChars="200"/>
              <w:jc w:val="both"/>
              <w:rPr>
                <w:rFonts w:hint="eastAsia"/>
                <w:color w:val="auto"/>
                <w:kern w:val="2"/>
                <w:highlight w:val="none"/>
              </w:rPr>
            </w:pPr>
            <w:r>
              <w:rPr>
                <w:rFonts w:hint="eastAsia"/>
                <w:color w:val="auto"/>
                <w:kern w:val="2"/>
                <w:highlight w:val="none"/>
              </w:rPr>
              <w:t>危险废物：执行《危险废物贮存污染控制标准》（GB18597-2023）</w:t>
            </w:r>
            <w:r>
              <w:rPr>
                <w:rFonts w:hint="eastAsia"/>
                <w:color w:val="auto"/>
                <w:spacing w:val="-6"/>
                <w:kern w:val="2"/>
                <w:highlight w:val="none"/>
                <w:lang w:eastAsia="zh-CN"/>
              </w:rPr>
              <w:t>和《危险废物收集贮存运输技术规范》（HJ 2025-2012）</w:t>
            </w:r>
            <w:r>
              <w:rPr>
                <w:rFonts w:hint="eastAsia"/>
                <w:color w:val="auto"/>
                <w:kern w:val="2"/>
                <w:highlight w:val="none"/>
              </w:rPr>
              <w:t>。</w:t>
            </w:r>
          </w:p>
        </w:tc>
      </w:tr>
      <w:tr w14:paraId="4CD34D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5" w:hRule="atLeast"/>
          <w:jc w:val="center"/>
        </w:trPr>
        <w:tc>
          <w:tcPr>
            <w:tcW w:w="418" w:type="pct"/>
            <w:vAlign w:val="center"/>
          </w:tcPr>
          <w:p w14:paraId="146798CA">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土壤及地下水污染防治措施</w:t>
            </w:r>
          </w:p>
        </w:tc>
        <w:tc>
          <w:tcPr>
            <w:tcW w:w="4581" w:type="pct"/>
            <w:gridSpan w:val="5"/>
            <w:vAlign w:val="center"/>
          </w:tcPr>
          <w:p w14:paraId="098A8748">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firstLine="420" w:firstLineChars="200"/>
              <w:jc w:val="both"/>
              <w:rPr>
                <w:rFonts w:hint="eastAsia"/>
                <w:color w:val="auto"/>
                <w:kern w:val="2"/>
                <w:highlight w:val="none"/>
              </w:rPr>
            </w:pPr>
            <w:r>
              <w:rPr>
                <w:rFonts w:hint="eastAsia"/>
                <w:color w:val="auto"/>
                <w:kern w:val="2"/>
                <w:highlight w:val="none"/>
              </w:rPr>
              <w:t>厂区地面</w:t>
            </w:r>
            <w:r>
              <w:rPr>
                <w:rFonts w:hint="eastAsia"/>
                <w:color w:val="auto"/>
                <w:kern w:val="2"/>
                <w:highlight w:val="none"/>
                <w:lang w:val="en-US" w:eastAsia="zh-CN"/>
              </w:rPr>
              <w:t>拟</w:t>
            </w:r>
            <w:r>
              <w:rPr>
                <w:rFonts w:hint="eastAsia"/>
                <w:color w:val="auto"/>
                <w:kern w:val="2"/>
                <w:highlight w:val="none"/>
              </w:rPr>
              <w:t>全部硬化，危废间在建筑物内部，达到防风防雨防晒要求，地面硬化良好并刷环氧树脂漆防渗，四周设置围堰，满足四防要求。对预处理生产车间</w:t>
            </w:r>
            <w:r>
              <w:rPr>
                <w:rFonts w:hint="eastAsia"/>
                <w:color w:val="auto"/>
                <w:kern w:val="2"/>
                <w:highlight w:val="none"/>
                <w:lang w:val="en-US" w:eastAsia="zh-CN"/>
              </w:rPr>
              <w:t>、化学品仓库、危险废物暂存间、</w:t>
            </w:r>
            <w:r>
              <w:rPr>
                <w:rFonts w:hint="eastAsia"/>
                <w:color w:val="auto"/>
                <w:kern w:val="2"/>
                <w:highlight w:val="none"/>
              </w:rPr>
              <w:t>废水处理站进行一般防渗处理，防渗要求按照等效黏土防渗层Mb≥1.5m，K≤1×10</w:t>
            </w:r>
            <w:r>
              <w:rPr>
                <w:rFonts w:hint="eastAsia"/>
                <w:color w:val="auto"/>
                <w:kern w:val="2"/>
                <w:highlight w:val="none"/>
                <w:vertAlign w:val="superscript"/>
              </w:rPr>
              <w:t>-7</w:t>
            </w:r>
            <w:r>
              <w:rPr>
                <w:rFonts w:hint="eastAsia"/>
                <w:color w:val="auto"/>
                <w:kern w:val="2"/>
                <w:highlight w:val="none"/>
              </w:rPr>
              <w:t>cm/s或参照GB16889执行。</w:t>
            </w:r>
          </w:p>
        </w:tc>
      </w:tr>
      <w:tr w14:paraId="7FA69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jc w:val="center"/>
        </w:trPr>
        <w:tc>
          <w:tcPr>
            <w:tcW w:w="418" w:type="pct"/>
            <w:vAlign w:val="center"/>
          </w:tcPr>
          <w:p w14:paraId="7D627B15">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生态保护措施</w:t>
            </w:r>
          </w:p>
        </w:tc>
        <w:tc>
          <w:tcPr>
            <w:tcW w:w="4581" w:type="pct"/>
            <w:gridSpan w:val="5"/>
            <w:vAlign w:val="center"/>
          </w:tcPr>
          <w:p w14:paraId="1D26229F">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firstLine="420" w:firstLineChars="200"/>
              <w:jc w:val="both"/>
              <w:rPr>
                <w:rFonts w:hint="eastAsia"/>
                <w:color w:val="auto"/>
                <w:kern w:val="2"/>
                <w:highlight w:val="none"/>
              </w:rPr>
            </w:pPr>
            <w:r>
              <w:rPr>
                <w:rFonts w:hint="eastAsia"/>
                <w:color w:val="auto"/>
                <w:kern w:val="2"/>
                <w:highlight w:val="none"/>
                <w:lang w:val="en-US" w:eastAsia="zh-CN"/>
              </w:rPr>
              <w:t>项目位于</w:t>
            </w:r>
            <w:r>
              <w:rPr>
                <w:rFonts w:hint="eastAsia" w:cs="Times New Roman"/>
                <w:color w:val="auto"/>
                <w:kern w:val="2"/>
                <w:highlight w:val="none"/>
                <w:lang w:val="en-US" w:eastAsia="zh-CN"/>
              </w:rPr>
              <w:t>乐昌产业转移工业园红线范围内</w:t>
            </w:r>
            <w:r>
              <w:rPr>
                <w:rFonts w:hint="eastAsia"/>
                <w:color w:val="auto"/>
                <w:kern w:val="2"/>
                <w:highlight w:val="none"/>
              </w:rPr>
              <w:t>，选址四周主要为厂房，建设期间的生态影响</w:t>
            </w:r>
            <w:r>
              <w:rPr>
                <w:rFonts w:hint="eastAsia"/>
                <w:color w:val="auto"/>
                <w:kern w:val="2"/>
                <w:highlight w:val="none"/>
                <w:lang w:val="en-US" w:eastAsia="zh-CN"/>
              </w:rPr>
              <w:t>主要为对占地区域地表植被的清除以及表土的堆存，通过加强水土保持和及时覆盖裸露地表等措施，项目建设期对周边的生态环境影响很小</w:t>
            </w:r>
            <w:r>
              <w:rPr>
                <w:rFonts w:hint="eastAsia"/>
                <w:color w:val="auto"/>
                <w:kern w:val="2"/>
                <w:highlight w:val="none"/>
              </w:rPr>
              <w:t>。项目营运中产生的污染物通过采取以上环境保护治理措施并且加强日常的管理和监督，同时搞好厂区绿化后，均可达标排放。因此，项目营运期间不会对周边的生态环境造成明显的不利影响。</w:t>
            </w:r>
          </w:p>
        </w:tc>
      </w:tr>
      <w:tr w14:paraId="79A8F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8" w:hRule="atLeast"/>
          <w:jc w:val="center"/>
        </w:trPr>
        <w:tc>
          <w:tcPr>
            <w:tcW w:w="418" w:type="pct"/>
            <w:vAlign w:val="center"/>
          </w:tcPr>
          <w:p w14:paraId="5E0846D9">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环境风险防范措施</w:t>
            </w:r>
          </w:p>
        </w:tc>
        <w:tc>
          <w:tcPr>
            <w:tcW w:w="4581" w:type="pct"/>
            <w:gridSpan w:val="5"/>
            <w:vAlign w:val="center"/>
          </w:tcPr>
          <w:p w14:paraId="54062AC4">
            <w:pPr>
              <w:pStyle w:val="60"/>
              <w:keepNext w:val="0"/>
              <w:keepLines w:val="0"/>
              <w:pageBreakBefore w:val="0"/>
              <w:widowControl/>
              <w:suppressLineNumbers w:val="0"/>
              <w:kinsoku/>
              <w:overflowPunct/>
              <w:topLinePunct w:val="0"/>
              <w:autoSpaceDE/>
              <w:autoSpaceDN/>
              <w:bidi w:val="0"/>
              <w:snapToGrid/>
              <w:spacing w:before="0" w:beforeAutospacing="0" w:after="0" w:afterAutospacing="0" w:line="276" w:lineRule="auto"/>
              <w:ind w:left="0" w:right="0" w:firstLine="420" w:firstLineChars="200"/>
              <w:jc w:val="both"/>
              <w:textAlignment w:val="auto"/>
              <w:rPr>
                <w:rFonts w:hint="eastAsia"/>
                <w:color w:val="auto"/>
                <w:kern w:val="2"/>
                <w:highlight w:val="none"/>
              </w:rPr>
            </w:pPr>
            <w:r>
              <w:rPr>
                <w:rFonts w:hint="eastAsia"/>
                <w:color w:val="auto"/>
                <w:kern w:val="2"/>
                <w:highlight w:val="none"/>
              </w:rPr>
              <w:t>1、严格执行应急管理、消防等相关规范，从总图布置和建筑安全方面进行风险防范，预留疏散通道或安置场所；</w:t>
            </w:r>
          </w:p>
          <w:p w14:paraId="5DC6EFB6">
            <w:pPr>
              <w:pStyle w:val="60"/>
              <w:keepNext w:val="0"/>
              <w:keepLines w:val="0"/>
              <w:pageBreakBefore w:val="0"/>
              <w:widowControl/>
              <w:suppressLineNumbers w:val="0"/>
              <w:kinsoku/>
              <w:overflowPunct/>
              <w:topLinePunct w:val="0"/>
              <w:autoSpaceDE/>
              <w:autoSpaceDN/>
              <w:bidi w:val="0"/>
              <w:snapToGrid/>
              <w:spacing w:before="0" w:beforeAutospacing="0" w:after="0" w:afterAutospacing="0" w:line="276" w:lineRule="auto"/>
              <w:ind w:left="0" w:right="0" w:firstLine="420" w:firstLineChars="200"/>
              <w:jc w:val="both"/>
              <w:textAlignment w:val="auto"/>
              <w:rPr>
                <w:rFonts w:hint="eastAsia"/>
                <w:color w:val="auto"/>
                <w:kern w:val="2"/>
                <w:highlight w:val="none"/>
              </w:rPr>
            </w:pPr>
            <w:r>
              <w:rPr>
                <w:rFonts w:hint="eastAsia"/>
                <w:color w:val="auto"/>
                <w:kern w:val="2"/>
                <w:highlight w:val="none"/>
              </w:rPr>
              <w:t>2、从优化改进生产工艺、减少储存量、改善储存条件等方面降低风险程度；</w:t>
            </w:r>
          </w:p>
          <w:p w14:paraId="6728028F">
            <w:pPr>
              <w:pStyle w:val="60"/>
              <w:keepNext w:val="0"/>
              <w:keepLines w:val="0"/>
              <w:pageBreakBefore w:val="0"/>
              <w:widowControl/>
              <w:suppressLineNumbers w:val="0"/>
              <w:kinsoku/>
              <w:overflowPunct/>
              <w:topLinePunct w:val="0"/>
              <w:autoSpaceDE/>
              <w:autoSpaceDN/>
              <w:bidi w:val="0"/>
              <w:snapToGrid/>
              <w:spacing w:before="0" w:beforeAutospacing="0" w:after="0" w:afterAutospacing="0" w:line="276" w:lineRule="auto"/>
              <w:ind w:left="0" w:right="0" w:firstLine="420" w:firstLineChars="200"/>
              <w:jc w:val="both"/>
              <w:textAlignment w:val="auto"/>
              <w:rPr>
                <w:rFonts w:hint="eastAsia"/>
                <w:color w:val="auto"/>
                <w:kern w:val="2"/>
                <w:highlight w:val="none"/>
              </w:rPr>
            </w:pPr>
            <w:r>
              <w:rPr>
                <w:rFonts w:hint="eastAsia"/>
                <w:color w:val="auto"/>
                <w:kern w:val="2"/>
                <w:highlight w:val="none"/>
              </w:rPr>
              <w:t>3、加强日常管理，降低管理失误而出现的风险事故，提高员工规范性操作水平，减少误操作引发的风险事故；</w:t>
            </w:r>
          </w:p>
          <w:p w14:paraId="6F64D4AF">
            <w:pPr>
              <w:pStyle w:val="60"/>
              <w:keepNext w:val="0"/>
              <w:keepLines w:val="0"/>
              <w:pageBreakBefore w:val="0"/>
              <w:widowControl/>
              <w:suppressLineNumbers w:val="0"/>
              <w:kinsoku/>
              <w:overflowPunct/>
              <w:topLinePunct w:val="0"/>
              <w:autoSpaceDE/>
              <w:autoSpaceDN/>
              <w:bidi w:val="0"/>
              <w:snapToGrid/>
              <w:spacing w:before="0" w:beforeAutospacing="0" w:after="0" w:afterAutospacing="0" w:line="276" w:lineRule="auto"/>
              <w:ind w:left="0" w:right="0" w:firstLine="420" w:firstLineChars="200"/>
              <w:jc w:val="both"/>
              <w:textAlignment w:val="auto"/>
              <w:rPr>
                <w:rFonts w:hint="eastAsia"/>
                <w:color w:val="auto"/>
                <w:kern w:val="2"/>
                <w:highlight w:val="none"/>
              </w:rPr>
            </w:pPr>
            <w:r>
              <w:rPr>
                <w:rFonts w:hint="eastAsia"/>
                <w:color w:val="auto"/>
                <w:kern w:val="2"/>
                <w:highlight w:val="none"/>
              </w:rPr>
              <w:t>4、按《危险废物贮存污染控制标准》（GB18597-2023）的相关要求做好危废暂存间的防渗措施，加强管理，避免装卸或存储过程中危险物质发生泄漏。</w:t>
            </w:r>
          </w:p>
        </w:tc>
      </w:tr>
      <w:tr w14:paraId="5BCD95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9" w:hRule="atLeast"/>
          <w:jc w:val="center"/>
        </w:trPr>
        <w:tc>
          <w:tcPr>
            <w:tcW w:w="418" w:type="pct"/>
            <w:vAlign w:val="center"/>
          </w:tcPr>
          <w:p w14:paraId="08511D74">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其他环境管理要求</w:t>
            </w:r>
          </w:p>
        </w:tc>
        <w:tc>
          <w:tcPr>
            <w:tcW w:w="4581" w:type="pct"/>
            <w:gridSpan w:val="5"/>
            <w:vAlign w:val="center"/>
          </w:tcPr>
          <w:p w14:paraId="45B5FDCD">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无</w:t>
            </w:r>
          </w:p>
          <w:p w14:paraId="14784ECB">
            <w:pPr>
              <w:pStyle w:val="60"/>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both"/>
              <w:rPr>
                <w:rFonts w:hint="eastAsia" w:eastAsia="宋体"/>
                <w:color w:val="auto"/>
                <w:kern w:val="2"/>
                <w:highlight w:val="none"/>
                <w:lang w:val="en-US" w:eastAsia="zh-CN"/>
              </w:rPr>
            </w:pPr>
          </w:p>
        </w:tc>
      </w:tr>
    </w:tbl>
    <w:p w14:paraId="46E16C5F">
      <w:pPr>
        <w:pStyle w:val="2"/>
        <w:numPr>
          <w:ilvl w:val="0"/>
          <w:numId w:val="0"/>
        </w:numPr>
        <w:rPr>
          <w:rFonts w:cs="Times New Roman"/>
          <w:color w:val="auto"/>
          <w:highlight w:val="none"/>
        </w:rPr>
      </w:pPr>
      <w:bookmarkStart w:id="151" w:name="_Toc11193"/>
      <w:bookmarkStart w:id="152" w:name="_Toc17135"/>
      <w:bookmarkStart w:id="153" w:name="_Toc15960"/>
      <w:r>
        <w:rPr>
          <w:rFonts w:hint="eastAsia" w:cs="Times New Roman"/>
          <w:color w:val="auto"/>
          <w:highlight w:val="none"/>
        </w:rPr>
        <w:t>六、</w:t>
      </w:r>
      <w:r>
        <w:rPr>
          <w:rFonts w:cs="Times New Roman"/>
          <w:color w:val="auto"/>
          <w:highlight w:val="none"/>
        </w:rPr>
        <w:t xml:space="preserve"> 结论</w:t>
      </w:r>
      <w:bookmarkEnd w:id="151"/>
      <w:bookmarkEnd w:id="152"/>
      <w:bookmarkEnd w:id="153"/>
    </w:p>
    <w:tbl>
      <w:tblPr>
        <w:tblStyle w:val="4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8"/>
      </w:tblGrid>
      <w:tr w14:paraId="236CA3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64" w:hRule="atLeast"/>
        </w:trPr>
        <w:tc>
          <w:tcPr>
            <w:tcW w:w="5000" w:type="pct"/>
            <w:vAlign w:val="center"/>
          </w:tcPr>
          <w:p w14:paraId="0E54BB29">
            <w:pPr>
              <w:keepNext w:val="0"/>
              <w:keepLines w:val="0"/>
              <w:suppressLineNumbers w:val="0"/>
              <w:adjustRightInd w:val="0"/>
              <w:spacing w:before="0" w:beforeAutospacing="0" w:after="0" w:afterAutospacing="0"/>
              <w:ind w:left="0" w:right="0" w:firstLine="480" w:firstLineChars="200"/>
              <w:jc w:val="both"/>
              <w:rPr>
                <w:rFonts w:hint="eastAsia"/>
                <w:bCs/>
                <w:color w:val="auto"/>
                <w:kern w:val="0"/>
                <w:highlight w:val="none"/>
              </w:rPr>
            </w:pPr>
            <w:r>
              <w:rPr>
                <w:rFonts w:hint="eastAsia"/>
                <w:bCs/>
                <w:color w:val="auto"/>
                <w:kern w:val="0"/>
                <w:highlight w:val="none"/>
              </w:rPr>
              <w:t>按照本次评价，在严格落实前文提出的各项环境保护措施，并加强污染防治设施维护管理的情况下，本项目产生的污染物及不良环境影响能够得到有效控制，</w:t>
            </w:r>
            <w:r>
              <w:rPr>
                <w:rFonts w:hint="eastAsia"/>
                <w:b/>
                <w:color w:val="auto"/>
                <w:kern w:val="0"/>
                <w:highlight w:val="none"/>
              </w:rPr>
              <w:t>从环境保护角度分析，项目的建设是可行的</w:t>
            </w:r>
            <w:r>
              <w:rPr>
                <w:rFonts w:hint="eastAsia"/>
                <w:bCs/>
                <w:color w:val="auto"/>
                <w:kern w:val="0"/>
                <w:highlight w:val="none"/>
              </w:rPr>
              <w:t>。</w:t>
            </w:r>
          </w:p>
          <w:p w14:paraId="59C66B53">
            <w:pPr>
              <w:keepNext w:val="0"/>
              <w:keepLines w:val="0"/>
              <w:suppressLineNumbers w:val="0"/>
              <w:spacing w:before="0" w:beforeAutospacing="0" w:after="0" w:afterAutospacing="0"/>
              <w:ind w:left="0" w:right="0" w:firstLine="480"/>
              <w:jc w:val="both"/>
              <w:rPr>
                <w:rFonts w:hint="eastAsia"/>
                <w:color w:val="auto"/>
                <w:highlight w:val="none"/>
              </w:rPr>
            </w:pPr>
            <w:r>
              <w:rPr>
                <w:rFonts w:hint="eastAsia"/>
                <w:bCs/>
                <w:color w:val="auto"/>
                <w:highlight w:val="none"/>
              </w:rPr>
              <w:t>本环境影响报告表通过审批后</w:t>
            </w:r>
            <w:r>
              <w:rPr>
                <w:rFonts w:hint="eastAsia"/>
                <w:color w:val="auto"/>
                <w:highlight w:val="none"/>
              </w:rPr>
              <w:t>，建设内容和需要配套的污染防治设施如发生重大变动，建设单位需要重新组织编制和报批环境影响评价文件。建设单位应当严格执行配套建设的环境保护设施与主体工程同时设计、同时施工、同时投产使用的环境保护“三同时”制度。本项目竣工后，建设单位应当按照国家和地方规定的标准和程序，对配套建设的环境保护设施进行验收，编制验收报告，提出验收意见，并依法向社会公开。本项目配套建设的环境保护设施经验收合格后，主体工程方可正式投入生产。</w:t>
            </w:r>
          </w:p>
          <w:p w14:paraId="110C696A">
            <w:pPr>
              <w:keepNext w:val="0"/>
              <w:keepLines w:val="0"/>
              <w:suppressLineNumbers w:val="0"/>
              <w:spacing w:before="0" w:beforeAutospacing="0" w:after="0" w:afterAutospacing="0"/>
              <w:ind w:left="0" w:right="0"/>
              <w:jc w:val="both"/>
              <w:rPr>
                <w:rFonts w:hint="eastAsia"/>
                <w:color w:val="auto"/>
                <w:highlight w:val="none"/>
              </w:rPr>
            </w:pPr>
          </w:p>
          <w:p w14:paraId="372FEF93">
            <w:pPr>
              <w:keepNext w:val="0"/>
              <w:keepLines w:val="0"/>
              <w:suppressLineNumbers w:val="0"/>
              <w:spacing w:before="0" w:beforeAutospacing="0" w:after="0" w:afterAutospacing="0"/>
              <w:ind w:left="0" w:right="0"/>
              <w:jc w:val="both"/>
              <w:rPr>
                <w:rFonts w:hint="eastAsia"/>
                <w:color w:val="auto"/>
                <w:highlight w:val="none"/>
              </w:rPr>
            </w:pPr>
          </w:p>
          <w:p w14:paraId="492128B3">
            <w:pPr>
              <w:keepNext w:val="0"/>
              <w:keepLines w:val="0"/>
              <w:suppressLineNumbers w:val="0"/>
              <w:spacing w:before="0" w:beforeAutospacing="0" w:after="0" w:afterAutospacing="0"/>
              <w:ind w:left="0" w:right="0"/>
              <w:jc w:val="both"/>
              <w:rPr>
                <w:rFonts w:hint="eastAsia"/>
                <w:color w:val="auto"/>
                <w:highlight w:val="none"/>
              </w:rPr>
            </w:pPr>
          </w:p>
          <w:p w14:paraId="6CFC993E">
            <w:pPr>
              <w:keepNext w:val="0"/>
              <w:keepLines w:val="0"/>
              <w:suppressLineNumbers w:val="0"/>
              <w:spacing w:before="0" w:beforeAutospacing="0" w:after="0" w:afterAutospacing="0"/>
              <w:ind w:left="0" w:right="0"/>
              <w:jc w:val="both"/>
              <w:rPr>
                <w:rFonts w:hint="eastAsia"/>
                <w:color w:val="auto"/>
                <w:highlight w:val="none"/>
              </w:rPr>
            </w:pPr>
          </w:p>
          <w:p w14:paraId="1750B322">
            <w:pPr>
              <w:keepNext w:val="0"/>
              <w:keepLines w:val="0"/>
              <w:suppressLineNumbers w:val="0"/>
              <w:spacing w:before="0" w:beforeAutospacing="0" w:after="0" w:afterAutospacing="0"/>
              <w:ind w:left="0" w:right="0"/>
              <w:jc w:val="both"/>
              <w:rPr>
                <w:rFonts w:hint="eastAsia"/>
                <w:color w:val="auto"/>
                <w:highlight w:val="none"/>
              </w:rPr>
            </w:pPr>
          </w:p>
          <w:p w14:paraId="0C14F15B">
            <w:pPr>
              <w:keepNext w:val="0"/>
              <w:keepLines w:val="0"/>
              <w:suppressLineNumbers w:val="0"/>
              <w:spacing w:before="0" w:beforeAutospacing="0" w:after="0" w:afterAutospacing="0"/>
              <w:ind w:left="0" w:right="0"/>
              <w:jc w:val="both"/>
              <w:rPr>
                <w:rFonts w:hint="eastAsia"/>
                <w:color w:val="auto"/>
                <w:highlight w:val="none"/>
              </w:rPr>
            </w:pPr>
          </w:p>
        </w:tc>
      </w:tr>
    </w:tbl>
    <w:p w14:paraId="258A8CE9">
      <w:pPr>
        <w:rPr>
          <w:rFonts w:eastAsia="黑体"/>
          <w:snapToGrid w:val="0"/>
          <w:color w:val="auto"/>
          <w:sz w:val="32"/>
          <w:szCs w:val="32"/>
          <w:highlight w:val="none"/>
        </w:rPr>
        <w:sectPr>
          <w:pgSz w:w="11906" w:h="16838"/>
          <w:pgMar w:top="1440" w:right="1417" w:bottom="1440" w:left="1417" w:header="851" w:footer="680" w:gutter="0"/>
          <w:pgBorders>
            <w:top w:val="none" w:sz="0" w:space="0"/>
            <w:left w:val="none" w:sz="0" w:space="0"/>
            <w:bottom w:val="none" w:sz="0" w:space="0"/>
            <w:right w:val="none" w:sz="0" w:space="0"/>
          </w:pgBorders>
          <w:pgNumType w:fmt="numberInDash"/>
          <w:cols w:space="720" w:num="1"/>
          <w:docGrid w:type="linesAndChars" w:linePitch="312" w:charSpace="0"/>
        </w:sectPr>
      </w:pPr>
    </w:p>
    <w:p w14:paraId="0B00AB5A">
      <w:pPr>
        <w:pStyle w:val="51"/>
        <w:jc w:val="center"/>
        <w:rPr>
          <w:rFonts w:ascii="Times New Roman"/>
          <w:b w:val="0"/>
          <w:bCs w:val="0"/>
          <w:color w:val="auto"/>
          <w:highlight w:val="none"/>
        </w:rPr>
      </w:pPr>
      <w:r>
        <w:rPr>
          <w:color w:val="auto"/>
          <w:highlight w:val="none"/>
        </w:rPr>
        <w:drawing>
          <wp:anchor distT="0" distB="0" distL="0" distR="0" simplePos="0" relativeHeight="251659264" behindDoc="0" locked="0" layoutInCell="1" allowOverlap="1">
            <wp:simplePos x="0" y="0"/>
            <wp:positionH relativeFrom="column">
              <wp:posOffset>7367905</wp:posOffset>
            </wp:positionH>
            <wp:positionV relativeFrom="paragraph">
              <wp:posOffset>34925</wp:posOffset>
            </wp:positionV>
            <wp:extent cx="972185" cy="1001395"/>
            <wp:effectExtent l="9525" t="9525" r="27940" b="17780"/>
            <wp:wrapNone/>
            <wp:docPr id="1033" name="图片 4"/>
            <wp:cNvGraphicFramePr/>
            <a:graphic xmlns:a="http://schemas.openxmlformats.org/drawingml/2006/main">
              <a:graphicData uri="http://schemas.openxmlformats.org/drawingml/2006/picture">
                <pic:pic xmlns:pic="http://schemas.openxmlformats.org/drawingml/2006/picture">
                  <pic:nvPicPr>
                    <pic:cNvPr id="1033" name="图片 4"/>
                    <pic:cNvPicPr/>
                  </pic:nvPicPr>
                  <pic:blipFill>
                    <a:blip r:embed="rId18" cstate="print"/>
                    <a:srcRect/>
                    <a:stretch>
                      <a:fillRect/>
                    </a:stretch>
                  </pic:blipFill>
                  <pic:spPr>
                    <a:xfrm>
                      <a:off x="0" y="0"/>
                      <a:ext cx="972184" cy="1001395"/>
                    </a:xfrm>
                    <a:prstGeom prst="rect">
                      <a:avLst/>
                    </a:prstGeom>
                    <a:ln w="9525" cap="flat" cmpd="sng">
                      <a:solidFill>
                        <a:srgbClr val="000000"/>
                      </a:solidFill>
                      <a:prstDash val="solid"/>
                      <a:round/>
                    </a:ln>
                  </pic:spPr>
                </pic:pic>
              </a:graphicData>
            </a:graphic>
          </wp:anchor>
        </w:drawing>
      </w:r>
      <w:r>
        <w:rPr>
          <w:rFonts w:ascii="Times New Roman"/>
          <w:color w:val="auto"/>
          <w:highlight w:val="none"/>
        </w:rPr>
        <mc:AlternateContent>
          <mc:Choice Requires="wps">
            <w:drawing>
              <wp:anchor distT="0" distB="0" distL="0" distR="0" simplePos="0" relativeHeight="251659264" behindDoc="0" locked="0" layoutInCell="1" allowOverlap="1">
                <wp:simplePos x="0" y="0"/>
                <wp:positionH relativeFrom="column">
                  <wp:posOffset>2941955</wp:posOffset>
                </wp:positionH>
                <wp:positionV relativeFrom="paragraph">
                  <wp:posOffset>2425065</wp:posOffset>
                </wp:positionV>
                <wp:extent cx="1009015" cy="373380"/>
                <wp:effectExtent l="6350" t="6350" r="489585" b="20320"/>
                <wp:wrapNone/>
                <wp:docPr id="1034" name="矩形标注 139"/>
                <wp:cNvGraphicFramePr/>
                <a:graphic xmlns:a="http://schemas.openxmlformats.org/drawingml/2006/main">
                  <a:graphicData uri="http://schemas.microsoft.com/office/word/2010/wordprocessingShape">
                    <wps:wsp>
                      <wps:cNvSpPr/>
                      <wps:spPr>
                        <a:xfrm>
                          <a:off x="0" y="0"/>
                          <a:ext cx="1009015" cy="373379"/>
                        </a:xfrm>
                        <a:prstGeom prst="wedgeRectCallout">
                          <a:avLst>
                            <a:gd name="adj1" fmla="val 91787"/>
                            <a:gd name="adj2" fmla="val 20918"/>
                          </a:avLst>
                        </a:prstGeom>
                        <a:solidFill>
                          <a:srgbClr val="FFFFFF"/>
                        </a:solidFill>
                        <a:ln w="12700" cap="flat" cmpd="sng">
                          <a:solidFill>
                            <a:srgbClr val="000000"/>
                          </a:solidFill>
                          <a:prstDash val="solid"/>
                          <a:miter/>
                        </a:ln>
                      </wps:spPr>
                      <wps:txbx>
                        <w:txbxContent>
                          <w:p w14:paraId="79B51551">
                            <w:pPr>
                              <w:jc w:val="center"/>
                            </w:pPr>
                            <w:r>
                              <w:rPr>
                                <w:rFonts w:hint="eastAsia"/>
                              </w:rPr>
                              <w:t>项目位置</w:t>
                            </w:r>
                          </w:p>
                        </w:txbxContent>
                      </wps:txbx>
                      <wps:bodyPr vert="horz" wrap="square" lIns="91440" tIns="45720" rIns="91440" bIns="45720" anchor="ctr">
                        <a:noAutofit/>
                      </wps:bodyPr>
                    </wps:wsp>
                  </a:graphicData>
                </a:graphic>
              </wp:anchor>
            </w:drawing>
          </mc:Choice>
          <mc:Fallback>
            <w:pict>
              <v:shape id="矩形标注 139" o:spid="_x0000_s1026" o:spt="61" type="#_x0000_t61" style="position:absolute;left:0pt;margin-left:231.65pt;margin-top:190.95pt;height:29.4pt;width:79.45pt;z-index:251659264;v-text-anchor:middle;mso-width-relative:page;mso-height-relative:page;" fillcolor="#FFFFFF" filled="t" stroked="t" coordsize="21600,21600" o:gfxdata="UEsDBAoAAAAAAIdO4kAAAAAAAAAAAAAAAAAEAAAAZHJzL1BLAwQUAAAACACHTuJAwvIoLdcAAAAL&#10;AQAADwAAAGRycy9kb3ducmV2LnhtbE2PQU7DMBBF90jcwRokdtROUoUS4lQREutCywHceIgD9jiK&#10;nTbt6TErWI7+0/9v6u3iLDvhFAZPErKVAIbUeT1QL+Hj8PqwARaiIq2sJ5RwwQDb5vamVpX2Z3rH&#10;0z72LJVQqJQEE+NYcR46g06FlR+RUvbpJ6diOqee60mdU7mzPBei5E4NlBaMGvHFYPe9n52ExZq5&#10;bZ1qd7vLHK9v8Xro4peU93eZeAYWcYl/MPzqJ3VoktPRz6QDsxLWZVEkVEKxyZ6AJaLM8xzYMUVr&#10;8Qi8qfn/H5ofUEsDBBQAAAAIAIdO4kBiju37UQIAAKcEAAAOAAAAZHJzL2Uyb0RvYy54bWytVM2O&#10;0zAQviPxDpbvND/t0h81XaGtipAQrFh4ANdxGiP/YbtNygvwGKw4wZkzj8PyGoyd0M0uHPZADulM&#10;PP5mvm9mujxvpUAHZh3XqsDZKMWIKapLrnYFfvd282SGkfNElURoxQp8ZA6frx4/WjZmwXJda1Ey&#10;iwBEuUVjClx7bxZJ4mjNJHEjbZiCw0pbSTy4dpeUljSALkWSp+nTpNG2NFZT5hx8XXeHuEe0DwHU&#10;VcUpW2u6l0z5DtUyQTxQcjU3Dq9itVXFqH9dVY55JAoMTH18QxKwt+GdrJZksbPE1Jz2JZCHlHCP&#10;kyRcQdIT1Jp4gvaW/wUlObXa6cqPqJZJRyQqAiyy9J42VzUxLHIBqZ05ie7+Hyx9dbi0iJcwCel4&#10;gpEiEnr+6/O3nz++3Fx/uvn+FWXjeZCpMW4B0Vfm0vaeAzNwbisrwy+wQW2U9niSlrUeUfiYpek8&#10;zc4wonA2no7H0wia3N421vnnTEsUjAI3rNyxN9C/CyKE3vuoLjm8dD7KXPaVkvJ9hlElBXTtQASa&#10;Z9PZtO/qICYfxuTpPJuFGMjeI4L1J3+Ad1rwcsOFiI7dbS+ERQBf4E18+st3woRCDfDMpynMFiWw&#10;GRVMJJjSgLpO7SKDO1fcEDmNz7+QQ2Vr4uqugojQMZTcM9vxEArohBZ1TQmWb7dt36mtLo/QZth6&#10;ULbW9iNGDcw8lPVhTyzDSLxQMFTzbDIJSxKdydk0B8cOT7bDE6IoQBWYehupKf1s73XFfagoFNBl&#10;7R2Y3yh4v2thQYZ+jLr9f1n9B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MLyKC3XAAAACwEAAA8A&#10;AAAAAAAAAQAgAAAAIgAAAGRycy9kb3ducmV2LnhtbFBLAQIUABQAAAAIAIdO4kBiju37UQIAAKcE&#10;AAAOAAAAAAAAAAEAIAAAACYBAABkcnMvZTJvRG9jLnhtbFBLBQYAAAAABgAGAFkBAADpBQAAAAA=&#10;" adj="30626,15318">
                <v:fill on="t" focussize="0,0"/>
                <v:stroke weight="1pt" color="#000000" joinstyle="miter"/>
                <v:imagedata o:title=""/>
                <o:lock v:ext="edit" aspectratio="f"/>
                <v:textbox>
                  <w:txbxContent>
                    <w:p w14:paraId="79B51551">
                      <w:pPr>
                        <w:jc w:val="center"/>
                      </w:pPr>
                      <w:r>
                        <w:rPr>
                          <w:rFonts w:hint="eastAsia"/>
                        </w:rPr>
                        <w:t>项目位置</w:t>
                      </w:r>
                    </w:p>
                  </w:txbxContent>
                </v:textbox>
              </v:shape>
            </w:pict>
          </mc:Fallback>
        </mc:AlternateContent>
      </w:r>
      <w:r>
        <w:rPr>
          <w:color w:val="auto"/>
          <w:highlight w:val="none"/>
        </w:rPr>
        <w:drawing>
          <wp:inline distT="0" distB="0" distL="0" distR="0">
            <wp:extent cx="7883525" cy="5264785"/>
            <wp:effectExtent l="28575" t="28575" r="33020" b="28575"/>
            <wp:docPr id="1035" name="图片 3"/>
            <wp:cNvGraphicFramePr/>
            <a:graphic xmlns:a="http://schemas.openxmlformats.org/drawingml/2006/main">
              <a:graphicData uri="http://schemas.openxmlformats.org/drawingml/2006/picture">
                <pic:pic xmlns:pic="http://schemas.openxmlformats.org/drawingml/2006/picture">
                  <pic:nvPicPr>
                    <pic:cNvPr id="1035" name="图片 3"/>
                    <pic:cNvPicPr/>
                  </pic:nvPicPr>
                  <pic:blipFill>
                    <a:blip r:embed="rId19" cstate="print"/>
                    <a:srcRect/>
                    <a:stretch>
                      <a:fillRect/>
                    </a:stretch>
                  </pic:blipFill>
                  <pic:spPr>
                    <a:xfrm>
                      <a:off x="0" y="0"/>
                      <a:ext cx="7883525" cy="5264785"/>
                    </a:xfrm>
                    <a:prstGeom prst="rect">
                      <a:avLst/>
                    </a:prstGeom>
                    <a:ln w="28575" cap="flat" cmpd="sng">
                      <a:solidFill>
                        <a:srgbClr val="000000"/>
                      </a:solidFill>
                      <a:prstDash val="solid"/>
                      <a:round/>
                    </a:ln>
                  </pic:spPr>
                </pic:pic>
              </a:graphicData>
            </a:graphic>
          </wp:inline>
        </w:drawing>
      </w:r>
    </w:p>
    <w:p w14:paraId="1E9A84BB">
      <w:pPr>
        <w:pStyle w:val="51"/>
        <w:jc w:val="center"/>
        <w:outlineLvl w:val="0"/>
        <w:rPr>
          <w:rFonts w:ascii="Times New Roman"/>
          <w:color w:val="auto"/>
          <w:sz w:val="24"/>
          <w:szCs w:val="24"/>
          <w:highlight w:val="none"/>
        </w:rPr>
      </w:pPr>
      <w:bookmarkStart w:id="154" w:name="_Toc6195"/>
      <w:bookmarkStart w:id="155" w:name="_Toc7680"/>
      <w:bookmarkStart w:id="156" w:name="_Toc27190"/>
      <w:r>
        <w:rPr>
          <w:rFonts w:ascii="Times New Roman"/>
          <w:color w:val="auto"/>
          <w:sz w:val="24"/>
          <w:szCs w:val="24"/>
          <w:highlight w:val="none"/>
        </w:rPr>
        <w:t>附图1项目地理位置图</w:t>
      </w:r>
      <w:bookmarkEnd w:id="154"/>
      <w:bookmarkEnd w:id="155"/>
      <w:bookmarkEnd w:id="156"/>
    </w:p>
    <w:p w14:paraId="3C14C0A9">
      <w:pPr>
        <w:jc w:val="center"/>
        <w:rPr>
          <w:color w:val="auto"/>
          <w:highlight w:val="none"/>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720" w:num="1"/>
          <w:docGrid w:type="lines" w:linePitch="312" w:charSpace="0"/>
        </w:sectPr>
      </w:pPr>
      <w:bookmarkStart w:id="157" w:name="_Toc17352"/>
      <w:bookmarkStart w:id="158" w:name="_Toc21760"/>
    </w:p>
    <w:p w14:paraId="323205D6">
      <w:pPr>
        <w:jc w:val="center"/>
        <w:rPr>
          <w:color w:val="auto"/>
          <w:highlight w:val="none"/>
        </w:rPr>
      </w:pPr>
      <w:r>
        <w:rPr>
          <w:color w:val="auto"/>
          <w:highlight w:val="none"/>
        </w:rPr>
        <mc:AlternateContent>
          <mc:Choice Requires="wps">
            <w:drawing>
              <wp:anchor distT="0" distB="0" distL="0" distR="0" simplePos="0" relativeHeight="251659264" behindDoc="0" locked="0" layoutInCell="1" allowOverlap="1">
                <wp:simplePos x="0" y="0"/>
                <wp:positionH relativeFrom="column">
                  <wp:posOffset>4231640</wp:posOffset>
                </wp:positionH>
                <wp:positionV relativeFrom="paragraph">
                  <wp:posOffset>2391410</wp:posOffset>
                </wp:positionV>
                <wp:extent cx="495300" cy="427355"/>
                <wp:effectExtent l="0" t="0" r="0" b="0"/>
                <wp:wrapNone/>
                <wp:docPr id="1036" name="文本框 104"/>
                <wp:cNvGraphicFramePr/>
                <a:graphic xmlns:a="http://schemas.openxmlformats.org/drawingml/2006/main">
                  <a:graphicData uri="http://schemas.microsoft.com/office/word/2010/wordprocessingShape">
                    <wps:wsp>
                      <wps:cNvSpPr/>
                      <wps:spPr>
                        <a:xfrm>
                          <a:off x="0" y="0"/>
                          <a:ext cx="495300" cy="427355"/>
                        </a:xfrm>
                        <a:prstGeom prst="rect">
                          <a:avLst/>
                        </a:prstGeom>
                        <a:ln>
                          <a:noFill/>
                        </a:ln>
                      </wps:spPr>
                      <wps:txbx>
                        <w:txbxContent>
                          <w:p w14:paraId="2862F173">
                            <w:pPr>
                              <w:rPr>
                                <w:highlight w:val="yellow"/>
                              </w:rPr>
                            </w:pPr>
                            <w:r>
                              <w:rPr>
                                <w:rFonts w:hint="eastAsia"/>
                                <w:highlight w:val="yellow"/>
                              </w:rPr>
                              <w:t>空地</w:t>
                            </w:r>
                          </w:p>
                        </w:txbxContent>
                      </wps:txbx>
                      <wps:bodyPr vert="horz" wrap="square" lIns="91440" tIns="45720" rIns="91440" bIns="45720" anchor="t">
                        <a:noAutofit/>
                      </wps:bodyPr>
                    </wps:wsp>
                  </a:graphicData>
                </a:graphic>
              </wp:anchor>
            </w:drawing>
          </mc:Choice>
          <mc:Fallback>
            <w:pict>
              <v:rect id="文本框 104" o:spid="_x0000_s1026" o:spt="1" style="position:absolute;left:0pt;margin-left:333.2pt;margin-top:188.3pt;height:33.65pt;width:39pt;z-index:251659264;mso-width-relative:page;mso-height-relative:page;" filled="f" stroked="f" coordsize="21600,21600" o:gfxdata="UEsDBAoAAAAAAIdO4kAAAAAAAAAAAAAAAAAEAAAAZHJzL1BLAwQUAAAACACHTuJAi65hydsAAAAL&#10;AQAADwAAAGRycy9kb3ducmV2LnhtbE2PwU7DMAyG70i8Q2QkLoilY1UGpe4OkxATQproYOesCW1F&#10;43RN1o63x5zgaPvT7+/PV2fXidEOofWEMJ8lICxV3rRUI7zvnm7vQYSoyejOk0X4tgFWxeVFrjPj&#10;J3qzYxlrwSEUMo3QxNhnUoaqsU6Hme8t8e3TD05HHodamkFPHO46eZckSjrdEn9odG/Xja2+ypND&#10;mKrtuN+9PsvtzX7j6bg5rsuPF8Trq3nyCCLac/yD4Vef1aFgp4M/kQmiQ1BKpYwiLJZKgWBimaa8&#10;OSCk6eIBZJHL/x2KH1BLAwQUAAAACACHTuJAcgw9PNoBAACkAwAADgAAAGRycy9lMm9Eb2MueG1s&#10;rVNLjhMxEN0jcQfLe9KdpDPDROmMkKJBSAhGGjiA47bTlvyj7KQ7HABuwIoNe86Vc1B2N5lo2MyC&#10;jeNyVV6996p6ddsbTQ4CgnK2ptNJSYmw3DXK7mr6+dPdq9eUhMhsw7SzoqZHEejt+uWLVeeXYuZa&#10;pxsBBEFsWHa+pm2MflkUgbfCsDBxXlhMSgeGRQxhVzTAOkQ3upiV5VXROWg8OC5CwNfNkKQjIjwH&#10;0EmpuNg4vjfCxgEVhGYRJYVW+UDXma2UgsePUgYRia4pKo35xCZ436azWK/YcgfMt4qPFNhzKDzR&#10;ZJiy2PQMtWGRkT2of6CM4uCCk3HCnSkGIdkRVDEtn3jz0DIvsha0Oviz6eH/wfIPh3sgqsFNKOdX&#10;lFhmcOanH99PP3+ffn0j07JKHnU+LLH0wd/DGAW8JsG9BJN+UQrps6/Hs6+ij4TjY3WzmJfoOMdU&#10;NbueLxYJs3j8s4cQ3wpnSLrUFHBs2U12eB/iUPq3JPXSNp3W3Smth2x6KRLJgVa6xX7bj1y3rjmi&#10;Slx6BG8dfKWkw5HXNHzZMxCU6HcWPb2ZVlXakRxUi+sZBnCZ2V5mmOUIVdOBqXVv9tFJldmm9kPP&#10;kRUOL+sdFy1tx2Wcqx4/rvU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i65hydsAAAALAQAADwAA&#10;AAAAAAABACAAAAAiAAAAZHJzL2Rvd25yZXYueG1sUEsBAhQAFAAAAAgAh07iQHIMPTzaAQAApAMA&#10;AA4AAAAAAAAAAQAgAAAAKgEAAGRycy9lMm9Eb2MueG1sUEsFBgAAAAAGAAYAWQEAAHYFAAAAAA==&#10;">
                <v:fill on="f" focussize="0,0"/>
                <v:stroke on="f"/>
                <v:imagedata o:title=""/>
                <o:lock v:ext="edit" aspectratio="f"/>
                <v:textbox>
                  <w:txbxContent>
                    <w:p w14:paraId="2862F173">
                      <w:pPr>
                        <w:rPr>
                          <w:highlight w:val="yellow"/>
                        </w:rPr>
                      </w:pPr>
                      <w:r>
                        <w:rPr>
                          <w:rFonts w:hint="eastAsia"/>
                          <w:highlight w:val="yellow"/>
                        </w:rPr>
                        <w:t>空地</w:t>
                      </w:r>
                    </w:p>
                  </w:txbxContent>
                </v:textbox>
              </v:rect>
            </w:pict>
          </mc:Fallback>
        </mc:AlternateContent>
      </w:r>
      <w:r>
        <w:rPr>
          <w:color w:val="auto"/>
          <w:highlight w:val="none"/>
        </w:rPr>
        <mc:AlternateContent>
          <mc:Choice Requires="wps">
            <w:drawing>
              <wp:anchor distT="0" distB="0" distL="0" distR="0" simplePos="0" relativeHeight="251659264" behindDoc="0" locked="0" layoutInCell="1" allowOverlap="1">
                <wp:simplePos x="0" y="0"/>
                <wp:positionH relativeFrom="column">
                  <wp:posOffset>1087755</wp:posOffset>
                </wp:positionH>
                <wp:positionV relativeFrom="paragraph">
                  <wp:posOffset>5433695</wp:posOffset>
                </wp:positionV>
                <wp:extent cx="276225" cy="152400"/>
                <wp:effectExtent l="13970" t="13970" r="14605" b="24130"/>
                <wp:wrapNone/>
                <wp:docPr id="1037" name="矩形 41"/>
                <wp:cNvGraphicFramePr/>
                <a:graphic xmlns:a="http://schemas.openxmlformats.org/drawingml/2006/main">
                  <a:graphicData uri="http://schemas.microsoft.com/office/word/2010/wordprocessingShape">
                    <wps:wsp>
                      <wps:cNvSpPr/>
                      <wps:spPr>
                        <a:xfrm>
                          <a:off x="0" y="0"/>
                          <a:ext cx="276225" cy="152400"/>
                        </a:xfrm>
                        <a:prstGeom prst="rect">
                          <a:avLst/>
                        </a:prstGeom>
                        <a:solidFill>
                          <a:srgbClr val="FFC000"/>
                        </a:solidFill>
                        <a:ln w="28575" cap="flat" cmpd="sng">
                          <a:solidFill>
                            <a:srgbClr val="ED7D31"/>
                          </a:solidFill>
                          <a:prstDash val="solid"/>
                          <a:miter/>
                        </a:ln>
                      </wps:spPr>
                      <wps:bodyPr/>
                    </wps:wsp>
                  </a:graphicData>
                </a:graphic>
              </wp:anchor>
            </w:drawing>
          </mc:Choice>
          <mc:Fallback>
            <w:pict>
              <v:rect id="矩形 41" o:spid="_x0000_s1026" o:spt="1" style="position:absolute;left:0pt;margin-left:85.65pt;margin-top:427.85pt;height:12pt;width:21.75pt;z-index:251659264;mso-width-relative:page;mso-height-relative:page;" fillcolor="#FFC000" filled="t" stroked="t" coordsize="21600,21600" o:gfxdata="UEsDBAoAAAAAAIdO4kAAAAAAAAAAAAAAAAAEAAAAZHJzL1BLAwQUAAAACACHTuJA0KJKGNkAAAAL&#10;AQAADwAAAGRycy9kb3ducmV2LnhtbE2PzU7DMBCE70i8g7VIXCLqpFCShjiVACFxhBCJq2tvk4h4&#10;HWL37+1ZTnCc2U+zM9Xm5EZxwDkMnhRkixQEkvF2oE5B+/FyU4AIUZPVoydUcMYAm/ryotKl9Ud6&#10;x0MTO8EhFEqtoI9xKqUMpkenw8JPSHzb+dnpyHLupJ31kcPdKJdpei+dHog/9HrCpx7NV7N3Ct6M&#10;afQOP4vk9TtpH9Nzsm6fUanrqyx9ABHxFP9g+K3P1aHmTlu/JxvEyDrPbhlVUKxWOQgmltkdj9my&#10;k69zkHUl/2+ofwBQSwMEFAAAAAgAh07iQH2AHqfcAQAAwgMAAA4AAABkcnMvZTJvRG9jLnhtbK1T&#10;S27bMBDdF+gdCO5jyUocB4LlLKK6m6INkPYANEVKBPgDh7Hs0xTorofocYpeo0PKdeJ0k0U24gxn&#10;5s28x9Hqdm802YkAytmGzmclJcJy1ynbN/Tb183FDSUQme2YdlY09CCA3q7fv1uNvhaVG5zuRCAI&#10;YqEefUOHGH1dFMAHYRjMnBcWg9IFwyK6oS+6wEZEN7qoyvK6GF3ofHBcAOBtOwXpETG8BtBJqbho&#10;HX80wsYJNQjNIlKCQXmg6zytlILHL1KCiEQ3FJnG/MUmaG/Tt1ivWN0H5gfFjyOw14zwgpNhymLT&#10;E1TLIiOPQf0HZRQPDpyMM+5MMRHJiiCLeflCm4eBeZG5oNTgT6LD28Hyz7v7QFSHm1BeLimxzOCb&#10;//n+8/evH+RqnvQZPdSY9uDvw9EDNBPZvQwmnUiD7LOmh5OmYh8Jx8tqeV1VC0o4huaL6qrMmhdP&#10;xT5A/CicIcloaMAny0qy3SeI2BBT/6WkXuC06jZK6+yEfnunA9kxfN7N5q48oZ+laUtGnORmsUyD&#10;MFxaicuCpvFIHGyfG56VwHPkD+2yvcxa4DBnaWmylsEwTZBD00oZFUWSCwu0xSOJOMmWrK3rDlnN&#10;fI9PmxOPa5h257mfq59+vfV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0KJKGNkAAAALAQAADwAA&#10;AAAAAAABACAAAAAiAAAAZHJzL2Rvd25yZXYueG1sUEsBAhQAFAAAAAgAh07iQH2AHqfcAQAAwgMA&#10;AA4AAAAAAAAAAQAgAAAAKAEAAGRycy9lMm9Eb2MueG1sUEsFBgAAAAAGAAYAWQEAAHYFAAAAAA==&#10;">
                <v:fill on="t" focussize="0,0"/>
                <v:stroke weight="2.25pt" color="#ED7D31" joinstyle="miter"/>
                <v:imagedata o:title=""/>
                <o:lock v:ext="edit" aspectratio="f"/>
              </v:rect>
            </w:pict>
          </mc:Fallback>
        </mc:AlternateContent>
      </w:r>
      <w:r>
        <w:rPr>
          <w:color w:val="auto"/>
          <w:sz w:val="24"/>
          <w:highlight w:val="none"/>
        </w:rPr>
        <mc:AlternateContent>
          <mc:Choice Requires="wpg">
            <w:drawing>
              <wp:anchor distT="0" distB="0" distL="0" distR="0" simplePos="0" relativeHeight="251659264" behindDoc="0" locked="0" layoutInCell="1" allowOverlap="1">
                <wp:simplePos x="0" y="0"/>
                <wp:positionH relativeFrom="column">
                  <wp:posOffset>10795</wp:posOffset>
                </wp:positionH>
                <wp:positionV relativeFrom="paragraph">
                  <wp:posOffset>4412615</wp:posOffset>
                </wp:positionV>
                <wp:extent cx="1453515" cy="1226820"/>
                <wp:effectExtent l="0" t="0" r="13334" b="11430"/>
                <wp:wrapNone/>
                <wp:docPr id="1038" name="组合 58"/>
                <wp:cNvGraphicFramePr/>
                <a:graphic xmlns:a="http://schemas.openxmlformats.org/drawingml/2006/main">
                  <a:graphicData uri="http://schemas.microsoft.com/office/word/2010/wordprocessingGroup">
                    <wpg:wgp>
                      <wpg:cNvGrpSpPr/>
                      <wpg:grpSpPr>
                        <a:xfrm rot="0">
                          <a:off x="0" y="0"/>
                          <a:ext cx="1453515" cy="1226820"/>
                          <a:chOff x="15112" y="1682476"/>
                          <a:chExt cx="2289" cy="1932"/>
                        </a:xfrm>
                      </wpg:grpSpPr>
                      <wps:wsp>
                        <wps:cNvPr id="1" name="矩形 1"/>
                        <wps:cNvSpPr/>
                        <wps:spPr>
                          <a:xfrm>
                            <a:off x="15112" y="1682476"/>
                            <a:ext cx="2289" cy="1932"/>
                          </a:xfrm>
                          <a:prstGeom prst="rect">
                            <a:avLst/>
                          </a:prstGeom>
                          <a:solidFill>
                            <a:srgbClr val="DEEBF6"/>
                          </a:solidFill>
                          <a:ln>
                            <a:noFill/>
                          </a:ln>
                        </wps:spPr>
                        <wps:txbx>
                          <w:txbxContent>
                            <w:p w14:paraId="723BE8BB">
                              <w:pPr>
                                <w:jc w:val="center"/>
                                <w:rPr>
                                  <w:b/>
                                  <w:bCs/>
                                </w:rPr>
                              </w:pPr>
                              <w:r>
                                <w:rPr>
                                  <w:rFonts w:hint="eastAsia"/>
                                  <w:b/>
                                  <w:bCs/>
                                </w:rPr>
                                <w:t>图例</w:t>
                              </w:r>
                            </w:p>
                            <w:p w14:paraId="10DC199E">
                              <w:pPr>
                                <w:pStyle w:val="46"/>
                              </w:pPr>
                              <w:r>
                                <w:rPr>
                                  <w:rFonts w:hint="eastAsia"/>
                                </w:rPr>
                                <w:t>项目位置：</w:t>
                              </w:r>
                            </w:p>
                            <w:p w14:paraId="74FCE000">
                              <w:pPr>
                                <w:pStyle w:val="46"/>
                                <w:rPr>
                                  <w:rFonts w:hint="eastAsia"/>
                                  <w:lang w:val="en-US" w:eastAsia="zh-CN"/>
                                </w:rPr>
                              </w:pPr>
                              <w:r>
                                <w:rPr>
                                  <w:rFonts w:hint="eastAsia"/>
                                  <w:lang w:val="en-US" w:eastAsia="zh-CN"/>
                                </w:rPr>
                                <w:t>地表水：</w:t>
                              </w:r>
                            </w:p>
                            <w:p w14:paraId="07E295A9">
                              <w:pPr>
                                <w:pStyle w:val="51"/>
                                <w:ind w:left="0" w:leftChars="0" w:firstLine="0" w:firstLineChars="0"/>
                                <w:rPr>
                                  <w:rFonts w:hint="default"/>
                                  <w:b w:val="0"/>
                                  <w:bCs/>
                                  <w:lang w:val="en-US" w:eastAsia="zh-CN"/>
                                </w:rPr>
                              </w:pPr>
                              <w:r>
                                <w:rPr>
                                  <w:rFonts w:hint="eastAsia" w:ascii="宋体" w:hAnsi="Times New Roman" w:eastAsia="宋体" w:cs="宋体"/>
                                  <w:b w:val="0"/>
                                  <w:bCs/>
                                  <w:color w:val="000000"/>
                                  <w:kern w:val="2"/>
                                  <w:sz w:val="24"/>
                                  <w:szCs w:val="24"/>
                                  <w:lang w:val="en-US" w:eastAsia="zh-CN" w:bidi="ar-SA"/>
                                </w:rPr>
                                <w:t>永久基本农田</w:t>
                              </w:r>
                              <w:r>
                                <w:rPr>
                                  <w:rFonts w:hint="eastAsia" w:cs="宋体"/>
                                  <w:b w:val="0"/>
                                  <w:bCs/>
                                  <w:color w:val="000000"/>
                                  <w:kern w:val="2"/>
                                  <w:sz w:val="24"/>
                                  <w:szCs w:val="24"/>
                                  <w:lang w:val="en-US" w:eastAsia="zh-CN" w:bidi="ar-SA"/>
                                </w:rPr>
                                <w:t>：</w:t>
                              </w:r>
                            </w:p>
                          </w:txbxContent>
                        </wps:txbx>
                        <wps:bodyPr vert="horz" wrap="square" lIns="91440" tIns="45720" rIns="91440" bIns="45720" anchor="t">
                          <a:noAutofit/>
                        </wps:bodyPr>
                      </wps:wsp>
                      <wps:wsp>
                        <wps:cNvPr id="2" name="矩形 2"/>
                        <wps:cNvSpPr/>
                        <wps:spPr>
                          <a:xfrm>
                            <a:off x="16440" y="1683158"/>
                            <a:ext cx="435" cy="240"/>
                          </a:xfrm>
                          <a:prstGeom prst="rect">
                            <a:avLst/>
                          </a:prstGeom>
                          <a:ln w="28575" cap="flat" cmpd="sng">
                            <a:solidFill>
                              <a:srgbClr val="FF0000"/>
                            </a:solidFill>
                            <a:prstDash val="solid"/>
                            <a:miter/>
                          </a:ln>
                        </wps:spPr>
                        <wps:bodyPr/>
                      </wps:wsp>
                      <wps:wsp>
                        <wps:cNvPr id="3" name="弧形 3"/>
                        <wps:cNvSpPr/>
                        <wps:spPr>
                          <a:xfrm>
                            <a:off x="16257" y="1683702"/>
                            <a:ext cx="435" cy="240"/>
                          </a:xfrm>
                          <a:prstGeom prst="arc">
                            <a:avLst/>
                          </a:prstGeom>
                          <a:ln w="28575" cap="flat" cmpd="sng">
                            <a:solidFill>
                              <a:srgbClr val="00B050"/>
                            </a:solidFill>
                            <a:prstDash val="solid"/>
                            <a:miter/>
                          </a:ln>
                        </wps:spPr>
                        <wps:bodyPr/>
                      </wps:wsp>
                    </wpg:wgp>
                  </a:graphicData>
                </a:graphic>
              </wp:anchor>
            </w:drawing>
          </mc:Choice>
          <mc:Fallback>
            <w:pict>
              <v:group id="组合 58" o:spid="_x0000_s1026" o:spt="203" style="position:absolute;left:0pt;margin-left:0.85pt;margin-top:347.45pt;height:96.6pt;width:114.45pt;z-index:251659264;mso-width-relative:page;mso-height-relative:page;" coordorigin="15112,1682476" coordsize="2289,1932" o:gfxdata="UEsDBAoAAAAAAIdO4kAAAAAAAAAAAAAAAAAEAAAAZHJzL1BLAwQUAAAACACHTuJAeywX/tkAAAAJ&#10;AQAADwAAAGRycy9kb3ducmV2LnhtbE2PQUvDQBSE74L/YXmCN7u7rcY0ZlOkqKci2Ari7TV5TUKz&#10;uyG7Tdp/7/Okx2GGmW/y1dl2YqQhtN4Z0DMFglzpq9bVBj53r3cpiBDRVdh5RwYuFGBVXF/lmFV+&#10;ch80bmMtuMSFDA00MfaZlKFsyGKY+Z4cewc/WIwsh1pWA05cbjs5VyqRFlvHCw32tG6oPG5P1sDb&#10;hNPzQr+Mm+NhffnePbx/bTQZc3uj1ROISOf4F4ZffEaHgpn2/uSqIDrWjxw0kCzvlyDYny9UAmJv&#10;IE1TDbLI5f8HxQ9QSwMEFAAAAAgAh07iQEuAm8b6AgAAdggAAA4AAABkcnMvZTJvRG9jLnhtbL1W&#10;zW7UMBC+I/EOlu80f5vuNmq2ArZbISGoVHgAr+P8SIkdbO9my5kDR94AiQviGYDHqXgNxnay3S1q&#10;1R/RPUQez2Q8833fOHt4tG5qtGJSVYKnONjzMWKciqziRYrfv5s/m2CkNOEZqQVnKT5nCh9Nnz45&#10;7NqEhaIUdcYkgiRcJV2b4lLrNvE8RUvWELUnWsbBmQvZEA2mLLxMkg6yN7UX+v6+1wmZtVJQphTs&#10;zpwT9xnlbRKKPK8omwm6bBjXLqtkNdHQkiqrVuGprTbPGdVv81wxjeoUQ6faPuEQWC/M05sekqSQ&#10;pC0r2pdAblPClZ4aUnE4dJNqRjRBS1n9k6qpqBRK5HqPisZzjVhEoIvAv4LNiRTL1vZSJF3RbkAH&#10;oq6gfu+09M3qVKIqAyX4ETDPSQOc//n56eLLZxRPDD5dWyQQdiLbs/ZU9huFs0zL61w2SAoLrbGh&#10;KbS2CJ9vEGZrjShsBqM4ioMYIwq+IAz3J2HPAS2BKPNeEAdBiJHxg3c03ncc0fK4zxGGk4M+wUEU&#10;Gq/nioCFqXVTWteCQtUlbOphsJ2VpGWWDWXwGGDbYPb1x8XvbyhwkNmQDV4qUQDdANYWSNc0O8B1&#10;Q6skaaXSJ0w0yCxSLEHrVoJk9Vpph8oQYk5Uoq6yeVXX1pDF4mUt0YrAXMyOj1/MLcwA5E5YzU0w&#10;F+Y1l9HsAMpDQ2al14u1VYVKFiI7B1zgdoGCSiE/YtTBbKVYfVgSyTCqX3Fg4SAYjcwwWmMUj0ED&#10;SG57FtsewimkSrHrjovnSy3yynZojndn9lUB3Uawj8A7SLSfFce7FaI5GaRxC973LQJO5FHgBo0k&#10;A++jqB+REHDaFvidWa856lIcTuKxyWioyOGehGXTwswrXljJ7JCutrUxn/vw62vYCTPamhFVOg1Z&#10;lwkjSVNpJq9Vi6PLuHuaHomvaODr4td3M6eRKfYOfIXxeLiUorFv2b4PX0TSm4b0oXT5/gs//s90&#10;2UsWPkdA4c73btu29F7+XZj+B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GwFAABbQ29udGVudF9UeXBlc10ueG1sUEsBAhQACgAAAAAAh07iQAAA&#10;AAAAAAAAAAAAAAYAAAAAAAAAAAAQAAAATgQAAF9yZWxzL1BLAQIUABQAAAAIAIdO4kCKFGY80QAA&#10;AJQBAAALAAAAAAAAAAEAIAAAAHIEAABfcmVscy8ucmVsc1BLAQIUAAoAAAAAAIdO4kAAAAAAAAAA&#10;AAAAAAAEAAAAAAAAAAAAEAAAAAAAAABkcnMvUEsBAhQAFAAAAAgAh07iQHssF/7ZAAAACQEAAA8A&#10;AAAAAAAAAQAgAAAAIgAAAGRycy9kb3ducmV2LnhtbFBLAQIUABQAAAAIAIdO4kBLgJvG+gIAAHYI&#10;AAAOAAAAAAAAAAEAIAAAACgBAABkcnMvZTJvRG9jLnhtbFBLBQYAAAAABgAGAFkBAACUBgAAAAA=&#10;">
                <o:lock v:ext="edit" aspectratio="f"/>
                <v:rect id="_x0000_s1026" o:spid="_x0000_s1026" o:spt="1" style="position:absolute;left:15112;top:1682476;height:1932;width:2289;" fillcolor="#DEEBF6" filled="t" stroked="f" coordsize="21600,21600" o:gfxdata="UEsDBAoAAAAAAIdO4kAAAAAAAAAAAAAAAAAEAAAAZHJzL1BLAwQUAAAACACHTuJAt2hm0LsAAADa&#10;AAAADwAAAGRycy9kb3ducmV2LnhtbEWPW4vCMBCF3xf2P4RZ2Lc1rYiXbqPoguKT4O19aGab0mZS&#10;mnj99UYQfBqGc74zZ/LZ1TbiTJ2vHCtIewkI4sLpiksFh/3yZwzCB2SNjWNScCMPs+nnR46Zdhfe&#10;0nkXShFD2GeowITQZlL6wpBF33MtcdT+XWcxxLUrpe7wEsNtI/tJMpQWK44XDLb0Z6iodycba9z3&#10;q9HcrDYDPRktB4u6uR3So1LfX2nyCyLQNbzNL3qtIwfPV55TTh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2hm0LsAAADa&#10;AAAADwAAAAAAAAABACAAAAAiAAAAZHJzL2Rvd25yZXYueG1sUEsBAhQAFAAAAAgAh07iQDMvBZ47&#10;AAAAOQAAABAAAAAAAAAAAQAgAAAACgEAAGRycy9zaGFwZXhtbC54bWxQSwUGAAAAAAYABgBbAQAA&#10;tAMAAAAA&#10;">
                  <v:fill on="t" focussize="0,0"/>
                  <v:stroke on="f"/>
                  <v:imagedata o:title=""/>
                  <o:lock v:ext="edit" aspectratio="f"/>
                  <v:textbox>
                    <w:txbxContent>
                      <w:p w14:paraId="723BE8BB">
                        <w:pPr>
                          <w:jc w:val="center"/>
                          <w:rPr>
                            <w:b/>
                            <w:bCs/>
                          </w:rPr>
                        </w:pPr>
                        <w:r>
                          <w:rPr>
                            <w:rFonts w:hint="eastAsia"/>
                            <w:b/>
                            <w:bCs/>
                          </w:rPr>
                          <w:t>图例</w:t>
                        </w:r>
                      </w:p>
                      <w:p w14:paraId="10DC199E">
                        <w:pPr>
                          <w:pStyle w:val="46"/>
                        </w:pPr>
                        <w:r>
                          <w:rPr>
                            <w:rFonts w:hint="eastAsia"/>
                          </w:rPr>
                          <w:t>项目位置：</w:t>
                        </w:r>
                      </w:p>
                      <w:p w14:paraId="74FCE000">
                        <w:pPr>
                          <w:pStyle w:val="46"/>
                          <w:rPr>
                            <w:rFonts w:hint="eastAsia"/>
                            <w:lang w:val="en-US" w:eastAsia="zh-CN"/>
                          </w:rPr>
                        </w:pPr>
                        <w:r>
                          <w:rPr>
                            <w:rFonts w:hint="eastAsia"/>
                            <w:lang w:val="en-US" w:eastAsia="zh-CN"/>
                          </w:rPr>
                          <w:t>地表水：</w:t>
                        </w:r>
                      </w:p>
                      <w:p w14:paraId="07E295A9">
                        <w:pPr>
                          <w:pStyle w:val="51"/>
                          <w:ind w:left="0" w:leftChars="0" w:firstLine="0" w:firstLineChars="0"/>
                          <w:rPr>
                            <w:rFonts w:hint="default"/>
                            <w:b w:val="0"/>
                            <w:bCs/>
                            <w:lang w:val="en-US" w:eastAsia="zh-CN"/>
                          </w:rPr>
                        </w:pPr>
                        <w:r>
                          <w:rPr>
                            <w:rFonts w:hint="eastAsia" w:ascii="宋体" w:hAnsi="Times New Roman" w:eastAsia="宋体" w:cs="宋体"/>
                            <w:b w:val="0"/>
                            <w:bCs/>
                            <w:color w:val="000000"/>
                            <w:kern w:val="2"/>
                            <w:sz w:val="24"/>
                            <w:szCs w:val="24"/>
                            <w:lang w:val="en-US" w:eastAsia="zh-CN" w:bidi="ar-SA"/>
                          </w:rPr>
                          <w:t>永久基本农田</w:t>
                        </w:r>
                        <w:r>
                          <w:rPr>
                            <w:rFonts w:hint="eastAsia" w:cs="宋体"/>
                            <w:b w:val="0"/>
                            <w:bCs/>
                            <w:color w:val="000000"/>
                            <w:kern w:val="2"/>
                            <w:sz w:val="24"/>
                            <w:szCs w:val="24"/>
                            <w:lang w:val="en-US" w:eastAsia="zh-CN" w:bidi="ar-SA"/>
                          </w:rPr>
                          <w:t>：</w:t>
                        </w:r>
                      </w:p>
                    </w:txbxContent>
                  </v:textbox>
                </v:rect>
                <v:rect id="_x0000_s1026" o:spid="_x0000_s1026" o:spt="1" style="position:absolute;left:16440;top:1683158;height:240;width:435;" filled="f" stroked="t" coordsize="21600,21600" o:gfxdata="UEsDBAoAAAAAAIdO4kAAAAAAAAAAAAAAAAAEAAAAZHJzL1BLAwQUAAAACACHTuJAOdKQVbsAAADa&#10;AAAADwAAAGRycy9kb3ducmV2LnhtbEWPwWrDMBBE74H+g9hAb4lk04TUjZKDoVBKCY3dD1isrWVi&#10;rYylOu7fV4FCjsPMvGH2x9n1YqIxdJ41ZGsFgrjxpuNWw1f9utqBCBHZYO+ZNPxSgOPhYbHHwvgr&#10;n2mqYisShEOBGmyMQyFlaCw5DGs/ECfv248OY5JjK82I1wR3vcyV2kqHHacFiwOVlppL9eM0PNHH&#10;hprWvqv8cxrC9Fy6U11q/bjM1AuISHO8h//bb0ZDDrcr6QbIwx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dKQVbsAAADa&#10;AAAADwAAAAAAAAABACAAAAAiAAAAZHJzL2Rvd25yZXYueG1sUEsBAhQAFAAAAAgAh07iQDMvBZ47&#10;AAAAOQAAABAAAAAAAAAAAQAgAAAACgEAAGRycy9zaGFwZXhtbC54bWxQSwUGAAAAAAYABgBbAQAA&#10;tAMAAAAA&#10;">
                  <v:fill on="f" focussize="0,0"/>
                  <v:stroke weight="2.25pt" color="#FF0000" joinstyle="miter"/>
                  <v:imagedata o:title=""/>
                  <o:lock v:ext="edit" aspectratio="f"/>
                </v:rect>
                <v:shape id="_x0000_s1026" o:spid="_x0000_s1026" style="position:absolute;left:16257;top:1683702;height:240;width:435;" filled="f" stroked="t" coordsize="435,240" o:gfxdata="UEsDBAoAAAAAAIdO4kAAAAAAAAAAAAAAAAAEAAAAZHJzL1BLAwQUAAAACACHTuJAaVmno7sAAADa&#10;AAAADwAAAGRycy9kb3ducmV2LnhtbEWPT4vCMBTE7wt+h/AEb2vaLZSla/QgCC4exD97fzTPprZ5&#10;KU2s9dsbQdjjMDO/YRar0bZioN7XjhWk8wQEcel0zZWC82nz+Q3CB2SNrWNS8CAPq+XkY4GFdnc+&#10;0HAMlYgQ9gUqMCF0hZS+NGTRz11HHL2L6y2GKPtK6h7vEW5b+ZUkubRYc1ww2NHaUNkcb1ZBk+bn&#10;jPZm2OV/v/VhyE7N+LgqNZumyQ+IQGP4D7/bW60gg9eVeAPk8g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Vmno7sAAADa&#10;AAAADwAAAAAAAAABACAAAAAiAAAAZHJzL2Rvd25yZXYueG1sUEsBAhQAFAAAAAgAh07iQDMvBZ47&#10;AAAAOQAAABAAAAAAAAAAAQAgAAAACgEAAGRycy9zaGFwZXhtbC54bWxQSwUGAAAAAAYABgBbAQAA&#10;tAMAAAAA&#10;" path="m217,0nsc337,0,434,54,434,120l217,120xem217,0nfc337,0,434,54,434,120e">
                  <v:path o:connectlocs="217,0;217,120;435,120" o:connectangles="164,123,82"/>
                  <v:fill on="f" focussize="0,0"/>
                  <v:stroke weight="2.25pt" color="#00B050" joinstyle="miter"/>
                  <v:imagedata o:title=""/>
                  <o:lock v:ext="edit" aspectratio="f"/>
                </v:shape>
              </v:group>
            </w:pict>
          </mc:Fallback>
        </mc:AlternateContent>
      </w:r>
      <w:r>
        <w:rPr>
          <w:color w:val="auto"/>
          <w:sz w:val="24"/>
          <w:highlight w:val="none"/>
        </w:rPr>
        <mc:AlternateContent>
          <mc:Choice Requires="wps">
            <w:drawing>
              <wp:anchor distT="0" distB="0" distL="0" distR="0" simplePos="0" relativeHeight="251659264" behindDoc="0" locked="0" layoutInCell="1" allowOverlap="1">
                <wp:simplePos x="0" y="0"/>
                <wp:positionH relativeFrom="column">
                  <wp:posOffset>4358005</wp:posOffset>
                </wp:positionH>
                <wp:positionV relativeFrom="paragraph">
                  <wp:posOffset>1592580</wp:posOffset>
                </wp:positionV>
                <wp:extent cx="879475" cy="1874520"/>
                <wp:effectExtent l="8255" t="7620" r="7620" b="22860"/>
                <wp:wrapNone/>
                <wp:docPr id="1042" name="任意多边形 34"/>
                <wp:cNvGraphicFramePr/>
                <a:graphic xmlns:a="http://schemas.openxmlformats.org/drawingml/2006/main">
                  <a:graphicData uri="http://schemas.microsoft.com/office/word/2010/wordprocessingShape">
                    <wps:wsp>
                      <wps:cNvSpPr/>
                      <wps:spPr>
                        <a:xfrm>
                          <a:off x="0" y="0"/>
                          <a:ext cx="879475" cy="1874520"/>
                        </a:xfrm>
                        <a:custGeom>
                          <a:avLst/>
                          <a:gdLst/>
                          <a:ahLst/>
                          <a:cxnLst/>
                          <a:rect l="l" t="t" r="r" b="b"/>
                          <a:pathLst>
                            <a:path w="1385" h="2952">
                              <a:moveTo>
                                <a:pt x="844" y="0"/>
                              </a:moveTo>
                              <a:lnTo>
                                <a:pt x="1241" y="78"/>
                              </a:lnTo>
                              <a:lnTo>
                                <a:pt x="1155" y="164"/>
                              </a:lnTo>
                              <a:lnTo>
                                <a:pt x="1115" y="214"/>
                              </a:lnTo>
                              <a:lnTo>
                                <a:pt x="1115" y="300"/>
                              </a:lnTo>
                              <a:lnTo>
                                <a:pt x="1115" y="351"/>
                              </a:lnTo>
                              <a:lnTo>
                                <a:pt x="1186" y="351"/>
                              </a:lnTo>
                              <a:lnTo>
                                <a:pt x="1226" y="380"/>
                              </a:lnTo>
                              <a:lnTo>
                                <a:pt x="1385" y="810"/>
                              </a:lnTo>
                              <a:lnTo>
                                <a:pt x="1226" y="983"/>
                              </a:lnTo>
                              <a:lnTo>
                                <a:pt x="1091" y="1051"/>
                              </a:lnTo>
                              <a:lnTo>
                                <a:pt x="972" y="1383"/>
                              </a:lnTo>
                              <a:lnTo>
                                <a:pt x="892" y="1434"/>
                              </a:lnTo>
                              <a:lnTo>
                                <a:pt x="917" y="1629"/>
                              </a:lnTo>
                              <a:lnTo>
                                <a:pt x="789" y="1745"/>
                              </a:lnTo>
                              <a:lnTo>
                                <a:pt x="781" y="1921"/>
                              </a:lnTo>
                              <a:lnTo>
                                <a:pt x="722" y="2074"/>
                              </a:lnTo>
                              <a:lnTo>
                                <a:pt x="741" y="2212"/>
                              </a:lnTo>
                              <a:lnTo>
                                <a:pt x="736" y="2331"/>
                              </a:lnTo>
                              <a:lnTo>
                                <a:pt x="677" y="2389"/>
                              </a:lnTo>
                              <a:lnTo>
                                <a:pt x="643" y="2388"/>
                              </a:lnTo>
                              <a:lnTo>
                                <a:pt x="565" y="2431"/>
                              </a:lnTo>
                              <a:lnTo>
                                <a:pt x="503" y="2330"/>
                              </a:lnTo>
                              <a:lnTo>
                                <a:pt x="458" y="2388"/>
                              </a:lnTo>
                              <a:lnTo>
                                <a:pt x="391" y="2457"/>
                              </a:lnTo>
                              <a:lnTo>
                                <a:pt x="320" y="2526"/>
                              </a:lnTo>
                              <a:lnTo>
                                <a:pt x="265" y="2595"/>
                              </a:lnTo>
                              <a:lnTo>
                                <a:pt x="186" y="2724"/>
                              </a:lnTo>
                              <a:lnTo>
                                <a:pt x="143" y="2952"/>
                              </a:lnTo>
                              <a:lnTo>
                                <a:pt x="0" y="2895"/>
                              </a:lnTo>
                              <a:lnTo>
                                <a:pt x="312" y="2154"/>
                              </a:lnTo>
                              <a:lnTo>
                                <a:pt x="487" y="1939"/>
                              </a:lnTo>
                              <a:lnTo>
                                <a:pt x="550" y="1629"/>
                              </a:lnTo>
                              <a:lnTo>
                                <a:pt x="479" y="1219"/>
                              </a:lnTo>
                              <a:lnTo>
                                <a:pt x="550" y="1003"/>
                              </a:lnTo>
                              <a:lnTo>
                                <a:pt x="550" y="846"/>
                              </a:lnTo>
                              <a:lnTo>
                                <a:pt x="654" y="380"/>
                              </a:lnTo>
                              <a:lnTo>
                                <a:pt x="741" y="369"/>
                              </a:lnTo>
                              <a:lnTo>
                                <a:pt x="844" y="0"/>
                              </a:lnTo>
                              <a:close/>
                            </a:path>
                          </a:pathLst>
                        </a:custGeom>
                        <a:solidFill>
                          <a:srgbClr val="FFC000"/>
                        </a:solidFill>
                        <a:ln w="12700" cap="flat" cmpd="sng">
                          <a:solidFill>
                            <a:srgbClr val="ED7D31"/>
                          </a:solidFill>
                          <a:prstDash val="solid"/>
                          <a:miter/>
                        </a:ln>
                      </wps:spPr>
                      <wps:bodyPr/>
                    </wps:wsp>
                  </a:graphicData>
                </a:graphic>
              </wp:anchor>
            </w:drawing>
          </mc:Choice>
          <mc:Fallback>
            <w:pict>
              <v:shape id="任意多边形 34" o:spid="_x0000_s1026" o:spt="100" style="position:absolute;left:0pt;margin-left:343.15pt;margin-top:125.4pt;height:147.6pt;width:69.25pt;z-index:251659264;mso-width-relative:page;mso-height-relative:page;" fillcolor="#FFC000" filled="t" stroked="t" coordsize="1385,2952" o:gfxdata="UEsDBAoAAAAAAIdO4kAAAAAAAAAAAAAAAAAEAAAAZHJzL1BLAwQUAAAACACHTuJAPYYnENoAAAAL&#10;AQAADwAAAGRycy9kb3ducmV2LnhtbE2PwU7DMAyG70i8Q2QkbixpWatSmu6AQEJik8bgwNFrQlvR&#10;OF2TrePtMSe42fKvz99frc5uECc7hd6ThmShQFhqvOmp1fD+9nRTgAgRyeDgyWr4tgFW9eVFhaXx&#10;M73a0y62giEUStTQxTiWUoamsw7Dwo+W+PbpJ4eR16mVZsKZ4W6QqVK5dNgTf+hwtA+dbb52R6ch&#10;xWJ++XhcrwMlJskOz5vDZnun9fVVou5BRHuOf2H41Wd1qNlp749kghg05EV+y1GGZYo7cKJIlzzs&#10;NWTLXIGsK/m/Q/0DUEsDBBQAAAAIAIdO4kDNWmpjXAMAAHwKAAAOAAAAZHJzL2Uyb0RvYy54bWyt&#10;Vs1u1DAQviPxDlbudGM7v6tuObCUCwKklgfwJs4mUhJHtru7vXPnzhHxEgjB01DEYzB24u0PwumB&#10;S+LEn2fmm2/s8enzQ9eiHZeqEf0qwCdhgHhfiLLpt6vg/eX5syxASrO+ZK3o+Sq45ip4fvb0yel+&#10;WHIiatGWXCIw0qvlflgFtdbDcrFQRc07pk7EwHuYrITsmIZPuV2Uku3BetcuSBgmi72Q5SBFwZWC&#10;v+txMpgsyscYFFXVFHwtiquO93q0KnnLNFBSdTOo4MxGW1W80G+rSnGN2lUATLV9ghMYb8xzcXbK&#10;llvJhropphDYY0J4wKljTQ9Oj6bWTDN0JZu/THVNIYUSlT4pRLcYidiMAAscPsjNRc0GbrlAqtVw&#10;TLr6f2aLN7t3EjUlVEIYkQD1rAPNf3779uvDx5svn37/+Hrz/TOikUnUflBLwF8M7+T0pWBoWB8q&#10;2Zk38EEHm9zrY3L5QaMCfmZpHqVxgAqYwlkaxcRmf3G7urhS+hUX1hLbvVZ6FKd0I1a7UXHo3VCC&#10;xEbc1oqrAwTiSivuZhR3YNqsM+GZIdqDe5pBIPUqIHlMrGyd2PFLYTHaMMiiKECOA4R4O9/2d3GY&#10;RNgC08x4A6Sbd+/B2sM4Bo+GeWJT6QHiEUjwI4E0dHl0Lt3buZ4s0hjPxJglNsZZICETMJtxbfMM&#10;rDM8A3QW84z6YwzzMd84nGGTp1DNJuF0xmSWT8BorPJ/SpPjdJKQ5N4g0ywfgVDkM8CJTE780qRk&#10;jJGEqb8q0qkcCcHE75qOEhJK/a6TdGRNKLDylXgSUcsagP69ECdThUczruPQWaT+8oli6Fmg9axr&#10;OlUPieLUS4bC4WQtxlDqPtbEkYlzv9Z42lwkJX4JscujOZt8rqcIsxnHFCrBUsGx33GUTfWdU7/S&#10;cTy6xsnMRojSaSMQ/EiLIUju4+xcZ5FflgS4GtJ05oRy+4Um/gAf9gN3xBatUHwM2DQX2wGODQdO&#10;krstTYm2Kc+btjVtRsnt5kUr0Y5B7zo/fxEeT/F7sLa3/YqkMI0KBtetCq45MOwGaNmq39rudW/J&#10;Pcsv1+n6uMvuwQap9JqpeozATpnMQ6trNJdOAyBkuv7Y581oI8pr2/7tf7iUWMrTBcrceu5+29W3&#10;l8azP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M8FAABbQ29udGVudF9UeXBlc10ueG1sUEsBAhQACgAAAAAAh07iQAAAAAAAAAAAAAAAAAYAAAAA&#10;AAAAAAAQAAAAsQQAAF9yZWxzL1BLAQIUABQAAAAIAIdO4kCKFGY80QAAAJQBAAALAAAAAAAAAAEA&#10;IAAAANUEAABfcmVscy8ucmVsc1BLAQIUAAoAAAAAAIdO4kAAAAAAAAAAAAAAAAAEAAAAAAAAAAAA&#10;EAAAAAAAAABkcnMvUEsBAhQAFAAAAAgAh07iQD2GJxDaAAAACwEAAA8AAAAAAAAAAQAgAAAAIgAA&#10;AGRycy9kb3ducmV2LnhtbFBLAQIUABQAAAAIAIdO4kDNWmpjXAMAAHwKAAAOAAAAAAAAAAEAIAAA&#10;ACkBAABkcnMvZTJvRG9jLnhtbFBLBQYAAAAABgAGAFkBAAD3BgAAAAA=&#10;" path="m844,0l1241,78,1155,164,1115,214,1115,300,1115,351,1186,351,1226,380,1385,810,1226,983,1091,1051,972,1383,892,1434,917,1629,789,1745,781,1921,722,2074,741,2212,736,2331,677,2389,643,2388,565,2431,503,2330,458,2388,391,2457,320,2526,265,2595,186,2724,143,2952,0,2895,312,2154,487,1939,550,1629,479,1219,550,1003,550,846,654,380,741,369,844,0xe">
                <v:fill on="t" focussize="0,0"/>
                <v:stroke weight="1pt" color="#ED7D31" joinstyle="miter"/>
                <v:imagedata o:title=""/>
                <o:lock v:ext="edit" aspectratio="f"/>
              </v:shape>
            </w:pict>
          </mc:Fallback>
        </mc:AlternateContent>
      </w:r>
      <w:r>
        <w:rPr>
          <w:color w:val="auto"/>
          <w:sz w:val="24"/>
          <w:highlight w:val="none"/>
        </w:rPr>
        <mc:AlternateContent>
          <mc:Choice Requires="wps">
            <w:drawing>
              <wp:anchor distT="0" distB="0" distL="0" distR="0" simplePos="0" relativeHeight="251659264" behindDoc="0" locked="0" layoutInCell="1" allowOverlap="1">
                <wp:simplePos x="0" y="0"/>
                <wp:positionH relativeFrom="column">
                  <wp:posOffset>4657090</wp:posOffset>
                </wp:positionH>
                <wp:positionV relativeFrom="paragraph">
                  <wp:posOffset>1657985</wp:posOffset>
                </wp:positionV>
                <wp:extent cx="1007745" cy="1866265"/>
                <wp:effectExtent l="9525" t="6350" r="11430" b="13334"/>
                <wp:wrapNone/>
                <wp:docPr id="1043" name="任意多边形 35"/>
                <wp:cNvGraphicFramePr/>
                <a:graphic xmlns:a="http://schemas.openxmlformats.org/drawingml/2006/main">
                  <a:graphicData uri="http://schemas.microsoft.com/office/word/2010/wordprocessingShape">
                    <wps:wsp>
                      <wps:cNvSpPr/>
                      <wps:spPr>
                        <a:xfrm>
                          <a:off x="0" y="0"/>
                          <a:ext cx="1007745" cy="1866265"/>
                        </a:xfrm>
                        <a:custGeom>
                          <a:avLst/>
                          <a:gdLst/>
                          <a:ahLst/>
                          <a:cxnLst/>
                          <a:rect l="l" t="t" r="r" b="b"/>
                          <a:pathLst>
                            <a:path w="1587" h="2939">
                              <a:moveTo>
                                <a:pt x="1048" y="0"/>
                              </a:moveTo>
                              <a:lnTo>
                                <a:pt x="884" y="60"/>
                              </a:lnTo>
                              <a:lnTo>
                                <a:pt x="884" y="157"/>
                              </a:lnTo>
                              <a:lnTo>
                                <a:pt x="1012" y="238"/>
                              </a:lnTo>
                              <a:lnTo>
                                <a:pt x="1150" y="716"/>
                              </a:lnTo>
                              <a:lnTo>
                                <a:pt x="1107" y="797"/>
                              </a:lnTo>
                              <a:lnTo>
                                <a:pt x="1038" y="845"/>
                              </a:lnTo>
                              <a:lnTo>
                                <a:pt x="815" y="936"/>
                              </a:lnTo>
                              <a:lnTo>
                                <a:pt x="643" y="1386"/>
                              </a:lnTo>
                              <a:lnTo>
                                <a:pt x="643" y="1504"/>
                              </a:lnTo>
                              <a:lnTo>
                                <a:pt x="643" y="1634"/>
                              </a:lnTo>
                              <a:lnTo>
                                <a:pt x="558" y="1634"/>
                              </a:lnTo>
                              <a:lnTo>
                                <a:pt x="507" y="1814"/>
                              </a:lnTo>
                              <a:lnTo>
                                <a:pt x="600" y="2004"/>
                              </a:lnTo>
                              <a:lnTo>
                                <a:pt x="523" y="2083"/>
                              </a:lnTo>
                              <a:lnTo>
                                <a:pt x="515" y="2293"/>
                              </a:lnTo>
                              <a:lnTo>
                                <a:pt x="438" y="2321"/>
                              </a:lnTo>
                              <a:lnTo>
                                <a:pt x="360" y="2332"/>
                              </a:lnTo>
                              <a:lnTo>
                                <a:pt x="300" y="2311"/>
                              </a:lnTo>
                              <a:lnTo>
                                <a:pt x="244" y="2357"/>
                              </a:lnTo>
                              <a:lnTo>
                                <a:pt x="215" y="2402"/>
                              </a:lnTo>
                              <a:lnTo>
                                <a:pt x="120" y="2432"/>
                              </a:lnTo>
                              <a:lnTo>
                                <a:pt x="78" y="2721"/>
                              </a:lnTo>
                              <a:lnTo>
                                <a:pt x="0" y="2939"/>
                              </a:lnTo>
                              <a:lnTo>
                                <a:pt x="1260" y="2702"/>
                              </a:lnTo>
                              <a:lnTo>
                                <a:pt x="1278" y="2143"/>
                              </a:lnTo>
                              <a:lnTo>
                                <a:pt x="1210" y="2032"/>
                              </a:lnTo>
                              <a:lnTo>
                                <a:pt x="1124" y="2023"/>
                              </a:lnTo>
                              <a:lnTo>
                                <a:pt x="1090" y="1892"/>
                              </a:lnTo>
                              <a:lnTo>
                                <a:pt x="1124" y="1843"/>
                              </a:lnTo>
                              <a:lnTo>
                                <a:pt x="1124" y="1693"/>
                              </a:lnTo>
                              <a:lnTo>
                                <a:pt x="1140" y="1595"/>
                              </a:lnTo>
                              <a:lnTo>
                                <a:pt x="1278" y="1525"/>
                              </a:lnTo>
                              <a:lnTo>
                                <a:pt x="1441" y="1106"/>
                              </a:lnTo>
                              <a:lnTo>
                                <a:pt x="1441" y="818"/>
                              </a:lnTo>
                              <a:lnTo>
                                <a:pt x="1501" y="418"/>
                              </a:lnTo>
                              <a:lnTo>
                                <a:pt x="1570" y="169"/>
                              </a:lnTo>
                              <a:lnTo>
                                <a:pt x="1587" y="69"/>
                              </a:lnTo>
                              <a:lnTo>
                                <a:pt x="1048" y="0"/>
                              </a:lnTo>
                              <a:close/>
                            </a:path>
                          </a:pathLst>
                        </a:custGeom>
                        <a:solidFill>
                          <a:srgbClr val="FFC000"/>
                        </a:solidFill>
                        <a:ln w="12700" cap="flat" cmpd="sng">
                          <a:solidFill>
                            <a:srgbClr val="ED7D31"/>
                          </a:solidFill>
                          <a:prstDash val="solid"/>
                          <a:miter/>
                        </a:ln>
                      </wps:spPr>
                      <wps:bodyPr/>
                    </wps:wsp>
                  </a:graphicData>
                </a:graphic>
              </wp:anchor>
            </w:drawing>
          </mc:Choice>
          <mc:Fallback>
            <w:pict>
              <v:shape id="任意多边形 35" o:spid="_x0000_s1026" o:spt="100" style="position:absolute;left:0pt;margin-left:366.7pt;margin-top:130.55pt;height:146.95pt;width:79.35pt;z-index:251659264;mso-width-relative:page;mso-height-relative:page;" fillcolor="#FFC000" filled="t" stroked="t" coordsize="1587,2939" o:gfxdata="UEsDBAoAAAAAAIdO4kAAAAAAAAAAAAAAAAAEAAAAZHJzL1BLAwQUAAAACACHTuJAqssFbdcAAAAL&#10;AQAADwAAAGRycy9kb3ducmV2LnhtbE2Py07DMBBF90j8gzVIbBC1kzRtCXG6KPQDKLCfxtPEwo/I&#10;dtry95gV7GY0R3fObbdXa9iZQtTeSSgWAhi53ivtBgkf7/vHDbCY0Ck03pGEb4qw7W5vWmyUv7g3&#10;Oh/SwHKIiw1KGFOaGs5jP5LFuPATuXw7+WAx5TUMXAW85HBreCnEilvULn8YcaLdSP3XYbYS9hPN&#10;hsKDWdYvr2lIqKvdp5by/q4Qz8ASXdMfDL/6WR267HT0s1ORGQnrqlpmVEK5Kgpgmdg8lXk4Sqjr&#10;WgDvWv6/Q/cDUEsDBBQAAAAIAIdO4kAb9jbFVwMAAIYKAAAOAAAAZHJzL2Uyb0RvYy54bWytVs1u&#10;1DAQviPxDlHudG3nd1fd9tClXBBUankAb+JsIiVxZLu72zt37hwRL4EqeBqKeAzGdrz9QTg9cEmc&#10;+PM3882MPT4+3XdtsGVCNrxfhvgIhQHrC142/WYZfrg6f5WHgVS0L2nLe7YMb5gMT09evjjeDQtG&#10;eM3bkokASHq52A3LsFZqWMxmsqhZR+URH1gPkxUXHVXwKTazUtAdsHftjCCUznZclIPgBZMS/q7s&#10;ZDgyiucQ8qpqCrbixXXHemVZBWupAkmybgYZnhhvq4oV6n1VSaaCdhmCUmWeYATGa/2cnRzTxUbQ&#10;oW6K0QX6HBeeaOpo04PRA9WKKhpci+Yvqq4pBJe8UkcF72ZWiIkIqMDoSWwuazowowVCLYdD0OX/&#10;oy3ebS9E0JRQCSiOwqCnHeT85+3tr4+f7r5+/v3j2933L0GU6EDtBrkA/OVwIcYvCUOtel+JTr9B&#10;T7A3wb05BJftVVDAT4xQlsVJGBQwh/M0Jalhnd0vL66lesO4oaLbt1LZ7JRuRGs3Kva9GwrIsc5u&#10;a7KrwgCyK0x21za7A1V6nfZPD4MdmE/yLAzqZUjm0dzkreNbdsUNRmkJEA3YB04F+HgPaPuHwDyP&#10;DS41tQRAN+3eg+FzMJxk2qt/4jDCxPCRKPcDcQI1DA5mOJ0AItCqgfMp02BSA3PIks/HHEMWATeP&#10;/JZTXVCAw1H+TGCCYq/lA2Ma+YFJYqXgSeAYHJxjP2OKbLjhCPMDE2JVE5RHXjHJGEYCRegFxmNe&#10;SESwFxhBEeqAkygifqATE2E/I4ltdZNoom6JExMjv2lMRh/jCR8zm0GSTYge6fRG9hUtJi442aSH&#10;zjSGAvZzYlcUE2IwJmMgEZSHlxPNLSfO5xORdJw4n/LzgEwnSg3jeLSezP2HACZjlHBCJpBxjO05&#10;gJH/HMAOmeOJwy9BljKeBGajnnSiPExHgL0zhXvaF9wxX7RcMptY3WXMEX/oPHDcP+xtkrdNed60&#10;re43UmzWZ60IthSa2Pn5GYK9aXkewdreNC6S6a1bULh4VXDhgWE3QPOW/ca0sUdLHjG/XmWryG32&#10;R7BBSLWisrYemCntALS8RjHhahUE6f5vO74erXl5Yy4C5j9cT4zk8Sql7z8Pv83q++vjyR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HBQAAW0Nv&#10;bnRlbnRfVHlwZXNdLnhtbFBLAQIUAAoAAAAAAIdO4kAAAAAAAAAAAAAAAAAGAAAAAAAAAAAAEAAA&#10;AKkEAABfcmVscy9QSwECFAAUAAAACACHTuJAihRmPNEAAACUAQAACwAAAAAAAAABACAAAADNBAAA&#10;X3JlbHMvLnJlbHNQSwECFAAKAAAAAACHTuJAAAAAAAAAAAAAAAAABAAAAAAAAAAAABAAAAAAAAAA&#10;ZHJzL1BLAQIUABQAAAAIAIdO4kCqywVt1wAAAAsBAAAPAAAAAAAAAAEAIAAAACIAAABkcnMvZG93&#10;bnJldi54bWxQSwECFAAUAAAACACHTuJAG/Y2xVcDAACGCgAADgAAAAAAAAABACAAAAAmAQAAZHJz&#10;L2Uyb0RvYy54bWxQSwUGAAAAAAYABgBZAQAA7wYAAAAA&#10;" path="m1048,0l884,60,884,157,1012,238,1150,716,1107,797,1038,845,815,936,643,1386,643,1504,643,1634,558,1634,507,1814,600,2004,523,2083,515,2293,438,2321,360,2332,300,2311,244,2357,215,2402,120,2432,78,2721,0,2939,1260,2702,1278,2143,1210,2032,1124,2023,1090,1892,1124,1843,1124,1693,1140,1595,1278,1525,1441,1106,1441,818,1501,418,1570,169,1587,69,1048,0xe">
                <v:fill on="t" focussize="0,0"/>
                <v:stroke weight="1pt" color="#ED7D31" joinstyle="miter"/>
                <v:imagedata o:title=""/>
                <o:lock v:ext="edit" aspectratio="f"/>
              </v:shape>
            </w:pict>
          </mc:Fallback>
        </mc:AlternateContent>
      </w:r>
      <w:r>
        <w:rPr>
          <w:color w:val="auto"/>
          <w:sz w:val="24"/>
          <w:highlight w:val="none"/>
        </w:rPr>
        <mc:AlternateContent>
          <mc:Choice Requires="wps">
            <w:drawing>
              <wp:anchor distT="0" distB="0" distL="0" distR="0" simplePos="0" relativeHeight="251659264" behindDoc="0" locked="0" layoutInCell="1" allowOverlap="1">
                <wp:simplePos x="0" y="0"/>
                <wp:positionH relativeFrom="column">
                  <wp:posOffset>4308475</wp:posOffset>
                </wp:positionH>
                <wp:positionV relativeFrom="paragraph">
                  <wp:posOffset>3692525</wp:posOffset>
                </wp:positionV>
                <wp:extent cx="1123315" cy="1927860"/>
                <wp:effectExtent l="6985" t="8255" r="12700" b="6985"/>
                <wp:wrapNone/>
                <wp:docPr id="1044" name="任意多边形 37"/>
                <wp:cNvGraphicFramePr/>
                <a:graphic xmlns:a="http://schemas.openxmlformats.org/drawingml/2006/main">
                  <a:graphicData uri="http://schemas.microsoft.com/office/word/2010/wordprocessingShape">
                    <wps:wsp>
                      <wps:cNvSpPr/>
                      <wps:spPr>
                        <a:xfrm>
                          <a:off x="0" y="0"/>
                          <a:ext cx="1123315" cy="1927859"/>
                        </a:xfrm>
                        <a:custGeom>
                          <a:avLst/>
                          <a:gdLst/>
                          <a:ahLst/>
                          <a:cxnLst/>
                          <a:rect l="l" t="t" r="r" b="b"/>
                          <a:pathLst>
                            <a:path w="875030" h="1447800">
                              <a:moveTo>
                                <a:pt x="104140" y="177800"/>
                              </a:moveTo>
                              <a:lnTo>
                                <a:pt x="172085" y="150495"/>
                              </a:lnTo>
                              <a:lnTo>
                                <a:pt x="254000" y="95250"/>
                              </a:lnTo>
                              <a:lnTo>
                                <a:pt x="743585" y="0"/>
                              </a:lnTo>
                              <a:lnTo>
                                <a:pt x="716280" y="217805"/>
                              </a:lnTo>
                              <a:lnTo>
                                <a:pt x="720725" y="290830"/>
                              </a:lnTo>
                              <a:lnTo>
                                <a:pt x="766445" y="436245"/>
                              </a:lnTo>
                              <a:lnTo>
                                <a:pt x="875030" y="844550"/>
                              </a:lnTo>
                              <a:lnTo>
                                <a:pt x="770890" y="852805"/>
                              </a:lnTo>
                              <a:lnTo>
                                <a:pt x="825500" y="1035050"/>
                              </a:lnTo>
                              <a:lnTo>
                                <a:pt x="861695" y="1025525"/>
                              </a:lnTo>
                              <a:lnTo>
                                <a:pt x="825500" y="1098550"/>
                              </a:lnTo>
                              <a:lnTo>
                                <a:pt x="825500" y="1170305"/>
                              </a:lnTo>
                              <a:lnTo>
                                <a:pt x="875030" y="1392555"/>
                              </a:lnTo>
                              <a:lnTo>
                                <a:pt x="607695" y="1424305"/>
                              </a:lnTo>
                              <a:lnTo>
                                <a:pt x="607695" y="1352550"/>
                              </a:lnTo>
                              <a:lnTo>
                                <a:pt x="544195" y="1338580"/>
                              </a:lnTo>
                              <a:lnTo>
                                <a:pt x="521335" y="1365250"/>
                              </a:lnTo>
                              <a:lnTo>
                                <a:pt x="508000" y="1416050"/>
                              </a:lnTo>
                              <a:lnTo>
                                <a:pt x="534670" y="1447800"/>
                              </a:lnTo>
                              <a:lnTo>
                                <a:pt x="448945" y="1443355"/>
                              </a:lnTo>
                              <a:lnTo>
                                <a:pt x="421640" y="1306830"/>
                              </a:lnTo>
                              <a:lnTo>
                                <a:pt x="385445" y="1270000"/>
                              </a:lnTo>
                              <a:lnTo>
                                <a:pt x="276225" y="1360805"/>
                              </a:lnTo>
                              <a:lnTo>
                                <a:pt x="271780" y="1379855"/>
                              </a:lnTo>
                              <a:lnTo>
                                <a:pt x="194945" y="1352550"/>
                              </a:lnTo>
                              <a:lnTo>
                                <a:pt x="176530" y="1257300"/>
                              </a:lnTo>
                              <a:lnTo>
                                <a:pt x="163195" y="1170305"/>
                              </a:lnTo>
                              <a:lnTo>
                                <a:pt x="226695" y="889000"/>
                              </a:lnTo>
                              <a:lnTo>
                                <a:pt x="49530" y="630555"/>
                              </a:lnTo>
                              <a:lnTo>
                                <a:pt x="40640" y="517525"/>
                              </a:lnTo>
                              <a:lnTo>
                                <a:pt x="0" y="408305"/>
                              </a:lnTo>
                              <a:lnTo>
                                <a:pt x="53975" y="327025"/>
                              </a:lnTo>
                              <a:lnTo>
                                <a:pt x="58420" y="209550"/>
                              </a:lnTo>
                              <a:lnTo>
                                <a:pt x="104140" y="177800"/>
                              </a:lnTo>
                              <a:close/>
                            </a:path>
                          </a:pathLst>
                        </a:custGeom>
                        <a:solidFill>
                          <a:srgbClr val="FFC000"/>
                        </a:solidFill>
                        <a:ln w="12700" cap="flat" cmpd="sng">
                          <a:solidFill>
                            <a:srgbClr val="ED7D31"/>
                          </a:solidFill>
                          <a:prstDash val="solid"/>
                          <a:miter/>
                        </a:ln>
                      </wps:spPr>
                      <wps:bodyPr/>
                    </wps:wsp>
                  </a:graphicData>
                </a:graphic>
              </wp:anchor>
            </w:drawing>
          </mc:Choice>
          <mc:Fallback>
            <w:pict>
              <v:shape id="任意多边形 37" o:spid="_x0000_s1026" o:spt="100" style="position:absolute;left:0pt;margin-left:339.25pt;margin-top:290.75pt;height:151.8pt;width:88.45pt;z-index:251659264;mso-width-relative:page;mso-height-relative:page;" fillcolor="#FFC000" filled="t" stroked="t" coordsize="875030,1447800" o:gfxdata="UEsDBAoAAAAAAIdO4kAAAAAAAAAAAAAAAAAEAAAAZHJzL1BLAwQUAAAACACHTuJAsgEgx9oAAAAL&#10;AQAADwAAAGRycy9kb3ducmV2LnhtbE2PQU7DMBBF90jcwRokdtROhVsrxKkQErBAFNpyADeeJlFj&#10;O4rdJr09w4ru/mie/rwpVpPr2BmH2AavIZsJYOirYFtfa/jZvT4oYDEZb00XPGq4YIRVeXtTmNyG&#10;0W/wvE01oxIfc6OhSanPOY9Vg87EWejR0+4QBmcSjUPN7WBGKncdnwux4M60ni40pseXBqvj9uQ0&#10;jM9rPn/bTeLz6+P9+xLHzVosJ63v7zLxBCzhlP5h+NMndSjJaR9O3kbWaVgslSRUg1QZBSKUlI/A&#10;9hSUzICXBb/+ofwFUEsDBBQAAAAIAIdO4kDtQVd2owMAAJwKAAAOAAAAZHJzL2Uyb0RvYy54bWyt&#10;VkuO4zYQ3QfIHQTt0+afktHuWYzT2QTJADM5AFumbAGSKJBsu3ufffZZBrlEMEhOkwlyjBRJyW1P&#10;EKkX2ViUVXx6r+qVirdvnro2O2rrGtNvcnyD8kz3ldk1/X6T//Dh/qsiz5xX/U61pteb/Fm7/M3d&#10;l1/cnoa1JuZg2p22GYD0bn0aNvnB+2G9WrnqoDvlbsyge3hYG9spD7d2v9pZdQL0rl0RhMTqZOxu&#10;sKbSzsG/2/QwHxHtawBNXTeV3prqsdO9T6hWt8qDJHdoBpffRbZ1rSv/fV077bN2k4NSH3/hJbB+&#10;CL+ru1u13ls1HJpqpKBeQ+EzTZ1qenjpGWqrvMoebfMvqK6prHGm9jeV6VZJSMwIqMDos9y8P6hB&#10;Ry2Qajeck+7+P9jqu+M7mzU7cAJiLM961UHN//z48a8ff/r0689///Hbp99/yagMiToNbg3x74d3&#10;drxzsAyqn2rbhSvoyZ5icp/PydVPPqvgT4wJpZjnWQXPcElkwcuAunrZXj06/402EUodv3U+VWc3&#10;rdRhWlVP/bS0UONQ3TZW1+cZVNfG6j6k6g7Kh32BX1hmp01eSI4oWOAATBiTBUKxeJ056g8mBvqg&#10;A1KCGYQFwjJGJb4vcW1/FS8JKkBhiOeIlXzUN0VN1yGiE84QvDhEl5zw6EVIxhQ0XVOwZJSP0AuB&#10;WJAioRIMnOc5AGFJEmNSogJykhROL5+uIwkhGEvRjAoCy7noKcmgr4BtSwIlKsrEu+CgYAGbAN5Y&#10;GUQ5WgAvBBZQjVgYBFtB8izzS/SyWKJeXIRjCcZaQB/NF1xCS9g7Hy6QPHNnhC2hX4ZTELqQGc4Y&#10;njJDacHBOnOZ4QRTOiaSikXXcgStNZaJYbFUJk6ZkFN4ass5MowV5WhH6GLgNZ9IRrCYupkisWR2&#10;SMZkdkwkyJjPDJGCjJ2EqQDd82SIDM2ZHEll8Nhs3nHJzlJfUVUsBQ/ft2AxwiVd4I4FPZvgFQYm&#10;REyOLKBnF8DhMzhSEeDdBZ0MTSXiWC61aRLIwmdrPnucljKZlkIlF5qfF4wkZILKpfb5rwkxfTer&#10;1jidPBxmT5x253kEH/vLiedM2+zum7YNA8jZ/cPb1mZHBaPt/v7tS5avwto+jLPoTxisCo5jNRyD&#10;YNkNMNJdv49z7WrLFfLXW7mleLTeVdhgnd8qd0gM4qMQptZd47Wd2hIEhVNBOgeE1YPZPcfjQfwf&#10;Di1R8njACqeiy/u4++VQefc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gYAAFtDb250ZW50X1R5cGVzXS54bWxQSwECFAAKAAAAAACHTuJAAAAA&#10;AAAAAAAAAAAABgAAAAAAAAAAABAAAAD4BAAAX3JlbHMvUEsBAhQAFAAAAAgAh07iQIoUZjzRAAAA&#10;lAEAAAsAAAAAAAAAAQAgAAAAHAUAAF9yZWxzLy5yZWxzUEsBAhQACgAAAAAAh07iQAAAAAAAAAAA&#10;AAAAAAQAAAAAAAAAAAAQAAAAAAAAAGRycy9QSwECFAAUAAAACACHTuJAsgEgx9oAAAALAQAADwAA&#10;AAAAAAABACAAAAAiAAAAZHJzL2Rvd25yZXYueG1sUEsBAhQAFAAAAAgAh07iQO1BV3ajAwAAnAoA&#10;AA4AAAAAAAAAAQAgAAAAKQEAAGRycy9lMm9Eb2MueG1sUEsFBgAAAAAGAAYAWQEAAD4HAAAAAA==&#10;" path="m104140,177800l172085,150495,254000,95250,743585,0,716280,217805,720725,290830,766445,436245,875030,844550,770890,852805,825500,1035050,861695,1025525,825500,1098550,825500,1170305,875030,1392555,607695,1424305,607695,1352550,544195,1338580,521335,1365250,508000,1416050,534670,1447800,448945,1443355,421640,1306830,385445,1270000,276225,1360805,271780,1379855,194945,1352550,176530,1257300,163195,1170305,226695,889000,49530,630555,40640,517525,0,408305,53975,327025,58420,209550,104140,177800xe">
                <v:fill on="t" focussize="0,0"/>
                <v:stroke weight="1pt" color="#ED7D31" joinstyle="miter"/>
                <v:imagedata o:title=""/>
                <o:lock v:ext="edit" aspectratio="f"/>
              </v:shape>
            </w:pict>
          </mc:Fallback>
        </mc:AlternateContent>
      </w:r>
      <w:r>
        <w:rPr>
          <w:color w:val="auto"/>
          <w:sz w:val="24"/>
          <w:highlight w:val="none"/>
        </w:rPr>
        <mc:AlternateContent>
          <mc:Choice Requires="wps">
            <w:drawing>
              <wp:anchor distT="0" distB="0" distL="0" distR="0" simplePos="0" relativeHeight="251659264" behindDoc="0" locked="0" layoutInCell="1" allowOverlap="1">
                <wp:simplePos x="0" y="0"/>
                <wp:positionH relativeFrom="column">
                  <wp:posOffset>4254500</wp:posOffset>
                </wp:positionH>
                <wp:positionV relativeFrom="paragraph">
                  <wp:posOffset>1334135</wp:posOffset>
                </wp:positionV>
                <wp:extent cx="1113155" cy="4241800"/>
                <wp:effectExtent l="6985" t="635" r="22860" b="5715"/>
                <wp:wrapNone/>
                <wp:docPr id="1045" name="任意多边形 13"/>
                <wp:cNvGraphicFramePr/>
                <a:graphic xmlns:a="http://schemas.openxmlformats.org/drawingml/2006/main">
                  <a:graphicData uri="http://schemas.microsoft.com/office/word/2010/wordprocessingShape">
                    <wps:wsp>
                      <wps:cNvSpPr/>
                      <wps:spPr>
                        <a:xfrm>
                          <a:off x="0" y="0"/>
                          <a:ext cx="1113154" cy="4241800"/>
                        </a:xfrm>
                        <a:custGeom>
                          <a:avLst/>
                          <a:gdLst/>
                          <a:ahLst/>
                          <a:cxnLst/>
                          <a:rect l="l" t="t" r="r" b="b"/>
                          <a:pathLst>
                            <a:path w="1753" h="6680">
                              <a:moveTo>
                                <a:pt x="1753" y="0"/>
                              </a:moveTo>
                              <a:lnTo>
                                <a:pt x="1730" y="358"/>
                              </a:lnTo>
                              <a:lnTo>
                                <a:pt x="1650" y="485"/>
                              </a:lnTo>
                              <a:lnTo>
                                <a:pt x="1500" y="530"/>
                              </a:lnTo>
                              <a:lnTo>
                                <a:pt x="1419" y="623"/>
                              </a:lnTo>
                              <a:lnTo>
                                <a:pt x="1534" y="750"/>
                              </a:lnTo>
                              <a:lnTo>
                                <a:pt x="1638" y="1073"/>
                              </a:lnTo>
                              <a:lnTo>
                                <a:pt x="1673" y="1235"/>
                              </a:lnTo>
                              <a:lnTo>
                                <a:pt x="1534" y="1338"/>
                              </a:lnTo>
                              <a:lnTo>
                                <a:pt x="1350" y="1500"/>
                              </a:lnTo>
                              <a:lnTo>
                                <a:pt x="1234" y="1685"/>
                              </a:lnTo>
                              <a:lnTo>
                                <a:pt x="1223" y="1858"/>
                              </a:lnTo>
                              <a:lnTo>
                                <a:pt x="1176" y="1985"/>
                              </a:lnTo>
                              <a:lnTo>
                                <a:pt x="1061" y="2065"/>
                              </a:lnTo>
                              <a:lnTo>
                                <a:pt x="980" y="2145"/>
                              </a:lnTo>
                              <a:lnTo>
                                <a:pt x="946" y="2400"/>
                              </a:lnTo>
                              <a:lnTo>
                                <a:pt x="980" y="2562"/>
                              </a:lnTo>
                              <a:lnTo>
                                <a:pt x="934" y="2630"/>
                              </a:lnTo>
                              <a:lnTo>
                                <a:pt x="980" y="2803"/>
                              </a:lnTo>
                              <a:lnTo>
                                <a:pt x="853" y="2827"/>
                              </a:lnTo>
                              <a:lnTo>
                                <a:pt x="792" y="2859"/>
                              </a:lnTo>
                              <a:lnTo>
                                <a:pt x="728" y="2952"/>
                              </a:lnTo>
                              <a:lnTo>
                                <a:pt x="611" y="2827"/>
                              </a:lnTo>
                              <a:lnTo>
                                <a:pt x="507" y="2977"/>
                              </a:lnTo>
                              <a:lnTo>
                                <a:pt x="403" y="3115"/>
                              </a:lnTo>
                              <a:lnTo>
                                <a:pt x="346" y="3335"/>
                              </a:lnTo>
                              <a:lnTo>
                                <a:pt x="311" y="3530"/>
                              </a:lnTo>
                              <a:lnTo>
                                <a:pt x="357" y="3668"/>
                              </a:lnTo>
                              <a:lnTo>
                                <a:pt x="426" y="3818"/>
                              </a:lnTo>
                              <a:lnTo>
                                <a:pt x="519" y="3923"/>
                              </a:lnTo>
                              <a:lnTo>
                                <a:pt x="403" y="3935"/>
                              </a:lnTo>
                              <a:lnTo>
                                <a:pt x="219" y="4062"/>
                              </a:lnTo>
                              <a:lnTo>
                                <a:pt x="138" y="4315"/>
                              </a:lnTo>
                              <a:lnTo>
                                <a:pt x="0" y="4603"/>
                              </a:lnTo>
                              <a:lnTo>
                                <a:pt x="80" y="4753"/>
                              </a:lnTo>
                              <a:lnTo>
                                <a:pt x="57" y="4973"/>
                              </a:lnTo>
                              <a:lnTo>
                                <a:pt x="103" y="5112"/>
                              </a:lnTo>
                              <a:lnTo>
                                <a:pt x="334" y="5295"/>
                              </a:lnTo>
                              <a:lnTo>
                                <a:pt x="415" y="5642"/>
                              </a:lnTo>
                              <a:lnTo>
                                <a:pt x="415" y="5850"/>
                              </a:lnTo>
                              <a:lnTo>
                                <a:pt x="346" y="6058"/>
                              </a:lnTo>
                              <a:lnTo>
                                <a:pt x="346" y="6380"/>
                              </a:lnTo>
                              <a:lnTo>
                                <a:pt x="519" y="6680"/>
                              </a:lnTo>
                            </a:path>
                          </a:pathLst>
                        </a:custGeom>
                        <a:ln w="12700" cap="flat" cmpd="sng">
                          <a:solidFill>
                            <a:srgbClr val="00B050"/>
                          </a:solidFill>
                          <a:prstDash val="solid"/>
                          <a:miter/>
                        </a:ln>
                      </wps:spPr>
                      <wps:bodyPr/>
                    </wps:wsp>
                  </a:graphicData>
                </a:graphic>
              </wp:anchor>
            </w:drawing>
          </mc:Choice>
          <mc:Fallback>
            <w:pict>
              <v:shape id="任意多边形 13" o:spid="_x0000_s1026" o:spt="100" style="position:absolute;left:0pt;margin-left:335pt;margin-top:105.05pt;height:334pt;width:87.65pt;z-index:251659264;mso-width-relative:page;mso-height-relative:page;" filled="f" stroked="t" coordsize="1753,6680" o:gfxdata="UEsDBAoAAAAAAIdO4kAAAAAAAAAAAAAAAAAEAAAAZHJzL1BLAwQUAAAACACHTuJAlNgH0toAAAAL&#10;AQAADwAAAGRycy9kb3ducmV2LnhtbE2PQUvEMBCF74L/IYzgRdwkq25LbbqIIPYkugpes83YVptJ&#10;abLb+u8dT3p7w3u8+V65XfwgjjjFPpABvVIgkJrgemoNvL0+XOYgYrLk7BAIDXxjhG11elLawoWZ&#10;XvC4S63gEoqFNdClNBZSxqZDb+MqjEjsfYTJ28Tn1Eo32ZnL/SDXSm2ktz3xh86OeN9h87U7eAON&#10;fH5U2edSvz/duc7Luc4u+tqY8zOtbkEkXNJfGH7xGR0qZtqHA7koBgObTPGWZGCtlQbBifz65grE&#10;nkWWa5BVKf9vqH4AUEsDBBQAAAAIAIdO4kC/HXV1bgMAAPAKAAAOAAAAZHJzL2Uyb0RvYy54bWyt&#10;VkuO3DYQ3QfwHQTtPS2Soj6N6TGQDJxNkBiwfQCORLUESKJAcrp79tlnn2WQSwSGfRo7yDFc/Egz&#10;dhDSi2y6KenpVb2qUlVdv7hMY3LiUg1iPqToKksTPjeiHebjIX375uXzKk2UZnPLRjHzQ/rAVfri&#10;5tl31+dlz7HoxdhymQDJrPbn5ZD2Wi/73U41PZ+YuhILn+FhJ+TENFzK466V7Azs07jDWVbszkK2&#10;ixQNVwru3rqHqWeU30Ioum5o+K1o7ic+a8cq+cg0SFL9sKj0xnrbdbzRv3Sd4joZDyko1fYXjMD5&#10;zvzubq7Z/ijZ0g+Nd4F9iwtfaZrYMIPRjeqWaZbcy+FfVNPQSKFEp68aMe2cEBsRUIGyr2LzumcL&#10;t1og1GrZgq7+P9rm59MrmQwtVEKW0zSZ2QQ5//ju3d+//vbpz9//+fDXp/d/JIiYQJ0XtQf86+WV&#10;9FcKjkb1pZOT+Qc9ycUG92ELLr/opIGbCCGCaJ4mDTzLcY6qzIZ/9/h6c6/0j1xYKnb6SWmXnXY9&#10;sX49NZd5PUrIscnuaLOr0wSyK21271x2F6bNe8Y/c0zO4EtJSZr0h7QoqszmbRIn/kZYjDYSHGJV&#10;AT4+Asb5SyCBWgIgoZWxB9AVsP4vjrGgDphXNAykEBjDSIE5yJij2gILbPPz36YpgbgDYwkuBBkL&#10;Al8/AFFWRigLAFgkJjE53jgiQB60TnyEkIlAEIlXziIWTAyxsX5WsfygsnDIOsaZFcgicVaEtddQ&#10;XcY4RvBthQTVubON84jyjZEWOMzoI4SLSBVtjFUWTnllvhkjpsJl0HRZYw+kdRiIXbXhmobFFMgH&#10;PGaaZqUzXZdhH3MQa8QQhMKZIT4zhETqHJgcY+yzJdT5SKD5BMOTY1cUpEJhIPV9gNSRRrCpriNi&#10;sGfMs0iZId8wcujtQTG+9xWxIvM406BDH4yPYV7H+pTPM0UoXGLEfy8UijFoOQehpnJokYcZN2AV&#10;6bpriRVZpEVtQAJ9JRiddTCY8fYUCCPCzEA7pra5CDefTt5xtiMSl2YMNQxWvA5WKzhOC6wJaj7a&#10;ganEOLQvh3E0M1PJ490Po0xOzKxZ2ffZpvgL2CKVvmWqdzj7yHgHw3XQXK5+gnNm03C7hTndifbB&#10;rhz2PixC1n2/tJlN6+m1fftxUb35D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OEFAABbQ29udGVudF9UeXBlc10ueG1sUEsBAhQACgAAAAAAh07i&#10;QAAAAAAAAAAAAAAAAAYAAAAAAAAAAAAQAAAAwwQAAF9yZWxzL1BLAQIUABQAAAAIAIdO4kCKFGY8&#10;0QAAAJQBAAALAAAAAAAAAAEAIAAAAOcEAABfcmVscy8ucmVsc1BLAQIUAAoAAAAAAIdO4kAAAAAA&#10;AAAAAAAAAAAEAAAAAAAAAAAAEAAAAAAAAABkcnMvUEsBAhQAFAAAAAgAh07iQJTYB9LaAAAACwEA&#10;AA8AAAAAAAAAAQAgAAAAIgAAAGRycy9kb3ducmV2LnhtbFBLAQIUABQAAAAIAIdO4kC/HXV1bgMA&#10;APAKAAAOAAAAAAAAAAEAIAAAACkBAABkcnMvZTJvRG9jLnhtbFBLBQYAAAAABgAGAFkBAAAJBwAA&#10;AAA=&#10;" path="m1753,0l1730,358,1650,485,1500,530,1419,623,1534,750,1638,1073,1673,1235,1534,1338,1350,1500,1234,1685,1223,1858,1176,1985,1061,2065,980,2145,946,2400,980,2562,934,2630,980,2803,853,2827,792,2859,728,2952,611,2827,507,2977,403,3115,346,3335,311,3530,357,3668,426,3818,519,3923,403,3935,219,4062,138,4315,0,4603,80,4753,57,4973,103,5112,334,5295,415,5642,415,5850,346,6058,346,6380,519,6680e">
                <v:fill on="f" focussize="0,0"/>
                <v:stroke weight="1pt" color="#00B050" joinstyle="miter"/>
                <v:imagedata o:title=""/>
                <o:lock v:ext="edit" aspectratio="f"/>
              </v:shape>
            </w:pict>
          </mc:Fallback>
        </mc:AlternateContent>
      </w:r>
      <w:r>
        <w:rPr>
          <w:color w:val="auto"/>
          <w:highlight w:val="none"/>
        </w:rPr>
        <mc:AlternateContent>
          <mc:Choice Requires="wps">
            <w:drawing>
              <wp:anchor distT="0" distB="0" distL="0" distR="0" simplePos="0" relativeHeight="251659264" behindDoc="0" locked="0" layoutInCell="1" allowOverlap="1">
                <wp:simplePos x="0" y="0"/>
                <wp:positionH relativeFrom="column">
                  <wp:posOffset>285115</wp:posOffset>
                </wp:positionH>
                <wp:positionV relativeFrom="paragraph">
                  <wp:posOffset>3002280</wp:posOffset>
                </wp:positionV>
                <wp:extent cx="869315" cy="427355"/>
                <wp:effectExtent l="0" t="0" r="0" b="0"/>
                <wp:wrapNone/>
                <wp:docPr id="1046" name="文本框 59"/>
                <wp:cNvGraphicFramePr/>
                <a:graphic xmlns:a="http://schemas.openxmlformats.org/drawingml/2006/main">
                  <a:graphicData uri="http://schemas.microsoft.com/office/word/2010/wordprocessingShape">
                    <wps:wsp>
                      <wps:cNvSpPr/>
                      <wps:spPr>
                        <a:xfrm>
                          <a:off x="0" y="0"/>
                          <a:ext cx="869314" cy="427354"/>
                        </a:xfrm>
                        <a:prstGeom prst="rect">
                          <a:avLst/>
                        </a:prstGeom>
                        <a:ln>
                          <a:noFill/>
                        </a:ln>
                      </wps:spPr>
                      <wps:txbx>
                        <w:txbxContent>
                          <w:p w14:paraId="6A866B95">
                            <w:pPr>
                              <w:rPr>
                                <w:rFonts w:hint="default" w:eastAsia="宋体"/>
                                <w:highlight w:val="yellow"/>
                                <w:lang w:val="en-US" w:eastAsia="zh-CN"/>
                              </w:rPr>
                            </w:pPr>
                            <w:r>
                              <w:rPr>
                                <w:rFonts w:hint="eastAsia"/>
                                <w:highlight w:val="yellow"/>
                                <w:lang w:val="en-US" w:eastAsia="zh-CN"/>
                              </w:rPr>
                              <w:t>在建厂房</w:t>
                            </w:r>
                          </w:p>
                        </w:txbxContent>
                      </wps:txbx>
                      <wps:bodyPr vert="horz" wrap="square" lIns="91440" tIns="45720" rIns="91440" bIns="45720" anchor="t">
                        <a:noAutofit/>
                      </wps:bodyPr>
                    </wps:wsp>
                  </a:graphicData>
                </a:graphic>
              </wp:anchor>
            </w:drawing>
          </mc:Choice>
          <mc:Fallback>
            <w:pict>
              <v:rect id="文本框 59" o:spid="_x0000_s1026" o:spt="1" style="position:absolute;left:0pt;margin-left:22.45pt;margin-top:236.4pt;height:33.65pt;width:68.45pt;z-index:251659264;mso-width-relative:page;mso-height-relative:page;" filled="f" stroked="f" coordsize="21600,21600" o:gfxdata="UEsDBAoAAAAAAIdO4kAAAAAAAAAAAAAAAAAEAAAAZHJzL1BLAwQUAAAACACHTuJAiZjBrtoAAAAK&#10;AQAADwAAAGRycy9kb3ducmV2LnhtbE2PQU/DMAyF70j8h8hIXBBLOhUYpekOkxATQproYOesMW1F&#10;43RN1o5/j3eCk229p+fv5cuT68SIQ2g9aUhmCgRS5W1LtYaP7fPtAkSIhqzpPKGGHwywLC4vcpNZ&#10;P9E7jmWsBYdQyIyGJsY+kzJUDToTZr5HYu3LD85EPoda2sFMHO46OVfqXjrTEn9oTI+rBqvv8ug0&#10;TNVm3G3fXuTmZrf2dFgfVuXnq9bXV4l6AhHxFP/McMZndCiYae+PZIPoNKTpIzt5Psy5wtmwSHjZ&#10;a7hLVQKyyOX/CsUvUEsDBBQAAAAIAIdO4kCjNAas2wEAAKMDAAAOAAAAZHJzL2Uyb0RvYy54bWyt&#10;U8GO0zAQvSPxD5bvNGk37W6jpiukahESgpUWPsB1nMaS7TG226R8APwBJy7c97v6HYyd0K2Wyx64&#10;uB7P9M17byar214rchDOSzAVnU5ySoThUEuzq+iXz3dvbijxgZmaKTCiokfh6e369atVZ0sxgxZU&#10;LRxBEOPLzla0DcGWWeZ5KzTzE7DCYLIBp1nA0O2y2rEO0bXKZnm+yDpwtXXAhff4uhmSdER0LwGE&#10;ppFcbIDvtTBhQHVCsYCSfCutp+vEtmkED5+axotAVEVRaUgnNsH7Np7ZesXKnWO2lXykwF5C4Zkm&#10;zaTBpmeoDQuM7J38B0pL7sBDEyYcdDYISY6gimn+zJuHllmRtKDV3p5N9/8Pln883Dsia9yEvFhQ&#10;YpjGmZ9+/jj9ejz9/k7my2hRZ32JlQ/23o2Rx2vU2zdOx19UQvpk6/Fsq+gD4fh4s1heTQtKOKaK&#10;2fXVvIiY2dOfrfPhnQBN4qWiDqeWzGSHDz4MpX9LYi9l4mngTio1ZONLFkkOtOIt9Nt+5LqF+ogi&#10;cecRvAX3jZIOJ15R/3XPnKBEvTdo6XJaFHFFUlDMr2cYuMvM9jLDDEeoig5MDbzdB2hkYhvbDz1H&#10;Vji7pHfcs7gcl3Gqevq21n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iZjBrtoAAAAKAQAADwAA&#10;AAAAAAABACAAAAAiAAAAZHJzL2Rvd25yZXYueG1sUEsBAhQAFAAAAAgAh07iQKM0BqzbAQAAowMA&#10;AA4AAAAAAAAAAQAgAAAAKQEAAGRycy9lMm9Eb2MueG1sUEsFBgAAAAAGAAYAWQEAAHYFAAAAAA==&#10;">
                <v:fill on="f" focussize="0,0"/>
                <v:stroke on="f"/>
                <v:imagedata o:title=""/>
                <o:lock v:ext="edit" aspectratio="f"/>
                <v:textbox>
                  <w:txbxContent>
                    <w:p w14:paraId="6A866B95">
                      <w:pPr>
                        <w:rPr>
                          <w:rFonts w:hint="default" w:eastAsia="宋体"/>
                          <w:highlight w:val="yellow"/>
                          <w:lang w:val="en-US" w:eastAsia="zh-CN"/>
                        </w:rPr>
                      </w:pPr>
                      <w:r>
                        <w:rPr>
                          <w:rFonts w:hint="eastAsia"/>
                          <w:highlight w:val="yellow"/>
                          <w:lang w:val="en-US" w:eastAsia="zh-CN"/>
                        </w:rPr>
                        <w:t>在建厂房</w:t>
                      </w:r>
                    </w:p>
                  </w:txbxContent>
                </v:textbox>
              </v:rect>
            </w:pict>
          </mc:Fallback>
        </mc:AlternateContent>
      </w:r>
      <w:r>
        <w:rPr>
          <w:color w:val="auto"/>
          <w:highlight w:val="none"/>
        </w:rPr>
        <mc:AlternateContent>
          <mc:Choice Requires="wps">
            <w:drawing>
              <wp:anchor distT="0" distB="0" distL="0" distR="0" simplePos="0" relativeHeight="251659264" behindDoc="0" locked="0" layoutInCell="1" allowOverlap="1">
                <wp:simplePos x="0" y="0"/>
                <wp:positionH relativeFrom="column">
                  <wp:posOffset>2347595</wp:posOffset>
                </wp:positionH>
                <wp:positionV relativeFrom="paragraph">
                  <wp:posOffset>4471035</wp:posOffset>
                </wp:positionV>
                <wp:extent cx="981075" cy="427355"/>
                <wp:effectExtent l="0" t="0" r="0" b="0"/>
                <wp:wrapNone/>
                <wp:docPr id="1047" name="文本框 113"/>
                <wp:cNvGraphicFramePr/>
                <a:graphic xmlns:a="http://schemas.openxmlformats.org/drawingml/2006/main">
                  <a:graphicData uri="http://schemas.microsoft.com/office/word/2010/wordprocessingShape">
                    <wps:wsp>
                      <wps:cNvSpPr/>
                      <wps:spPr>
                        <a:xfrm>
                          <a:off x="0" y="0"/>
                          <a:ext cx="981074" cy="427354"/>
                        </a:xfrm>
                        <a:prstGeom prst="rect">
                          <a:avLst/>
                        </a:prstGeom>
                        <a:ln>
                          <a:noFill/>
                        </a:ln>
                      </wps:spPr>
                      <wps:txbx>
                        <w:txbxContent>
                          <w:p w14:paraId="306DF4B1">
                            <w:pPr>
                              <w:rPr>
                                <w:rFonts w:hint="eastAsia" w:eastAsia="宋体"/>
                                <w:highlight w:val="yellow"/>
                                <w:lang w:eastAsia="zh-CN"/>
                              </w:rPr>
                            </w:pPr>
                            <w:r>
                              <w:rPr>
                                <w:rFonts w:hint="eastAsia"/>
                                <w:highlight w:val="yellow"/>
                                <w:lang w:val="en-US" w:eastAsia="zh-CN"/>
                              </w:rPr>
                              <w:t>闲置</w:t>
                            </w:r>
                            <w:r>
                              <w:rPr>
                                <w:rFonts w:hint="eastAsia"/>
                                <w:highlight w:val="yellow"/>
                                <w:lang w:eastAsia="zh-CN"/>
                              </w:rPr>
                              <w:t>厂房</w:t>
                            </w:r>
                          </w:p>
                        </w:txbxContent>
                      </wps:txbx>
                      <wps:bodyPr vert="horz" wrap="square" lIns="91440" tIns="45720" rIns="91440" bIns="45720" anchor="t">
                        <a:noAutofit/>
                      </wps:bodyPr>
                    </wps:wsp>
                  </a:graphicData>
                </a:graphic>
              </wp:anchor>
            </w:drawing>
          </mc:Choice>
          <mc:Fallback>
            <w:pict>
              <v:rect id="文本框 113" o:spid="_x0000_s1026" o:spt="1" style="position:absolute;left:0pt;margin-left:184.85pt;margin-top:352.05pt;height:33.65pt;width:77.25pt;z-index:251659264;mso-width-relative:page;mso-height-relative:page;" filled="f" stroked="f" coordsize="21600,21600" o:gfxdata="UEsDBAoAAAAAAIdO4kAAAAAAAAAAAAAAAAAEAAAAZHJzL1BLAwQUAAAACACHTuJAJUULltwAAAAL&#10;AQAADwAAAGRycy9kb3ducmV2LnhtbE2PwU7DMAyG70i8Q2QkLmhLWsoKpekOkxATmjTRjZ2zxrQV&#10;jdM1WTvennCCo+1Pv78/X15Mx0YcXGtJQjQXwJAqq1uqJex3L7NHYM4r0qqzhBK+0cGyuL7KVabt&#10;RO84lr5mIYRcpiQ03vcZ565q0Cg3tz1SuH3awSgfxqHmelBTCDcdj4VYcKNaCh8a1eOqweqrPBsJ&#10;U7UdD7vNK9/eHdaWTuvTqvx4k/L2JhLPwDxe/B8Mv/pBHYrgdLRn0o51Eu4XT2lAJaQiiYAF4iFO&#10;YmDHsEmjBHiR8/8dih9QSwMEFAAAAAgAh07iQAmmHQ7bAQAApAMAAA4AAABkcnMvZTJvRG9jLnht&#10;bK1TS27bMBDdF+gdCO5rSY5SJ4LloICRokDRBkh7AJoiLQLip0PaknuA9gZdddN9z+VzdEgpjpFs&#10;suiG5nDGb957M1reDLojewFeWVPTYpZTIgy3jTLbmn79cvvmihIfmGlYZ42o6UF4erN6/WrZu0rM&#10;bWu7RgBBEOOr3tW0DcFVWeZ5KzTzM+uEwaS0oFnAELZZA6xHdN1l8zx/m/UWGgeWC+/xdT0m6YQI&#10;LwG0Uiou1pbvtDBhRAXRsYCSfKucp6vEVkrBw2cpvQikqykqDenEJnjfxDNbLVm1BeZaxScK7CUU&#10;nmjSTBlseoJas8DIDtQzKK04WG9lmHGrs1FIcgRVFPkTb+5b5kTSglZ7dzLd/z9Y/ml/B0Q1uAl5&#10;uaDEMI0zP/76efz99/jnBymKi+hR73yFpffuDqbI4zUKHiTo+ItSyJB8PZx8FUMgHB+vr4p8UVLC&#10;MVXOFxeXZcTMHv/swIf3wmoSLzUFHFtyk+0/+jCWPpTEXp2Jp7G3quvGbHzJIsmRVryFYTNMXDe2&#10;OaBKXHoEby18p6THkdfUf9sxEJR0Hwx6el2UZdyRFJSXizkGcJ7ZnGeY4QhV05Gpse92wUqV2Mb2&#10;Y8+JFQ4v6Z0WLW7HeZyqHj+u1T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AlRQuW3AAAAAsBAAAP&#10;AAAAAAAAAAEAIAAAACIAAABkcnMvZG93bnJldi54bWxQSwECFAAUAAAACACHTuJACaYdDtsBAACk&#10;AwAADgAAAAAAAAABACAAAAArAQAAZHJzL2Uyb0RvYy54bWxQSwUGAAAAAAYABgBZAQAAeAUAAAAA&#10;">
                <v:fill on="f" focussize="0,0"/>
                <v:stroke on="f"/>
                <v:imagedata o:title=""/>
                <o:lock v:ext="edit" aspectratio="f"/>
                <v:textbox>
                  <w:txbxContent>
                    <w:p w14:paraId="306DF4B1">
                      <w:pPr>
                        <w:rPr>
                          <w:rFonts w:hint="eastAsia" w:eastAsia="宋体"/>
                          <w:highlight w:val="yellow"/>
                          <w:lang w:eastAsia="zh-CN"/>
                        </w:rPr>
                      </w:pPr>
                      <w:r>
                        <w:rPr>
                          <w:rFonts w:hint="eastAsia"/>
                          <w:highlight w:val="yellow"/>
                          <w:lang w:val="en-US" w:eastAsia="zh-CN"/>
                        </w:rPr>
                        <w:t>闲置</w:t>
                      </w:r>
                      <w:r>
                        <w:rPr>
                          <w:rFonts w:hint="eastAsia"/>
                          <w:highlight w:val="yellow"/>
                          <w:lang w:eastAsia="zh-CN"/>
                        </w:rPr>
                        <w:t>厂房</w:t>
                      </w:r>
                    </w:p>
                  </w:txbxContent>
                </v:textbox>
              </v:rect>
            </w:pict>
          </mc:Fallback>
        </mc:AlternateContent>
      </w:r>
      <w:r>
        <w:rPr>
          <w:color w:val="auto"/>
          <w:highlight w:val="none"/>
        </w:rPr>
        <mc:AlternateContent>
          <mc:Choice Requires="wps">
            <w:drawing>
              <wp:anchor distT="0" distB="0" distL="0" distR="0" simplePos="0" relativeHeight="251659264" behindDoc="0" locked="0" layoutInCell="1" allowOverlap="1">
                <wp:simplePos x="0" y="0"/>
                <wp:positionH relativeFrom="column">
                  <wp:posOffset>2632710</wp:posOffset>
                </wp:positionH>
                <wp:positionV relativeFrom="paragraph">
                  <wp:posOffset>1131570</wp:posOffset>
                </wp:positionV>
                <wp:extent cx="1029970" cy="427355"/>
                <wp:effectExtent l="0" t="0" r="0" b="0"/>
                <wp:wrapNone/>
                <wp:docPr id="1048" name="文本框 140"/>
                <wp:cNvGraphicFramePr/>
                <a:graphic xmlns:a="http://schemas.openxmlformats.org/drawingml/2006/main">
                  <a:graphicData uri="http://schemas.microsoft.com/office/word/2010/wordprocessingShape">
                    <wps:wsp>
                      <wps:cNvSpPr/>
                      <wps:spPr>
                        <a:xfrm>
                          <a:off x="0" y="0"/>
                          <a:ext cx="1029970" cy="427355"/>
                        </a:xfrm>
                        <a:prstGeom prst="rect">
                          <a:avLst/>
                        </a:prstGeom>
                        <a:ln>
                          <a:noFill/>
                        </a:ln>
                      </wps:spPr>
                      <wps:txbx>
                        <w:txbxContent>
                          <w:p w14:paraId="65A641AB">
                            <w:pPr>
                              <w:rPr>
                                <w:rFonts w:hint="default" w:eastAsia="宋体"/>
                                <w:highlight w:val="yellow"/>
                                <w:lang w:val="en-US" w:eastAsia="zh-CN"/>
                              </w:rPr>
                            </w:pPr>
                            <w:r>
                              <w:rPr>
                                <w:rFonts w:hint="eastAsia"/>
                                <w:highlight w:val="yellow"/>
                                <w:lang w:val="en-US" w:eastAsia="zh-CN"/>
                              </w:rPr>
                              <w:t>在建厂房</w:t>
                            </w:r>
                          </w:p>
                        </w:txbxContent>
                      </wps:txbx>
                      <wps:bodyPr vert="horz" wrap="square" lIns="91440" tIns="45720" rIns="91440" bIns="45720" anchor="t">
                        <a:noAutofit/>
                      </wps:bodyPr>
                    </wps:wsp>
                  </a:graphicData>
                </a:graphic>
              </wp:anchor>
            </w:drawing>
          </mc:Choice>
          <mc:Fallback>
            <w:pict>
              <v:rect id="文本框 140" o:spid="_x0000_s1026" o:spt="1" style="position:absolute;left:0pt;margin-left:207.3pt;margin-top:89.1pt;height:33.65pt;width:81.1pt;z-index:251659264;mso-width-relative:page;mso-height-relative:page;" filled="f" stroked="f" coordsize="21600,21600" o:gfxdata="UEsDBAoAAAAAAIdO4kAAAAAAAAAAAAAAAAAEAAAAZHJzL1BLAwQUAAAACACHTuJAYFLM1NsAAAAL&#10;AQAADwAAAGRycy9kb3ducmV2LnhtbE2PQU+DQBCF7yb+h82YeDF2gQBtkKWHJsbGmDSl2vMWRiCy&#10;s5TdQv33jic9Tt6XN9/L11fTiwlH11lSEC4CEEiVrTtqFLwfnh9XIJzXVOveEir4Rgfr4vYm11lt&#10;Z9rjVPpGcAm5TCtovR8yKV3VotFuYQckzj7taLTnc2xkPeqZy00voyBIpdEd8YdWD7hpsfoqL0bB&#10;XO2m4+HtRe4ejltL5+15U368KnV/FwZPIDxe/R8Mv/qsDgU7neyFaid6BXEYp4xysFxFIJhIlimP&#10;OSmI4iQBWeTy/4biB1BLAwQUAAAACACHTuJAWV0LrtoBAAClAwAADgAAAGRycy9lMm9Eb2MueG1s&#10;rVNLjhMxEN0jcQfLe9IfOoS00hkhRYOQEIw0zAEct5225B+2k+5wALgBKzbsOVfOQdndk0TDZhZs&#10;HJer8uq9V9Wrm0FJdGDOC6MbXMxyjJimphV61+CHL7ev3mLkA9EtkUazBh+Zxzfrly9Wva1ZaToj&#10;W+YQgGhf97bBXQi2zjJPO6aInxnLNCS5cYoECN0uax3pAV3JrMzzN1lvXGudocx7eN2MSTwhuucA&#10;Gs4FZRtD94rpMKI6JkkASb4T1uN1Yss5o+Ez554FJBsMSkM6oQnct/HM1itS7xyxnaATBfIcCk80&#10;KSI0ND1DbUggaO/EP1BKUGe84WFGjcpGIckRUFHkT7y574hlSQtY7e3ZdP//YOmnw51DooVNyCuY&#10;vCYKZn76+eP068/p93dUVMmj3voaSu/tnQPHYuThGgUP3Kn4C1LQkHw9nn1lQ0AUHou8XC4XYDmF&#10;XFUuXs/n0fjs8m/rfHjPjELx0mAHc0t2ksNHH8bSx5LYTOp4anMrpByz8SW78Iq3MGyHiezWtEeQ&#10;CVsP4J1x3zDqYeYN9l/3xDGM5AcNpi6LCuSikIJqvighcNeZ7XWGaApQDR6ZavNuHwwXiW1sP/ac&#10;WMH0kt5p0+J6XMep6vJ1rf8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YFLM1NsAAAALAQAADwAA&#10;AAAAAAABACAAAAAiAAAAZHJzL2Rvd25yZXYueG1sUEsBAhQAFAAAAAgAh07iQFldC67aAQAApQMA&#10;AA4AAAAAAAAAAQAgAAAAKgEAAGRycy9lMm9Eb2MueG1sUEsFBgAAAAAGAAYAWQEAAHYFAAAAAA==&#10;">
                <v:fill on="f" focussize="0,0"/>
                <v:stroke on="f"/>
                <v:imagedata o:title=""/>
                <o:lock v:ext="edit" aspectratio="f"/>
                <v:textbox>
                  <w:txbxContent>
                    <w:p w14:paraId="65A641AB">
                      <w:pPr>
                        <w:rPr>
                          <w:rFonts w:hint="default" w:eastAsia="宋体"/>
                          <w:highlight w:val="yellow"/>
                          <w:lang w:val="en-US" w:eastAsia="zh-CN"/>
                        </w:rPr>
                      </w:pPr>
                      <w:r>
                        <w:rPr>
                          <w:rFonts w:hint="eastAsia"/>
                          <w:highlight w:val="yellow"/>
                          <w:lang w:val="en-US" w:eastAsia="zh-CN"/>
                        </w:rPr>
                        <w:t>在建厂房</w:t>
                      </w:r>
                    </w:p>
                  </w:txbxContent>
                </v:textbox>
              </v:rect>
            </w:pict>
          </mc:Fallback>
        </mc:AlternateContent>
      </w:r>
      <w:r>
        <w:rPr>
          <w:color w:val="auto"/>
          <w:highlight w:val="none"/>
        </w:rPr>
        <w:drawing>
          <wp:inline distT="0" distB="0" distL="0" distR="0">
            <wp:extent cx="5937885" cy="5647055"/>
            <wp:effectExtent l="0" t="0" r="5715" b="10795"/>
            <wp:docPr id="1049" name="图片 4"/>
            <wp:cNvGraphicFramePr/>
            <a:graphic xmlns:a="http://schemas.openxmlformats.org/drawingml/2006/main">
              <a:graphicData uri="http://schemas.openxmlformats.org/drawingml/2006/picture">
                <pic:pic xmlns:pic="http://schemas.openxmlformats.org/drawingml/2006/picture">
                  <pic:nvPicPr>
                    <pic:cNvPr id="1049" name="图片 4"/>
                    <pic:cNvPicPr/>
                  </pic:nvPicPr>
                  <pic:blipFill>
                    <a:blip r:embed="rId20" cstate="print"/>
                    <a:srcRect/>
                    <a:stretch>
                      <a:fillRect/>
                    </a:stretch>
                  </pic:blipFill>
                  <pic:spPr>
                    <a:xfrm>
                      <a:off x="0" y="0"/>
                      <a:ext cx="5937885" cy="5647055"/>
                    </a:xfrm>
                    <a:prstGeom prst="rect">
                      <a:avLst/>
                    </a:prstGeom>
                    <a:ln>
                      <a:noFill/>
                    </a:ln>
                  </pic:spPr>
                </pic:pic>
              </a:graphicData>
            </a:graphic>
          </wp:inline>
        </w:drawing>
      </w:r>
      <w:r>
        <w:rPr>
          <w:color w:val="auto"/>
          <w:highlight w:val="none"/>
        </w:rPr>
        <w:drawing>
          <wp:anchor distT="0" distB="0" distL="0" distR="0" simplePos="0" relativeHeight="251659264" behindDoc="0" locked="0" layoutInCell="1" allowOverlap="1">
            <wp:simplePos x="0" y="0"/>
            <wp:positionH relativeFrom="column">
              <wp:posOffset>4888865</wp:posOffset>
            </wp:positionH>
            <wp:positionV relativeFrom="paragraph">
              <wp:posOffset>88265</wp:posOffset>
            </wp:positionV>
            <wp:extent cx="972185" cy="1001395"/>
            <wp:effectExtent l="9525" t="9525" r="27940" b="17780"/>
            <wp:wrapNone/>
            <wp:docPr id="1050" name="图片 4"/>
            <wp:cNvGraphicFramePr/>
            <a:graphic xmlns:a="http://schemas.openxmlformats.org/drawingml/2006/main">
              <a:graphicData uri="http://schemas.openxmlformats.org/drawingml/2006/picture">
                <pic:pic xmlns:pic="http://schemas.openxmlformats.org/drawingml/2006/picture">
                  <pic:nvPicPr>
                    <pic:cNvPr id="1050" name="图片 4"/>
                    <pic:cNvPicPr/>
                  </pic:nvPicPr>
                  <pic:blipFill>
                    <a:blip r:embed="rId18" cstate="print"/>
                    <a:srcRect/>
                    <a:stretch>
                      <a:fillRect/>
                    </a:stretch>
                  </pic:blipFill>
                  <pic:spPr>
                    <a:xfrm>
                      <a:off x="0" y="0"/>
                      <a:ext cx="972184" cy="1001395"/>
                    </a:xfrm>
                    <a:prstGeom prst="rect">
                      <a:avLst/>
                    </a:prstGeom>
                    <a:ln w="9525" cap="flat" cmpd="sng">
                      <a:solidFill>
                        <a:srgbClr val="000000"/>
                      </a:solidFill>
                      <a:prstDash val="solid"/>
                      <a:round/>
                    </a:ln>
                  </pic:spPr>
                </pic:pic>
              </a:graphicData>
            </a:graphic>
          </wp:anchor>
        </w:drawing>
      </w:r>
    </w:p>
    <w:p w14:paraId="596C9391">
      <w:pPr>
        <w:pStyle w:val="51"/>
        <w:jc w:val="center"/>
        <w:outlineLvl w:val="0"/>
        <w:rPr>
          <w:rFonts w:ascii="Times New Roman"/>
          <w:color w:val="auto"/>
          <w:sz w:val="24"/>
          <w:szCs w:val="24"/>
          <w:highlight w:val="none"/>
        </w:rPr>
        <w:sectPr>
          <w:pgSz w:w="11906" w:h="16838"/>
          <w:pgMar w:top="1417" w:right="1134" w:bottom="1559" w:left="1417" w:header="851" w:footer="992" w:gutter="0"/>
          <w:pgBorders>
            <w:top w:val="none" w:sz="0" w:space="0"/>
            <w:left w:val="none" w:sz="0" w:space="0"/>
            <w:bottom w:val="none" w:sz="0" w:space="0"/>
            <w:right w:val="none" w:sz="0" w:space="0"/>
          </w:pgBorders>
          <w:pgNumType w:fmt="numberInDash"/>
          <w:cols w:space="0" w:num="1"/>
          <w:rtlGutter w:val="0"/>
          <w:docGrid w:type="lines" w:linePitch="312" w:charSpace="0"/>
        </w:sectPr>
      </w:pPr>
      <w:bookmarkStart w:id="159" w:name="_Toc1702"/>
      <w:r>
        <w:rPr>
          <w:rFonts w:ascii="Times New Roman"/>
          <w:color w:val="auto"/>
          <w:sz w:val="24"/>
          <w:szCs w:val="24"/>
          <w:highlight w:val="none"/>
        </w:rPr>
        <w:t>附图2 项目四至情况</w:t>
      </w:r>
      <w:bookmarkEnd w:id="157"/>
      <w:bookmarkEnd w:id="158"/>
      <w:bookmarkEnd w:id="159"/>
    </w:p>
    <w:p w14:paraId="0D75E564">
      <w:pPr>
        <w:jc w:val="center"/>
        <w:rPr>
          <w:color w:val="auto"/>
          <w:sz w:val="24"/>
          <w:highlight w:val="none"/>
        </w:rPr>
      </w:pPr>
      <w:r>
        <w:rPr>
          <w:color w:val="auto"/>
          <w:sz w:val="24"/>
          <w:highlight w:val="none"/>
        </w:rPr>
        <mc:AlternateContent>
          <mc:Choice Requires="wpg">
            <w:drawing>
              <wp:anchor distT="0" distB="0" distL="0" distR="0" simplePos="0" relativeHeight="251659264" behindDoc="0" locked="0" layoutInCell="1" allowOverlap="1">
                <wp:simplePos x="0" y="0"/>
                <wp:positionH relativeFrom="column">
                  <wp:posOffset>1168400</wp:posOffset>
                </wp:positionH>
                <wp:positionV relativeFrom="paragraph">
                  <wp:posOffset>4599940</wp:posOffset>
                </wp:positionV>
                <wp:extent cx="847090" cy="408940"/>
                <wp:effectExtent l="0" t="0" r="0" b="8255"/>
                <wp:wrapNone/>
                <wp:docPr id="1051" name="组合 39"/>
                <wp:cNvGraphicFramePr/>
                <a:graphic xmlns:a="http://schemas.openxmlformats.org/drawingml/2006/main">
                  <a:graphicData uri="http://schemas.microsoft.com/office/word/2010/wordprocessingGroup">
                    <wpg:wgp>
                      <wpg:cNvGrpSpPr/>
                      <wpg:grpSpPr>
                        <a:xfrm rot="0">
                          <a:off x="0" y="0"/>
                          <a:ext cx="847090" cy="408940"/>
                          <a:chOff x="4486" y="1243155"/>
                          <a:chExt cx="1334" cy="644"/>
                        </a:xfrm>
                      </wpg:grpSpPr>
                      <wps:wsp>
                        <wps:cNvPr id="4" name="椭圆 4"/>
                        <wps:cNvSpPr/>
                        <wps:spPr>
                          <a:xfrm>
                            <a:off x="4696" y="1243545"/>
                            <a:ext cx="210" cy="255"/>
                          </a:xfrm>
                          <a:prstGeom prst="ellipse">
                            <a:avLst/>
                          </a:prstGeom>
                          <a:solidFill>
                            <a:srgbClr val="5B9BD5"/>
                          </a:solidFill>
                          <a:ln w="12700" cap="flat" cmpd="sng">
                            <a:solidFill>
                              <a:srgbClr val="2E75B5"/>
                            </a:solidFill>
                            <a:prstDash val="solid"/>
                            <a:miter/>
                          </a:ln>
                        </wps:spPr>
                        <wps:bodyPr/>
                      </wps:wsp>
                      <wps:wsp>
                        <wps:cNvPr id="5" name="矩形 5"/>
                        <wps:cNvSpPr/>
                        <wps:spPr>
                          <a:xfrm>
                            <a:off x="4486" y="1243155"/>
                            <a:ext cx="1335" cy="495"/>
                          </a:xfrm>
                          <a:prstGeom prst="rect">
                            <a:avLst/>
                          </a:prstGeom>
                          <a:ln>
                            <a:noFill/>
                          </a:ln>
                        </wps:spPr>
                        <wps:txbx>
                          <w:txbxContent>
                            <w:p w14:paraId="0D12AF6B">
                              <w:pPr>
                                <w:rPr>
                                  <w:rFonts w:hint="default" w:eastAsia="宋体"/>
                                  <w:sz w:val="21"/>
                                  <w:szCs w:val="21"/>
                                  <w:lang w:val="en-US" w:eastAsia="zh-CN"/>
                                </w:rPr>
                              </w:pPr>
                              <w:r>
                                <w:rPr>
                                  <w:rFonts w:hint="eastAsia"/>
                                  <w:sz w:val="21"/>
                                  <w:szCs w:val="21"/>
                                  <w:lang w:val="en-US" w:eastAsia="zh-CN"/>
                                </w:rPr>
                                <w:t>DA002</w:t>
                              </w:r>
                            </w:p>
                          </w:txbxContent>
                        </wps:txbx>
                        <wps:bodyPr vert="horz" wrap="square" lIns="91440" tIns="45720" rIns="91440" bIns="45720" anchor="t">
                          <a:noAutofit/>
                        </wps:bodyPr>
                      </wps:wsp>
                    </wpg:wgp>
                  </a:graphicData>
                </a:graphic>
              </wp:anchor>
            </w:drawing>
          </mc:Choice>
          <mc:Fallback>
            <w:pict>
              <v:group id="组合 39" o:spid="_x0000_s1026" o:spt="203" style="position:absolute;left:0pt;margin-left:92pt;margin-top:362.2pt;height:32.2pt;width:66.7pt;z-index:251659264;mso-width-relative:page;mso-height-relative:page;" coordorigin="4486,1243155" coordsize="1334,644" o:gfxdata="UEsDBAoAAAAAAIdO4kAAAAAAAAAAAAAAAAAEAAAAZHJzL1BLAwQUAAAACACHTuJAm4qQL9sAAAAL&#10;AQAADwAAAGRycy9kb3ducmV2LnhtbE2PQU/DMAyF70j8h8hI3FjarbCoNJ3QBJwmpG1IiJvXeG21&#10;JqmarN3+PeYENz/76fl7xepiOzHSEFrvNKSzBAS5ypvW1Ro+928PCkSI6Ax23pGGKwVYlbc3BebG&#10;T25L4y7WgkNcyFFDE2OfSxmqhiyGme/J8e3oB4uR5VBLM+DE4baT8yR5khZbxx8a7GndUHXana2G&#10;9wmnl0X6Om5Ox/X1e//48bVJSev7uzR5BhHpEv/M8IvP6FAy08GfnQmiY60y7hI1LOdZBoIdi3TJ&#10;w4E3SimQZSH/dyh/AFBLAwQUAAAACACHTuJAD4wlKuICAADDBgAADgAAAGRycy9lMm9Eb2MueG1s&#10;vVXNbtQwEL4j8Q6W7zTJbrI/UXcrypYKCUGlwgN4HedHcmxjezdbzghx5AGQkBAXDjwB4nFKX4Ox&#10;k+xuS0EVSFwij8f+Zub7ZpzDo03N0ZppU0kxw9FBiBETVGaVKGb45YvHDyYYGUtERrgUbIYvmMFH&#10;8/v3DhuVsoEsJc+YRgAiTNqoGS6tVWkQGFqympgDqZgAZy51TSyYuggyTRpAr3kwCMNR0EidKS0p&#10;MwZ2F60Td4j6LoAyzyvKFpKuaiZsi6oZJxZKMmWlDJ77bPOcUfs8zw2ziM8wVGr9F4LAeum+wfyQ&#10;pIUmqqxolwK5Swo3aqpJJSDoFmpBLEErXf0CVVdUSyNze0BlHbSFeEagiii8wc2plivlaynSplBb&#10;0kGoG6z/NSx9tj7TqMqgE8IkwkiQGjS/+vbm8v07NJw6fhpVpHDsVKtzdaa7jaK1XMmbXNdIS0+t&#10;s6EotPEMX2wZZhuLKGxO4nE4Be4puOJwMo07BWgJMrlbcTwZYQTeaBAPoyRpBaLlSQcQDYdxe30U&#10;x84ZtAnAwuW5TatR0J1mR5n5N8rOS6KYV8I4LjrKIJOWrx+fv15+eIt8Qi4yHNlyZVIDtPVE7REU&#10;j6a7UpO4K7VnahB1NA1aErZ1klRpY0+ZrJFbzDDjHFreZUdSsn5qbMtKf8ptG8mr7HHFuTd0sXzE&#10;NVoTmInkeHq88KEhwLVjXKDGyTAOXSIEJj2HCYNlraBbjCh8wGtXzD7y4GScHN+K7DJbEFO2GXiE&#10;Vua6ssw1GKTChVe0J8+RupTZhe8/UNqL61rzP6ic9Cpfffxy+f0T8jXdXeVbG7pXORoOAd5Pw7Tn&#10;ys2T06kXsJNZw1v2J40dYyQV0sn8Ww7tZrkB545O9yeAHiqlfo1RA+8gSPtqRTTDiD8RMDXTKIYh&#10;RdYbcTIegKH3Pct9DxEUoGa4zVTIhysr88p35C5mpyyMZze18LZ50bt32D2e+7Y/tfv3zH8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VgUAAFtD&#10;b250ZW50X1R5cGVzXS54bWxQSwECFAAKAAAAAACHTuJAAAAAAAAAAAAAAAAABgAAAAAAAAAAABAA&#10;AAA4BAAAX3JlbHMvUEsBAhQAFAAAAAgAh07iQIoUZjzRAAAAlAEAAAsAAAAAAAAAAQAgAAAAXAQA&#10;AF9yZWxzLy5yZWxzUEsBAhQACgAAAAAAh07iQAAAAAAAAAAAAAAAAAQAAAAAAAAAAAAQAAAAAAAA&#10;AGRycy9QSwECFAAUAAAACACHTuJAm4qQL9sAAAALAQAADwAAAAAAAAABACAAAAAiAAAAZHJzL2Rv&#10;d25yZXYueG1sUEsBAhQAFAAAAAgAh07iQA+MJSriAgAAwwYAAA4AAAAAAAAAAQAgAAAAKgEAAGRy&#10;cy9lMm9Eb2MueG1sUEsFBgAAAAAGAAYAWQEAAH4GAAAAAA==&#10;">
                <o:lock v:ext="edit" aspectratio="f"/>
                <v:shape id="_x0000_s1026" o:spid="_x0000_s1026" o:spt="3" type="#_x0000_t3" style="position:absolute;left:4696;top:1243545;height:255;width:210;" fillcolor="#5B9BD5" filled="t" stroked="t" coordsize="21600,21600" o:gfxdata="UEsDBAoAAAAAAIdO4kAAAAAAAAAAAAAAAAAEAAAAZHJzL1BLAwQUAAAACACHTuJAhzhaVLsAAADa&#10;AAAADwAAAGRycy9kb3ducmV2LnhtbEWPQWsCMRSE7wX/Q3iCt5ooUspqFBGFngpVUY/PzXN3dfOy&#10;JNnV/vtGEHocZuYbZrZ42Fp05EPlWMNoqEAQ585UXGjY7zbvnyBCRDZYOyYNvxRgMe+9zTAz7s4/&#10;1G1jIRKEQ4YayhibTMqQl2QxDF1DnLyL8xZjkr6QxuM9wW0tx0p9SIsVp4USG1qVlN+2rdVwlS3v&#10;2/Xh5NcHdb50y9v37qi0HvRHagoi0iP+h1/tL6NhAs8r6QbI+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zhaVLsAAADa&#10;AAAADwAAAAAAAAABACAAAAAiAAAAZHJzL2Rvd25yZXYueG1sUEsBAhQAFAAAAAgAh07iQDMvBZ47&#10;AAAAOQAAABAAAAAAAAAAAQAgAAAACgEAAGRycy9zaGFwZXhtbC54bWxQSwUGAAAAAAYABgBbAQAA&#10;tAMAAAAA&#10;">
                  <v:fill on="t" focussize="0,0"/>
                  <v:stroke weight="1pt" color="#2E75B5" joinstyle="miter"/>
                  <v:imagedata o:title=""/>
                  <o:lock v:ext="edit" aspectratio="f"/>
                </v:shape>
                <v:rect id="_x0000_s1026" o:spid="_x0000_s1026" o:spt="1" style="position:absolute;left:4486;top:1243155;height:495;width:1335;" filled="f" stroked="f" coordsize="21600,21600" o:gfxdata="UEsDBAoAAAAAAIdO4kAAAAAAAAAAAAAAAAAEAAAAZHJzL1BLAwQUAAAACACHTuJAswMvTr0AAADa&#10;AAAADwAAAGRycy9kb3ducmV2LnhtbEWPQWvCQBSE74X+h+UVvJRmo2ApqasHoRhECMY250f2NQnN&#10;vo3ZNYn/3hWEHoeZ+YZZbSbTioF611hWMI9iEMSl1Q1XCr5PX28fIJxH1thaJgVXcrBZPz+tMNF2&#10;5CMNua9EgLBLUEHtfZdI6cqaDLrIdsTB+7W9QR9kX0nd4xjgppWLOH6XBhsOCzV2tK2p/MsvRsFY&#10;ZkNxOuxk9lqkls/peZv/7JWavczjTxCeJv8ffrRTrWAJ9yvhBsj1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zAy9OvQAA&#10;ANo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0D12AF6B">
                        <w:pPr>
                          <w:rPr>
                            <w:rFonts w:hint="default" w:eastAsia="宋体"/>
                            <w:sz w:val="21"/>
                            <w:szCs w:val="21"/>
                            <w:lang w:val="en-US" w:eastAsia="zh-CN"/>
                          </w:rPr>
                        </w:pPr>
                        <w:r>
                          <w:rPr>
                            <w:rFonts w:hint="eastAsia"/>
                            <w:sz w:val="21"/>
                            <w:szCs w:val="21"/>
                            <w:lang w:val="en-US" w:eastAsia="zh-CN"/>
                          </w:rPr>
                          <w:t>DA002</w:t>
                        </w:r>
                      </w:p>
                    </w:txbxContent>
                  </v:textbox>
                </v:rect>
              </v:group>
            </w:pict>
          </mc:Fallback>
        </mc:AlternateContent>
      </w:r>
      <w:r>
        <w:rPr>
          <w:color w:val="auto"/>
          <w:sz w:val="24"/>
          <w:highlight w:val="none"/>
        </w:rPr>
        <w:object>
          <v:shape id="_x0000_i1027" o:spt="75" type="#_x0000_t75" style="height:394.5pt;width:613.7pt;" o:ole="t" filled="f" stroked="f" coordsize="21600,21600">
            <v:path/>
            <v:fill on="f" focussize="0,0"/>
            <v:stroke on="f"/>
            <v:imagedata r:id="rId22" embosscolor="#FFFFFF" o:title=""/>
            <o:lock v:ext="edit" aspectratio="t"/>
            <w10:wrap type="none"/>
            <w10:anchorlock/>
          </v:shape>
          <o:OLEObject Type="Embed" ProgID="Visio.Drawing.11" ShapeID="_x0000_i1027" DrawAspect="Content" ObjectID="_1468075727" r:id="rId21">
            <o:LockedField>false</o:LockedField>
          </o:OLEObject>
        </w:object>
      </w:r>
    </w:p>
    <w:p w14:paraId="4E1BB1F8">
      <w:pPr>
        <w:jc w:val="center"/>
        <w:outlineLvl w:val="0"/>
        <w:rPr>
          <w:rFonts w:hint="eastAsia" w:ascii="Times New Roman" w:eastAsia="宋体"/>
          <w:b/>
          <w:bCs/>
          <w:color w:val="auto"/>
          <w:sz w:val="24"/>
          <w:szCs w:val="24"/>
          <w:highlight w:val="none"/>
        </w:rPr>
        <w:sectPr>
          <w:pgSz w:w="16838" w:h="11906" w:orient="landscape"/>
          <w:pgMar w:top="1440" w:right="1083" w:bottom="1440" w:left="1083" w:header="851" w:footer="992" w:gutter="0"/>
          <w:pgBorders>
            <w:top w:val="none" w:sz="0" w:space="0"/>
            <w:left w:val="none" w:sz="0" w:space="0"/>
            <w:bottom w:val="none" w:sz="0" w:space="0"/>
            <w:right w:val="none" w:sz="0" w:space="0"/>
          </w:pgBorders>
          <w:pgNumType w:fmt="numberInDash"/>
          <w:cols w:space="0" w:num="1"/>
          <w:rtlGutter w:val="0"/>
          <w:docGrid w:type="lines" w:linePitch="312" w:charSpace="0"/>
        </w:sectPr>
      </w:pPr>
      <w:bookmarkStart w:id="160" w:name="_Toc25589"/>
      <w:bookmarkStart w:id="161" w:name="_Toc3262"/>
      <w:r>
        <w:rPr>
          <w:rFonts w:hint="eastAsia" w:ascii="Times New Roman"/>
          <w:b/>
          <w:bCs/>
          <w:color w:val="auto"/>
          <w:sz w:val="24"/>
          <w:szCs w:val="24"/>
          <w:highlight w:val="none"/>
        </w:rPr>
        <w:t>附图</w:t>
      </w:r>
      <w:r>
        <w:rPr>
          <w:rFonts w:hint="eastAsia" w:ascii="Times New Roman" w:eastAsia="宋体"/>
          <w:b/>
          <w:bCs/>
          <w:color w:val="auto"/>
          <w:sz w:val="24"/>
          <w:szCs w:val="24"/>
          <w:highlight w:val="none"/>
        </w:rPr>
        <w:t>3</w:t>
      </w:r>
      <w:r>
        <w:rPr>
          <w:rFonts w:hint="eastAsia"/>
          <w:b/>
          <w:bCs/>
          <w:color w:val="auto"/>
          <w:sz w:val="24"/>
          <w:szCs w:val="24"/>
          <w:highlight w:val="none"/>
          <w:lang w:val="en-US" w:eastAsia="zh-CN"/>
        </w:rPr>
        <w:t>-1</w:t>
      </w:r>
      <w:r>
        <w:rPr>
          <w:rFonts w:hint="eastAsia" w:ascii="Times New Roman" w:eastAsia="宋体"/>
          <w:b/>
          <w:bCs/>
          <w:color w:val="auto"/>
          <w:sz w:val="24"/>
          <w:szCs w:val="24"/>
          <w:highlight w:val="none"/>
        </w:rPr>
        <w:t xml:space="preserve"> </w:t>
      </w:r>
      <w:r>
        <w:rPr>
          <w:rFonts w:hint="eastAsia" w:ascii="Times New Roman" w:eastAsia="宋体"/>
          <w:b/>
          <w:bCs/>
          <w:color w:val="auto"/>
          <w:sz w:val="24"/>
          <w:szCs w:val="24"/>
          <w:highlight w:val="none"/>
          <w:lang w:val="en-US" w:eastAsia="zh-CN"/>
        </w:rPr>
        <w:t>厂区总</w:t>
      </w:r>
      <w:r>
        <w:rPr>
          <w:rFonts w:hint="eastAsia" w:ascii="Times New Roman" w:eastAsia="宋体"/>
          <w:b/>
          <w:bCs/>
          <w:color w:val="auto"/>
          <w:sz w:val="24"/>
          <w:szCs w:val="24"/>
          <w:highlight w:val="none"/>
        </w:rPr>
        <w:t>平面布置图</w:t>
      </w:r>
      <w:bookmarkEnd w:id="160"/>
      <w:bookmarkEnd w:id="161"/>
    </w:p>
    <w:p w14:paraId="3A5589ED">
      <w:pPr>
        <w:bidi w:val="0"/>
        <w:jc w:val="center"/>
        <w:rPr>
          <w:rFonts w:hint="eastAsia"/>
          <w:color w:val="auto"/>
          <w:highlight w:val="none"/>
        </w:rPr>
      </w:pPr>
      <w:r>
        <w:rPr>
          <w:color w:val="auto"/>
          <w:sz w:val="24"/>
          <w:highlight w:val="none"/>
        </w:rPr>
        <mc:AlternateContent>
          <mc:Choice Requires="wpg">
            <w:drawing>
              <wp:anchor distT="0" distB="0" distL="0" distR="0" simplePos="0" relativeHeight="251659264" behindDoc="0" locked="0" layoutInCell="1" allowOverlap="1">
                <wp:simplePos x="0" y="0"/>
                <wp:positionH relativeFrom="column">
                  <wp:posOffset>720725</wp:posOffset>
                </wp:positionH>
                <wp:positionV relativeFrom="paragraph">
                  <wp:posOffset>4401820</wp:posOffset>
                </wp:positionV>
                <wp:extent cx="847090" cy="408940"/>
                <wp:effectExtent l="0" t="0" r="0" b="8255"/>
                <wp:wrapNone/>
                <wp:docPr id="1056" name="组合 42"/>
                <wp:cNvGraphicFramePr/>
                <a:graphic xmlns:a="http://schemas.openxmlformats.org/drawingml/2006/main">
                  <a:graphicData uri="http://schemas.microsoft.com/office/word/2010/wordprocessingGroup">
                    <wpg:wgp>
                      <wpg:cNvGrpSpPr/>
                      <wpg:grpSpPr>
                        <a:xfrm rot="0">
                          <a:off x="0" y="0"/>
                          <a:ext cx="847090" cy="408940"/>
                          <a:chOff x="4486" y="1243155"/>
                          <a:chExt cx="1334" cy="644"/>
                        </a:xfrm>
                      </wpg:grpSpPr>
                      <wps:wsp>
                        <wps:cNvPr id="6" name="椭圆 6"/>
                        <wps:cNvSpPr/>
                        <wps:spPr>
                          <a:xfrm>
                            <a:off x="4696" y="1243545"/>
                            <a:ext cx="210" cy="255"/>
                          </a:xfrm>
                          <a:prstGeom prst="ellipse">
                            <a:avLst/>
                          </a:prstGeom>
                          <a:solidFill>
                            <a:srgbClr val="5B9BD5"/>
                          </a:solidFill>
                          <a:ln w="12700" cap="flat" cmpd="sng">
                            <a:solidFill>
                              <a:srgbClr val="2E75B5"/>
                            </a:solidFill>
                            <a:prstDash val="solid"/>
                            <a:miter/>
                          </a:ln>
                        </wps:spPr>
                        <wps:bodyPr/>
                      </wps:wsp>
                      <wps:wsp>
                        <wps:cNvPr id="7" name="矩形 7"/>
                        <wps:cNvSpPr/>
                        <wps:spPr>
                          <a:xfrm>
                            <a:off x="4486" y="1243155"/>
                            <a:ext cx="1335" cy="495"/>
                          </a:xfrm>
                          <a:prstGeom prst="rect">
                            <a:avLst/>
                          </a:prstGeom>
                          <a:ln>
                            <a:noFill/>
                          </a:ln>
                        </wps:spPr>
                        <wps:txbx>
                          <w:txbxContent>
                            <w:p w14:paraId="1EE24E74">
                              <w:pPr>
                                <w:rPr>
                                  <w:rFonts w:hint="default" w:eastAsia="宋体"/>
                                  <w:sz w:val="21"/>
                                  <w:szCs w:val="21"/>
                                  <w:lang w:val="en-US" w:eastAsia="zh-CN"/>
                                </w:rPr>
                              </w:pPr>
                              <w:r>
                                <w:rPr>
                                  <w:rFonts w:hint="eastAsia"/>
                                  <w:sz w:val="21"/>
                                  <w:szCs w:val="21"/>
                                  <w:lang w:val="en-US" w:eastAsia="zh-CN"/>
                                </w:rPr>
                                <w:t>DA002</w:t>
                              </w:r>
                            </w:p>
                          </w:txbxContent>
                        </wps:txbx>
                        <wps:bodyPr vert="horz" wrap="square" lIns="91440" tIns="45720" rIns="91440" bIns="45720" anchor="t">
                          <a:noAutofit/>
                        </wps:bodyPr>
                      </wps:wsp>
                    </wpg:wgp>
                  </a:graphicData>
                </a:graphic>
              </wp:anchor>
            </w:drawing>
          </mc:Choice>
          <mc:Fallback>
            <w:pict>
              <v:group id="组合 42" o:spid="_x0000_s1026" o:spt="203" style="position:absolute;left:0pt;margin-left:56.75pt;margin-top:346.6pt;height:32.2pt;width:66.7pt;z-index:251659264;mso-width-relative:page;mso-height-relative:page;" coordorigin="4486,1243155" coordsize="1334,644" o:gfxdata="UEsDBAoAAAAAAIdO4kAAAAAAAAAAAAAAAAAEAAAAZHJzL1BLAwQUAAAACACHTuJAYc48l9wAAAAL&#10;AQAADwAAAGRycy9kb3ducmV2LnhtbE2PwU7DMBBE70j8g7VI3KjjhKRtiFOhCjhVlWiRUG9uvE2i&#10;xnYUu0n79ywnOI72aeZtsbqajo04+NZZCWIWAUNbOd3aWsLX/v1pAcwHZbXqnEUJN/SwKu/vCpVr&#10;N9lPHHehZlRifa4kNCH0Oee+atAoP3M9Wrqd3GBUoDjUXA9qonLT8TiKMm5Ua2mhUT2uG6zOu4uR&#10;8DGp6TURb+PmfFrfDvt0+70RKOXjg4hegAW8hj8YfvVJHUpyOrqL1Z51lEWSEiohWyYxMCLi52wJ&#10;7Chhns4z4GXB//9Q/gBQSwMEFAAAAAgAh07iQCpJrgHZAgAAwwYAAA4AAABkcnMvZTJvRG9jLnht&#10;bL2VS24UMRCG90jcwfKe9GO659HKTESYJEJCEClwAI/b/ZC6bWN7piesEWLJAZCQEBsWnABxnMA1&#10;KLsfMwkB8ZDYtGyXXa76/ir34dG2rtCGKV0KPsfBgY8R41SkJc/n+NnT03tTjLQhPCWV4GyOL5nG&#10;R4u7dw4bmbBQFKJKmULghOukkXNcGCMTz9O0YDXRB0IyDsZMqJoYmKrcSxVpwHtdeaHvj71GqFQq&#10;QZnWsLpsjbjzqH7HociykrKloOuacdN6VawiBlLSRSk1Xrhos4xR8yTLNDOommPI1LgvXALjlf16&#10;i0OS5IrIoqRdCOR3QriRU01KDpcOrpbEELRW5Q+u6pIqoUVmDqiovTYRRwSyCPwbbM6UWEuXS540&#10;uRygg1A3qP+1W/p4c65QmUIl+PEYI05q0Pzb55dXb16jKLR8GpknsO1MyQt5rrqFvJ3ZlLeZqpES&#10;Dq2dQ1Jo6whfDoTZ1iAKi9No4s+APQVT5E9nUacALUAmeyqKphAFWIMwGgVx3ApEi5POQTAaRe3x&#10;cRRZo9cGAAMb5xBWI6E69Q6Z/jdkFwWRzCmhLYsO2cDr64dPV29foXGLy20ZWOlEA7Ye1B6gaDzb&#10;pRpHXao9qTDoMIUthCFPkkilzRkTNbKDOWZVBSVvoyMJ2TzSpqXS77LLWlRlelpWlZuofPWgUmhD&#10;oCfi49nx0l0NF1zbVnHUWBkmvg2EQKdn0GEwrCVUi+a5u/DaEb3vOTyZxMe3eraRLYku2gich1bm&#10;ujRMtdFX3Cnaw7NyrkR66eoPlHbi2tL8DypPhq549/Hqy3s0+TOVby3oXuVgNIq7bpj1rGw/WZ16&#10;ATuZFbxlv9LYEiMJF1bmnzI029UWjDuc9k8ANVQI9QKjBt5BkPb5miiGUfWQQ9fMggiaFBk3ieJJ&#10;CBO1b1ntWwin4GqO20i5uL82IitdRe7u7JSF9uy6Ft42GF17PPfnbtfu37P4D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E4FAABbQ29udGVudF9U&#10;eXBlc10ueG1sUEsBAhQACgAAAAAAh07iQAAAAAAAAAAAAAAAAAYAAAAAAAAAAAAQAAAAMAQAAF9y&#10;ZWxzL1BLAQIUABQAAAAIAIdO4kCKFGY80QAAAJQBAAALAAAAAAAAAAEAIAAAAFQEAABfcmVscy8u&#10;cmVsc1BLAQIUAAoAAAAAAIdO4kAAAAAAAAAAAAAAAAAEAAAAAAAAAAAAEAAAAAAAAABkcnMvUEsB&#10;AhQAFAAAAAgAh07iQGHOPJfcAAAACwEAAA8AAAAAAAAAAQAgAAAAIgAAAGRycy9kb3ducmV2Lnht&#10;bFBLAQIUABQAAAAIAIdO4kAqSa4B2QIAAMMGAAAOAAAAAAAAAAEAIAAAACsBAABkcnMvZTJvRG9j&#10;LnhtbFBLBQYAAAAABgAGAFkBAAB2BgAAAAA=&#10;">
                <o:lock v:ext="edit" aspectratio="f"/>
                <v:shape id="_x0000_s1026" o:spid="_x0000_s1026" o:spt="3" type="#_x0000_t3" style="position:absolute;left:4696;top:1243545;height:255;width:210;" fillcolor="#5B9BD5" filled="t" stroked="t" coordsize="21600,21600" o:gfxdata="UEsDBAoAAAAAAIdO4kAAAAAAAAAAAAAAAAAEAAAAZHJzL1BLAwQUAAAACACHTuJAGKZhuLsAAADa&#10;AAAADwAAAGRycy9kb3ducmV2LnhtbEWPT4vCMBTE7wt+h/AEb2viHmSpRhFR8LTgH9Tjs3m21eal&#10;JGnVb28WFvY4zMxvmOn8aWvRkQ+VYw2joQJBnDtTcaHhsF9/foMIEdlg7Zg0vCjAfNb7mGJm3IO3&#10;1O1iIRKEQ4YayhibTMqQl2QxDF1DnLyr8xZjkr6QxuMjwW0tv5QaS4sVp4USG1qWlN93rdVwky0f&#10;2tXx7FdHdbl2i/vP/qS0HvRHagIi0jP+h//aG6NhDL9X0g2Qsz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KZhuLsAAADa&#10;AAAADwAAAAAAAAABACAAAAAiAAAAZHJzL2Rvd25yZXYueG1sUEsBAhQAFAAAAAgAh07iQDMvBZ47&#10;AAAAOQAAABAAAAAAAAAAAQAgAAAACgEAAGRycy9zaGFwZXhtbC54bWxQSwUGAAAAAAYABgBbAQAA&#10;tAMAAAAA&#10;">
                  <v:fill on="t" focussize="0,0"/>
                  <v:stroke weight="1pt" color="#2E75B5" joinstyle="miter"/>
                  <v:imagedata o:title=""/>
                  <o:lock v:ext="edit" aspectratio="f"/>
                </v:shape>
                <v:rect id="_x0000_s1026" o:spid="_x0000_s1026" o:spt="1" style="position:absolute;left:4486;top:1243155;height:495;width:1335;" filled="f" stroked="f" coordsize="21600,21600" o:gfxdata="UEsDBAoAAAAAAIdO4kAAAAAAAAAAAAAAAAAEAAAAZHJzL1BLAwQUAAAACACHTuJALJ0Uor0AAADa&#10;AAAADwAAAGRycy9kb3ducmV2LnhtbEWPQWvCQBSE74X+h+UVvJRmowdbUlcPQjGIEIxtzo/saxKa&#10;fRuzaxL/vSsIPQ4z8w2z2kymFQP1rrGsYB7FIIhLqxuuFHyfvt4+QDiPrLG1TAqu5GCzfn5aYaLt&#10;yEcacl+JAGGXoILa+y6R0pU1GXSR7YiD92t7gz7IvpK6xzHATSsXcbyUBhsOCzV2tK2p/MsvRsFY&#10;ZkNxOuxk9lqkls/peZv/7JWavczjTxCeJv8ffrRTreAd7lfCDZDr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snRSivQAA&#10;ANo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1EE24E74">
                        <w:pPr>
                          <w:rPr>
                            <w:rFonts w:hint="default" w:eastAsia="宋体"/>
                            <w:sz w:val="21"/>
                            <w:szCs w:val="21"/>
                            <w:lang w:val="en-US" w:eastAsia="zh-CN"/>
                          </w:rPr>
                        </w:pPr>
                        <w:r>
                          <w:rPr>
                            <w:rFonts w:hint="eastAsia"/>
                            <w:sz w:val="21"/>
                            <w:szCs w:val="21"/>
                            <w:lang w:val="en-US" w:eastAsia="zh-CN"/>
                          </w:rPr>
                          <w:t>DA002</w:t>
                        </w:r>
                      </w:p>
                    </w:txbxContent>
                  </v:textbox>
                </v:rect>
              </v:group>
            </w:pict>
          </mc:Fallback>
        </mc:AlternateContent>
      </w:r>
      <w:r>
        <w:rPr>
          <w:color w:val="auto"/>
          <w:sz w:val="24"/>
          <w:highlight w:val="none"/>
        </w:rPr>
        <mc:AlternateContent>
          <mc:Choice Requires="wps">
            <w:drawing>
              <wp:anchor distT="0" distB="0" distL="0" distR="0" simplePos="0" relativeHeight="251659264" behindDoc="0" locked="0" layoutInCell="1" allowOverlap="1">
                <wp:simplePos x="0" y="0"/>
                <wp:positionH relativeFrom="column">
                  <wp:posOffset>2313305</wp:posOffset>
                </wp:positionH>
                <wp:positionV relativeFrom="paragraph">
                  <wp:posOffset>339725</wp:posOffset>
                </wp:positionV>
                <wp:extent cx="321310" cy="0"/>
                <wp:effectExtent l="0" t="19050" r="2540" b="19050"/>
                <wp:wrapNone/>
                <wp:docPr id="1059" name="直接连接符 32"/>
                <wp:cNvGraphicFramePr/>
                <a:graphic xmlns:a="http://schemas.openxmlformats.org/drawingml/2006/main">
                  <a:graphicData uri="http://schemas.microsoft.com/office/word/2010/wordprocessingShape">
                    <wps:wsp>
                      <wps:cNvCnPr/>
                      <wps:spPr>
                        <a:xfrm>
                          <a:off x="0" y="0"/>
                          <a:ext cx="321310" cy="0"/>
                        </a:xfrm>
                        <a:prstGeom prst="line">
                          <a:avLst/>
                        </a:prstGeom>
                        <a:ln w="38100" cap="flat" cmpd="sng">
                          <a:solidFill>
                            <a:srgbClr val="70AD47"/>
                          </a:solidFill>
                          <a:prstDash val="lgDashDot"/>
                          <a:miter/>
                        </a:ln>
                      </wps:spPr>
                      <wps:bodyPr/>
                    </wps:wsp>
                  </a:graphicData>
                </a:graphic>
              </wp:anchor>
            </w:drawing>
          </mc:Choice>
          <mc:Fallback>
            <w:pict>
              <v:line id="直接连接符 32" o:spid="_x0000_s1026" o:spt="20" style="position:absolute;left:0pt;margin-left:182.15pt;margin-top:26.75pt;height:0pt;width:25.3pt;z-index:251659264;mso-width-relative:page;mso-height-relative:page;" filled="f" stroked="t" coordsize="21600,21600" o:gfxdata="UEsDBAoAAAAAAIdO4kAAAAAAAAAAAAAAAAAEAAAAZHJzL1BLAwQUAAAACACHTuJAYbptR9oAAAAJ&#10;AQAADwAAAGRycy9kb3ducmV2LnhtbE2PwU7DMAyG70i8Q2QkLoilpd20laaThoQ0DjswJs5ua5pq&#10;jVOarB17eoI4wNH2p9/fn6/PphMjDa61rCCeRSCIK1u33Cg4vD3fL0E4j1xjZ5kUfJGDdXF9lWNW&#10;24lfadz7RoQQdhkq0N73mZSu0mTQzWxPHG4fdjDowzg0sh5wCuGmkw9RtJAGWw4fNPb0pKk67k9G&#10;weZd342XCS+7vvzcHl5222OzsUrd3sTRIwhPZ/8Hw49+UIciOJX2xLUTnYJkkSYBVTBP5iACkMbp&#10;CkT5u5BFLv83KL4BUEsDBBQAAAAIAIdO4kD6TGuO2wEAAJYDAAAOAAAAZHJzL2Uyb0RvYy54bWyt&#10;U81uEzEQviP1HSzfm91NCi2rbKqqq3JBEAl4AMdr71rynzxuNnkJXgCJG5w4cudtKI/B2JumUC49&#10;cLFnxjPf+Ps8Xl7ujCZbEUA529BqVlIiLHedsn1DP7y/Ob2gBCKzHdPOiobuBdDL1cmz5ehrMXeD&#10;050IBEEs1KNv6BCjr4sC+CAMg5nzwuKhdMGwiG7oiy6wEdGNLuZl+aIYXeh8cFwAYLSdDukBMTwF&#10;0EmpuGgdvzXCxgk1CM0iUoJBeaCrfFspBY9vpQQRiW4oMo15xSZob9JarJas7gPzg+KHK7CnXOER&#10;J8OUxaZHqJZFRm6D+gfKKB4cOBln3JliIpIVQRZV+UibdwPzInNBqcEfRYf/B8vfbNeBqA4noXz+&#10;khLLDL753afvPz9++fXjM653376SxTwJNXqoMf/arsPBA78OifVOBpN25EN2Wdz9UVyxi4RjcDGv&#10;FhXKzu+Pioc6HyC+Es6QZDRUK5tos5ptX0PEXph6n5LC2pIRAS+qMuExHEKJj4+m8UgEbJ+LwWnV&#10;3SitUwmEfnOtA9kyHITz8qo9O0+UEPivtNSlZTBMebpPduviNCZGRZGYY5G2uCU9JgWStXHdPguT&#10;4/hcOfEwWmke/vRz9cN3Wv0G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YbptR9oAAAAJAQAADwAA&#10;AAAAAAABACAAAAAiAAAAZHJzL2Rvd25yZXYueG1sUEsBAhQAFAAAAAgAh07iQPpMa47bAQAAlgMA&#10;AA4AAAAAAAAAAQAgAAAAKQEAAGRycy9lMm9Eb2MueG1sUEsFBgAAAAAGAAYAWQEAAHYFAAAAAA==&#10;">
                <v:fill on="f" focussize="0,0"/>
                <v:stroke weight="3pt" color="#70AD47" joinstyle="miter" dashstyle="longDashDot"/>
                <v:imagedata o:title=""/>
                <o:lock v:ext="edit" aspectratio="f"/>
              </v:line>
            </w:pict>
          </mc:Fallback>
        </mc:AlternateContent>
      </w:r>
      <w:r>
        <w:rPr>
          <w:rFonts w:hint="eastAsia"/>
          <w:color w:val="auto"/>
          <w:highlight w:val="none"/>
        </w:rPr>
        <w:object>
          <v:shape id="_x0000_i1028" o:spt="75" type="#_x0000_t75" style="height:409.15pt;width:697.3pt;" o:ole="t" filled="f" stroked="t" coordsize="21600,21600">
            <v:path/>
            <v:fill on="f" focussize="0,0"/>
            <v:stroke/>
            <v:imagedata r:id="rId24" embosscolor="#FFFFFF" o:title=""/>
            <o:lock v:ext="edit" aspectratio="t"/>
            <w10:wrap type="none"/>
            <w10:anchorlock/>
          </v:shape>
          <o:OLEObject Type="Embed" ProgID="Visio.Drawing.11" ShapeID="_x0000_i1028" DrawAspect="Content" ObjectID="_1468075728" r:id="rId23">
            <o:LockedField>false</o:LockedField>
          </o:OLEObject>
        </w:object>
      </w:r>
      <w:r>
        <w:rPr>
          <w:color w:val="auto"/>
          <w:sz w:val="24"/>
          <w:highlight w:val="none"/>
        </w:rPr>
        <mc:AlternateContent>
          <mc:Choice Requires="wps">
            <w:drawing>
              <wp:anchor distT="0" distB="0" distL="0" distR="0" simplePos="0" relativeHeight="251659264" behindDoc="0" locked="0" layoutInCell="1" allowOverlap="1">
                <wp:simplePos x="0" y="0"/>
                <wp:positionH relativeFrom="column">
                  <wp:posOffset>1241425</wp:posOffset>
                </wp:positionH>
                <wp:positionV relativeFrom="paragraph">
                  <wp:posOffset>316230</wp:posOffset>
                </wp:positionV>
                <wp:extent cx="321310" cy="0"/>
                <wp:effectExtent l="0" t="19050" r="2540" b="19050"/>
                <wp:wrapNone/>
                <wp:docPr id="1062" name="直接连接符 31"/>
                <wp:cNvGraphicFramePr/>
                <a:graphic xmlns:a="http://schemas.openxmlformats.org/drawingml/2006/main">
                  <a:graphicData uri="http://schemas.microsoft.com/office/word/2010/wordprocessingShape">
                    <wps:wsp>
                      <wps:cNvCnPr/>
                      <wps:spPr>
                        <a:xfrm>
                          <a:off x="0" y="0"/>
                          <a:ext cx="321310" cy="0"/>
                        </a:xfrm>
                        <a:prstGeom prst="line">
                          <a:avLst/>
                        </a:prstGeom>
                        <a:ln w="38100" cap="flat" cmpd="sng">
                          <a:solidFill>
                            <a:srgbClr val="FFFF00"/>
                          </a:solidFill>
                          <a:prstDash val="lgDashDot"/>
                          <a:miter/>
                        </a:ln>
                      </wps:spPr>
                      <wps:bodyPr/>
                    </wps:wsp>
                  </a:graphicData>
                </a:graphic>
              </wp:anchor>
            </w:drawing>
          </mc:Choice>
          <mc:Fallback>
            <w:pict>
              <v:line id="直接连接符 31" o:spid="_x0000_s1026" o:spt="20" style="position:absolute;left:0pt;margin-left:97.75pt;margin-top:24.9pt;height:0pt;width:25.3pt;z-index:251659264;mso-width-relative:page;mso-height-relative:page;" filled="f" stroked="t" coordsize="21600,21600" o:gfxdata="UEsDBAoAAAAAAIdO4kAAAAAAAAAAAAAAAAAEAAAAZHJzL1BLAwQUAAAACACHTuJAgSP329gAAAAJ&#10;AQAADwAAAGRycy9kb3ducmV2LnhtbE2PwU7DMBBE70j8g7VIXFBrpzQVDXF6AMGFVIiWHrg5yZJE&#10;xOsodtr071nEAY4z+zQ7k24m24kjDr51pCGaKxBIpataqjW8759mdyB8MFSZzhFqOKOHTXZ5kZqk&#10;cid6w+Mu1IJDyCdGQxNCn0jpywat8XPXI/Ht0w3WBJZDLavBnDjcdnKh1Epa0xJ/aEyPDw2WX7vR&#10;apjyZ/USnw+PY354pWKb080H3Wp9fRWpexABp/AHw099rg4ZdyrcSJUXHet1HDOqYbnmCQwslqsI&#10;RPFryCyV/xdk31BLAwQUAAAACACHTuJA8Oh1YNYBAACWAwAADgAAAGRycy9lMm9Eb2MueG1srVNL&#10;btswEN0X6B0I7mNJNhAEguUsIriboDXQ9gA0RUoE+AOHsexL9AIBsmtXXXbf2zQ9RoeU4/w2WVQL&#10;cjiceTPvcbS83BtNdiKAcrah1aykRFjuOmX7hn79sj67oAQisx3TzoqGHgTQy9X7d8vR12LuBqc7&#10;EQiCWKhH39AhRl8XBfBBGAYz54XFS+mCYRGPoS+6wEZEN7qYl+V5MbrQ+eC4AEBvO13SI2J4C6CT&#10;UnHROn5jhI0TahCaRaQEg/JAV7lbKQWPn6QEEYluKDKNecUiaG/TWqyWrO4D84PixxbYW1p4wckw&#10;ZbHoCaplkZGboF5BGcWDAyfjjDtTTESyIsiiKl9o83lgXmQuKDX4k+jw/2D5x90mENXhJJTnc0os&#10;M/jm97e//nz7/vf3Ha73P3+QRZWEGj3UGH9lN+F4Ar8JifVeBpN25EP2WdzDSVyxj4SjczGvFhXK&#10;zh+uisc8HyB+EM6QZDRUK5tos5rtriFiLQx9CElubcmIgBdVmfAYDqHEx0fTeCQCts/J4LTq1krr&#10;lAKh317pQHYMB2GNH6ZOwM/CUpWWwTDF6T7ZrYvTmBgVRWKO3WiLW9JjUiBZW9cdsjDZj8+VA4+j&#10;lebh6TlnP/5Oq3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CBI/fb2AAAAAkBAAAPAAAAAAAAAAEA&#10;IAAAACIAAABkcnMvZG93bnJldi54bWxQSwECFAAUAAAACACHTuJA8Oh1YNYBAACWAwAADgAAAAAA&#10;AAABACAAAAAnAQAAZHJzL2Uyb0RvYy54bWxQSwUGAAAAAAYABgBZAQAAbwUAAAAA&#10;">
                <v:fill on="f" focussize="0,0"/>
                <v:stroke weight="3pt" color="#FFFF00" joinstyle="miter" dashstyle="longDashDot"/>
                <v:imagedata o:title=""/>
                <o:lock v:ext="edit" aspectratio="f"/>
              </v:line>
            </w:pict>
          </mc:Fallback>
        </mc:AlternateContent>
      </w:r>
      <w:r>
        <w:rPr>
          <w:color w:val="auto"/>
          <w:sz w:val="24"/>
          <w:highlight w:val="none"/>
        </w:rPr>
        <mc:AlternateContent>
          <mc:Choice Requires="wps">
            <w:drawing>
              <wp:anchor distT="0" distB="0" distL="0" distR="0" simplePos="0" relativeHeight="251659264" behindDoc="0" locked="0" layoutInCell="1" allowOverlap="1">
                <wp:simplePos x="0" y="0"/>
                <wp:positionH relativeFrom="column">
                  <wp:posOffset>8003540</wp:posOffset>
                </wp:positionH>
                <wp:positionV relativeFrom="paragraph">
                  <wp:posOffset>2252980</wp:posOffset>
                </wp:positionV>
                <wp:extent cx="0" cy="586105"/>
                <wp:effectExtent l="13970" t="0" r="24130" b="4445"/>
                <wp:wrapNone/>
                <wp:docPr id="1063" name="任意多边形 17"/>
                <wp:cNvGraphicFramePr/>
                <a:graphic xmlns:a="http://schemas.openxmlformats.org/drawingml/2006/main">
                  <a:graphicData uri="http://schemas.microsoft.com/office/word/2010/wordprocessingShape">
                    <wps:wsp>
                      <wps:cNvSpPr/>
                      <wps:spPr>
                        <a:xfrm>
                          <a:off x="0" y="0"/>
                          <a:ext cx="0" cy="586104"/>
                        </a:xfrm>
                        <a:custGeom>
                          <a:avLst/>
                          <a:gdLst/>
                          <a:ahLst/>
                          <a:cxnLst/>
                          <a:rect l="l" t="t" r="r" b="b"/>
                          <a:pathLst>
                            <a:path h="586105">
                              <a:moveTo>
                                <a:pt x="0" y="586105"/>
                              </a:moveTo>
                              <a:lnTo>
                                <a:pt x="0" y="0"/>
                              </a:lnTo>
                            </a:path>
                          </a:pathLst>
                        </a:custGeom>
                        <a:ln w="28575" cap="flat" cmpd="sng">
                          <a:solidFill>
                            <a:srgbClr val="FFFF00"/>
                          </a:solidFill>
                          <a:prstDash val="solid"/>
                          <a:miter/>
                        </a:ln>
                      </wps:spPr>
                      <wps:bodyPr/>
                    </wps:wsp>
                  </a:graphicData>
                </a:graphic>
              </wp:anchor>
            </w:drawing>
          </mc:Choice>
          <mc:Fallback>
            <w:pict>
              <v:shape id="任意多边形 17" o:spid="_x0000_s1026" o:spt="100" style="position:absolute;left:0pt;margin-left:630.2pt;margin-top:177.4pt;height:46.15pt;width:0pt;z-index:251659264;mso-width-relative:page;mso-height-relative:page;" filled="f" stroked="t" coordsize="1,586105" o:gfxdata="UEsDBAoAAAAAAIdO4kAAAAAAAAAAAAAAAAAEAAAAZHJzL1BLAwQUAAAACACHTuJATrxMBtkAAAAN&#10;AQAADwAAAGRycy9kb3ducmV2LnhtbE2PwU7DMBBE70j8g7VI3KidJhQIcXpAgiPQgKpyc+MlSYnX&#10;Uey05e/ZigMcZ/ZpdqZYHl0v9jiGzpOGZKZAINXedtRoeH97vLoFEaIha3pPqOEbAyzL87PC5NYf&#10;aIX7KjaCQyjkRkMb45BLGeoWnQkzPyDx7dOPzkSWYyPtaA4c7no5V2ohnemIP7RmwIcW669qchru&#10;4nqdTlX4sC9Pzzu5e900Q7rR+vIiUfcgIh7jHwyn+lwdSu609RPZIHrW84XKmNWQXmc84oT8WlsN&#10;WXaTgCwL+X9F+QNQSwMEFAAAAAgAh07iQEz7XKoYAgAASgQAAA4AAABkcnMvZTJvRG9jLnhtbK1U&#10;zW4TMRC+I/EOlu9kN4GkUZRND0ThgqBSywM4Xm/Wkv/kcbLJnTt3joiXQBU8TYt4DMb2JintpQdy&#10;2IxnxjPfN9/szi/3WpGd8CCtqehwUFIiDLe1NJuKfrpZvZpSAoGZmilrREUPAujl4uWLeedmYmRb&#10;q2rhCRYxMOtcRdsQ3KwogLdCMxhYJwwGG+s1C3j0m6L2rMPqWhWjspwUnfW185YLAPQuc5D2Ff1z&#10;CtqmkVwsLd9qYUKu6oViASlBKx3QRULbNIKHj00DIhBVUWQa0hOboL2Oz2IxZ7ONZ66VvIfAngPh&#10;ESfNpMGmp1JLFhjZevmklJbcW7BNGHCri0wkTQRZDMtHs7lumROJC44a3Gno8P/K8g+7K09kjZtQ&#10;Tl5TYphGze9ub39//nL//eufXz/uf34jw4s4qM7BDPOv3ZXvT4BmZL1vvI7/yIfs03APp+GKfSA8&#10;Ozl6x9PJsHwTyxXne3wL4Z2wqQbbvYeQZamPFmuPFt+bo+lR3CirSrIGSlBWn2RdZ1kdC/FeBBZN&#10;0vbdx0kpbXfixqZgOINO8MY9vHOKMk9T0/IgiRxDIzZJtE6N0fmQmjKkq+hoOr4YU8IZvjwNLi2a&#10;2qEAYDYJGFgl65VUKmIDv1m/VZ7sGDJd4a88tv0nzXkISwZtzkuhPAMtg/B52MoguKhhVi1aa1sf&#10;kpjJjyuW4PevQ9zhh+d0+/wJWPw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TrxMBtkAAAANAQAA&#10;DwAAAAAAAAABACAAAAAiAAAAZHJzL2Rvd25yZXYueG1sUEsBAhQAFAAAAAgAh07iQEz7XKoYAgAA&#10;SgQAAA4AAAAAAAAAAQAgAAAAKAEAAGRycy9lMm9Eb2MueG1sUEsFBgAAAAAGAAYAWQEAALIFAAAA&#10;AA==&#10;" path="m0,586105l0,0e">
                <v:fill on="f" focussize="0,0"/>
                <v:stroke weight="2.25pt" color="#FFFF00" joinstyle="miter"/>
                <v:imagedata o:title=""/>
                <o:lock v:ext="edit" aspectratio="f"/>
              </v:shape>
            </w:pict>
          </mc:Fallback>
        </mc:AlternateContent>
      </w:r>
      <w:r>
        <w:rPr>
          <w:color w:val="auto"/>
          <w:sz w:val="24"/>
          <w:highlight w:val="none"/>
        </w:rPr>
        <mc:AlternateContent>
          <mc:Choice Requires="wps">
            <w:drawing>
              <wp:anchor distT="0" distB="0" distL="0" distR="0" simplePos="0" relativeHeight="251659264" behindDoc="0" locked="0" layoutInCell="1" allowOverlap="1">
                <wp:simplePos x="0" y="0"/>
                <wp:positionH relativeFrom="column">
                  <wp:posOffset>1176655</wp:posOffset>
                </wp:positionH>
                <wp:positionV relativeFrom="paragraph">
                  <wp:posOffset>2668270</wp:posOffset>
                </wp:positionV>
                <wp:extent cx="7538720" cy="76200"/>
                <wp:effectExtent l="0" t="0" r="0" b="0"/>
                <wp:wrapNone/>
                <wp:docPr id="1064" name="任意多边形 11"/>
                <wp:cNvGraphicFramePr/>
                <a:graphic xmlns:a="http://schemas.openxmlformats.org/drawingml/2006/main">
                  <a:graphicData uri="http://schemas.microsoft.com/office/word/2010/wordprocessingShape">
                    <wps:wsp>
                      <wps:cNvSpPr/>
                      <wps:spPr>
                        <a:xfrm flipV="1">
                          <a:off x="0" y="0"/>
                          <a:ext cx="7538719" cy="76200"/>
                        </a:xfrm>
                        <a:custGeom>
                          <a:avLst/>
                          <a:gdLst/>
                          <a:ahLst/>
                          <a:cxnLst/>
                          <a:rect l="l" t="t" r="r" b="b"/>
                          <a:pathLst>
                            <a:path w="7150735" h="76200">
                              <a:moveTo>
                                <a:pt x="0" y="0"/>
                              </a:moveTo>
                              <a:lnTo>
                                <a:pt x="4916170" y="0"/>
                              </a:lnTo>
                              <a:lnTo>
                                <a:pt x="7150735" y="0"/>
                              </a:lnTo>
                            </a:path>
                          </a:pathLst>
                        </a:custGeom>
                        <a:ln w="19050" cap="flat" cmpd="sng">
                          <a:solidFill>
                            <a:srgbClr val="FFFF00"/>
                          </a:solidFill>
                          <a:prstDash val="solid"/>
                          <a:miter/>
                        </a:ln>
                      </wps:spPr>
                      <wps:bodyPr/>
                    </wps:wsp>
                  </a:graphicData>
                </a:graphic>
              </wp:anchor>
            </w:drawing>
          </mc:Choice>
          <mc:Fallback>
            <w:pict>
              <v:shape id="任意多边形 11" o:spid="_x0000_s1026" o:spt="100" style="position:absolute;left:0pt;flip:y;margin-left:92.65pt;margin-top:210.1pt;height:6pt;width:593.6pt;z-index:251659264;mso-width-relative:page;mso-height-relative:page;" filled="f" stroked="t" coordsize="7150735,76200" o:gfxdata="UEsDBAoAAAAAAIdO4kAAAAAAAAAAAAAAAAAEAAAAZHJzL1BLAwQUAAAACACHTuJAX4fLy9oAAAAM&#10;AQAADwAAAGRycy9kb3ducmV2LnhtbE2Py07DMBBF90j8gzVI7KhdhzRRiNMFqFCWLagqOycZkoA9&#10;jmL3wd/jrmB5Z47unCmXZ2vYESc/OFIwnwlgSI1rB+oUvL+t7nJgPmhqtXGECn7Qw7K6vip10boT&#10;bfC4DR2LJeQLraAPYSw4902PVvuZG5Hi7tNNVocYp463kz7Fcmu4FGLBrR4oXuj1iI89Nt/bg1Xw&#10;tdqvn83i9enDdlma714yt25qpW5v5uIBWMBz+IPhoh/VoYpOtTtQ65mJOU+TiCq4l0ICuxBJJlNg&#10;dRwlUgKvSv7/ieoXUEsDBBQAAAAIAIdO4kCdSuW9OAIAAI8EAAAOAAAAZHJzL2Uyb0RvYy54bWyt&#10;VD1v2zAQ3Qv0PxDca0lJbMeG7Qw13KVoAyTtTlOURYBf4NGWs3fv3rHonyiC9tc0RX9Gj5SluM6S&#10;oR6kE+/4eO+9o2dXe63ITniQ1sxpMcgpEYbbUprNnH64Xb26pAQCMyVT1og5vRNArxYvX8waNxVn&#10;traqFJ4giIFp4+a0DsFNswx4LTSDgXXCYLKyXrOAn36TlZ41iK5Vdpbno6yxvnTecgGAq8s2SQ+I&#10;/jmAtqokF0vLt1qY0KJ6oVhASlBLB3SRuq0qwcP7qgIRiJpTZBrSEw/BeB2f2WLGphvPXC35oQX2&#10;nBZOOGkmDR7aQy1ZYGTr5RMoLbm3YKsw4FZnLZGkCLIo8hNtbmrmROKCUoPrRYf/B8vf7a49kSVO&#10;Qj66oMQwjZ7/ur///enzw7cvf35+f/jxlRRFFKpxMMX6G3ftD1+AYWS9r7wmlZLuI+IkHZAZ2SeZ&#10;73qZxT4Qjovj4fnluJhQwjE3HuFQRPSshYlwfAvhjbA6xmz3FkLrUtlFrO4ivjdd6NHr6LJKLgdK&#10;0GWfXF63LjsW4r4IGkPS4OHFMB+fDympu0ZiVtuduLWpLpyQwCYfs8ocV11MilExxrnqCGNtV9G9&#10;XcLrT31SiVtia0mMvl1cPBZEmdh5McmHeBZneAMrnHwMtUMXwWyS/mCVLFdSqUgD/Gb9WnmyY6jP&#10;Cn+94v+UOQ9hyaBu61KqVU7LIKLliRG+4iC01sdobcu7NBFpHec0FR7uVLwIx99p9+P/yOI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X4fLy9oAAAAMAQAADwAAAAAAAAABACAAAAAiAAAAZHJzL2Rv&#10;d25yZXYueG1sUEsBAhQAFAAAAAgAh07iQJ1K5b04AgAAjwQAAA4AAAAAAAAAAQAgAAAAKQEAAGRy&#10;cy9lMm9Eb2MueG1sUEsFBgAAAAAGAAYAWQEAANMFAAAAAA==&#10;" path="m0,0l4916170,0,7150735,0e">
                <v:fill on="f" focussize="0,0"/>
                <v:stroke weight="1.5pt" color="#FFFF00" joinstyle="miter"/>
                <v:imagedata o:title=""/>
                <o:lock v:ext="edit" aspectratio="f"/>
              </v:shape>
            </w:pict>
          </mc:Fallback>
        </mc:AlternateContent>
      </w:r>
      <w:r>
        <w:rPr>
          <w:color w:val="auto"/>
          <w:sz w:val="24"/>
          <w:highlight w:val="none"/>
        </w:rPr>
        <mc:AlternateContent>
          <mc:Choice Requires="wps">
            <w:drawing>
              <wp:anchor distT="0" distB="0" distL="0" distR="0" simplePos="0" relativeHeight="251659264" behindDoc="0" locked="0" layoutInCell="1" allowOverlap="1">
                <wp:simplePos x="0" y="0"/>
                <wp:positionH relativeFrom="column">
                  <wp:posOffset>1306195</wp:posOffset>
                </wp:positionH>
                <wp:positionV relativeFrom="paragraph">
                  <wp:posOffset>4110990</wp:posOffset>
                </wp:positionV>
                <wp:extent cx="7605395" cy="989965"/>
                <wp:effectExtent l="9525" t="0" r="24130" b="19685"/>
                <wp:wrapNone/>
                <wp:docPr id="1065" name="任意多边形 30"/>
                <wp:cNvGraphicFramePr/>
                <a:graphic xmlns:a="http://schemas.openxmlformats.org/drawingml/2006/main">
                  <a:graphicData uri="http://schemas.microsoft.com/office/word/2010/wordprocessingShape">
                    <wps:wsp>
                      <wps:cNvSpPr/>
                      <wps:spPr>
                        <a:xfrm>
                          <a:off x="0" y="0"/>
                          <a:ext cx="7605395" cy="989965"/>
                        </a:xfrm>
                        <a:custGeom>
                          <a:avLst/>
                          <a:gdLst/>
                          <a:ahLst/>
                          <a:cxnLst/>
                          <a:rect l="l" t="t" r="r" b="b"/>
                          <a:pathLst>
                            <a:path w="7605395" h="989965">
                              <a:moveTo>
                                <a:pt x="0" y="739775"/>
                              </a:moveTo>
                              <a:lnTo>
                                <a:pt x="0" y="989965"/>
                              </a:lnTo>
                              <a:lnTo>
                                <a:pt x="7605395" y="989965"/>
                              </a:lnTo>
                              <a:lnTo>
                                <a:pt x="7605395" y="0"/>
                              </a:lnTo>
                            </a:path>
                          </a:pathLst>
                        </a:custGeom>
                        <a:ln w="19050" cap="flat" cmpd="sng">
                          <a:solidFill>
                            <a:srgbClr val="FFFF00"/>
                          </a:solidFill>
                          <a:prstDash val="solid"/>
                          <a:miter/>
                        </a:ln>
                      </wps:spPr>
                      <wps:bodyPr/>
                    </wps:wsp>
                  </a:graphicData>
                </a:graphic>
              </wp:anchor>
            </w:drawing>
          </mc:Choice>
          <mc:Fallback>
            <w:pict>
              <v:shape id="任意多边形 30" o:spid="_x0000_s1026" o:spt="100" style="position:absolute;left:0pt;margin-left:102.85pt;margin-top:323.7pt;height:77.95pt;width:598.85pt;z-index:251659264;mso-width-relative:page;mso-height-relative:page;" filled="f" stroked="t" coordsize="7605395,989965" o:gfxdata="UEsDBAoAAAAAAIdO4kAAAAAAAAAAAAAAAAAEAAAAZHJzL1BLAwQUAAAACACHTuJAmWQFVNwAAAAM&#10;AQAADwAAAGRycy9kb3ducmV2LnhtbE2P0UrDQBBF3wX/YRnBl2J328S2xEwKFhQEqaT1A7bZMQnN&#10;zsbsNq1/7/ZJ32aYw51z8/XFdmKkwbeOEWZTBYK4cqblGuFz//KwAuGDZqM7x4TwQx7Wxe1NrjPj&#10;zlzSuAu1iCHsM43QhNBnUvqqIav91PXE8fblBqtDXIdamkGfY7jt5FyphbS65fih0T1tGqqOu5NF&#10;8Jvt8HY05eT9dTvpedw/f7TfJeL93Uw9gQh0CX8wXPWjOhTR6eBObLzoEObqcRlRhEW6TEFciVQl&#10;cTogrFSSgCxy+b9E8QtQSwMEFAAAAAgAh07iQHiKb9AyAgAAugQAAA4AAABkcnMvZTJvRG9jLnht&#10;bK1UO24bMRDtA+QOBPtoVxYkeQVJLiIoTZAYsHMAisvVEuAPHOrXp0+fMsglAiM5TRzkGBlytStZ&#10;blxExXJIPj7OezPU9GavFdkKD9KaGe33ckqE4baUZj2jn+6Xb64pgcBMyZQ1YkYPAujN/PWr6c5N&#10;xJWtrSqFJ0hiYLJzM1qH4CZZBrwWmkHPOmFws7Jes4BTv85Kz3bIrlV2leejbGd96bzlAgBXF80m&#10;PTL6lxDaqpJcLCzfaGFCw+qFYgElQS0d0HnKtqoEDx+rCkQgakZRaUhfvATjVfxm8ymbrD1zteTH&#10;FNhLUrjQpJk0eGlHtWCBkY2Xz6i05N6CrUKPW501QpIjqKKfX3hzVzMnkha0GlxnOvw/Wv5he+uJ&#10;LLET8tGQEsM01vz3w8Ofz18ev3/9++vH489vZJCM2jmYIP7O3Xq0Lc4Aw6h6X3kdR9RD9sncQ2eu&#10;2AfCcXE8yoeDAq/guFdcFwVehzTZ6TTfQHgnbGJi2/cQmuKUbcTqNuJ704YeSxyLq1JxAyVYXJ+K&#10;u2qK61iI52J6MSS7s1TqLpO4re1W3NsEDCcZ40ExHrepniDKPIc+UdUC2tElzs6FSxNaWDs+h6ca&#10;oF0NAoMoJxnYScTFcxOViWr7RT7EducMH2uFjwRD7bDgYNapZcEqWS6lUlE5+PXqrfJky9DTJf7y&#10;9tonMOchLBjUDS5tNW5rGUTsjpQnDqcuidHKlofUPGkdWzoBj88vvpnzeTp9+suZ/w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ZZAVU3AAAAAwBAAAPAAAAAAAAAAEAIAAAACIAAABkcnMvZG93bnJl&#10;di54bWxQSwECFAAUAAAACACHTuJAeIpv0DICAAC6BAAADgAAAAAAAAABACAAAAArAQAAZHJzL2Uy&#10;b0RvYy54bWxQSwUGAAAAAAYABgBZAQAAzwUAAAAA&#10;" path="m0,739775l0,989965,7605395,989965,7605395,0e">
                <v:fill on="f" focussize="0,0"/>
                <v:stroke weight="1.5pt" color="#FFFF00" joinstyle="miter"/>
                <v:imagedata o:title=""/>
                <o:lock v:ext="edit" aspectratio="f"/>
              </v:shape>
            </w:pict>
          </mc:Fallback>
        </mc:AlternateContent>
      </w:r>
      <w:r>
        <w:rPr>
          <w:color w:val="auto"/>
          <w:sz w:val="24"/>
          <w:highlight w:val="none"/>
        </w:rPr>
        <mc:AlternateContent>
          <mc:Choice Requires="wps">
            <w:drawing>
              <wp:anchor distT="0" distB="0" distL="0" distR="0" simplePos="0" relativeHeight="251659264" behindDoc="0" locked="0" layoutInCell="1" allowOverlap="1">
                <wp:simplePos x="0" y="0"/>
                <wp:positionH relativeFrom="column">
                  <wp:posOffset>6149340</wp:posOffset>
                </wp:positionH>
                <wp:positionV relativeFrom="paragraph">
                  <wp:posOffset>2748280</wp:posOffset>
                </wp:positionV>
                <wp:extent cx="0" cy="1476375"/>
                <wp:effectExtent l="13970" t="0" r="24130" b="9525"/>
                <wp:wrapNone/>
                <wp:docPr id="1066" name="直接连接符 52"/>
                <wp:cNvGraphicFramePr/>
                <a:graphic xmlns:a="http://schemas.openxmlformats.org/drawingml/2006/main">
                  <a:graphicData uri="http://schemas.microsoft.com/office/word/2010/wordprocessingShape">
                    <wps:wsp>
                      <wps:cNvCnPr/>
                      <wps:spPr>
                        <a:xfrm flipV="1">
                          <a:off x="0" y="0"/>
                          <a:ext cx="0" cy="1476375"/>
                        </a:xfrm>
                        <a:prstGeom prst="line">
                          <a:avLst/>
                        </a:prstGeom>
                        <a:ln w="28575" cap="flat" cmpd="sng">
                          <a:solidFill>
                            <a:srgbClr val="FFFF00"/>
                          </a:solidFill>
                          <a:prstDash val="solid"/>
                          <a:miter/>
                        </a:ln>
                      </wps:spPr>
                      <wps:bodyPr/>
                    </wps:wsp>
                  </a:graphicData>
                </a:graphic>
              </wp:anchor>
            </w:drawing>
          </mc:Choice>
          <mc:Fallback>
            <w:pict>
              <v:line id="直接连接符 52" o:spid="_x0000_s1026" o:spt="20" style="position:absolute;left:0pt;flip:y;margin-left:484.2pt;margin-top:216.4pt;height:116.25pt;width:0pt;z-index:251659264;mso-width-relative:page;mso-height-relative:page;" filled="f" stroked="t" coordsize="21600,21600" o:gfxdata="UEsDBAoAAAAAAIdO4kAAAAAAAAAAAAAAAAAEAAAAZHJzL1BLAwQUAAAACACHTuJA3BVlqtoAAAAL&#10;AQAADwAAAGRycy9kb3ducmV2LnhtbE2PzU7DMBCE70i8g7VI3KjTtKRtiNMDElJPIJpIiNs2dpOI&#10;eB1s9weenkU9wHF3Z2a/KdZnO4ij8aF3pGA6SUAYapzuqVVQV093SxAhImkcHBkFXybAury+KjDX&#10;7kSv5riNreAQCjkq6GIccylD0xmLYeJGQ3zbO28x8uhbqT2eONwOMk2STFrsiT90OJrHzjQf24Nl&#10;DFu/fNbP+P62iYtFuvlOK19ZpW5vpskDiGjO8U8Mv/jsgZKZdu5AOohBwSpbzlmqYD5LuQMrLpud&#10;giy7n4EsC/m/Q/kDUEsDBBQAAAAIAIdO4kCMupmD3gEAAJ0DAAAOAAAAZHJzL2Uyb0RvYy54bWyt&#10;U82O0zAQviPxDpbvNGmh3VXUdA9blQuCSvzcXcdOLPlPHm/TvgQvgMQNThy58zYsj8HYLt1lueyB&#10;HJzxeObzfF++LK8ORpO9CKCcbel0UlMiLHedsn1L37/bPLukBCKzHdPOipYeBdCr1dMny9E3YuYG&#10;pzsRCIJYaEbf0iFG31QV8EEYBhPnhcVD6YJhEbehr7rARkQ3uprV9aIaXeh8cFwAYHZdDukJMTwG&#10;0EmpuFg7fmOEjQU1CM0iUoJBeaCrPK2Ugsc3UoKIRLcUmca84iUY79JarZas6QPzg+KnEdhjRnjA&#10;yTBl8dIz1JpFRm6C+gfKKB4cOBkn3JmqEMmKIItp/UCbtwPzInNBqcGfRYf/B8tf77eBqA6dUC8W&#10;lFhm8Jvffvr+8+OXXz8+43r77SuZz5JQo4cG66/tNpx24LchsT7IYIjUyn9AnKwDMiOHLPPxLLM4&#10;RMJLkmN2+uJi8fxinpCrApGgfID4UjhDUtBSrWxSgDVs/wpiKf1TktLakrGls8s5AhHO0I8SfYCh&#10;8cgJbJ+bwWnVbZTWqQVCv7vWgewZemKDT51tgDP8VZZuWTMYSl0+Km4xKookADZoi68kSxEiRTvX&#10;HbM+OY9fLReeHJZscX+fu+/+qtV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3BVlqtoAAAALAQAA&#10;DwAAAAAAAAABACAAAAAiAAAAZHJzL2Rvd25yZXYueG1sUEsBAhQAFAAAAAgAh07iQIy6mYPeAQAA&#10;nQMAAA4AAAAAAAAAAQAgAAAAKQEAAGRycy9lMm9Eb2MueG1sUEsFBgAAAAAGAAYAWQEAAHkFAAAA&#10;AA==&#10;">
                <v:fill on="f" focussize="0,0"/>
                <v:stroke weight="2.25pt" color="#FFFF00" joinstyle="miter"/>
                <v:imagedata o:title=""/>
                <o:lock v:ext="edit" aspectratio="f"/>
              </v:line>
            </w:pict>
          </mc:Fallback>
        </mc:AlternateContent>
      </w:r>
      <w:r>
        <w:rPr>
          <w:color w:val="auto"/>
          <w:sz w:val="24"/>
          <w:highlight w:val="none"/>
        </w:rPr>
        <mc:AlternateContent>
          <mc:Choice Requires="wps">
            <w:drawing>
              <wp:anchor distT="0" distB="0" distL="0" distR="0" simplePos="0" relativeHeight="251659264" behindDoc="0" locked="0" layoutInCell="1" allowOverlap="1">
                <wp:simplePos x="0" y="0"/>
                <wp:positionH relativeFrom="column">
                  <wp:posOffset>2205990</wp:posOffset>
                </wp:positionH>
                <wp:positionV relativeFrom="paragraph">
                  <wp:posOffset>4215130</wp:posOffset>
                </wp:positionV>
                <wp:extent cx="3924300" cy="0"/>
                <wp:effectExtent l="0" t="13970" r="0" b="24130"/>
                <wp:wrapNone/>
                <wp:docPr id="1067" name="直接连接符 51"/>
                <wp:cNvGraphicFramePr/>
                <a:graphic xmlns:a="http://schemas.openxmlformats.org/drawingml/2006/main">
                  <a:graphicData uri="http://schemas.microsoft.com/office/word/2010/wordprocessingShape">
                    <wps:wsp>
                      <wps:cNvCnPr/>
                      <wps:spPr>
                        <a:xfrm>
                          <a:off x="0" y="0"/>
                          <a:ext cx="3924299" cy="0"/>
                        </a:xfrm>
                        <a:prstGeom prst="line">
                          <a:avLst/>
                        </a:prstGeom>
                        <a:ln w="28575" cap="flat" cmpd="sng">
                          <a:solidFill>
                            <a:srgbClr val="FFFF00"/>
                          </a:solidFill>
                          <a:prstDash val="solid"/>
                          <a:miter/>
                        </a:ln>
                      </wps:spPr>
                      <wps:bodyPr/>
                    </wps:wsp>
                  </a:graphicData>
                </a:graphic>
              </wp:anchor>
            </w:drawing>
          </mc:Choice>
          <mc:Fallback>
            <w:pict>
              <v:line id="直接连接符 51" o:spid="_x0000_s1026" o:spt="20" style="position:absolute;left:0pt;margin-left:173.7pt;margin-top:331.9pt;height:0pt;width:309pt;z-index:251659264;mso-width-relative:page;mso-height-relative:page;" filled="f" stroked="t" coordsize="21600,21600" o:gfxdata="UEsDBAoAAAAAAIdO4kAAAAAAAAAAAAAAAAAEAAAAZHJzL1BLAwQUAAAACACHTuJANWFN2NcAAAAL&#10;AQAADwAAAGRycy9kb3ducmV2LnhtbE2P30rDMBTG7wXfIRzBO5fMbnXWpoMJXojIcPoAaXNsis1J&#10;abK1+vQeQdDL850f359yO/tenHCMXSANy4UCgdQE21Gr4e314WoDIiZD1vSBUMMnRthW52elKWyY&#10;6AVPh9QKNqFYGA0upaGQMjYOvYmLMCDx7z2M3iQ+x1ba0Uxs7nt5rVQuvemIE5wZ8N5h83E4es5t&#10;nzLXqBjq52mzX3+Nu8dsN2t9ebFUdyASzukPhp/6XB0q7lSHI9koeg3Z6mbFqIY8z3gDE7f5mpX6&#10;V5FVKf9vqL4BUEsDBBQAAAAIAIdO4kB1jAfm2QEAAJMDAAAOAAAAZHJzL2Uyb0RvYy54bWytU81u&#10;EzEQviPxDpbvZDcLaZtVNj00ChcEkaAP4HjtXUv+k8fNJi/BCyBxgxNH7rxNy2N07E1TKJce2IM9&#10;Hs984++b2cXl3miyEwGUsw2dTkpKhOWuVbZr6PWn9asLSiAy2zLtrGjoQQC9XL58sRh8LSrXO92K&#10;QBDEQj34hvYx+roogPfCMJg4LyxeShcMi3gMXdEGNiC60UVVlmfF4ELrg+MCAL2r8ZIeEcNzAJ2U&#10;iouV4zdG2DiiBqFZRErQKw90mV8rpeDxg5QgItENRaYxr1gE7W1ai+WC1V1gvlf8+AT2nCc84WSY&#10;slj0BLVikZGboP6BMooHB07GCXemGIlkRZDFtHyizceeeZG5oNTgT6LD/4Pl73ebQFSLk1CenVNi&#10;mcGe3335efv52+9fX3G9+/GdzKZJqMFDjfFXdhOOJ/CbkFjvZTBpRz5kn8U9nMQV+0g4Ol/PqzfV&#10;fE4Jf7grHhN9gPhWOEOS0VCtbOLNarZ7BxGLYehDSHJrS4aGVhez8xniMZxCid1H03hkArbLyeC0&#10;atdK65QCodte6UB2DCdhjV+Zm4/Af4WlKisG/RiXr8YZMSqKRBsTtMUtiTHST9bWtYesSvZjr3Lg&#10;ca7SMPx5ztmP/9LyH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DVhTdjXAAAACwEAAA8AAAAAAAAA&#10;AQAgAAAAIgAAAGRycy9kb3ducmV2LnhtbFBLAQIUABQAAAAIAIdO4kB1jAfm2QEAAJMDAAAOAAAA&#10;AAAAAAEAIAAAACYBAABkcnMvZTJvRG9jLnhtbFBLBQYAAAAABgAGAFkBAABxBQAAAAA=&#10;">
                <v:fill on="f" focussize="0,0"/>
                <v:stroke weight="2.25pt" color="#FFFF00" joinstyle="miter"/>
                <v:imagedata o:title=""/>
                <o:lock v:ext="edit" aspectratio="f"/>
              </v:line>
            </w:pict>
          </mc:Fallback>
        </mc:AlternateContent>
      </w:r>
      <w:r>
        <w:rPr>
          <w:color w:val="auto"/>
          <w:sz w:val="24"/>
          <w:highlight w:val="none"/>
        </w:rPr>
        <mc:AlternateContent>
          <mc:Choice Requires="wps">
            <w:drawing>
              <wp:anchor distT="0" distB="0" distL="0" distR="0" simplePos="0" relativeHeight="251659264" behindDoc="0" locked="0" layoutInCell="1" allowOverlap="1">
                <wp:simplePos x="0" y="0"/>
                <wp:positionH relativeFrom="column">
                  <wp:posOffset>1318895</wp:posOffset>
                </wp:positionH>
                <wp:positionV relativeFrom="paragraph">
                  <wp:posOffset>2924175</wp:posOffset>
                </wp:positionV>
                <wp:extent cx="7378065" cy="2111375"/>
                <wp:effectExtent l="0" t="13970" r="32385" b="27305"/>
                <wp:wrapNone/>
                <wp:docPr id="1068" name="任意多边形 7"/>
                <wp:cNvGraphicFramePr/>
                <a:graphic xmlns:a="http://schemas.openxmlformats.org/drawingml/2006/main">
                  <a:graphicData uri="http://schemas.microsoft.com/office/word/2010/wordprocessingShape">
                    <wps:wsp>
                      <wps:cNvSpPr/>
                      <wps:spPr>
                        <a:xfrm>
                          <a:off x="0" y="0"/>
                          <a:ext cx="7378065" cy="2111375"/>
                        </a:xfrm>
                        <a:custGeom>
                          <a:avLst/>
                          <a:gdLst/>
                          <a:ahLst/>
                          <a:cxnLst/>
                          <a:rect l="l" t="t" r="r" b="b"/>
                          <a:pathLst>
                            <a:path w="7378065" h="2111375">
                              <a:moveTo>
                                <a:pt x="0" y="0"/>
                              </a:moveTo>
                              <a:lnTo>
                                <a:pt x="4769485" y="0"/>
                              </a:lnTo>
                              <a:lnTo>
                                <a:pt x="4777105" y="2111375"/>
                              </a:lnTo>
                              <a:lnTo>
                                <a:pt x="7370445" y="2103755"/>
                              </a:lnTo>
                              <a:lnTo>
                                <a:pt x="7378065" y="506730"/>
                              </a:lnTo>
                            </a:path>
                          </a:pathLst>
                        </a:custGeom>
                        <a:ln w="28575" cap="flat" cmpd="sng">
                          <a:solidFill>
                            <a:srgbClr val="70AD47"/>
                          </a:solidFill>
                          <a:prstDash val="solid"/>
                          <a:miter/>
                        </a:ln>
                      </wps:spPr>
                      <wps:bodyPr/>
                    </wps:wsp>
                  </a:graphicData>
                </a:graphic>
              </wp:anchor>
            </w:drawing>
          </mc:Choice>
          <mc:Fallback>
            <w:pict>
              <v:shape id="任意多边形 7" o:spid="_x0000_s1026" o:spt="100" style="position:absolute;left:0pt;margin-left:103.85pt;margin-top:230.25pt;height:166.25pt;width:580.95pt;z-index:251659264;mso-width-relative:page;mso-height-relative:page;" filled="f" stroked="t" coordsize="7378065,2111375" o:gfxdata="UEsDBAoAAAAAAIdO4kAAAAAAAAAAAAAAAAAEAAAAZHJzL1BLAwQUAAAACACHTuJAju+ojtkAAAAM&#10;AQAADwAAAGRycy9kb3ducmV2LnhtbE2PMU/DMBCFdyT+g3VIbNRuUhwS4nRAqoTYaBkY3fiaRMTn&#10;YDtp+fe4E4yn9+m97+rtxY5sQR8GRwrWKwEMqXVmoE7Bx2H38AQsRE1Gj45QwQ8G2Da3N7WujDvT&#10;Oy772LFUQqHSCvoYp4rz0PZodVi5CSllJ+etjun0HTden1O5HXkmhORWD5QWej3hS4/t1362Cj7n&#10;zbec/GtWDqd8l/k3v4jFK3V/txbPwCJe4h8MV/2kDk1yOrqZTGCjgkwURUIVbKR4BHYlcllKYEcF&#10;RZkL4E3N/z/R/AJQSwMEFAAAAAgAh07iQJqMO69VAgAA7QQAAA4AAABkcnMvZTJvRG9jLnhtbK1U&#10;zY7TMBC+I/EOlu80SZs2pWq7QlTLBcFKuzyA6zhNJP/Jdpv2zp07R8RLoNXyNCziMRg7ddotlz1w&#10;iSeez19mvm+c+dVecLRjxjZKLnA2SDFikqqykZsF/nR3/WqKkXVEloQryRb4wCy+Wr58MW/1jA1V&#10;rXjJDAISaWetXuDaOT1LEktrJogdKM0kJCtlBHHwajZJaUgL7IInwzSdJK0ypTaKMmthd9Ul8ZHR&#10;PIdQVVVD2UrRrWDSdayGceKgJVs32uJlqLaqGHUfq8oyh/gCQ6cuPOEjEK/9M1nOyWxjiK4beiyB&#10;PKeEi54EaSR8tKdaEUfQ1jT/UImGGmVV5QZUiaRrJCgCXWTphTa3NdEs9AJSW92Lbv8fLf2wuzGo&#10;KWES0gk4L4kAz3/d3//+/OXx+9c/P388PnxDhdep1XYG8Ft9Y45vFkLf9L4ywq/QDtoHbQ+9tmzv&#10;EIXNYlRM08kYIwq5YZZlo2LsWZPTcbq17h1TgYrs3lvXmVPGiNQxonsZQwMWe3N5MNdhBOaaYO66&#10;M1cT58/5+nyI2rNa6lMpPi/Ujt2pgHQXjUCZpyyX56i8mLzOp9BZbBqwERFXHfjyoiiytEM+lSDi&#10;4trhQbM0zyM+BcWiZBEX1x7faQyVjNNJMQrz3ZcDgVcgaN6rApvnunPpBRpOx+AOogTudwX3CkKh&#10;YUas3IQpt4o35XXDudfKms36LTdoR8CGIn2zysO4APETmDbWrYitO1xIdQaJxjE/UaFOWPycdZPl&#10;o7UqD2Hgwj7cggA83lh/zc7fw+nTX2r5F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I7vqI7ZAAAA&#10;DAEAAA8AAAAAAAAAAQAgAAAAIgAAAGRycy9kb3ducmV2LnhtbFBLAQIUABQAAAAIAIdO4kCajDuv&#10;VQIAAO0EAAAOAAAAAAAAAAEAIAAAACgBAABkcnMvZTJvRG9jLnhtbFBLBQYAAAAABgAGAFkBAADv&#10;BQAAAAA=&#10;" path="m0,0l4769485,0,4777105,2111375,7370445,2103755,7378065,506730e">
                <v:fill on="f" focussize="0,0"/>
                <v:stroke weight="2.25pt" color="#70AD47" joinstyle="miter"/>
                <v:imagedata o:title=""/>
                <o:lock v:ext="edit" aspectratio="f"/>
              </v:shape>
            </w:pict>
          </mc:Fallback>
        </mc:AlternateContent>
      </w:r>
      <w:r>
        <w:rPr>
          <w:color w:val="auto"/>
          <w:sz w:val="24"/>
          <w:highlight w:val="none"/>
        </w:rPr>
        <mc:AlternateContent>
          <mc:Choice Requires="wps">
            <w:drawing>
              <wp:anchor distT="0" distB="0" distL="0" distR="0" simplePos="0" relativeHeight="251659264" behindDoc="0" locked="0" layoutInCell="1" allowOverlap="1">
                <wp:simplePos x="0" y="0"/>
                <wp:positionH relativeFrom="column">
                  <wp:posOffset>1616710</wp:posOffset>
                </wp:positionH>
                <wp:positionV relativeFrom="paragraph">
                  <wp:posOffset>4140835</wp:posOffset>
                </wp:positionV>
                <wp:extent cx="4652645" cy="893445"/>
                <wp:effectExtent l="13970" t="0" r="635" b="20955"/>
                <wp:wrapNone/>
                <wp:docPr id="1069" name="任意多边形 9"/>
                <wp:cNvGraphicFramePr/>
                <a:graphic xmlns:a="http://schemas.openxmlformats.org/drawingml/2006/main">
                  <a:graphicData uri="http://schemas.microsoft.com/office/word/2010/wordprocessingShape">
                    <wps:wsp>
                      <wps:cNvSpPr/>
                      <wps:spPr>
                        <a:xfrm>
                          <a:off x="0" y="0"/>
                          <a:ext cx="4652645" cy="893445"/>
                        </a:xfrm>
                        <a:custGeom>
                          <a:avLst/>
                          <a:gdLst/>
                          <a:ahLst/>
                          <a:cxnLst/>
                          <a:rect l="l" t="t" r="r" b="b"/>
                          <a:pathLst>
                            <a:path w="4652645" h="893445">
                              <a:moveTo>
                                <a:pt x="0" y="0"/>
                              </a:moveTo>
                              <a:lnTo>
                                <a:pt x="0" y="702945"/>
                              </a:lnTo>
                              <a:lnTo>
                                <a:pt x="0" y="893445"/>
                              </a:lnTo>
                              <a:lnTo>
                                <a:pt x="4425315" y="893445"/>
                              </a:lnTo>
                              <a:lnTo>
                                <a:pt x="4652645" y="893445"/>
                              </a:lnTo>
                            </a:path>
                          </a:pathLst>
                        </a:custGeom>
                        <a:ln w="28575" cap="flat" cmpd="sng">
                          <a:solidFill>
                            <a:srgbClr val="70AD47"/>
                          </a:solidFill>
                          <a:prstDash val="solid"/>
                          <a:miter/>
                        </a:ln>
                      </wps:spPr>
                      <wps:bodyPr/>
                    </wps:wsp>
                  </a:graphicData>
                </a:graphic>
              </wp:anchor>
            </w:drawing>
          </mc:Choice>
          <mc:Fallback>
            <w:pict>
              <v:shape id="任意多边形 9" o:spid="_x0000_s1026" o:spt="100" style="position:absolute;left:0pt;margin-left:127.3pt;margin-top:326.05pt;height:70.35pt;width:366.35pt;z-index:251659264;mso-width-relative:page;mso-height-relative:page;" filled="f" stroked="t" coordsize="4652645,893445" o:gfxdata="UEsDBAoAAAAAAIdO4kAAAAAAAAAAAAAAAAAEAAAAZHJzL1BLAwQUAAAACACHTuJAy+OvP9oAAAAL&#10;AQAADwAAAGRycy9kb3ducmV2LnhtbE2PTU+EMBRF9yb+h+aZuHMKKAwgj1kYcaObGb+2hT4BpS2h&#10;ZWD+vZ2VLl/uyb3nFbtVDexIk+2NRgg3ATDSjZG9bhHeXqubFJh1QksxGE0IJ7KwKy8vCpFLs+g9&#10;HQ+uZb5E21wgdM6NOee26UgJuzEjaZ99mUkJ58+p5XISiy9XA4+CIOFK9NovdGKkh46an8OsEJbK&#10;VtlLG388Pr1/fs+G7+vT84p4fRUG98Acre4PhrO+V4fSO9Vm1tKyASGK7xKPIiRxFALzRJZub4HV&#10;CNssSoGXBf//Q/kLUEsDBBQAAAAIAIdO4kDKQBG1QAIAAOIEAAAOAAAAZHJzL2Uyb0RvYy54bWyt&#10;VMuO0zAU3SPxD5b3NGkmfartCFENGwQjzfABruM0lvyS7TadPXv2LBE/gUbwNQziM7h2Hu10WMyC&#10;TXzje31yzznXWVwepEB7Zh3XaomHgxQjpqguuNou8cfbq1dTjJwnqiBCK7bEd8zhy9XLF4vazFmm&#10;Ky0KZhGAKDevzRJX3pt5kjhaMUncQBumIFlqK4mHV7tNCktqQJciydJ0nNTaFsZqypyD3XWTxC2i&#10;fQ6gLktO2VrTnWTKN6iWCeKBkqu4cXgVuy1LRv2HsnTMI7HEwNTHJ3wE4k14JqsFmW8tMRWnbQvk&#10;OS2ccZKEK/hoD7UmnqCd5U+gJKdWO136AdUyaYhERYDFMD3T5qYihkUuILUzveju/8HS9/tri3gB&#10;k5COZxgpIsHzX/f3vz99fvj25c/P7w8/vqJZ0Kk2bg7lN+batm8OwkD6UFoZVqCDDlHbu15bdvCI&#10;wmY+HmXjfIQRhdx0dpFDDDDJ8TTdOf+W6YhE9u+cb7wpuohUXUQPqgstOBy8FdFbjxF4a6O3m8Zb&#10;Q3w4F9oLIapPWqn6TkJa6j271bHQn9GALo9ZoZ5WTdJs1hPqCrrVnMA9Yt4VdGtTmOfZ6GIISp0L&#10;1ZV1a1veCfvvcmg98I5K91rA5qnaQgVZsuloEvwhcKlLuEwQSgOD4dQ2jrbTghdXXIggkbPbzRth&#10;0Z6A+JP09TqftHY+KjPW+TVxVVMXU40tkntmG/+FgubCcDXjFKKNLu7ilMV9GP3YfntNw906fY+n&#10;j7+m1V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L468/2gAAAAsBAAAPAAAAAAAAAAEAIAAAACIA&#10;AABkcnMvZG93bnJldi54bWxQSwECFAAUAAAACACHTuJAykARtUACAADiBAAADgAAAAAAAAABACAA&#10;AAApAQAAZHJzL2Uyb0RvYy54bWxQSwUGAAAAAAYABgBZAQAA2wUAAAAA&#10;" path="m0,0l0,702945,0,893445,4425315,893445,4652645,893445e">
                <v:fill on="f" focussize="0,0"/>
                <v:stroke weight="2.25pt" color="#70AD47" joinstyle="miter"/>
                <v:imagedata o:title=""/>
                <o:lock v:ext="edit" aspectratio="f"/>
              </v:shape>
            </w:pict>
          </mc:Fallback>
        </mc:AlternateContent>
      </w:r>
      <w:r>
        <w:rPr>
          <w:color w:val="auto"/>
          <w:sz w:val="24"/>
          <w:highlight w:val="none"/>
        </w:rPr>
        <mc:AlternateContent>
          <mc:Choice Requires="wps">
            <w:drawing>
              <wp:anchor distT="0" distB="0" distL="0" distR="0" simplePos="0" relativeHeight="251659264" behindDoc="0" locked="0" layoutInCell="1" allowOverlap="1">
                <wp:simplePos x="0" y="0"/>
                <wp:positionH relativeFrom="column">
                  <wp:posOffset>7453630</wp:posOffset>
                </wp:positionH>
                <wp:positionV relativeFrom="paragraph">
                  <wp:posOffset>2729230</wp:posOffset>
                </wp:positionV>
                <wp:extent cx="0" cy="586105"/>
                <wp:effectExtent l="13970" t="0" r="24130" b="4445"/>
                <wp:wrapNone/>
                <wp:docPr id="1070" name="任意多边形 28"/>
                <wp:cNvGraphicFramePr/>
                <a:graphic xmlns:a="http://schemas.openxmlformats.org/drawingml/2006/main">
                  <a:graphicData uri="http://schemas.microsoft.com/office/word/2010/wordprocessingShape">
                    <wps:wsp>
                      <wps:cNvSpPr/>
                      <wps:spPr>
                        <a:xfrm>
                          <a:off x="0" y="0"/>
                          <a:ext cx="0" cy="586104"/>
                        </a:xfrm>
                        <a:custGeom>
                          <a:avLst/>
                          <a:gdLst/>
                          <a:ahLst/>
                          <a:cxnLst/>
                          <a:rect l="l" t="t" r="r" b="b"/>
                          <a:pathLst>
                            <a:path h="586105">
                              <a:moveTo>
                                <a:pt x="0" y="586105"/>
                              </a:moveTo>
                              <a:lnTo>
                                <a:pt x="0" y="0"/>
                              </a:lnTo>
                            </a:path>
                          </a:pathLst>
                        </a:custGeom>
                        <a:ln w="28575" cap="flat" cmpd="sng">
                          <a:solidFill>
                            <a:srgbClr val="FFFF00"/>
                          </a:solidFill>
                          <a:prstDash val="solid"/>
                          <a:miter/>
                        </a:ln>
                      </wps:spPr>
                      <wps:bodyPr/>
                    </wps:wsp>
                  </a:graphicData>
                </a:graphic>
              </wp:anchor>
            </w:drawing>
          </mc:Choice>
          <mc:Fallback>
            <w:pict>
              <v:shape id="任意多边形 28" o:spid="_x0000_s1026" o:spt="100" style="position:absolute;left:0pt;margin-left:586.9pt;margin-top:214.9pt;height:46.15pt;width:0pt;z-index:251659264;mso-width-relative:page;mso-height-relative:page;" filled="f" stroked="t" coordsize="1,586105" o:gfxdata="UEsDBAoAAAAAAIdO4kAAAAAAAAAAAAAAAAAEAAAAZHJzL1BLAwQUAAAACACHTuJAspQz6doAAAAN&#10;AQAADwAAAGRycy9kb3ducmV2LnhtbE2PS2/CMBCE75X4D9Yi9VacRx+QxuGA1B77SCsENxNvk0C8&#10;jmIH6L/voh7a287uaPabfHm2nTji4FtHCuJZBAKpcqalWsHnx9PNHIQPmozuHKGCb/SwLCZXuc6M&#10;O9E7HstQCw4hn2kFTQh9JqWvGrTaz1yPxLcvN1gdWA61NIM+cbjtZBJF99LqlvhDo3tcNVgdytEq&#10;WIT1Oh1LvzWvzy97uX/b1H26Uep6GkePIAKew58ZLviMDgUz7dxIxouOdfyQMntQcJsseLhYflc7&#10;BXdJEoMscvm/RfEDUEsDBBQAAAAIAIdO4kDVnmwKFwIAAEoEAAAOAAAAZHJzL2Uyb0RvYy54bWyt&#10;VM2O0zAQviPxDpbvNGlFd6uq6R6oygXBSrs8gOs4jSX/yeM26Z07d46Il0AreBoW8RiM7bRddi97&#10;oId0PDOe+b75Jllc9VqRvfAgranoeFRSIgy3tTTbin68Xb+aUQKBmZopa0RFDwLo1fLli0Xn5mJi&#10;W6tq4QkWMTDvXEXbENy8KIC3QjMYWScMBhvrNQt49Nui9qzD6loVk7K8KDrra+ctFwDoXeUgHSr6&#10;5xS0TSO5WFm+08KEXNULxQJSglY6oMuEtmkEDx+aBkQgqqLINKQnNkF7E5/FcsHmW89cK/kAgT0H&#10;wiNOmkmDTU+lViwwsvPySSktubdgmzDiVheZSJoIshiXj2Zz0zInEhccNbjT0OH/leXv99eeyBo3&#10;obzEoRimUfNfd3e/P32+//blz8/v9z++ksksDqpzMMf8G3fthxOgGVn3jdfxH/mQPg33cBqu6APh&#10;2cnRO51djMvXsVxxvsd3EN4Km2qw/TsIWZb6aLH2aPHeHE2P4kZZVZI1UIKy+iTrJsvqWIj3IrBo&#10;knboPk1KabsXtzYFwxl0gjcd4J1TlHmampYHSeQYGrFJonVqjM6H1JQhXUUns+nllBLO8OVpcGnR&#10;1A4FALNNwMAqWa+lUhEb+O3mjfJkz5DpGn/lse0/ac5DWDFoc14K5RloGYTPw1YGwUUNs2rR2tj6&#10;kMRMflyxBH94HeIOPzyn2+dPwPI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spQz6doAAAANAQAA&#10;DwAAAAAAAAABACAAAAAiAAAAZHJzL2Rvd25yZXYueG1sUEsBAhQAFAAAAAgAh07iQNWebAoXAgAA&#10;SgQAAA4AAAAAAAAAAQAgAAAAKQEAAGRycy9lMm9Eb2MueG1sUEsFBgAAAAAGAAYAWQEAALIFAAAA&#10;AA==&#10;" path="m0,586105l0,0e">
                <v:fill on="f" focussize="0,0"/>
                <v:stroke weight="2.25pt" color="#FFFF00" joinstyle="miter"/>
                <v:imagedata o:title=""/>
                <o:lock v:ext="edit" aspectratio="f"/>
              </v:shape>
            </w:pict>
          </mc:Fallback>
        </mc:AlternateContent>
      </w:r>
    </w:p>
    <w:p w14:paraId="27D220B4">
      <w:pPr>
        <w:pStyle w:val="46"/>
        <w:keepNext w:val="0"/>
        <w:keepLines w:val="0"/>
        <w:pageBreakBefore w:val="0"/>
        <w:widowControl w:val="0"/>
        <w:kinsoku/>
        <w:wordWrap/>
        <w:overflowPunct/>
        <w:topLinePunct w:val="0"/>
        <w:autoSpaceDE w:val="0"/>
        <w:autoSpaceDN w:val="0"/>
        <w:bidi w:val="0"/>
        <w:adjustRightInd w:val="0"/>
        <w:snapToGrid/>
        <w:jc w:val="center"/>
        <w:textAlignment w:val="auto"/>
        <w:outlineLvl w:val="0"/>
        <w:rPr>
          <w:rFonts w:hint="eastAsia"/>
          <w:color w:val="auto"/>
          <w:highlight w:val="none"/>
        </w:rPr>
        <w:sectPr>
          <w:pgSz w:w="16838" w:h="11906" w:orient="landscape"/>
          <w:pgMar w:top="1440" w:right="1083" w:bottom="1440" w:left="1083" w:header="851" w:footer="992" w:gutter="0"/>
          <w:pgBorders>
            <w:top w:val="none" w:sz="0" w:space="0"/>
            <w:left w:val="none" w:sz="0" w:space="0"/>
            <w:bottom w:val="none" w:sz="0" w:space="0"/>
            <w:right w:val="none" w:sz="0" w:space="0"/>
          </w:pgBorders>
          <w:pgNumType w:fmt="numberInDash"/>
          <w:cols w:space="0" w:num="1"/>
          <w:rtlGutter w:val="0"/>
          <w:docGrid w:type="lines" w:linePitch="312" w:charSpace="0"/>
        </w:sectPr>
      </w:pPr>
      <w:bookmarkStart w:id="162" w:name="_Toc17711"/>
      <w:r>
        <w:rPr>
          <w:rFonts w:hint="eastAsia" w:ascii="Times New Roman"/>
          <w:b/>
          <w:bCs/>
          <w:color w:val="auto"/>
          <w:sz w:val="24"/>
          <w:szCs w:val="24"/>
          <w:highlight w:val="none"/>
        </w:rPr>
        <w:t>附图</w:t>
      </w:r>
      <w:r>
        <w:rPr>
          <w:rFonts w:hint="eastAsia" w:ascii="Times New Roman" w:eastAsia="宋体"/>
          <w:b/>
          <w:bCs/>
          <w:color w:val="auto"/>
          <w:sz w:val="24"/>
          <w:szCs w:val="24"/>
          <w:highlight w:val="none"/>
        </w:rPr>
        <w:t>3</w:t>
      </w:r>
      <w:r>
        <w:rPr>
          <w:rFonts w:hint="default" w:ascii="Times New Roman" w:hAnsi="Times New Roman" w:cs="Times New Roman"/>
          <w:b/>
          <w:bCs/>
          <w:color w:val="auto"/>
          <w:sz w:val="24"/>
          <w:szCs w:val="24"/>
          <w:highlight w:val="none"/>
          <w:lang w:val="en-US" w:eastAsia="zh-CN"/>
        </w:rPr>
        <w:t>-2</w:t>
      </w:r>
      <w:r>
        <w:rPr>
          <w:rFonts w:hint="eastAsia" w:ascii="Times New Roman" w:eastAsia="宋体"/>
          <w:b/>
          <w:bCs/>
          <w:color w:val="auto"/>
          <w:sz w:val="24"/>
          <w:szCs w:val="24"/>
          <w:highlight w:val="none"/>
        </w:rPr>
        <w:t xml:space="preserve"> </w:t>
      </w:r>
      <w:r>
        <w:rPr>
          <w:rFonts w:hint="eastAsia" w:ascii="Times New Roman" w:eastAsia="宋体"/>
          <w:b/>
          <w:bCs/>
          <w:color w:val="auto"/>
          <w:sz w:val="24"/>
          <w:szCs w:val="24"/>
          <w:highlight w:val="none"/>
          <w:lang w:val="en-US" w:eastAsia="zh-CN"/>
        </w:rPr>
        <w:t>厂区</w:t>
      </w:r>
      <w:r>
        <w:rPr>
          <w:rFonts w:hint="eastAsia" w:ascii="Times New Roman"/>
          <w:b/>
          <w:bCs/>
          <w:color w:val="auto"/>
          <w:sz w:val="24"/>
          <w:szCs w:val="24"/>
          <w:highlight w:val="none"/>
          <w:lang w:val="en-US" w:eastAsia="zh-CN"/>
        </w:rPr>
        <w:t>雨污管网</w:t>
      </w:r>
      <w:r>
        <w:rPr>
          <w:rFonts w:hint="eastAsia" w:ascii="Times New Roman" w:eastAsia="宋体"/>
          <w:b/>
          <w:bCs/>
          <w:color w:val="auto"/>
          <w:sz w:val="24"/>
          <w:szCs w:val="24"/>
          <w:highlight w:val="none"/>
        </w:rPr>
        <w:t>图</w:t>
      </w:r>
      <w:bookmarkEnd w:id="162"/>
    </w:p>
    <w:p w14:paraId="3C2B9ABE">
      <w:pPr>
        <w:pStyle w:val="46"/>
        <w:keepNext w:val="0"/>
        <w:keepLines w:val="0"/>
        <w:pageBreakBefore w:val="0"/>
        <w:widowControl w:val="0"/>
        <w:kinsoku/>
        <w:wordWrap/>
        <w:overflowPunct/>
        <w:topLinePunct w:val="0"/>
        <w:autoSpaceDE/>
        <w:autoSpaceDN/>
        <w:bidi w:val="0"/>
        <w:snapToGrid w:val="0"/>
        <w:spacing w:line="240" w:lineRule="auto"/>
        <w:jc w:val="both"/>
        <w:textAlignment w:val="auto"/>
        <w:rPr>
          <w:rFonts w:ascii="Times New Roman"/>
          <w:color w:val="auto"/>
          <w:sz w:val="21"/>
          <w:highlight w:val="none"/>
        </w:rPr>
      </w:pPr>
      <w:r>
        <w:rPr>
          <w:color w:val="auto"/>
          <w:highlight w:val="none"/>
        </w:rPr>
        <w:drawing>
          <wp:anchor distT="0" distB="0" distL="0" distR="0" simplePos="0" relativeHeight="251659264" behindDoc="0" locked="0" layoutInCell="1" allowOverlap="1">
            <wp:simplePos x="0" y="0"/>
            <wp:positionH relativeFrom="column">
              <wp:posOffset>7419340</wp:posOffset>
            </wp:positionH>
            <wp:positionV relativeFrom="paragraph">
              <wp:posOffset>-1905</wp:posOffset>
            </wp:positionV>
            <wp:extent cx="972185" cy="1001395"/>
            <wp:effectExtent l="9525" t="9525" r="27940" b="17780"/>
            <wp:wrapNone/>
            <wp:docPr id="1071" name="图片 4"/>
            <wp:cNvGraphicFramePr/>
            <a:graphic xmlns:a="http://schemas.openxmlformats.org/drawingml/2006/main">
              <a:graphicData uri="http://schemas.openxmlformats.org/drawingml/2006/picture">
                <pic:pic xmlns:pic="http://schemas.openxmlformats.org/drawingml/2006/picture">
                  <pic:nvPicPr>
                    <pic:cNvPr id="1071" name="图片 4"/>
                    <pic:cNvPicPr/>
                  </pic:nvPicPr>
                  <pic:blipFill>
                    <a:blip r:embed="rId18" cstate="print"/>
                    <a:srcRect/>
                    <a:stretch>
                      <a:fillRect/>
                    </a:stretch>
                  </pic:blipFill>
                  <pic:spPr>
                    <a:xfrm>
                      <a:off x="0" y="0"/>
                      <a:ext cx="972184" cy="1001395"/>
                    </a:xfrm>
                    <a:prstGeom prst="rect">
                      <a:avLst/>
                    </a:prstGeom>
                    <a:ln w="9525" cap="flat" cmpd="sng">
                      <a:solidFill>
                        <a:srgbClr val="000000"/>
                      </a:solidFill>
                      <a:prstDash val="solid"/>
                      <a:round/>
                    </a:ln>
                  </pic:spPr>
                </pic:pic>
              </a:graphicData>
            </a:graphic>
          </wp:anchor>
        </w:drawing>
      </w:r>
      <w:r>
        <w:rPr>
          <w:color w:val="auto"/>
          <w:sz w:val="24"/>
          <w:highlight w:val="none"/>
        </w:rPr>
        <mc:AlternateContent>
          <mc:Choice Requires="wps">
            <w:drawing>
              <wp:anchor distT="0" distB="0" distL="0" distR="0" simplePos="0" relativeHeight="251659264" behindDoc="0" locked="0" layoutInCell="1" allowOverlap="1">
                <wp:simplePos x="0" y="0"/>
                <wp:positionH relativeFrom="column">
                  <wp:posOffset>5698490</wp:posOffset>
                </wp:positionH>
                <wp:positionV relativeFrom="paragraph">
                  <wp:posOffset>4432300</wp:posOffset>
                </wp:positionV>
                <wp:extent cx="1151255" cy="361315"/>
                <wp:effectExtent l="0" t="0" r="0" b="0"/>
                <wp:wrapNone/>
                <wp:docPr id="1072" name="文本框 180"/>
                <wp:cNvGraphicFramePr/>
                <a:graphic xmlns:a="http://schemas.openxmlformats.org/drawingml/2006/main">
                  <a:graphicData uri="http://schemas.microsoft.com/office/word/2010/wordprocessingShape">
                    <wps:wsp>
                      <wps:cNvSpPr/>
                      <wps:spPr>
                        <a:xfrm>
                          <a:off x="0" y="0"/>
                          <a:ext cx="1151254" cy="361315"/>
                        </a:xfrm>
                        <a:prstGeom prst="rect">
                          <a:avLst/>
                        </a:prstGeom>
                        <a:ln>
                          <a:noFill/>
                        </a:ln>
                      </wps:spPr>
                      <wps:txbx>
                        <w:txbxContent>
                          <w:p w14:paraId="05147CC6">
                            <w:pPr>
                              <w:jc w:val="center"/>
                              <w:rPr>
                                <w:rFonts w:hint="eastAsia" w:eastAsia="宋体"/>
                                <w:b/>
                                <w:bCs/>
                                <w:color w:val="FF0000"/>
                                <w:sz w:val="21"/>
                                <w:szCs w:val="21"/>
                                <w:lang w:eastAsia="zh-CN"/>
                              </w:rPr>
                            </w:pPr>
                            <w:r>
                              <w:rPr>
                                <w:rFonts w:hint="eastAsia"/>
                                <w:b/>
                                <w:bCs/>
                                <w:color w:val="FF0000"/>
                                <w:sz w:val="21"/>
                                <w:szCs w:val="21"/>
                                <w:lang w:eastAsia="zh-CN"/>
                              </w:rPr>
                              <w:t>高粱头村</w:t>
                            </w:r>
                          </w:p>
                        </w:txbxContent>
                      </wps:txbx>
                      <wps:bodyPr vert="horz" wrap="square" lIns="91440" tIns="45720" rIns="91440" bIns="45720" anchor="t">
                        <a:noAutofit/>
                      </wps:bodyPr>
                    </wps:wsp>
                  </a:graphicData>
                </a:graphic>
              </wp:anchor>
            </w:drawing>
          </mc:Choice>
          <mc:Fallback>
            <w:pict>
              <v:rect id="文本框 180" o:spid="_x0000_s1026" o:spt="1" style="position:absolute;left:0pt;margin-left:448.7pt;margin-top:349pt;height:28.45pt;width:90.65pt;z-index:251659264;mso-width-relative:page;mso-height-relative:page;" filled="f" stroked="f" coordsize="21600,21600" o:gfxdata="UEsDBAoAAAAAAIdO4kAAAAAAAAAAAAAAAAAEAAAAZHJzL1BLAwQUAAAACACHTuJAdslBltwAAAAM&#10;AQAADwAAAGRycy9kb3ducmV2LnhtbE2PTUvDQBCG74L/YRnBi9jdSm0+zKSHglhEKKba8zYZk2B2&#10;Ns1uk/rv3Z70OMzD+z5vtjqbTow0uNYywnymQBCXtmq5RvjYPd/HIJzXXOnOMiH8kINVfn2V6bSy&#10;E7/TWPhahBB2qUZovO9TKV3ZkNFuZnvi8Puyg9E+nEMtq0FPIdx08kGppTS65dDQ6J7WDZXfxckg&#10;TOV23O/eXuT2br+xfNwc18XnK+LtzVw9gfB09n8wXPSDOuTB6WBPXDnRIcRJtAgowjKJw6gLoaI4&#10;AnFAiB4XCcg8k/9H5L9QSwMEFAAAAAgAh07iQItUk2fbAQAApQMAAA4AAABkcnMvZTJvRG9jLnht&#10;bK1TS44TMRDdI3EHy3vSn0lmhlY6I6RoEBKCkQYO4LjdaUv+UXbSHQ4AN2DFhj3nyjkou5skGjaz&#10;YOO4XJVX772qXt4NWpG9AC+tqWkxyykRhttGmm1NP3+6f3VLiQ/MNExZI2p6EJ7erV6+WPauEqXt&#10;rGoEEAQxvupdTbsQXJVlnndCMz+zThhMthY0CxjCNmuA9YiuVVbm+XXWW2gcWC68x9f1mKQTIjwH&#10;0Lat5GJt+U4LE0ZUEIoFlOQ76TxdJbZtK3j42LZeBKJqikpDOrEJ3jfxzFZLVm2BuU7yiQJ7DoUn&#10;mjSTBpueoNYsMLID+Q+Ulhyst22YcauzUUhyBFUU+RNvHjvmRNKCVnt3Mt3/P1j+Yf8ARDa4CflN&#10;SYlhGmd+/PH9+PP38dc3Utwmj3rnKyx9dA+AjsXI4zUKHlrQ8RelkCH5ejj5KoZAOD4WxaIoF3NK&#10;OOaurourYhGNz87/duDDW2E1iZeaAs4t2cn2730YS/+WxGbKxNPYe6nUmI0v2ZlXvIVhM0xkN7Y5&#10;oEzcegTvLHylpMeZ19R/2TEQlKh3Bk19XczncUlSMF/clBjAZWZzmWGGI1RNR6bGvtkF28rENrYf&#10;e06scHpJ77RpcT0u41R1/rpWfw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B2yUGW3AAAAAwBAAAP&#10;AAAAAAAAAAEAIAAAACIAAABkcnMvZG93bnJldi54bWxQSwECFAAUAAAACACHTuJAi1STZ9sBAACl&#10;AwAADgAAAAAAAAABACAAAAArAQAAZHJzL2Uyb0RvYy54bWxQSwUGAAAAAAYABgBZAQAAeAUAAAAA&#10;">
                <v:fill on="f" focussize="0,0"/>
                <v:stroke on="f"/>
                <v:imagedata o:title=""/>
                <o:lock v:ext="edit" aspectratio="f"/>
                <v:textbox>
                  <w:txbxContent>
                    <w:p w14:paraId="05147CC6">
                      <w:pPr>
                        <w:jc w:val="center"/>
                        <w:rPr>
                          <w:rFonts w:hint="eastAsia" w:eastAsia="宋体"/>
                          <w:b/>
                          <w:bCs/>
                          <w:color w:val="FF0000"/>
                          <w:sz w:val="21"/>
                          <w:szCs w:val="21"/>
                          <w:lang w:eastAsia="zh-CN"/>
                        </w:rPr>
                      </w:pPr>
                      <w:r>
                        <w:rPr>
                          <w:rFonts w:hint="eastAsia"/>
                          <w:b/>
                          <w:bCs/>
                          <w:color w:val="FF0000"/>
                          <w:sz w:val="21"/>
                          <w:szCs w:val="21"/>
                          <w:lang w:eastAsia="zh-CN"/>
                        </w:rPr>
                        <w:t>高粱头村</w:t>
                      </w:r>
                    </w:p>
                  </w:txbxContent>
                </v:textbox>
              </v:rect>
            </w:pict>
          </mc:Fallback>
        </mc:AlternateContent>
      </w:r>
      <w:r>
        <w:rPr>
          <w:color w:val="auto"/>
          <w:sz w:val="24"/>
          <w:highlight w:val="none"/>
        </w:rPr>
        <mc:AlternateContent>
          <mc:Choice Requires="wps">
            <w:drawing>
              <wp:anchor distT="0" distB="0" distL="0" distR="0" simplePos="0" relativeHeight="251659264" behindDoc="0" locked="0" layoutInCell="1" allowOverlap="1">
                <wp:simplePos x="0" y="0"/>
                <wp:positionH relativeFrom="column">
                  <wp:posOffset>-2540</wp:posOffset>
                </wp:positionH>
                <wp:positionV relativeFrom="paragraph">
                  <wp:posOffset>3604260</wp:posOffset>
                </wp:positionV>
                <wp:extent cx="1511935" cy="1571625"/>
                <wp:effectExtent l="6350" t="6350" r="24765" b="22225"/>
                <wp:wrapNone/>
                <wp:docPr id="1073" name="矩形 171"/>
                <wp:cNvGraphicFramePr/>
                <a:graphic xmlns:a="http://schemas.openxmlformats.org/drawingml/2006/main">
                  <a:graphicData uri="http://schemas.microsoft.com/office/word/2010/wordprocessingShape">
                    <wps:wsp>
                      <wps:cNvSpPr/>
                      <wps:spPr>
                        <a:xfrm>
                          <a:off x="0" y="0"/>
                          <a:ext cx="1511935" cy="1571625"/>
                        </a:xfrm>
                        <a:prstGeom prst="rect">
                          <a:avLst/>
                        </a:prstGeom>
                        <a:solidFill>
                          <a:srgbClr val="E7E6E6"/>
                        </a:solidFill>
                        <a:ln w="12700" cap="flat" cmpd="sng">
                          <a:solidFill>
                            <a:srgbClr val="000000"/>
                          </a:solidFill>
                          <a:prstDash val="solid"/>
                          <a:miter/>
                        </a:ln>
                      </wps:spPr>
                      <wps:bodyPr/>
                    </wps:wsp>
                  </a:graphicData>
                </a:graphic>
              </wp:anchor>
            </w:drawing>
          </mc:Choice>
          <mc:Fallback>
            <w:pict>
              <v:rect id="矩形 171" o:spid="_x0000_s1026" o:spt="1" style="position:absolute;left:0pt;margin-left:-0.2pt;margin-top:283.8pt;height:123.75pt;width:119.05pt;z-index:251659264;mso-width-relative:page;mso-height-relative:page;" fillcolor="#E7E6E6" filled="t" stroked="t" coordsize="21600,21600" o:gfxdata="UEsDBAoAAAAAAIdO4kAAAAAAAAAAAAAAAAAEAAAAZHJzL1BLAwQUAAAACACHTuJA6SkXJ9kAAAAJ&#10;AQAADwAAAGRycy9kb3ducmV2LnhtbE2PMW+DMBSE90r9D9aL1C0xpg0gislQVEVVpyat1NHgF0DB&#10;zwibkP77ulMznu50912xu5qBXXByvSUJYhMBQ2qs7qmV8Hl8XWfAnFek1WAJJfygg115f1eoXNuF&#10;PvBy8C0LJeRyJaHzfsw5d02HRrmNHZGCd7KTUT7IqeV6UksoNwOPoyjhRvUUFjo14kuHzfkwGwn8&#10;ba721ddyFFmyP0dxpd+/ay/lw0pEz8A8Xv1/GP7wAzqUgam2M2nHBgnrpxCUsE3SBFjw48c0BVZL&#10;yMRWAC8Lfvug/AVQSwMEFAAAAAgAh07iQI5K98PcAQAAxQMAAA4AAABkcnMvZTJvRG9jLnhtbK1T&#10;S27bMBDdF+gdCO5rSQ5st4LlLGqnm6INkPQANEVKBPgDh7Hs0xTorofocYpeo0NKdT7NIotoQc2Q&#10;wzfz3gzXl0ejyUEEUM42tJqVlAjLXats19Bvt1fv3lMCkdmWaWdFQ08C6OXm7Zv14Gsxd73TrQgE&#10;QSzUg29oH6OviwJ4LwyDmfPC4qF0wbCIbuiKNrAB0Y0u5mW5LAYXWh8cFwC4ux0P6YQYXgLopFRc&#10;bB2/M8LGETUIzSJSgl55oJtcrZSCx69SgohENxSZxrxiErT3aS02a1Z3gfle8akE9pISnnAyTFlM&#10;eobassjIXVD/QRnFgwMn44w7U4xEsiLIoiqfaHPTMy8yF5Qa/Fl0eD1Y/uVwHYhqcRLK1QUllhns&#10;+Z/vP3//+kGqVZUEGjzUGHfjr8PkAZqJ7VEGk/7IgxyzqKezqOIYCcfNalFVHy4WlHA8qxarajlf&#10;JNTi/roPED8JZ0gyGhqwa1lMdvgMcQz9F5KygdOqvVJaZyd0+486kAPDDu9Wu+VuOaE/CtOWDJh+&#10;viqx85zh3EqcFzSNR+5gu5zw0RV4iFzm7znkVNmWQT9WkBFSGKuNiiKM1WuLfJOMo3DJ2rv2lPXM&#10;+9jdrMg0iWl8Hvr59v3r2/w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6SkXJ9kAAAAJAQAADwAA&#10;AAAAAAABACAAAAAiAAAAZHJzL2Rvd25yZXYueG1sUEsBAhQAFAAAAAgAh07iQI5K98PcAQAAxQMA&#10;AA4AAAAAAAAAAQAgAAAAKAEAAGRycy9lMm9Eb2MueG1sUEsFBgAAAAAGAAYAWQEAAHYFAAAAAA==&#10;">
                <v:fill on="t" focussize="0,0"/>
                <v:stroke weight="1pt" color="#000000" joinstyle="miter"/>
                <v:imagedata o:title=""/>
                <o:lock v:ext="edit" aspectratio="f"/>
              </v:rect>
            </w:pict>
          </mc:Fallback>
        </mc:AlternateContent>
      </w:r>
      <w:r>
        <w:rPr>
          <w:color w:val="auto"/>
          <w:sz w:val="24"/>
          <w:highlight w:val="none"/>
        </w:rPr>
        <mc:AlternateContent>
          <mc:Choice Requires="wpg">
            <w:drawing>
              <wp:anchor distT="0" distB="0" distL="0" distR="0" simplePos="0" relativeHeight="251659264" behindDoc="0" locked="0" layoutInCell="1" allowOverlap="1">
                <wp:simplePos x="0" y="0"/>
                <wp:positionH relativeFrom="column">
                  <wp:posOffset>31115</wp:posOffset>
                </wp:positionH>
                <wp:positionV relativeFrom="paragraph">
                  <wp:posOffset>3566795</wp:posOffset>
                </wp:positionV>
                <wp:extent cx="1534160" cy="1597660"/>
                <wp:effectExtent l="0" t="0" r="0" b="1905"/>
                <wp:wrapNone/>
                <wp:docPr id="1074" name="组合 206"/>
                <wp:cNvGraphicFramePr/>
                <a:graphic xmlns:a="http://schemas.openxmlformats.org/drawingml/2006/main">
                  <a:graphicData uri="http://schemas.microsoft.com/office/word/2010/wordprocessingGroup">
                    <wpg:wgp>
                      <wpg:cNvGrpSpPr/>
                      <wpg:grpSpPr>
                        <a:xfrm rot="0">
                          <a:off x="0" y="0"/>
                          <a:ext cx="1534160" cy="1597659"/>
                          <a:chOff x="12779" y="1684314"/>
                          <a:chExt cx="2416" cy="2516"/>
                        </a:xfrm>
                      </wpg:grpSpPr>
                      <wps:wsp>
                        <wps:cNvPr id="8" name="矩形 8"/>
                        <wps:cNvSpPr/>
                        <wps:spPr>
                          <a:xfrm>
                            <a:off x="12779" y="1684314"/>
                            <a:ext cx="2416" cy="2517"/>
                          </a:xfrm>
                          <a:prstGeom prst="rect">
                            <a:avLst/>
                          </a:prstGeom>
                          <a:ln>
                            <a:noFill/>
                          </a:ln>
                        </wps:spPr>
                        <wps:txbx>
                          <w:txbxContent>
                            <w:p w14:paraId="475A04E8">
                              <w:pPr>
                                <w:jc w:val="center"/>
                                <w:rPr>
                                  <w:rFonts w:hint="eastAsia"/>
                                  <w:b/>
                                  <w:bCs/>
                                  <w:color w:val="000000"/>
                                  <w:sz w:val="21"/>
                                  <w:szCs w:val="21"/>
                                  <w:lang w:val="en-US" w:eastAsia="zh-CN"/>
                                </w:rPr>
                              </w:pPr>
                              <w:r>
                                <w:rPr>
                                  <w:rFonts w:hint="eastAsia"/>
                                  <w:b/>
                                  <w:bCs/>
                                  <w:color w:val="000000"/>
                                  <w:sz w:val="21"/>
                                  <w:szCs w:val="21"/>
                                  <w:lang w:val="en-US" w:eastAsia="zh-CN"/>
                                </w:rPr>
                                <w:t>图例</w:t>
                              </w:r>
                            </w:p>
                            <w:p w14:paraId="43251478">
                              <w:pPr>
                                <w:pStyle w:val="4"/>
                                <w:numPr>
                                  <w:ilvl w:val="2"/>
                                  <w:numId w:val="0"/>
                                </w:numPr>
                                <w:rPr>
                                  <w:rFonts w:hint="eastAsia"/>
                                  <w:b/>
                                  <w:bCs/>
                                  <w:color w:val="000000"/>
                                  <w:sz w:val="21"/>
                                  <w:szCs w:val="21"/>
                                  <w:lang w:val="en-US" w:eastAsia="zh-CN"/>
                                </w:rPr>
                              </w:pPr>
                              <w:r>
                                <w:rPr>
                                  <w:rFonts w:hint="eastAsia"/>
                                  <w:b/>
                                  <w:bCs/>
                                  <w:color w:val="000000"/>
                                  <w:sz w:val="21"/>
                                  <w:szCs w:val="21"/>
                                  <w:lang w:val="en-US" w:eastAsia="zh-CN"/>
                                </w:rPr>
                                <w:t>项目红线范围：</w:t>
                              </w:r>
                            </w:p>
                            <w:p w14:paraId="3E6F007E">
                              <w:pPr>
                                <w:rPr>
                                  <w:rFonts w:hint="eastAsia"/>
                                  <w:b/>
                                  <w:bCs/>
                                  <w:color w:val="000000"/>
                                  <w:sz w:val="21"/>
                                  <w:szCs w:val="21"/>
                                  <w:lang w:val="en-US" w:eastAsia="zh-CN"/>
                                </w:rPr>
                              </w:pPr>
                              <w:r>
                                <w:rPr>
                                  <w:rFonts w:hint="eastAsia"/>
                                  <w:b/>
                                  <w:bCs/>
                                  <w:color w:val="000000"/>
                                  <w:sz w:val="21"/>
                                  <w:szCs w:val="21"/>
                                  <w:lang w:val="en-US" w:eastAsia="zh-CN"/>
                                </w:rPr>
                                <w:t>环境保护目标：</w:t>
                              </w:r>
                            </w:p>
                            <w:p w14:paraId="4A38642A">
                              <w:pPr>
                                <w:pStyle w:val="4"/>
                                <w:numPr>
                                  <w:ilvl w:val="2"/>
                                  <w:numId w:val="0"/>
                                </w:numPr>
                                <w:rPr>
                                  <w:rFonts w:hint="eastAsia"/>
                                  <w:b/>
                                  <w:bCs/>
                                  <w:color w:val="000000"/>
                                  <w:sz w:val="21"/>
                                  <w:szCs w:val="21"/>
                                  <w:lang w:val="en-US" w:eastAsia="zh-CN"/>
                                </w:rPr>
                              </w:pPr>
                              <w:r>
                                <w:rPr>
                                  <w:rFonts w:hint="eastAsia"/>
                                  <w:b/>
                                  <w:bCs/>
                                  <w:color w:val="000000"/>
                                  <w:sz w:val="21"/>
                                  <w:szCs w:val="21"/>
                                  <w:lang w:val="en-US" w:eastAsia="zh-CN"/>
                                </w:rPr>
                                <w:t>500m范围：</w:t>
                              </w:r>
                            </w:p>
                            <w:p w14:paraId="6576AED5">
                              <w:pPr>
                                <w:rPr>
                                  <w:rFonts w:hint="default"/>
                                  <w:b/>
                                  <w:bCs/>
                                  <w:color w:val="000000"/>
                                  <w:sz w:val="21"/>
                                  <w:szCs w:val="21"/>
                                  <w:lang w:val="en-US" w:eastAsia="zh-CN"/>
                                </w:rPr>
                              </w:pPr>
                              <w:r>
                                <w:rPr>
                                  <w:rFonts w:hint="eastAsia"/>
                                  <w:b/>
                                  <w:bCs/>
                                  <w:color w:val="000000"/>
                                  <w:sz w:val="21"/>
                                  <w:szCs w:val="21"/>
                                  <w:lang w:val="en-US" w:eastAsia="zh-CN"/>
                                </w:rPr>
                                <w:t>50m范围：</w:t>
                              </w:r>
                            </w:p>
                          </w:txbxContent>
                        </wps:txbx>
                        <wps:bodyPr vert="horz" wrap="square" lIns="91440" tIns="45720" rIns="91440" bIns="45720" anchor="t">
                          <a:noAutofit/>
                        </wps:bodyPr>
                      </wps:wsp>
                      <wps:wsp>
                        <wps:cNvPr id="9" name="矩形 9"/>
                        <wps:cNvSpPr/>
                        <wps:spPr>
                          <a:xfrm>
                            <a:off x="14381" y="1684942"/>
                            <a:ext cx="540" cy="330"/>
                          </a:xfrm>
                          <a:prstGeom prst="rect">
                            <a:avLst/>
                          </a:prstGeom>
                          <a:ln w="19050" cap="flat" cmpd="sng">
                            <a:solidFill>
                              <a:srgbClr val="FF0000"/>
                            </a:solidFill>
                            <a:prstDash val="solid"/>
                            <a:miter/>
                          </a:ln>
                        </wps:spPr>
                        <wps:bodyPr/>
                      </wps:wsp>
                      <wps:wsp>
                        <wps:cNvPr id="10" name="矩形 10"/>
                        <wps:cNvSpPr/>
                        <wps:spPr>
                          <a:xfrm>
                            <a:off x="14351" y="1686427"/>
                            <a:ext cx="540" cy="330"/>
                          </a:xfrm>
                          <a:prstGeom prst="rect">
                            <a:avLst/>
                          </a:prstGeom>
                          <a:ln w="19050" cap="flat" cmpd="sng">
                            <a:solidFill>
                              <a:srgbClr val="0AECEB"/>
                            </a:solidFill>
                            <a:prstDash val="solid"/>
                            <a:miter/>
                          </a:ln>
                        </wps:spPr>
                        <wps:bodyPr/>
                      </wps:wsp>
                      <wps:wsp>
                        <wps:cNvPr id="11" name="矩形 11"/>
                        <wps:cNvSpPr/>
                        <wps:spPr>
                          <a:xfrm>
                            <a:off x="14351" y="1685947"/>
                            <a:ext cx="540" cy="330"/>
                          </a:xfrm>
                          <a:prstGeom prst="rect">
                            <a:avLst/>
                          </a:prstGeom>
                          <a:ln w="19050" cap="flat" cmpd="sng">
                            <a:solidFill>
                              <a:srgbClr val="2735AC"/>
                            </a:solidFill>
                            <a:prstDash val="solid"/>
                            <a:miter/>
                          </a:ln>
                        </wps:spPr>
                        <wps:bodyPr/>
                      </wps:wsp>
                      <wps:wsp>
                        <wps:cNvPr id="12" name="矩形 12"/>
                        <wps:cNvSpPr/>
                        <wps:spPr>
                          <a:xfrm>
                            <a:off x="14366" y="1685437"/>
                            <a:ext cx="540" cy="330"/>
                          </a:xfrm>
                          <a:prstGeom prst="rect">
                            <a:avLst/>
                          </a:prstGeom>
                          <a:ln w="19050" cap="flat" cmpd="sng">
                            <a:solidFill>
                              <a:srgbClr val="00B050"/>
                            </a:solidFill>
                            <a:prstDash val="solid"/>
                            <a:miter/>
                          </a:ln>
                        </wps:spPr>
                        <wps:bodyPr/>
                      </wps:wsp>
                    </wpg:wgp>
                  </a:graphicData>
                </a:graphic>
              </wp:anchor>
            </w:drawing>
          </mc:Choice>
          <mc:Fallback>
            <w:pict>
              <v:group id="组合 206" o:spid="_x0000_s1026" o:spt="203" style="position:absolute;left:0pt;margin-left:2.45pt;margin-top:280.85pt;height:125.8pt;width:120.8pt;z-index:251659264;mso-width-relative:page;mso-height-relative:page;" coordorigin="12779,1684314" coordsize="2416,2516" o:gfxdata="UEsDBAoAAAAAAIdO4kAAAAAAAAAAAAAAAAAEAAAAZHJzL1BLAwQUAAAACACHTuJAF+oXH9oAAAAJ&#10;AQAADwAAAGRycy9kb3ducmV2LnhtbE2PQUvDQBSE74L/YXmCN7vZpok1ZlOkqKdSsBXE22vymoRm&#10;34bsNmn/vetJj8MMM9/kq4vpxEiDay1rULMIBHFpq5ZrDZ/7t4clCOeRK+wsk4YrOVgVtzc5ZpWd&#10;+IPGna9FKGGXoYbG+z6T0pUNGXQz2xMH72gHgz7IoZbVgFMoN52cR1EqDbYcFhrsad1QedqdjYb3&#10;CaeXWL2Om9Nxff3eJ9uvjSKt7+9U9AzC08X/heEXP6BDEZgO9syVE52GxVMIakhS9Qgi+PNFmoA4&#10;aFiqOAZZ5PL/g+IHUEsDBBQAAAAIAIdO4kBwI0ybFwMAAKoLAAAOAAAAZHJzL2Uyb0RvYy54bWzd&#10;Vs1u1DAQviPxDpbvNP/7EzVblW5bISGoVHgAb+L8SIkdbG+z5cyBI2+AxI1nQDxOxWswtrPp7qJK&#10;S1FR1T1Ytsf7eeb7ZiY+PFo1NbqiQlacJdg7cDGiLOVZxYoEv3939mKCkVSEZaTmjCb4mkp8NHv+&#10;7LBrY+rzktcZFQhAmIy7NsGlUm3sODItaUPkAW8pA2PORUMULEXhZIJ0gN7Uju+6I6fjImsFT6mU&#10;sDu3Rtwjin0AeZ5XKZ3zdNlQpiyqoDVREJIsq1bimfE2z2mq3ua5pArVCYZIlRnhEpgv9OjMDklc&#10;CNKWVdq7QPZxYSemhlQMLh2g5kQRtBTVH1BNlQouea4OUt44NhDDCEThuTvcnAu+bE0sRdwV7UA6&#10;CLXD+r1h0zdXFwJVGWSCOw4xYqQBzX/9+HTz5TPy3ZEmqGuLGM6di/ayvRD9RmFXOuZVLhokuOFW&#10;ryEqtDIUXw8U05VCKWx6URB6I2A/BZsXTcejaGpFSEtQSv/P88fjKUbaPpqEgReu7ac9hg8IFsCP&#10;YAYOOdYJmGhfB9e6FlJU3vIm/423y5K01MghNR89b1AuPWlfv9/8/IYm2iF9MxwZ+JKxBOrWZG2Q&#10;dEewa7q2Qh1vhUriVkh1TnmD9CTBApLd5CC5ei2VZWV9RN9YMz0yflbVtbXqHWBs7ZyeqdVi1fu/&#10;4Nk1xAitAsBLLj5i1EGhJFh+WBJBMapfMWB06oWhriyzCKOxDwuxaVlsWghLASrB1lPGj5eK55Xx&#10;Vl9v7+y9Aukskw+uIaTbloYmJffXMAwm3pCw09C3CbvWMNL06HQPAtNvhmS9h4Kog6qYupFG1FLk&#10;0PRg2rRQwJIVRn7J6yrTImu5pSgWJzWoSKABnp258OuzaOuYzpM5kaU9Z0w2iKZSVNyZLVYubdZk&#10;/T+9PIh/SzDY6LN2v6oLg2hQbBT6prJI/PgUc49PT05fPgXFgO5txbz7KxZNw0ermD8OouOTp6CY&#10;v6uY6Wt/0xVH8Jm2n/EoDB6tYq77UjdU2+QeqCuadwk84aBTbr0RN9emi94+sWe/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IoFAABbQ29udGVu&#10;dF9UeXBlc10ueG1sUEsBAhQACgAAAAAAh07iQAAAAAAAAAAAAAAAAAYAAAAAAAAAAAAQAAAAbAQA&#10;AF9yZWxzL1BLAQIUABQAAAAIAIdO4kCKFGY80QAAAJQBAAALAAAAAAAAAAEAIAAAAJAEAABfcmVs&#10;cy8ucmVsc1BLAQIUAAoAAAAAAIdO4kAAAAAAAAAAAAAAAAAEAAAAAAAAAAAAEAAAAAAAAABkcnMv&#10;UEsBAhQAFAAAAAgAh07iQBfqFx/aAAAACQEAAA8AAAAAAAAAAQAgAAAAIgAAAGRycy9kb3ducmV2&#10;LnhtbFBLAQIUABQAAAAIAIdO4kBwI0ybFwMAAKoLAAAOAAAAAAAAAAEAIAAAACkBAABkcnMvZTJv&#10;RG9jLnhtbFBLBQYAAAAABgAGAFkBAACyBgAAAAA=&#10;">
                <o:lock v:ext="edit" aspectratio="f"/>
                <v:rect id="_x0000_s1026" o:spid="_x0000_s1026" o:spt="1" style="position:absolute;left:12779;top:1684314;height:2517;width:2416;" filled="f" stroked="f" coordsize="21600,21600" o:gfxdata="UEsDBAoAAAAAAIdO4kAAAAAAAAAAAAAAAAAEAAAAZHJzL1BLAwQUAAAACACHTuJAXQKA0LkAAADa&#10;AAAADwAAAGRycy9kb3ducmV2LnhtbEVPTYvCMBC9L/gfwgheFk31IEs17UEQiwhi3fU8NGNbbCa1&#10;ia3+e3MQ9vh43+v0aRrRU+dqywrmswgEcWF1zaWC3/N2+gPCeWSNjWVS8CIHaTL6WmOs7cAn6nNf&#10;ihDCLkYFlfdtLKUrKjLoZrYlDtzVdgZ9gF0pdYdDCDeNXETRUhqsOTRU2NKmouKWP4yCoTj2l/Nh&#10;J4/fl8zyPbtv8r+9UpPxPFqB8PT0/+KPO9MKwtZwJdwAmbw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0CgNC5AAAA2gAA&#10;AA8AAAAAAAAAAQAgAAAAIgAAAGRycy9kb3ducmV2LnhtbFBLAQIUABQAAAAIAIdO4kAzLwWeOwAA&#10;ADkAAAAQAAAAAAAAAAEAIAAAAAgBAABkcnMvc2hhcGV4bWwueG1sUEsFBgAAAAAGAAYAWwEAALID&#10;AAAAAA==&#10;">
                  <v:fill on="f" focussize="0,0"/>
                  <v:stroke on="f"/>
                  <v:imagedata o:title=""/>
                  <o:lock v:ext="edit" aspectratio="f"/>
                  <v:textbox>
                    <w:txbxContent>
                      <w:p w14:paraId="475A04E8">
                        <w:pPr>
                          <w:jc w:val="center"/>
                          <w:rPr>
                            <w:rFonts w:hint="eastAsia"/>
                            <w:b/>
                            <w:bCs/>
                            <w:color w:val="000000"/>
                            <w:sz w:val="21"/>
                            <w:szCs w:val="21"/>
                            <w:lang w:val="en-US" w:eastAsia="zh-CN"/>
                          </w:rPr>
                        </w:pPr>
                        <w:r>
                          <w:rPr>
                            <w:rFonts w:hint="eastAsia"/>
                            <w:b/>
                            <w:bCs/>
                            <w:color w:val="000000"/>
                            <w:sz w:val="21"/>
                            <w:szCs w:val="21"/>
                            <w:lang w:val="en-US" w:eastAsia="zh-CN"/>
                          </w:rPr>
                          <w:t>图例</w:t>
                        </w:r>
                      </w:p>
                      <w:p w14:paraId="43251478">
                        <w:pPr>
                          <w:pStyle w:val="4"/>
                          <w:numPr>
                            <w:ilvl w:val="2"/>
                            <w:numId w:val="0"/>
                          </w:numPr>
                          <w:rPr>
                            <w:rFonts w:hint="eastAsia"/>
                            <w:b/>
                            <w:bCs/>
                            <w:color w:val="000000"/>
                            <w:sz w:val="21"/>
                            <w:szCs w:val="21"/>
                            <w:lang w:val="en-US" w:eastAsia="zh-CN"/>
                          </w:rPr>
                        </w:pPr>
                        <w:r>
                          <w:rPr>
                            <w:rFonts w:hint="eastAsia"/>
                            <w:b/>
                            <w:bCs/>
                            <w:color w:val="000000"/>
                            <w:sz w:val="21"/>
                            <w:szCs w:val="21"/>
                            <w:lang w:val="en-US" w:eastAsia="zh-CN"/>
                          </w:rPr>
                          <w:t>项目红线范围：</w:t>
                        </w:r>
                      </w:p>
                      <w:p w14:paraId="3E6F007E">
                        <w:pPr>
                          <w:rPr>
                            <w:rFonts w:hint="eastAsia"/>
                            <w:b/>
                            <w:bCs/>
                            <w:color w:val="000000"/>
                            <w:sz w:val="21"/>
                            <w:szCs w:val="21"/>
                            <w:lang w:val="en-US" w:eastAsia="zh-CN"/>
                          </w:rPr>
                        </w:pPr>
                        <w:r>
                          <w:rPr>
                            <w:rFonts w:hint="eastAsia"/>
                            <w:b/>
                            <w:bCs/>
                            <w:color w:val="000000"/>
                            <w:sz w:val="21"/>
                            <w:szCs w:val="21"/>
                            <w:lang w:val="en-US" w:eastAsia="zh-CN"/>
                          </w:rPr>
                          <w:t>环境保护目标：</w:t>
                        </w:r>
                      </w:p>
                      <w:p w14:paraId="4A38642A">
                        <w:pPr>
                          <w:pStyle w:val="4"/>
                          <w:numPr>
                            <w:ilvl w:val="2"/>
                            <w:numId w:val="0"/>
                          </w:numPr>
                          <w:rPr>
                            <w:rFonts w:hint="eastAsia"/>
                            <w:b/>
                            <w:bCs/>
                            <w:color w:val="000000"/>
                            <w:sz w:val="21"/>
                            <w:szCs w:val="21"/>
                            <w:lang w:val="en-US" w:eastAsia="zh-CN"/>
                          </w:rPr>
                        </w:pPr>
                        <w:r>
                          <w:rPr>
                            <w:rFonts w:hint="eastAsia"/>
                            <w:b/>
                            <w:bCs/>
                            <w:color w:val="000000"/>
                            <w:sz w:val="21"/>
                            <w:szCs w:val="21"/>
                            <w:lang w:val="en-US" w:eastAsia="zh-CN"/>
                          </w:rPr>
                          <w:t>500m范围：</w:t>
                        </w:r>
                      </w:p>
                      <w:p w14:paraId="6576AED5">
                        <w:pPr>
                          <w:rPr>
                            <w:rFonts w:hint="default"/>
                            <w:b/>
                            <w:bCs/>
                            <w:color w:val="000000"/>
                            <w:sz w:val="21"/>
                            <w:szCs w:val="21"/>
                            <w:lang w:val="en-US" w:eastAsia="zh-CN"/>
                          </w:rPr>
                        </w:pPr>
                        <w:r>
                          <w:rPr>
                            <w:rFonts w:hint="eastAsia"/>
                            <w:b/>
                            <w:bCs/>
                            <w:color w:val="000000"/>
                            <w:sz w:val="21"/>
                            <w:szCs w:val="21"/>
                            <w:lang w:val="en-US" w:eastAsia="zh-CN"/>
                          </w:rPr>
                          <w:t>50m范围：</w:t>
                        </w:r>
                      </w:p>
                    </w:txbxContent>
                  </v:textbox>
                </v:rect>
                <v:rect id="_x0000_s1026" o:spid="_x0000_s1026" o:spt="1" style="position:absolute;left:14381;top:1684942;height:330;width:540;" filled="f" stroked="t" coordsize="21600,21600" o:gfxdata="UEsDBAoAAAAAAIdO4kAAAAAAAAAAAAAAAAAEAAAAZHJzL1BLAwQUAAAACACHTuJAJljrnLsAAADa&#10;AAAADwAAAGRycy9kb3ducmV2LnhtbEWPUWvCMBSF3wf7D+EKexkz7R5k1kahA1EUBOt+wKW5NsXm&#10;piSxun+/CMIeD+ec73DK1d32YiQfOscK8mkGgrhxuuNWwc9p/fEFIkRkjb1jUvBLAVbL15cSC+1u&#10;fKSxjq1IEA4FKjAxDoWUoTFkMUzdQJy8s/MWY5K+ldrjLcFtLz+zbCYtdpwWDA70bai51FerYMyr&#10;9aatcFPVbr87eAoz8x6Uepvk2QJEpHv8Dz/bW61gDo8r6QbI5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ljrnLsAAADa&#10;AAAADwAAAAAAAAABACAAAAAiAAAAZHJzL2Rvd25yZXYueG1sUEsBAhQAFAAAAAgAh07iQDMvBZ47&#10;AAAAOQAAABAAAAAAAAAAAQAgAAAACgEAAGRycy9zaGFwZXhtbC54bWxQSwUGAAAAAAYABgBbAQAA&#10;tAMAAAAA&#10;">
                  <v:fill on="f" focussize="0,0"/>
                  <v:stroke weight="1.5pt" color="#FF0000" joinstyle="miter"/>
                  <v:imagedata o:title=""/>
                  <o:lock v:ext="edit" aspectratio="f"/>
                </v:rect>
                <v:rect id="_x0000_s1026" o:spid="_x0000_s1026" o:spt="1" style="position:absolute;left:14351;top:1686427;height:330;width:540;" filled="f" stroked="t" coordsize="21600,21600" o:gfxdata="UEsDBAoAAAAAAIdO4kAAAAAAAAAAAAAAAAAEAAAAZHJzL1BLAwQUAAAACACHTuJAxbmWlr0AAADb&#10;AAAADwAAAGRycy9kb3ducmV2LnhtbEWPT4vCQAzF78J+hyELXmSdVkSkOoq7IHjx4J+9h05sq51M&#10;6Yy1u5/eHARvCe/lvV+W697VqqM2VJ4NpOMEFHHubcWFgfNp+zUHFSKyxdozGfijAOvVx2CJmfUP&#10;PlB3jIWSEA4ZGihjbDKtQ16SwzD2DbFoF986jLK2hbYtPiTc1XqSJDPtsGJpKLGhn5Ly2/HuDFxH&#10;3e+Gr/8nbefNftrHdBS+t8YMP9NkASpSH9/m1/XOCr7Qyy8ygF4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FuZaWvQAA&#10;ANsAAAAPAAAAAAAAAAEAIAAAACIAAABkcnMvZG93bnJldi54bWxQSwECFAAUAAAACACHTuJAMy8F&#10;njsAAAA5AAAAEAAAAAAAAAABACAAAAAMAQAAZHJzL3NoYXBleG1sLnhtbFBLBQYAAAAABgAGAFsB&#10;AAC2AwAAAAA=&#10;">
                  <v:fill on="f" focussize="0,0"/>
                  <v:stroke weight="1.5pt" color="#0AECEB" joinstyle="miter"/>
                  <v:imagedata o:title=""/>
                  <o:lock v:ext="edit" aspectratio="f"/>
                </v:rect>
                <v:rect id="_x0000_s1026" o:spid="_x0000_s1026" o:spt="1" style="position:absolute;left:14351;top:1685947;height:330;width:540;" filled="f" stroked="t" coordsize="21600,21600" o:gfxdata="UEsDBAoAAAAAAIdO4kAAAAAAAAAAAAAAAAAEAAAAZHJzL1BLAwQUAAAACACHTuJA/9xs9r0AAADb&#10;AAAADwAAAGRycy9kb3ducmV2LnhtbEVPTWvCQBC9F/wPywi96SYtFomuHkpLFU9VQ+ltzI5JbHY2&#10;7K5J/PfdgtDbPN7nLNeDaURHzteWFaTTBARxYXXNpYLj4X0yB+EDssbGMim4kYf1avSwxEzbnj+p&#10;24dSxBD2GSqoQmgzKX1RkUE/tS1x5M7WGQwRulJqh30MN418SpIXabDm2FBhS68VFT/7q1HQd9+X&#10;+jTbnZ/zZvs2+8hPX8PGKfU4TpMFiEBD+Bff3Rsd56fw90s8QK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3Gz2vQAA&#10;ANsAAAAPAAAAAAAAAAEAIAAAACIAAABkcnMvZG93bnJldi54bWxQSwECFAAUAAAACACHTuJAMy8F&#10;njsAAAA5AAAAEAAAAAAAAAABACAAAAAMAQAAZHJzL3NoYXBleG1sLnhtbFBLBQYAAAAABgAGAFsB&#10;AAC2AwAAAAA=&#10;">
                  <v:fill on="f" focussize="0,0"/>
                  <v:stroke weight="1.5pt" color="#2735AC" joinstyle="miter"/>
                  <v:imagedata o:title=""/>
                  <o:lock v:ext="edit" aspectratio="f"/>
                </v:rect>
                <v:rect id="_x0000_s1026" o:spid="_x0000_s1026" o:spt="1" style="position:absolute;left:14366;top:1685437;height:330;width:540;" filled="f" stroked="t" coordsize="21600,21600" o:gfxdata="UEsDBAoAAAAAAIdO4kAAAAAAAAAAAAAAAAAEAAAAZHJzL1BLAwQUAAAACACHTuJALoq44bcAAADb&#10;AAAADwAAAGRycy9kb3ducmV2LnhtbEVPTYvCMBC9C/6HMMJeRJMqLFKNHgQXwZO63odmbIrNpCSx&#10;uv/eLAje5vE+Z7V5ulb0FGLjWUMxVSCIK28arjX8nneTBYiYkA22nknDH0XYrIeDFZbGP/hI/SnV&#10;IodwLFGDTakrpYyVJYdx6jvizF19cJgyDLU0AR853LVyptS3dNhwbrDY0dZSdTvdnYbb/KCKsLcF&#10;jS8/13vn4rm/RK2/RoVagkj0TB/x2703ef4M/n/JB8j1C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uirjhtwAAANsAAAAP&#10;AAAAAAAAAAEAIAAAACIAAABkcnMvZG93bnJldi54bWxQSwECFAAUAAAACACHTuJAMy8FnjsAAAA5&#10;AAAAEAAAAAAAAAABACAAAAAGAQAAZHJzL3NoYXBleG1sLnhtbFBLBQYAAAAABgAGAFsBAACwAwAA&#10;AAA=&#10;">
                  <v:fill on="f" focussize="0,0"/>
                  <v:stroke weight="1.5pt" color="#00B050" joinstyle="miter"/>
                  <v:imagedata o:title=""/>
                  <o:lock v:ext="edit" aspectratio="f"/>
                </v:rect>
              </v:group>
            </w:pict>
          </mc:Fallback>
        </mc:AlternateContent>
      </w:r>
      <w:r>
        <w:rPr>
          <w:color w:val="auto"/>
          <w:highlight w:val="none"/>
        </w:rPr>
        <w:drawing>
          <wp:inline distT="0" distB="0" distL="0" distR="0">
            <wp:extent cx="8404225" cy="5185410"/>
            <wp:effectExtent l="0" t="0" r="15875" b="15240"/>
            <wp:docPr id="1080" name="图片 12"/>
            <wp:cNvGraphicFramePr/>
            <a:graphic xmlns:a="http://schemas.openxmlformats.org/drawingml/2006/main">
              <a:graphicData uri="http://schemas.openxmlformats.org/drawingml/2006/picture">
                <pic:pic xmlns:pic="http://schemas.openxmlformats.org/drawingml/2006/picture">
                  <pic:nvPicPr>
                    <pic:cNvPr id="1080" name="图片 12"/>
                    <pic:cNvPicPr/>
                  </pic:nvPicPr>
                  <pic:blipFill>
                    <a:blip r:embed="rId25" cstate="print"/>
                    <a:srcRect/>
                    <a:stretch>
                      <a:fillRect/>
                    </a:stretch>
                  </pic:blipFill>
                  <pic:spPr>
                    <a:xfrm>
                      <a:off x="0" y="0"/>
                      <a:ext cx="8404225" cy="5185410"/>
                    </a:xfrm>
                    <a:prstGeom prst="rect">
                      <a:avLst/>
                    </a:prstGeom>
                    <a:ln>
                      <a:noFill/>
                    </a:ln>
                  </pic:spPr>
                </pic:pic>
              </a:graphicData>
            </a:graphic>
          </wp:inline>
        </w:drawing>
      </w:r>
      <w:r>
        <w:rPr>
          <w:rFonts w:ascii="Times New Roman"/>
          <w:color w:val="auto"/>
          <w:sz w:val="21"/>
          <w:highlight w:val="none"/>
        </w:rPr>
        <mc:AlternateContent>
          <mc:Choice Requires="wps">
            <w:drawing>
              <wp:anchor distT="0" distB="0" distL="0" distR="0" simplePos="0" relativeHeight="251659264" behindDoc="0" locked="0" layoutInCell="1" allowOverlap="1">
                <wp:simplePos x="0" y="0"/>
                <wp:positionH relativeFrom="column">
                  <wp:posOffset>5151755</wp:posOffset>
                </wp:positionH>
                <wp:positionV relativeFrom="paragraph">
                  <wp:posOffset>3616325</wp:posOffset>
                </wp:positionV>
                <wp:extent cx="635" cy="635"/>
                <wp:effectExtent l="0" t="0" r="0" b="0"/>
                <wp:wrapNone/>
                <wp:docPr id="1081" name="墨迹 161"/>
                <wp:cNvGraphicFramePr/>
                <a:graphic xmlns:a="http://schemas.openxmlformats.org/drawingml/2006/main">
                  <a:graphicData uri="http://schemas.microsoft.com/office/word/2010/wordprocessingInk">
                    <mc:AlternateContent xmlns:a14="http://schemas.microsoft.com/office/drawing/2010/main">
                      <mc:Choice Requires="a14">
                        <w14:contentPart bwMode="auto" r:id="rId26">
                          <w14:nvContentPartPr>
                            <w14:cNvPr id="1081" name="墨迹 161"/>
                            <w14:cNvContentPartPr/>
                          </w14:nvContentPartPr>
                          <w14:xfrm>
                            <a:off x="0" y="0"/>
                            <a:ext cx="634" cy="634"/>
                          </w14:xfrm>
                        </w14:contentPart>
                      </mc:Choice>
                    </mc:AlternateContent>
                  </a:graphicData>
                </a:graphic>
              </wp:anchor>
            </w:drawing>
          </mc:Choice>
          <mc:Fallback>
            <w:pict>
              <v:shape id="墨迹 161" o:spid="_x0000_s1026" o:spt="75" style="position:absolute;left:0pt;margin-left:405.65pt;margin-top:284.75pt;height:0.05pt;width:0.05pt;z-index:251659264;mso-width-relative:page;mso-height-relative:page;" coordsize="21600,21600" o:gfxdata="UEsDBAoAAAAAAIdO4kAAAAAAAAAAAAAAAAAEAAAAZHJzL1BLAwQUAAAACACHTuJAxE7KY9sAAAAL&#10;AQAADwAAAGRycy9kb3ducmV2LnhtbE2PwU7DMAyG70i8Q2Qkbiwp3aqtNN0BgYTggFYmTdyyNmuq&#10;NU5Jsnbw9BgucPTvT78/F+uz7dmofegcSkhmApjG2jUdthK2b483S2AhKmxU71BL+NQB1uXlRaHy&#10;xk240WMVW0YlGHIlwcQ45JyH2mirwswNGml3cN6qSKNveePVROW257dCZNyqDumCUYO+N7o+Vicr&#10;4eG5+jBfu5enYzofV4dJ+Nf31Et5fZWIO2BRn+MfDD/6pA4lOe3dCZvAegnLJEkJlbDIVgtgRFAy&#10;B7b/TTLgZcH//1B+A1BLAwQUAAAACACHTuJAqyeaE4UBAABwAwAADgAAAGRycy9lMm9Eb2MueG1s&#10;rVNLTsMwEN0jcQfLe5qkoApFTbugQuoC6AIOYBy7sYg90dhpynVYcQVWnAaJYzBJWxqKkBBiY9kz&#10;9pv3kcfTtS3ZSqE34DKeDGLOlJOQG7fM+N3t5ck5Zz4Il4sSnMr4o/J8Ojk+GjdVqoZQQJkrZATi&#10;fNpUGS9CqNIo8rJQVvgBVMpRUwNaEeiIyyhH0RC6LaNhHI+iBjCvEKTynqqzTZNvEfE3gKC1kWoG&#10;srbKhQ0qqlIEkuQLU3k+6dhqrWS40dqrwMqMk9LQrTSE9vftGk3GIl2iqAojtxTEbygcaLLCOBr6&#10;CTUTQbAazTcoaySCBx0GEmy0EdI5QiqS+MCbuXtolSRnssZUggukdiEw7NzvGn8ZYUuS31xBTvmK&#10;OsA/u88wNXnGcZ4ne/5udbFXsMC9ruvVAll7P4nPE86csMTq7en5/fWFJaOkjWhnwfVXDOpE29ZP&#10;6GuNts2FnGbrLvbHz9jVOjBJxdHpGWeS6u2mh7l5u5vQ85/Gfkm6f24p9T7K5ANQSwMECgAAAAAA&#10;h07iQAAAAAAAAAAAAAAAAAgAAABkcnMvaW5rL1BLAwQUAAAACACHTuJAWMvVGaUBAADgAwAAEAAA&#10;AGRycy9pbmsvaW5rMS54bWydUlFvgjAQfl+y/9DUh71MOECcEtE3kyVbskyXbI8IVRqhNW0Z+u9X&#10;ClSTuSXbSyl3ve++7+6bLY5lgT6JkJSzGHsOYERYyjPKdjF+Wy+HE4ykSliWFJyRGJ+IxIv57c2M&#10;sn1ZRPpEGoHJ5lYWMc6VOkSuW9e1UwcOFzvXBwjcR7Z/fsLzriojW8qo0i1lH0o5U+SoGrCIZjFO&#10;1RHse4294pVIiU03EZGeXyiRpGTJRZkoi5gnjJECsaTUvN8xUqeDvlDdZ0cERpVmIHWjErvXSz5+&#10;L3GN4ujnzi+CH4hQlJxFtpS6xAml7b9h19IURPKiaiaD0WdSVJqwP3GC0Xg0tow99wrn75ia/t8x&#10;O1EdsUsFXcauop+ZoiXRBikPdjdKahM14ZUSxkY++P4QwmHgrb1JBNPImzYz73u1m+/xNqKSucXa&#10;iPOOTcbqbLXVNFO5HRU4EMLIDupyTNeKc0J3ufpvdcoLrm3UbWmwncAY4EKX6WhVXrG8cQ7qjP9K&#10;tjEeGNcjU9kGjH4PphA6AICmYfAAWiXA/Z35tGc/SoNoW+pVzb8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HkYvJ24AAAAIQEAABkAAABkcnMv&#10;X3JlbHMvZTJvRG9jLnhtbC5yZWxzhc+xasQwDAbgvdB3MNobJR3KUeJkOQ6ylhRuNY6SmMSysZzS&#10;e/t67MHBDRqE0PdLbf/rd/VDSVxgDU1VgyK2YXK8aPgeL28nUJINT2YPTBpuJNB3ry/tF+0mlyVZ&#10;XRRVFBYNa87xE1HsSt5IFSJxmcwheZNLmxaMxm5mIXyv6w9M/w3o7kw1TBrSMDWgxlssyc/tMM/O&#10;0jnYwxPnBxFoD8nBX/1eUJMWyhocb1iqqcqhgF2Ld491f1BLAwQUAAAACACHTuJAAxUp2gUBAAAt&#10;AgAAEwAAAFtDb250ZW50X1R5cGVzXS54bWyVkcFOwzAQRO9I/IPlK0qc9oAQatIDKUdAqHyAZW8S&#10;q/ba8prQ/j1O2l4QpeLgg70zb0br1XrvLBshkvFY80VZcQaovDbY1/xj+1w8cEZJopbWI9T8AMTX&#10;ze3NansIQCy7kWo+pBQehSA1gJNU+gCYJ52PTqZ8jb0IUu1kD2JZVfdCeUyAqUgTgzerFjr5aRPb&#10;7PPzsUkES5w9HYVTVs1lCNYomXJTMaL+kVKcEsrsnDU0mEB3uQYXvyZMk8sBJ99rXk00GtibjOlF&#10;ulxD6EhC+y+MMJZ/Q6aWjgrfdUZB2UZqs+0dxnOrS3RY+tar/8I3s+sa2+BO5LO4Qs8SZ88sMX92&#10;8w1QSwECFAAUAAAACACHTuJAAxUp2gUBAAAtAgAAEwAAAAAAAAABACAAAAAJBwAAW0NvbnRlbnRf&#10;VHlwZXNdLnhtbFBLAQIUAAoAAAAAAIdO4kAAAAAAAAAAAAAAAAAGAAAAAAAAAAAAEAAAANQEAABf&#10;cmVscy9QSwECFAAUAAAACACHTuJAihRmPNEAAACUAQAACwAAAAAAAAABACAAAAD4BAAAX3JlbHMv&#10;LnJlbHNQSwECFAAKAAAAAACHTuJAAAAAAAAAAAAAAAAABAAAAAAAAAAAABAAAAAAAAAAZHJzL1BL&#10;AQIUAAoAAAAAAIdO4kAAAAAAAAAAAAAAAAAKAAAAAAAAAAAAEAAAAPIFAABkcnMvX3JlbHMvUEsB&#10;AhQAFAAAAAgAh07iQHkYvJ24AAAAIQEAABkAAAAAAAAAAQAgAAAAGgYAAGRycy9fcmVscy9lMm9E&#10;b2MueG1sLnJlbHNQSwECFAAUAAAACACHTuJAxE7KY9sAAAALAQAADwAAAAAAAAABACAAAAAiAAAA&#10;ZHJzL2Rvd25yZXYueG1sUEsBAhQAFAAAAAgAh07iQKsnmhOFAQAAcAMAAA4AAAAAAAAAAQAgAAAA&#10;KgEAAGRycy9lMm9Eb2MueG1sUEsBAhQACgAAAAAAh07iQAAAAAAAAAAAAAAAAAgAAAAAAAAAAAAQ&#10;AAAA2wIAAGRycy9pbmsvUEsBAhQAFAAAAAgAh07iQFjL1RmlAQAA4AMAABAAAAAAAAAAAQAgAAAA&#10;AQMAAGRycy9pbmsvaW5rMS54bWxQSwUGAAAAAAoACgBMAgAAPwgAAAAA&#10;">
                <v:imagedata r:id="rId27" o:title=""/>
                <o:lock v:ext="edit"/>
              </v:shape>
            </w:pict>
          </mc:Fallback>
        </mc:AlternateContent>
      </w:r>
      <w:r>
        <w:rPr>
          <w:rFonts w:ascii="Times New Roman"/>
          <w:color w:val="auto"/>
          <w:sz w:val="21"/>
          <w:highlight w:val="none"/>
        </w:rPr>
        <mc:AlternateContent>
          <mc:Choice Requires="wps">
            <w:drawing>
              <wp:anchor distT="0" distB="0" distL="0" distR="0" simplePos="0" relativeHeight="251659264" behindDoc="0" locked="0" layoutInCell="1" allowOverlap="1">
                <wp:simplePos x="0" y="0"/>
                <wp:positionH relativeFrom="column">
                  <wp:posOffset>4818380</wp:posOffset>
                </wp:positionH>
                <wp:positionV relativeFrom="paragraph">
                  <wp:posOffset>3616325</wp:posOffset>
                </wp:positionV>
                <wp:extent cx="635" cy="635"/>
                <wp:effectExtent l="0" t="0" r="0" b="0"/>
                <wp:wrapNone/>
                <wp:docPr id="1082" name="墨迹 158"/>
                <wp:cNvGraphicFramePr/>
                <a:graphic xmlns:a="http://schemas.openxmlformats.org/drawingml/2006/main">
                  <a:graphicData uri="http://schemas.microsoft.com/office/word/2010/wordprocessingInk">
                    <mc:AlternateContent xmlns:a14="http://schemas.microsoft.com/office/drawing/2010/main">
                      <mc:Choice Requires="a14">
                        <w14:contentPart bwMode="auto" r:id="rId28">
                          <w14:nvContentPartPr>
                            <w14:cNvPr id="1082" name="墨迹 158"/>
                            <w14:cNvContentPartPr/>
                          </w14:nvContentPartPr>
                          <w14:xfrm>
                            <a:off x="0" y="0"/>
                            <a:ext cx="634" cy="634"/>
                          </w14:xfrm>
                        </w14:contentPart>
                      </mc:Choice>
                    </mc:AlternateContent>
                  </a:graphicData>
                </a:graphic>
              </wp:anchor>
            </w:drawing>
          </mc:Choice>
          <mc:Fallback>
            <w:pict>
              <v:shape id="墨迹 158" o:spid="_x0000_s1026" o:spt="75" style="position:absolute;left:0pt;margin-left:379.4pt;margin-top:284.75pt;height:0.05pt;width:0.05pt;z-index:251659264;mso-width-relative:page;mso-height-relative:page;" coordsize="21600,21600" o:gfxdata="UEsDBAoAAAAAAIdO4kAAAAAAAAAAAAAAAAAEAAAAZHJzL1BLAwQUAAAACACHTuJAqdw6G9oAAAAL&#10;AQAADwAAAGRycy9kb3ducmV2LnhtbE2PPU/DMBCGdyT+g3VIbNQuJWkT4nRAICEYKkIlxOYmbhw1&#10;PgfbTQq/noMFxvdD7z1XrE+2Z6P2oXMoYT4TwDTWrumwlbB9fbhaAQtRYaN6h1rCpw6wLs/PCpU3&#10;bsIXPVaxZTSCIVcSTIxDznmojbYqzNygkbK981ZFkr7ljVcTjdueXwuRcqs6pAtGDfrO6PpQHa2E&#10;+6fqw3y9PT8eFjdjtp+E37wvvJSXF3NxCyzqU/wrww8+oUNJTDt3xCawXsIyWRF6lJCkWQKMGuRk&#10;wHa/Tgq8LPj/H8pvUEsDBBQAAAAIAIdO4kA0E67ThgEAAHADAAAOAAAAZHJzL2Uyb0RvYy54bWyt&#10;U01OAjEU3pt4h6Z7mRlUQiYMLCQmLEQWeoDaaZnGad/ktTB4HVdewZWnMfEYvhlAEGNCjJumfa/9&#10;3veTDkYrW7KlQm/AZTzpxJwpJyE3bp7x+7vrsz5nPgiXixKcyviT8nw0PD0Z1FWqulBAmStkBOJ8&#10;WlcZL0Ko0ijyslBW+A5UylFTA1oR6IjzKEdRE7oto24c96IaMK8QpPKequN1k28Q8RhA0NpINQa5&#10;sMqFNSqqUgSS5AtTeT5s2WqtZLjV2qvAyoyT0tCuNIT2D80aDQcinaOoCiM3FMQxFA40WWEcDf2C&#10;Gosg2ALNDyhrJIIHHToSbLQW0jpCKpL4wJuJe2yUJBdygakEF0jtTGDYut82/jLCliS/voGc8hWL&#10;AP/sPsPU5BnHSZ7s+Lvl1U7BDHe6pssZsuZ+Eve7nDlhidX788vH2ytLLvtNRFsLpt8xqBNtWr+h&#10;rzTaJhdymq3a2J++YlerwCQVe+cXnEmqN5s9zPXb7YQ9/2nst6T3zw2lvY8y/ARQSwMECgAAAAAA&#10;h07iQAAAAAAAAAAAAAAAAAgAAABkcnMvaW5rL1BLAwQUAAAACACHTuJAWB1zq6MBAADgAwAAEAAA&#10;AGRycy9pbmsvaW5rMS54bWydUlFvgjAQfl+y/9DUh71MOEAdEtE3kyVbskyXbI8IVRqhNW0Z+u9X&#10;ClSTuSXbSyl3ve++7+6bLY5lgT6JkJSzGHsOYERYyjPKdjF+Wy+HIUZSJSxLCs5IjE9E4sX89mZG&#10;2b4sIn0ijcBkcyuLGOdKHSLXrevaqQOHi53rAwTuI9s/P+F5V5WRLWVU6ZayD6WcKXJUDVhEsxin&#10;6gj2vcZe8UqkxKabiEjPL5RIUrLkokyURcwTxkiBWFJq3u8YqdNBX6jusyMCo0ozkLpRid3rJR+/&#10;l7hGcfRz5xfBD0QoSs4iW0pd4oTS9t+wa2kKInlRNZPB6DMpKk3YD51gNBlNLGPPvcL5O6am/3fM&#10;TlRH7FJBl7Gr6GemaEm0QcqD3Y2S2kRNeKWEsZEPvj+E8TDw1l4YwTTyps3M+17t5nu8jahkbrE2&#10;4rxjk7E6W201zVRuRwUOjGFkB3U5pmvFOaG7XP23OuUF1zbqtjTYhjABuNBlOlqVVyxvnIM647+S&#10;bYwHxvXIVLYBo9+DINTSANB0HDyAud7fmU979qM0iLalXtX8C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B5GLyduAAAACEBAAAZAAAAZHJzL19y&#10;ZWxzL2Uyb0RvYy54bWwucmVsc4XPsWrEMAwG4L3QdzDaGyUdylHiZDkOspYUbjWOkpjEsrGc0nv7&#10;euzBwQ0ahND3S23/63f1Q0lcYA1NVYMitmFyvGj4Hi9vJ1CSDU9mD0wabiTQd68v7RftJpclWV0U&#10;VRQWDWvO8RNR7EreSBUicZnMIXmTS5sWjMZuZiF8r+sPTP8N6O5MNUwa0jA1oMZbLMnP7TDPztI5&#10;2MMT5wcRaA/JwV/9XlCTFsoaHG9YqqnKoYBdi3ePdX9QSwMEFAAAAAgAh07iQAMVKdoFAQAALQIA&#10;ABMAAABbQ29udGVudF9UeXBlc10ueG1slZHBTsMwEETvSPyD5StKnPaAEGrSAylHQKh8gGVvEqv2&#10;2vKa0P49TtpeEKXi4IO9M29G69V67ywbIZLxWPNFWXEGqLw22Nf8Y/tcPHBGSaKW1iPU/ADE183t&#10;zWp7CEAsu5FqPqQUHoUgNYCTVPoAmCedj06mfI29CFLtZA9iWVX3QnlMgKlIE4M3qxY6+WkT2+zz&#10;87FJBEucPR2FU1bNZQjWKJlyUzGi/pFSnBLK7Jw1NJhAd7kGF78mTJPLASffa15NNBrYm4zpRbpc&#10;Q+hIQvsvjDCWf0Omlo4K33VGQdlGarPtHcZzq0t0WPrWq//CN7PrGtvgTuSzuELPEmfPLDF/dvMN&#10;UEsBAhQAFAAAAAgAh07iQAMVKdoFAQAALQIAABMAAAAAAAAAAQAgAAAABwcAAFtDb250ZW50X1R5&#10;cGVzXS54bWxQSwECFAAKAAAAAACHTuJAAAAAAAAAAAAAAAAABgAAAAAAAAAAABAAAADSBAAAX3Jl&#10;bHMvUEsBAhQAFAAAAAgAh07iQIoUZjzRAAAAlAEAAAsAAAAAAAAAAQAgAAAA9gQAAF9yZWxzLy5y&#10;ZWxzUEsBAhQACgAAAAAAh07iQAAAAAAAAAAAAAAAAAQAAAAAAAAAAAAQAAAAAAAAAGRycy9QSwEC&#10;FAAKAAAAAACHTuJAAAAAAAAAAAAAAAAACgAAAAAAAAAAABAAAADwBQAAZHJzL19yZWxzL1BLAQIU&#10;ABQAAAAIAIdO4kB5GLyduAAAACEBAAAZAAAAAAAAAAEAIAAAABgGAABkcnMvX3JlbHMvZTJvRG9j&#10;LnhtbC5yZWxzUEsBAhQAFAAAAAgAh07iQKncOhvaAAAACwEAAA8AAAAAAAAAAQAgAAAAIgAAAGRy&#10;cy9kb3ducmV2LnhtbFBLAQIUABQAAAAIAIdO4kA0E67ThgEAAHADAAAOAAAAAAAAAAEAIAAAACkB&#10;AABkcnMvZTJvRG9jLnhtbFBLAQIUAAoAAAAAAIdO4kAAAAAAAAAAAAAAAAAIAAAAAAAAAAAAEAAA&#10;ANsCAABkcnMvaW5rL1BLAQIUABQAAAAIAIdO4kBYHXOrowEAAOADAAAQAAAAAAAAAAEAIAAAAAED&#10;AABkcnMvaW5rL2luazEueG1sUEsFBgAAAAAKAAoATAIAAD0IAAAAAA==&#10;">
                <v:imagedata r:id="rId27" o:title=""/>
                <o:lock v:ext="edit"/>
              </v:shape>
            </w:pict>
          </mc:Fallback>
        </mc:AlternateContent>
      </w:r>
      <w:r>
        <w:rPr>
          <w:rFonts w:ascii="Times New Roman"/>
          <w:color w:val="auto"/>
          <w:sz w:val="21"/>
          <w:highlight w:val="none"/>
        </w:rPr>
        <mc:AlternateContent>
          <mc:Choice Requires="wps">
            <w:drawing>
              <wp:anchor distT="0" distB="0" distL="0" distR="0" simplePos="0" relativeHeight="251659264" behindDoc="0" locked="0" layoutInCell="1" allowOverlap="1">
                <wp:simplePos x="0" y="0"/>
                <wp:positionH relativeFrom="column">
                  <wp:posOffset>5123180</wp:posOffset>
                </wp:positionH>
                <wp:positionV relativeFrom="paragraph">
                  <wp:posOffset>3711575</wp:posOffset>
                </wp:positionV>
                <wp:extent cx="635" cy="635"/>
                <wp:effectExtent l="0" t="0" r="0" b="0"/>
                <wp:wrapNone/>
                <wp:docPr id="1083" name="墨迹 156"/>
                <wp:cNvGraphicFramePr/>
                <a:graphic xmlns:a="http://schemas.openxmlformats.org/drawingml/2006/main">
                  <a:graphicData uri="http://schemas.microsoft.com/office/word/2010/wordprocessingInk">
                    <mc:AlternateContent xmlns:a14="http://schemas.microsoft.com/office/drawing/2010/main">
                      <mc:Choice Requires="a14">
                        <w14:contentPart bwMode="auto" r:id="rId29">
                          <w14:nvContentPartPr>
                            <w14:cNvPr id="1083" name="墨迹 156"/>
                            <w14:cNvContentPartPr/>
                          </w14:nvContentPartPr>
                          <w14:xfrm>
                            <a:off x="0" y="0"/>
                            <a:ext cx="634" cy="634"/>
                          </w14:xfrm>
                        </w14:contentPart>
                      </mc:Choice>
                    </mc:AlternateContent>
                  </a:graphicData>
                </a:graphic>
              </wp:anchor>
            </w:drawing>
          </mc:Choice>
          <mc:Fallback>
            <w:pict>
              <v:shape id="墨迹 156" o:spid="_x0000_s1026" o:spt="75" style="position:absolute;left:0pt;margin-left:403.4pt;margin-top:292.25pt;height:0.05pt;width:0.05pt;z-index:251659264;mso-width-relative:page;mso-height-relative:page;" coordsize="21600,21600" o:gfxdata="UEsDBAoAAAAAAIdO4kAAAAAAAAAAAAAAAAAEAAAAZHJzL1BLAwQUAAAACACHTuJA53sB9toAAAAL&#10;AQAADwAAAGRycy9kb3ducmV2LnhtbE2PPU/DMBCGdyT+g3VIbNQubaM0xOmAQEIwoAYkxObGbhw1&#10;PgfbTQq/noMFxvdD7z1Xbk6uZ6MJsfMoYT4TwAw2XnfYSnh9ub/KgcWkUKveo5HwaSJsqvOzUhXa&#10;T7g1Y51aRiMYCyXBpjQUnMfGGqfizA8GKdv74FQiGVqug5po3PX8WoiMO9UhXbBqMLfWNIf66CTc&#10;PdYf9uvt6eGwWI7r/STC8/siSHl5MRc3wJI5pb8y/OATOlTEtPNH1JH1EnKREXqSsMqXK2DUIGcN&#10;bPfrZMCrkv//ofoGUEsDBBQAAAAIAIdO4kAwy8D2hQEAAHADAAAOAAAAZHJzL2Uyb0RvYy54bWyt&#10;U0tOwzAQ3SNxB8t7moRPhaKmXVAhsaB0AQcwjt1YxJ5o7DbtdVhxBVacBoljMEn/RUgVYmPZM/ab&#10;95F7g7kt2UyhN+AynnRizpSTkBs3yfjT4+3ZNWc+CJeLEpzK+EJ5PuifnvTqKlXnUECZK2QE4nxa&#10;VxkvQqjSKPKyUFb4DlTKUVMDWhHoiJMoR1ETui2j8zjuRjVgXiFI5T1Vh8smXyHiMYCgtZFqCHJq&#10;lQtLVFSlCCTJF6byvN+y1VrJ8KC1V4GVGSeloV1pCO2fmzXq90Q6QVEVRq4oiGMoHGiywjgauoEa&#10;iiDYFM0PKGskggcdOhJstBTSOkIqkvjAmzv30ihJLuUUUwkukNqxwLB2v238ZYQtSX59DznlK6YB&#10;/tl9hqnJM453ebLl72Y3WwVj3OoazcbImvtJfH3BmROWWH2+vn19vLPkqttEtLZgtI9BnWjV+g19&#10;rtE2uZDTbN7GvtjEruaBSSp2Ly45k1RvNjuYy7frCTv+09i9pHfPDaWdj9L/BlBLAwQKAAAAAACH&#10;TuJAAAAAAAAAAAAAAAAACAAAAGRycy9pbmsvUEsDBBQAAAAIAIdO4kCDmfJKowEAAOADAAAQAAAA&#10;ZHJzL2luay9pbmsxLnhtbJ1S0WqDMBR9H+wfQvqwl1Wj1mKltm+FwQZj7WB7tJpqqCaSxNr+/WLU&#10;tDA32F5ivDf33HPuPcv1uSzACXNBGI2gYyEIME1YSmgWwffdZhpAIGRM07hgFEfwggVcr+7vloQe&#10;yyJUJ1AIVLS3sohgLmUV2nbTNFbjWYxntouQZz/R48szXPVVKT4QSqRqKYZQwqjEZ9mChSSNYCLP&#10;yLxX2FtW8wSbdBvhyfWF5HGCN4yXsTSIeUwpLgCNS8X7AwJ5qdSFqD4Z5hDUioFQjUpoj5d8/l5i&#10;a8Xhz51fOaswlwRfRXaU+sQFJN2/ZtfR5Fiwom4nA8EpLmpF2A0sbzafzQ1jxx7h/B1T0f87Zi+q&#10;J3aroM+YVQwzk6TEyiBlZXYjhTJRG95Krm3kItedIn/qOTsnCNEidBbtzIde3eYHvD2vRW6w9vy6&#10;Y50xOjttDUllbkaFLOSjmRnU7ZjGinNMslz+tzphBVM26rc0OQRojtCNLt3RqByxvHYO6I3/hg8R&#10;nGjXA13ZBbR+BwVzJQ0hsPC9wNfXxwf96c5hlBrRtFSrWn0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KAAAAAACHTuJAAAAAAAAA&#10;AAAAAAAACgAAAGRycy9fcmVscy9QSwMEFAAAAAgAh07iQHkYvJ24AAAAIQEAABkAAABkcnMvX3Jl&#10;bHMvZTJvRG9jLnhtbC5yZWxzhc+xasQwDAbgvdB3MNobJR3KUeJkOQ6ylhRuNY6SmMSysZzSe/t6&#10;7MHBDRqE0PdLbf/rd/VDSVxgDU1VgyK2YXK8aPgeL28nUJINT2YPTBpuJNB3ry/tF+0mlyVZXRRV&#10;FBYNa87xE1HsSt5IFSJxmcwheZNLmxaMxm5mIXyv6w9M/w3o7kw1TBrSMDWgxlssyc/tMM/O0jnY&#10;wxPnBxFoD8nBX/1eUJMWyhocb1iqqcqhgF2Ld491f1BLAwQUAAAACACHTuJAAxUp2gUBAAAtAgAA&#10;EwAAAFtDb250ZW50X1R5cGVzXS54bWyVkcFOwzAQRO9I/IPlK0qc9oAQatIDKUdAqHyAZW8Sq/ba&#10;8prQ/j1O2l4QpeLgg70zb0br1XrvLBshkvFY80VZcQaovDbY1/xj+1w8cEZJopbWI9T8AMTXze3N&#10;ansIQCy7kWo+pBQehSA1gJNU+gCYJ52PTqZ8jb0IUu1kD2JZVfdCeUyAqUgTgzerFjr5aRPb7PPz&#10;sUkES5w9HYVTVs1lCNYomXJTMaL+kVKcEsrsnDU0mEB3uQYXvyZMk8sBJ99rXk00GtibjOlFulxD&#10;6EhC+y+MMJZ/Q6aWjgrfdUZB2UZqs+0dxnOrS3RY+tar/8I3s+sa2+BO5LO4Qs8SZ88sMX928w1Q&#10;SwECFAAUAAAACACHTuJAAxUp2gUBAAAtAgAAEwAAAAAAAAABACAAAAAGBwAAW0NvbnRlbnRfVHlw&#10;ZXNdLnhtbFBLAQIUAAoAAAAAAIdO4kAAAAAAAAAAAAAAAAAGAAAAAAAAAAAAEAAAANEEAABfcmVs&#10;cy9QSwECFAAUAAAACACHTuJAihRmPNEAAACUAQAACwAAAAAAAAABACAAAAD1BAAAX3JlbHMvLnJl&#10;bHNQSwECFAAKAAAAAACHTuJAAAAAAAAAAAAAAAAABAAAAAAAAAAAABAAAAAAAAAAZHJzL1BLAQIU&#10;AAoAAAAAAIdO4kAAAAAAAAAAAAAAAAAKAAAAAAAAAAAAEAAAAO8FAABkcnMvX3JlbHMvUEsBAhQA&#10;FAAAAAgAh07iQHkYvJ24AAAAIQEAABkAAAAAAAAAAQAgAAAAFwYAAGRycy9fcmVscy9lMm9Eb2Mu&#10;eG1sLnJlbHNQSwECFAAUAAAACACHTuJA53sB9toAAAALAQAADwAAAAAAAAABACAAAAAiAAAAZHJz&#10;L2Rvd25yZXYueG1sUEsBAhQAFAAAAAgAh07iQDDLwPaFAQAAcAMAAA4AAAAAAAAAAQAgAAAAKQEA&#10;AGRycy9lMm9Eb2MueG1sUEsBAhQACgAAAAAAh07iQAAAAAAAAAAAAAAAAAgAAAAAAAAAAAAQAAAA&#10;2gIAAGRycy9pbmsvUEsBAhQAFAAAAAgAh07iQIOZ8kqjAQAA4AMAABAAAAAAAAAAAQAgAAAAAAMA&#10;AGRycy9pbmsvaW5rMS54bWxQSwUGAAAAAAoACgBMAgAAPAgAAAAA&#10;">
                <v:imagedata r:id="rId27" o:title=""/>
                <o:lock v:ext="edit"/>
              </v:shape>
            </w:pict>
          </mc:Fallback>
        </mc:AlternateContent>
      </w:r>
      <w:r>
        <w:rPr>
          <w:rFonts w:ascii="Times New Roman"/>
          <w:color w:val="auto"/>
          <w:sz w:val="21"/>
          <w:highlight w:val="none"/>
        </w:rPr>
        <mc:AlternateContent>
          <mc:Choice Requires="wps">
            <w:drawing>
              <wp:anchor distT="0" distB="0" distL="0" distR="0" simplePos="0" relativeHeight="251659264" behindDoc="0" locked="0" layoutInCell="1" allowOverlap="1">
                <wp:simplePos x="0" y="0"/>
                <wp:positionH relativeFrom="column">
                  <wp:posOffset>5132705</wp:posOffset>
                </wp:positionH>
                <wp:positionV relativeFrom="paragraph">
                  <wp:posOffset>3606800</wp:posOffset>
                </wp:positionV>
                <wp:extent cx="635" cy="635"/>
                <wp:effectExtent l="0" t="0" r="0" b="0"/>
                <wp:wrapNone/>
                <wp:docPr id="1084" name="墨迹 154"/>
                <wp:cNvGraphicFramePr/>
                <a:graphic xmlns:a="http://schemas.openxmlformats.org/drawingml/2006/main">
                  <a:graphicData uri="http://schemas.microsoft.com/office/word/2010/wordprocessingInk">
                    <mc:AlternateContent xmlns:a14="http://schemas.microsoft.com/office/drawing/2010/main">
                      <mc:Choice Requires="a14">
                        <w14:contentPart bwMode="auto" r:id="rId30">
                          <w14:nvContentPartPr>
                            <w14:cNvPr id="1084" name="墨迹 154"/>
                            <w14:cNvContentPartPr/>
                          </w14:nvContentPartPr>
                          <w14:xfrm>
                            <a:off x="0" y="0"/>
                            <a:ext cx="634" cy="634"/>
                          </w14:xfrm>
                        </w14:contentPart>
                      </mc:Choice>
                    </mc:AlternateContent>
                  </a:graphicData>
                </a:graphic>
              </wp:anchor>
            </w:drawing>
          </mc:Choice>
          <mc:Fallback>
            <w:pict>
              <v:shape id="墨迹 154" o:spid="_x0000_s1026" o:spt="75" style="position:absolute;left:0pt;margin-left:404.15pt;margin-top:284pt;height:0.05pt;width:0.05pt;z-index:251659264;mso-width-relative:page;mso-height-relative:page;" coordsize="21600,21600" o:gfxdata="UEsDBAoAAAAAAIdO4kAAAAAAAAAAAAAAAAAEAAAAZHJzL1BLAwQUAAAACACHTuJAFg3hd9kAAAAL&#10;AQAADwAAAGRycy9kb3ducmV2LnhtbE2PPU/DMBCGdyT+g3VIbNQOKVUIcTogkBAMqAEJsbnxNY4a&#10;28F2k8Kv52CB8d579H5U66Md2IQh9t5JyBYCGLrW6951El5f7i8KYDEpp9XgHUr4xAjr+vSkUqX2&#10;s9vg1KSOkYmLpZJgUhpLzmNr0Kq48CM6+u18sCrRGTqug5rJ3A78UogVt6p3lGDUiLcG231zsBLu&#10;HpsP8/X29LDPl9P1bhbh+T0PUp6fZeIGWMJj+oPhpz5Vh5o6bf3B6cgGCYUockIlXK0KGkUEKUtg&#10;218lA15X/P+G+htQSwMEFAAAAAgAh07iQAg0cVyDAQAAcAMAAA4AAABkcnMvZTJvRG9jLnhtbK1T&#10;PU7DMBTekbiD5Z0mKaWqoqYMVEgdKB3gAMaxG4vYL3p2m/Y6TFyBidMgcQxe0l9ASAixWLaf8/0q&#10;w8uVLdlSoTfgMp50Ys6Uk5AbN8/4/d312YAzH4TLRQlOZXytPL8cnZ4M6ypVXSigzBUyAnE+rauM&#10;FyFUaRR5WSgrfAcq5WioAa0IdMR5lKOoCd2WUTeO+1ENmFcIUnlPt+PNkG8R8TeAoLWRagxyYZUL&#10;G1RUpQhkyRem8nzUqtVayXCrtVeBlRknp6FdiYT2D80ajYYinaOoCiO3EsRvJHzxZIVxRLqHGosg&#10;2ALNNyhrJIIHHToSbLQx0iZCLpL4SzYT99g4SXpygakEF8jtTGDYpd8O/kJhS7Jf30BO/YpFgH9O&#10;n2Fq8ozjJE8O+t3y6uBghgdf0+UMWfM+iQc9zpywpOrt6fn99YUlF72mol0E088YNIm2o5/QVxpt&#10;0wslzVZt7et97WoVmKTL/jnRSrpvNkeYm293DEf5E+2npo/PjaSjH2X0AVBLAwQKAAAAAACHTuJA&#10;AAAAAAAAAAAAAAAACAAAAGRycy9pbmsvUEsDBBQAAAAIAIdO4kDHcTOwpQEAAOADAAAQAAAAZHJz&#10;L2luay9pbmsxLnhtbJ1SUWvCMBB+H+w/hPiwl9leW3W1WH0TBhuM6WB7rG20wTaRJF313y9N2yjM&#10;DbaXkNzlvvu+u2+2OJYF+iRCUs5i7DmAEWEpzyjbxfhtvRyGGEmVsCwpOCMxPhGJF/Pbmxll+7KI&#10;9Ik0ApPNrSxinCt1iFy3rmunDhwudq4PELiPbP/8hOddVUa2lFGlW8o+lHKmyFE1YBHNYpyqI9j/&#10;GnvFK5ESm24iIj3/UCJJyZKLMlEWMU8YIwViSal5v2OkTgd9obrPjgiMKs1A6kYldq+XfPxe4hrF&#10;0c+dXwQ/EKEoOYtsKXWJE0rbt2HX0hRE8qJqJoPRZ1JUmrAfOsFoMppYxp57hfN3TE3/75idqI7Y&#10;pYIuY1fRz0zRkmiDlAe7GyW1iZrwSgljIx98fwjjYeCtvTCCaeRNm5n3vdrN93gbUcncYm3Eeccm&#10;Y3W22mqaqdyOChwYw8gO6nJM14pzQne5+m91yguubdRtabANYQJwoct0tCqvWN44B3XGfyXbGA+M&#10;65GpbANGvwfhw9gBADQdB5PQXO/vtFiA9uxHaRBtS72q+R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eRi8nbgAAAAhAQAAGQAAAGRycy9fcmVs&#10;cy9lMm9Eb2MueG1sLnJlbHOFz7FqxDAMBuC90Hcw2hslHcpR4mQ5DrKWFG41jpKYxLKxnNJ7+3rs&#10;wcENGoTQ90tt/+t39UNJXGANTVWDIrZhcrxo+B4vbydQkg1PZg9MGm4k0HevL+0X7SaXJVldFFUU&#10;Fg1rzvETUexK3kgVInGZzCF5k0ubFozGbmYhfK/rD0z/DejuTDVMGtIwNaDGWyzJz+0wz87SOdjD&#10;E+cHEWgPycFf/V5QkxbKGhxvWKqpyqGAXYt3j3V/UEsDBBQAAAAIAIdO4kADFSnaBQEAAC0CAAAT&#10;AAAAW0NvbnRlbnRfVHlwZXNdLnhtbJWRwU7DMBBE70j8g+UrSpz2gBBq0gMpR0CofIBlbxKr9try&#10;mtD+PU7aXhCl4uCDvTNvRuvVeu8sGyGS8VjzRVlxBqi8NtjX/GP7XDxwRkmiltYj1PwAxNfN7c1q&#10;ewhALLuRaj6kFB6FIDWAk1T6AJgnnY9OpnyNvQhS7WQPYllV90J5TICpSBODN6sWOvlpE9vs8/Ox&#10;SQRLnD0dhVNWzWUI1iiZclMxov6RUpwSyuycNTSYQHe5Bhe/JkyTywEn32teTTQa2JuM6UW6XEPo&#10;SEL7L4wwln9DppaOCt91RkHZRmqz7R3Gc6tLdFj61qv/wjez6xrb4E7ks7hCzxJnzywxf3bzDVBL&#10;AQIUABQAAAAIAIdO4kADFSnaBQEAAC0CAAATAAAAAAAAAAEAIAAAAAUHAABbQ29udGVudF9UeXBl&#10;c10ueG1sUEsBAhQACgAAAAAAh07iQAAAAAAAAAAAAAAAAAYAAAAAAAAAAAAQAAAA0AQAAF9yZWxz&#10;L1BLAQIUABQAAAAIAIdO4kCKFGY80QAAAJQBAAALAAAAAAAAAAEAIAAAAPQEAABfcmVscy8ucmVs&#10;c1BLAQIUAAoAAAAAAIdO4kAAAAAAAAAAAAAAAAAEAAAAAAAAAAAAEAAAAAAAAABkcnMvUEsBAhQA&#10;CgAAAAAAh07iQAAAAAAAAAAAAAAAAAoAAAAAAAAAAAAQAAAA7gUAAGRycy9fcmVscy9QSwECFAAU&#10;AAAACACHTuJAeRi8nbgAAAAhAQAAGQAAAAAAAAABACAAAAAWBgAAZHJzL19yZWxzL2Uyb0RvYy54&#10;bWwucmVsc1BLAQIUABQAAAAIAIdO4kAWDeF32QAAAAsBAAAPAAAAAAAAAAEAIAAAACIAAABkcnMv&#10;ZG93bnJldi54bWxQSwECFAAUAAAACACHTuJACDRxXIMBAABwAwAADgAAAAAAAAABACAAAAAoAQAA&#10;ZHJzL2Uyb0RvYy54bWxQSwECFAAKAAAAAACHTuJAAAAAAAAAAAAAAAAACAAAAAAAAAAAABAAAADX&#10;AgAAZHJzL2luay9QSwECFAAUAAAACACHTuJAx3EzsKUBAADgAwAAEAAAAAAAAAABACAAAAD9AgAA&#10;ZHJzL2luay9pbmsxLnhtbFBLBQYAAAAACgAKAEwCAAA7CAAAAAA=&#10;">
                <v:imagedata r:id="rId27" o:title=""/>
                <o:lock v:ext="edit"/>
              </v:shape>
            </w:pict>
          </mc:Fallback>
        </mc:AlternateContent>
      </w:r>
      <w:bookmarkStart w:id="163" w:name="_Toc31546"/>
    </w:p>
    <w:p w14:paraId="3E78C296">
      <w:pPr>
        <w:pStyle w:val="51"/>
        <w:keepNext w:val="0"/>
        <w:keepLines w:val="0"/>
        <w:pageBreakBefore w:val="0"/>
        <w:widowControl w:val="0"/>
        <w:kinsoku/>
        <w:wordWrap/>
        <w:overflowPunct/>
        <w:topLinePunct w:val="0"/>
        <w:autoSpaceDE/>
        <w:autoSpaceDN/>
        <w:bidi w:val="0"/>
        <w:snapToGrid w:val="0"/>
        <w:ind w:left="0"/>
        <w:jc w:val="center"/>
        <w:textAlignment w:val="auto"/>
        <w:outlineLvl w:val="0"/>
        <w:rPr>
          <w:rFonts w:ascii="Times New Roman"/>
          <w:b/>
          <w:bCs/>
          <w:color w:val="auto"/>
          <w:sz w:val="24"/>
          <w:szCs w:val="24"/>
          <w:highlight w:val="none"/>
        </w:rPr>
      </w:pPr>
      <w:bookmarkStart w:id="164" w:name="_Toc14653"/>
      <w:bookmarkStart w:id="165" w:name="_Toc4389"/>
      <w:r>
        <w:rPr>
          <w:rFonts w:hint="eastAsia" w:ascii="Times New Roman"/>
          <w:b/>
          <w:bCs/>
          <w:color w:val="auto"/>
          <w:sz w:val="24"/>
          <w:szCs w:val="24"/>
          <w:highlight w:val="none"/>
        </w:rPr>
        <w:t>附图4 环境保护目标分布图</w:t>
      </w:r>
      <w:bookmarkEnd w:id="163"/>
      <w:bookmarkEnd w:id="164"/>
      <w:bookmarkEnd w:id="165"/>
    </w:p>
    <w:p w14:paraId="069EC0B8">
      <w:pPr>
        <w:pStyle w:val="51"/>
        <w:jc w:val="center"/>
        <w:rPr>
          <w:rFonts w:ascii="Times New Roman"/>
          <w:color w:val="auto"/>
          <w:highlight w:val="none"/>
        </w:rPr>
        <w:sectPr>
          <w:pgSz w:w="16838" w:h="11906" w:orient="landscape"/>
          <w:pgMar w:top="1440" w:right="1800" w:bottom="1440" w:left="1800" w:header="851" w:footer="992" w:gutter="0"/>
          <w:pgBorders>
            <w:top w:val="none" w:sz="0" w:space="0"/>
            <w:left w:val="none" w:sz="0" w:space="0"/>
            <w:bottom w:val="none" w:sz="0" w:space="0"/>
            <w:right w:val="none" w:sz="0" w:space="0"/>
          </w:pgBorders>
          <w:pgNumType w:fmt="numberInDash"/>
          <w:cols w:space="0" w:num="1"/>
          <w:rtlGutter w:val="0"/>
          <w:docGrid w:type="lines" w:linePitch="334" w:charSpace="0"/>
        </w:sectPr>
      </w:pPr>
      <w:r>
        <w:rPr>
          <w:color w:val="auto"/>
          <w:sz w:val="32"/>
          <w:highlight w:val="none"/>
        </w:rPr>
        <mc:AlternateContent>
          <mc:Choice Requires="wps">
            <w:drawing>
              <wp:anchor distT="0" distB="0" distL="0" distR="0" simplePos="0" relativeHeight="251659264" behindDoc="0" locked="0" layoutInCell="1" allowOverlap="1">
                <wp:simplePos x="0" y="0"/>
                <wp:positionH relativeFrom="column">
                  <wp:posOffset>7571740</wp:posOffset>
                </wp:positionH>
                <wp:positionV relativeFrom="paragraph">
                  <wp:posOffset>3931285</wp:posOffset>
                </wp:positionV>
                <wp:extent cx="1513205" cy="1333500"/>
                <wp:effectExtent l="4445" t="4445" r="6350" b="14605"/>
                <wp:wrapNone/>
                <wp:docPr id="1085" name="文本框 277"/>
                <wp:cNvGraphicFramePr/>
                <a:graphic xmlns:a="http://schemas.openxmlformats.org/drawingml/2006/main">
                  <a:graphicData uri="http://schemas.microsoft.com/office/word/2010/wordprocessingShape">
                    <wps:wsp>
                      <wps:cNvSpPr/>
                      <wps:spPr>
                        <a:xfrm>
                          <a:off x="0" y="0"/>
                          <a:ext cx="1513205" cy="1333500"/>
                        </a:xfrm>
                        <a:prstGeom prst="rect">
                          <a:avLst/>
                        </a:prstGeom>
                        <a:solidFill>
                          <a:srgbClr val="F2F2F2"/>
                        </a:solidFill>
                        <a:ln w="6350" cap="flat" cmpd="sng">
                          <a:solidFill>
                            <a:srgbClr val="000000"/>
                          </a:solidFill>
                          <a:prstDash val="solid"/>
                          <a:round/>
                        </a:ln>
                      </wps:spPr>
                      <wps:txbx>
                        <w:txbxContent>
                          <w:p w14:paraId="6AD6C7BE">
                            <w:pPr>
                              <w:jc w:val="center"/>
                              <w:rPr>
                                <w:b/>
                                <w:bCs/>
                                <w:sz w:val="24"/>
                                <w:szCs w:val="24"/>
                              </w:rPr>
                            </w:pPr>
                            <w:r>
                              <w:rPr>
                                <w:b/>
                                <w:bCs/>
                                <w:sz w:val="24"/>
                                <w:szCs w:val="24"/>
                              </w:rPr>
                              <w:t>图 例</w:t>
                            </w:r>
                          </w:p>
                          <w:p w14:paraId="1A04C0A3">
                            <w:pPr>
                              <w:pStyle w:val="46"/>
                              <w:spacing w:line="360" w:lineRule="auto"/>
                              <w:rPr>
                                <w:rFonts w:ascii="Times New Roman" w:cs="Times New Roman"/>
                                <w:b/>
                                <w:bCs/>
                              </w:rPr>
                            </w:pPr>
                            <w:r>
                              <w:rPr>
                                <w:rFonts w:ascii="Times New Roman" w:cs="Times New Roman"/>
                                <w:b/>
                                <w:bCs/>
                              </w:rPr>
                              <w:t>项目位置：</w:t>
                            </w:r>
                          </w:p>
                          <w:p w14:paraId="34DB81F5">
                            <w:pPr>
                              <w:pStyle w:val="48"/>
                              <w:spacing w:line="360" w:lineRule="auto"/>
                              <w:ind w:left="0" w:right="-120" w:firstLine="0"/>
                              <w:jc w:val="left"/>
                              <w:rPr>
                                <w:rFonts w:ascii="Times New Roman"/>
                                <w:b/>
                                <w:bCs/>
                                <w:sz w:val="24"/>
                                <w:szCs w:val="24"/>
                              </w:rPr>
                            </w:pPr>
                            <w:r>
                              <w:rPr>
                                <w:rFonts w:ascii="Times New Roman"/>
                                <w:b/>
                                <w:bCs/>
                                <w:sz w:val="24"/>
                                <w:szCs w:val="24"/>
                              </w:rPr>
                              <w:t>500m范围：</w:t>
                            </w:r>
                          </w:p>
                          <w:p w14:paraId="58BD89EB">
                            <w:pPr>
                              <w:pStyle w:val="50"/>
                              <w:keepNext w:val="0"/>
                              <w:keepLines w:val="0"/>
                              <w:pageBreakBefore w:val="0"/>
                              <w:widowControl/>
                              <w:kinsoku/>
                              <w:wordWrap/>
                              <w:overflowPunct/>
                              <w:topLinePunct w:val="0"/>
                              <w:bidi w:val="0"/>
                              <w:adjustRightInd/>
                              <w:snapToGrid/>
                              <w:spacing w:before="0" w:after="0" w:line="360" w:lineRule="auto"/>
                              <w:textAlignment w:val="auto"/>
                              <w:rPr>
                                <w:rFonts w:hint="eastAsia" w:eastAsia="宋体"/>
                                <w:lang w:val="en-US" w:eastAsia="zh-CN"/>
                              </w:rPr>
                            </w:pPr>
                            <w:r>
                              <w:rPr>
                                <w:rFonts w:hint="eastAsia"/>
                                <w:b/>
                                <w:bCs/>
                                <w:sz w:val="24"/>
                                <w:szCs w:val="24"/>
                                <w:lang w:eastAsia="zh-CN"/>
                              </w:rPr>
                              <w:t>敏感点：</w:t>
                            </w:r>
                          </w:p>
                        </w:txbxContent>
                      </wps:txbx>
                      <wps:bodyPr vert="horz" wrap="square" lIns="91440" tIns="45720" rIns="91440" bIns="45720" anchor="t">
                        <a:noAutofit/>
                      </wps:bodyPr>
                    </wps:wsp>
                  </a:graphicData>
                </a:graphic>
              </wp:anchor>
            </w:drawing>
          </mc:Choice>
          <mc:Fallback>
            <w:pict>
              <v:rect id="文本框 277" o:spid="_x0000_s1026" o:spt="1" style="position:absolute;left:0pt;margin-left:596.2pt;margin-top:309.55pt;height:105pt;width:119.15pt;z-index:251659264;mso-width-relative:page;mso-height-relative:page;" fillcolor="#F2F2F2" filled="t" stroked="t" coordsize="21600,21600" o:gfxdata="UEsDBAoAAAAAAIdO4kAAAAAAAAAAAAAAAAAEAAAAZHJzL1BLAwQUAAAACACHTuJAhbZH8toAAAAN&#10;AQAADwAAAGRycy9kb3ducmV2LnhtbE2Py07DMBBF90j8gzVIbKLWdohKG+JUqIJlF235ACeexgE/&#10;otjpg6/HXdHlnTm6c6ZaX6whJxxD750APmdA0LVe9a4T8HX4nC2BhCidksY7FHDFAOv68aGSpfJn&#10;t8PTPnYklbhQSgE6xqGkNLQarQxzP6BLu6MfrYwpjh1VozyncmtoztiCWtm7dEHLATca25/9ZAVk&#10;jc68OXy02fa62W1/36fvQqEQz0+cvQGJeIn/MNz0kzrUyanxk1OBmJT5Ki8SK2DBVxzIDSle2CuQ&#10;RsAyTyNaV/T+i/oPUEsDBBQAAAAIAIdO4kBIRdRFHwIAAEUEAAAOAAAAZHJzL2Uyb0RvYy54bWyt&#10;U0uOEzEQ3SNxB8t70p8kM0OUzggRBSEhGGngAI7bnbbkH2Un3eEAcANWbNhzrpyDsjskmYHFLEik&#10;7qqu8qtXr8rz214rshPgpTUVLUY5JcJwW0uzqeinj6sXN5T4wEzNlDWionvh6e3i+bN552aitK1V&#10;tQCCIMbPOlfRNgQ3yzLPW6GZH1knDAYbC5oFdGGT1cA6RNcqK/P8Kuss1A4sF97j1+UQpEdEeAqg&#10;bRrJxdLyrRYmDKggFAvYkm+l83SR2DaN4OFD03gRiKoodhrSE4ugvY7PbDFnsw0w10p+pMCeQuFR&#10;T5pJg0VPUEsWGNmC/AtKSw7W2yaMuNXZ0EhSBLso8kfa3LfMidQLSu3dSXT//2D5+90dEFnjJuQ3&#10;U0oM0zjzw/dvhx+/Dj+/kvL6OmrUOT/D1Ht3B0fPoxkb7hvQ8Y2tkD7puj/pKvpAOH4spsW4zBGd&#10;Y6wYj8fTPCmfnY878OGNsJpEo6KAg0t6st07H7Akpv5JidW8VbJeSaWSA5v1awVkx3DIqzL+I2c8&#10;8iBNGdJV9AqLIxGGm9vgxqCpHXbvzSbVe3DCXwLn6fcv4EhsyXw7EEgIMY3NwG5NPTBRBglFFQfd&#10;ohX6dY/BaK5tvccx4K3E3lsLXyjpcCeR1uctA0GJemtw6C+LySQucXIm0+sSHbiMrC8jzHCEqugg&#10;pLGvtsE2Mol5rnlkhduVBDvehLi+l37KOt/+xW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Ftkfy&#10;2gAAAA0BAAAPAAAAAAAAAAEAIAAAACIAAABkcnMvZG93bnJldi54bWxQSwECFAAUAAAACACHTuJA&#10;SEXURR8CAABFBAAADgAAAAAAAAABACAAAAApAQAAZHJzL2Uyb0RvYy54bWxQSwUGAAAAAAYABgBZ&#10;AQAAugUAAAAA&#10;">
                <v:fill on="t" focussize="0,0"/>
                <v:stroke weight="0.5pt" color="#000000" joinstyle="round"/>
                <v:imagedata o:title=""/>
                <o:lock v:ext="edit" aspectratio="f"/>
                <v:textbox>
                  <w:txbxContent>
                    <w:p w14:paraId="6AD6C7BE">
                      <w:pPr>
                        <w:jc w:val="center"/>
                        <w:rPr>
                          <w:b/>
                          <w:bCs/>
                          <w:sz w:val="24"/>
                          <w:szCs w:val="24"/>
                        </w:rPr>
                      </w:pPr>
                      <w:r>
                        <w:rPr>
                          <w:b/>
                          <w:bCs/>
                          <w:sz w:val="24"/>
                          <w:szCs w:val="24"/>
                        </w:rPr>
                        <w:t>图 例</w:t>
                      </w:r>
                    </w:p>
                    <w:p w14:paraId="1A04C0A3">
                      <w:pPr>
                        <w:pStyle w:val="46"/>
                        <w:spacing w:line="360" w:lineRule="auto"/>
                        <w:rPr>
                          <w:rFonts w:ascii="Times New Roman" w:cs="Times New Roman"/>
                          <w:b/>
                          <w:bCs/>
                        </w:rPr>
                      </w:pPr>
                      <w:r>
                        <w:rPr>
                          <w:rFonts w:ascii="Times New Roman" w:cs="Times New Roman"/>
                          <w:b/>
                          <w:bCs/>
                        </w:rPr>
                        <w:t>项目位置：</w:t>
                      </w:r>
                    </w:p>
                    <w:p w14:paraId="34DB81F5">
                      <w:pPr>
                        <w:pStyle w:val="48"/>
                        <w:spacing w:line="360" w:lineRule="auto"/>
                        <w:ind w:left="0" w:right="-120" w:firstLine="0"/>
                        <w:jc w:val="left"/>
                        <w:rPr>
                          <w:rFonts w:ascii="Times New Roman"/>
                          <w:b/>
                          <w:bCs/>
                          <w:sz w:val="24"/>
                          <w:szCs w:val="24"/>
                        </w:rPr>
                      </w:pPr>
                      <w:r>
                        <w:rPr>
                          <w:rFonts w:ascii="Times New Roman"/>
                          <w:b/>
                          <w:bCs/>
                          <w:sz w:val="24"/>
                          <w:szCs w:val="24"/>
                        </w:rPr>
                        <w:t>500m范围：</w:t>
                      </w:r>
                    </w:p>
                    <w:p w14:paraId="58BD89EB">
                      <w:pPr>
                        <w:pStyle w:val="50"/>
                        <w:keepNext w:val="0"/>
                        <w:keepLines w:val="0"/>
                        <w:pageBreakBefore w:val="0"/>
                        <w:widowControl/>
                        <w:kinsoku/>
                        <w:wordWrap/>
                        <w:overflowPunct/>
                        <w:topLinePunct w:val="0"/>
                        <w:bidi w:val="0"/>
                        <w:adjustRightInd/>
                        <w:snapToGrid/>
                        <w:spacing w:before="0" w:after="0" w:line="360" w:lineRule="auto"/>
                        <w:textAlignment w:val="auto"/>
                        <w:rPr>
                          <w:rFonts w:hint="eastAsia" w:eastAsia="宋体"/>
                          <w:lang w:val="en-US" w:eastAsia="zh-CN"/>
                        </w:rPr>
                      </w:pPr>
                      <w:r>
                        <w:rPr>
                          <w:rFonts w:hint="eastAsia"/>
                          <w:b/>
                          <w:bCs/>
                          <w:sz w:val="24"/>
                          <w:szCs w:val="24"/>
                          <w:lang w:eastAsia="zh-CN"/>
                        </w:rPr>
                        <w:t>敏感点：</w:t>
                      </w:r>
                    </w:p>
                  </w:txbxContent>
                </v:textbox>
              </v:rect>
            </w:pict>
          </mc:Fallback>
        </mc:AlternateContent>
      </w:r>
    </w:p>
    <w:p w14:paraId="69049D10">
      <w:pPr>
        <w:pStyle w:val="46"/>
        <w:keepNext w:val="0"/>
        <w:keepLines w:val="0"/>
        <w:pageBreakBefore w:val="0"/>
        <w:widowControl w:val="0"/>
        <w:kinsoku/>
        <w:wordWrap/>
        <w:overflowPunct/>
        <w:topLinePunct w:val="0"/>
        <w:autoSpaceDE w:val="0"/>
        <w:autoSpaceDN w:val="0"/>
        <w:bidi w:val="0"/>
        <w:adjustRightInd w:val="0"/>
        <w:snapToGrid w:val="0"/>
        <w:jc w:val="center"/>
        <w:textAlignment w:val="auto"/>
        <w:rPr>
          <w:rFonts w:ascii="Times New Roman" w:cs="Times New Roman"/>
          <w:color w:val="auto"/>
          <w:highlight w:val="none"/>
        </w:rPr>
      </w:pPr>
      <w:r>
        <w:rPr>
          <w:color w:val="auto"/>
          <w:highlight w:val="none"/>
        </w:rPr>
        <mc:AlternateContent>
          <mc:Choice Requires="wps">
            <w:drawing>
              <wp:anchor distT="0" distB="0" distL="0" distR="0" simplePos="0" relativeHeight="251659264" behindDoc="0" locked="0" layoutInCell="1" allowOverlap="1">
                <wp:simplePos x="0" y="0"/>
                <wp:positionH relativeFrom="column">
                  <wp:posOffset>3068955</wp:posOffset>
                </wp:positionH>
                <wp:positionV relativeFrom="paragraph">
                  <wp:posOffset>561975</wp:posOffset>
                </wp:positionV>
                <wp:extent cx="1111250" cy="550545"/>
                <wp:effectExtent l="543560" t="9525" r="18415" b="109220"/>
                <wp:wrapNone/>
                <wp:docPr id="1086" name="圆角矩形标注 289"/>
                <wp:cNvGraphicFramePr/>
                <a:graphic xmlns:a="http://schemas.openxmlformats.org/drawingml/2006/main">
                  <a:graphicData uri="http://schemas.microsoft.com/office/word/2010/wordprocessingShape">
                    <wps:wsp>
                      <wps:cNvSpPr/>
                      <wps:spPr>
                        <a:xfrm>
                          <a:off x="0" y="0"/>
                          <a:ext cx="1111250" cy="550545"/>
                        </a:xfrm>
                        <a:prstGeom prst="wedgeRoundRectCallout">
                          <a:avLst>
                            <a:gd name="adj1" fmla="val -92685"/>
                            <a:gd name="adj2" fmla="val 62918"/>
                            <a:gd name="adj3" fmla="val 16667"/>
                          </a:avLst>
                        </a:prstGeom>
                        <a:solidFill>
                          <a:srgbClr val="F2F2F2"/>
                        </a:solidFill>
                        <a:ln w="19050" cap="flat" cmpd="sng">
                          <a:solidFill>
                            <a:srgbClr val="000000"/>
                          </a:solidFill>
                          <a:prstDash val="solid"/>
                          <a:miter/>
                        </a:ln>
                      </wps:spPr>
                      <wps:txbx>
                        <w:txbxContent>
                          <w:p w14:paraId="11EEB1A0">
                            <w:pPr>
                              <w:jc w:val="center"/>
                              <w:rPr>
                                <w:b/>
                                <w:bCs/>
                              </w:rPr>
                            </w:pPr>
                            <w:r>
                              <w:rPr>
                                <w:rFonts w:hint="eastAsia"/>
                                <w:b/>
                                <w:bCs/>
                              </w:rPr>
                              <w:t>项目位置</w:t>
                            </w:r>
                          </w:p>
                        </w:txbxContent>
                      </wps:txbx>
                      <wps:bodyPr vert="horz" wrap="square" lIns="91440" tIns="45720" rIns="91440" bIns="45720" anchor="ctr">
                        <a:noAutofit/>
                      </wps:bodyPr>
                    </wps:wsp>
                  </a:graphicData>
                </a:graphic>
              </wp:anchor>
            </w:drawing>
          </mc:Choice>
          <mc:Fallback>
            <w:pict>
              <v:shape id="圆角矩形标注 289" o:spid="_x0000_s1026" o:spt="62" type="#_x0000_t62" style="position:absolute;left:0pt;margin-left:241.65pt;margin-top:44.25pt;height:43.35pt;width:87.5pt;z-index:251659264;v-text-anchor:middle;mso-width-relative:page;mso-height-relative:page;" fillcolor="#F2F2F2" filled="t" stroked="t" coordsize="21600,21600" o:gfxdata="UEsDBAoAAAAAAIdO4kAAAAAAAAAAAAAAAAAEAAAAZHJzL1BLAwQUAAAACACHTuJAS9dyTNkAAAAK&#10;AQAADwAAAGRycy9kb3ducmV2LnhtbE2PwU7DMAyG70i8Q2QkbiztSktUmk5o2qQd2IGBOGdJaCoa&#10;pzTZOt4ec4Kj7U+/v79ZXfzAznaKfUAJ+SIDZlEH02Mn4e11eyeAxaTQqCGglfBtI6za66tG1SbM&#10;+GLPh9QxCsFYKwkupbHmPGpnvYqLMFqk20eYvEo0Th03k5op3A98mWUV96pH+uDUaNfO6s/DyUvY&#10;d+9Phf7ab9xuzXfV/Lzd6DGX8vYmzx6BJXtJfzD86pM6tOR0DCc0kQ0S7kVRECpBiBIYAVUpaHEk&#10;8qFcAm8b/r9C+wNQSwMEFAAAAAgAh07iQMmXvS9sAgAA1wQAAA4AAABkcnMvZTJvRG9jLnhtbK1U&#10;y27UMBTdI/EPlvdtHsykM6PJVKijIiQEVQsf4HGciZFf2J7JlA+AfddIIDbAmjWf08JncO2ENi0s&#10;uiCREt/4+vicc68zP9xJgbbMOq5VibP9FCOmqK64Wpf41cvjvQlGzhNVEaEVK/E5c/hw8fDBvDUz&#10;lutGi4pZBCDKzVpT4sZ7M0sSRxsmidvXhimYrLWVxENo10llSQvoUiR5mhZJq21lrKbMOfi67CZx&#10;j2jvA6jrmlO21HQjmfIdqmWCeJDkGm4cXkS2dc2of1HXjnkkSgxKfXzCJjBehWeymJPZ2hLTcNpT&#10;IPehcEeTJFzBptdQS+IJ2lj+F5Tk1Gqna79PtUw6IdERUJGld7w5a4hhUQtY7cy16e7/wdLn2xOL&#10;eAWdkE4KjBSRUPPLD+9+fbn4+fHb5Y/PV5/eX33/ivLJNJjVGjeDNWfmxPaRg2FQvqutDG/QhHbR&#10;4PNrg9nOIwofM7jyMXhPYW48TsejcQBNblYb6/wTpiUKgxK3rFqzU71R1SmU8ogIoTc+Gk22z5yP&#10;jlc9aVK9zjCqpYACbolAe9O8mER8KMsgKR8mFfk0m/RdMMh5NMzJiqI46Hn22wLjP0wDB6cFr465&#10;EDGw69WRsAg4lPg4D3e/+FaaUKgFR6Zp9IPASaqhg8EaaaAaTq2jzFtL3BA5jde/kAOzJXFNxyAi&#10;dAol98x2fgsFtodiduULI79b7fqarnR1Dm0BfwmoQaPtW4xaOCNA682GWIaReKqgCafZaBQOVQxG&#10;44McAjucWQ1niKIAVWLqbZSm9OON1zX3gVEg0O3aB9DvsTH6sxkO1DCOWTf/o8V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S9dyTNkAAAAKAQAADwAAAAAAAAABACAAAAAiAAAAZHJzL2Rvd25yZXYu&#10;eG1sUEsBAhQAFAAAAAgAh07iQMmXvS9sAgAA1wQAAA4AAAAAAAAAAQAgAAAAKAEAAGRycy9lMm9E&#10;b2MueG1sUEsFBgAAAAAGAAYAWQEAAAYGAAAAAA==&#10;" adj="-9220,24390,14400">
                <v:fill on="t" focussize="0,0"/>
                <v:stroke weight="1.5pt" color="#000000" joinstyle="miter"/>
                <v:imagedata o:title=""/>
                <o:lock v:ext="edit" aspectratio="f"/>
                <v:textbox>
                  <w:txbxContent>
                    <w:p w14:paraId="11EEB1A0">
                      <w:pPr>
                        <w:jc w:val="center"/>
                        <w:rPr>
                          <w:b/>
                          <w:bCs/>
                        </w:rPr>
                      </w:pPr>
                      <w:r>
                        <w:rPr>
                          <w:rFonts w:hint="eastAsia"/>
                          <w:b/>
                          <w:bCs/>
                        </w:rPr>
                        <w:t>项目位置</w:t>
                      </w:r>
                    </w:p>
                  </w:txbxContent>
                </v:textbox>
              </v:shape>
            </w:pict>
          </mc:Fallback>
        </mc:AlternateContent>
      </w:r>
      <w:r>
        <w:rPr>
          <w:color w:val="auto"/>
          <w:highlight w:val="none"/>
        </w:rPr>
        <mc:AlternateContent>
          <mc:Choice Requires="wps">
            <w:drawing>
              <wp:anchor distT="0" distB="0" distL="0" distR="0" simplePos="0" relativeHeight="251659264" behindDoc="0" locked="0" layoutInCell="1" allowOverlap="1">
                <wp:simplePos x="0" y="0"/>
                <wp:positionH relativeFrom="column">
                  <wp:posOffset>2463800</wp:posOffset>
                </wp:positionH>
                <wp:positionV relativeFrom="paragraph">
                  <wp:posOffset>1178560</wp:posOffset>
                </wp:positionV>
                <wp:extent cx="88265" cy="92710"/>
                <wp:effectExtent l="1905" t="0" r="5080" b="21590"/>
                <wp:wrapNone/>
                <wp:docPr id="1087" name="五角星 286"/>
                <wp:cNvGraphicFramePr/>
                <a:graphic xmlns:a="http://schemas.openxmlformats.org/drawingml/2006/main">
                  <a:graphicData uri="http://schemas.microsoft.com/office/word/2010/wordprocessingShape">
                    <wps:wsp>
                      <wps:cNvSpPr/>
                      <wps:spPr>
                        <a:xfrm>
                          <a:off x="0" y="0"/>
                          <a:ext cx="88264" cy="92710"/>
                        </a:xfrm>
                        <a:prstGeom prst="star5">
                          <a:avLst>
                            <a:gd name="adj" fmla="val 0"/>
                            <a:gd name="hf" fmla="val 105146"/>
                            <a:gd name="vf" fmla="val 110557"/>
                          </a:avLst>
                        </a:prstGeom>
                        <a:solidFill>
                          <a:srgbClr val="FF0000"/>
                        </a:solidFill>
                        <a:ln w="12700" cap="flat" cmpd="sng">
                          <a:solidFill>
                            <a:srgbClr val="000000"/>
                          </a:solidFill>
                          <a:prstDash val="solid"/>
                          <a:miter/>
                        </a:ln>
                      </wps:spPr>
                      <wps:bodyPr/>
                    </wps:wsp>
                  </a:graphicData>
                </a:graphic>
              </wp:anchor>
            </w:drawing>
          </mc:Choice>
          <mc:Fallback>
            <w:pict>
              <v:shape id="五角星 286" o:spid="_x0000_s1026" style="position:absolute;left:0pt;margin-left:194pt;margin-top:92.8pt;height:7.3pt;width:6.95pt;z-index:251659264;mso-width-relative:page;mso-height-relative:page;" fillcolor="#FF0000" filled="t" stroked="t" coordsize="88264,92710" o:gfxdata="UEsDBAoAAAAAAIdO4kAAAAAAAAAAAAAAAAAEAAAAZHJzL1BLAwQUAAAACACHTuJAKptQ9tgAAAAL&#10;AQAADwAAAGRycy9kb3ducmV2LnhtbE2PzU7DMBCE70i8g7VI3KidtFQhjVOJooLEjcIDuPE2jhqv&#10;Q+z+0KdnOdHjaEYz31TLs+/FEcfYBdKQTRQIpCbYjloNX5/rhwJETIas6QOhhh+MsKxvbypT2nCi&#10;DzxuUiu4hGJpNLiUhlLK2Dj0Jk7CgMTeLozeJJZjK+1oTlzue5krNZfedMQLzgy4ctjsNwev4fky&#10;pdnLir7de/t2cbR+3UfKtb6/y9QCRMJz+g/DHz6jQ81M23AgG0WvYVoU/CWxUTzOQXBiprInEFsN&#10;PJyDrCt5/aH+BVBLAwQUAAAACACHTuJA3JRHdQoCAAAzBAAADgAAAGRycy9lMm9Eb2MueG1srVPN&#10;jtMwEL4j8Q6W7zRptP0haroHqnJBsNLCA7iO3Rj5Tx5v074G4sCNI+/A8yC0j8HYTbvbhcMeyCEZ&#10;e8afv++byeJ6bzTZiQDK2YaORyUlwnLXKrtt6KeP61dzSiAy2zLtrGjoQQC9Xr58seh9LSrXOd2K&#10;QBDEQt37hnYx+roogHfCMBg5LywmpQuGRVyGbdEG1iO60UVVltOid6H1wXEBgLurY5IOiOE5gE5K&#10;xcXK8TsjbDyiBqFZREnQKQ90mdlKKXj8ICWISHRDUWnMb7wE4016F8sFq7eB+U7xgQJ7DoUnmgxT&#10;Fi89Q61YZOQuqL+gjOLBgZNxxJ0pjkKyI6hiXD7x5rZjXmQtaDX4s+nw/2D5+91NIKrFSSjnM0os&#10;M9jzXz+/3v/48vvbd1LNp8mj3kONpbf+JgwrwDAJ3stg0helkH329XD2Vewj4bg5n1fTK0o4Zl5X&#10;s3F2vXg46gPEt8IZkoKG4vCFSTaT7d5BzK62AzHWfqZEGo092jFNTv07pTv5ODsuJ+OrTB/7cirZ&#10;XZZgzWSWFCKf4TqMTozS3eC0atdK67wI280bHQhe3tD1usRnOHxRpi3p0dFqhmnCGf4lEqcTQ+PR&#10;abDbLO/iCDxGTrj/Rk7MVgy6I4OMkAiw2qgoUm+Qvbb4SR079ihFG9cecuvyPs5SLhzmPg3r43U+&#10;/fCvL/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KptQ9tgAAAALAQAADwAAAAAAAAABACAAAAAi&#10;AAAAZHJzL2Rvd25yZXYueG1sUEsBAhQAFAAAAAgAh07iQNyUR3UKAgAAMwQAAA4AAAAAAAAAAQAg&#10;AAAAJwEAAGRycy9lMm9Eb2MueG1sUEsFBgAAAAAGAAYAWQEAAKMFAAAAAA==&#10;" path="m0,35411l44132,51248,44132,0,44132,51248,88263,35411,44132,51248,71407,92709,44132,51248,16856,92709,44132,51248xe">
                <v:path o:connectlocs="44132,0;0,35411;16856,92709;71407,92709;88263,35411" o:connectangles="247,164,82,82,0"/>
                <v:fill on="t" focussize="0,0"/>
                <v:stroke weight="1pt" color="#000000" joinstyle="miter"/>
                <v:imagedata o:title=""/>
                <o:lock v:ext="edit" aspectratio="f"/>
              </v:shape>
            </w:pict>
          </mc:Fallback>
        </mc:AlternateContent>
      </w:r>
      <w:r>
        <w:rPr>
          <w:rFonts w:hint="eastAsia"/>
          <w:color w:val="auto"/>
          <w:highlight w:val="none"/>
        </w:rPr>
        <w:drawing>
          <wp:inline distT="0" distB="0" distL="0" distR="0">
            <wp:extent cx="8046720" cy="5445760"/>
            <wp:effectExtent l="9525" t="9525" r="18415" b="17780"/>
            <wp:docPr id="1088" name="图片 62" descr="01城东法定图则"/>
            <wp:cNvGraphicFramePr/>
            <a:graphic xmlns:a="http://schemas.openxmlformats.org/drawingml/2006/main">
              <a:graphicData uri="http://schemas.openxmlformats.org/drawingml/2006/picture">
                <pic:pic xmlns:pic="http://schemas.openxmlformats.org/drawingml/2006/picture">
                  <pic:nvPicPr>
                    <pic:cNvPr id="1088" name="图片 62" descr="01城东法定图则"/>
                    <pic:cNvPicPr/>
                  </pic:nvPicPr>
                  <pic:blipFill>
                    <a:blip r:embed="rId31" cstate="print"/>
                    <a:srcRect/>
                    <a:stretch>
                      <a:fillRect/>
                    </a:stretch>
                  </pic:blipFill>
                  <pic:spPr>
                    <a:xfrm>
                      <a:off x="0" y="0"/>
                      <a:ext cx="8046720" cy="5445760"/>
                    </a:xfrm>
                    <a:prstGeom prst="rect">
                      <a:avLst/>
                    </a:prstGeom>
                    <a:ln w="9525" cap="flat" cmpd="sng">
                      <a:solidFill>
                        <a:srgbClr val="000000"/>
                      </a:solidFill>
                      <a:prstDash val="solid"/>
                      <a:round/>
                    </a:ln>
                  </pic:spPr>
                </pic:pic>
              </a:graphicData>
            </a:graphic>
          </wp:inline>
        </w:drawing>
      </w:r>
    </w:p>
    <w:p w14:paraId="3E5BE77E">
      <w:pPr>
        <w:kinsoku w:val="0"/>
        <w:overflowPunct w:val="0"/>
        <w:adjustRightInd w:val="0"/>
        <w:snapToGrid w:val="0"/>
        <w:ind w:firstLine="482" w:firstLineChars="200"/>
        <w:jc w:val="center"/>
        <w:outlineLvl w:val="0"/>
        <w:rPr>
          <w:b/>
          <w:bCs/>
          <w:color w:val="auto"/>
          <w:szCs w:val="22"/>
          <w:highlight w:val="none"/>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720" w:num="1"/>
          <w:docGrid w:type="lines" w:linePitch="312" w:charSpace="0"/>
        </w:sectPr>
      </w:pPr>
      <w:bookmarkStart w:id="166" w:name="_Toc28121"/>
      <w:bookmarkStart w:id="167" w:name="_Toc30352"/>
      <w:bookmarkStart w:id="168" w:name="_Toc19538"/>
      <w:r>
        <w:rPr>
          <w:b/>
          <w:bCs/>
          <w:color w:val="auto"/>
          <w:szCs w:val="22"/>
          <w:highlight w:val="none"/>
        </w:rPr>
        <w:t>附图</w:t>
      </w:r>
      <w:r>
        <w:rPr>
          <w:rFonts w:hint="eastAsia"/>
          <w:b/>
          <w:bCs/>
          <w:color w:val="auto"/>
          <w:szCs w:val="22"/>
          <w:highlight w:val="none"/>
        </w:rPr>
        <w:t>5</w:t>
      </w:r>
      <w:r>
        <w:rPr>
          <w:b/>
          <w:bCs/>
          <w:color w:val="auto"/>
          <w:szCs w:val="22"/>
          <w:highlight w:val="none"/>
        </w:rPr>
        <w:t xml:space="preserve"> </w:t>
      </w:r>
      <w:bookmarkEnd w:id="166"/>
      <w:r>
        <w:rPr>
          <w:rFonts w:hint="eastAsia"/>
          <w:b/>
          <w:bCs/>
          <w:color w:val="auto"/>
          <w:szCs w:val="22"/>
          <w:highlight w:val="none"/>
        </w:rPr>
        <w:t>建设项目土地利用规划图</w:t>
      </w:r>
      <w:bookmarkEnd w:id="167"/>
      <w:bookmarkEnd w:id="168"/>
    </w:p>
    <w:p w14:paraId="4B6726A1">
      <w:pPr>
        <w:pStyle w:val="46"/>
        <w:jc w:val="center"/>
        <w:rPr>
          <w:rFonts w:ascii="Times New Roman" w:cs="Times New Roman"/>
          <w:color w:val="auto"/>
          <w:highlight w:val="none"/>
        </w:rPr>
      </w:pPr>
      <w:r>
        <w:rPr>
          <w:color w:val="auto"/>
          <w:sz w:val="32"/>
          <w:highlight w:val="none"/>
        </w:rPr>
        <mc:AlternateContent>
          <mc:Choice Requires="wps">
            <w:drawing>
              <wp:anchor distT="0" distB="0" distL="0" distR="0" simplePos="0" relativeHeight="251659264" behindDoc="0" locked="0" layoutInCell="1" allowOverlap="1">
                <wp:simplePos x="0" y="0"/>
                <wp:positionH relativeFrom="column">
                  <wp:posOffset>5603875</wp:posOffset>
                </wp:positionH>
                <wp:positionV relativeFrom="paragraph">
                  <wp:posOffset>3580130</wp:posOffset>
                </wp:positionV>
                <wp:extent cx="139065" cy="141605"/>
                <wp:effectExtent l="13970" t="16510" r="18415" b="13334"/>
                <wp:wrapNone/>
                <wp:docPr id="1089" name="五角星 291"/>
                <wp:cNvGraphicFramePr/>
                <a:graphic xmlns:a="http://schemas.openxmlformats.org/drawingml/2006/main">
                  <a:graphicData uri="http://schemas.microsoft.com/office/word/2010/wordprocessingShape">
                    <wps:wsp>
                      <wps:cNvSpPr/>
                      <wps:spPr>
                        <a:xfrm>
                          <a:off x="0" y="0"/>
                          <a:ext cx="139065" cy="141604"/>
                        </a:xfrm>
                        <a:prstGeom prst="star5">
                          <a:avLst/>
                        </a:prstGeom>
                        <a:solidFill>
                          <a:srgbClr val="FF0000"/>
                        </a:solidFill>
                        <a:ln w="9525" cap="flat" cmpd="sng">
                          <a:solidFill>
                            <a:srgbClr val="000000"/>
                          </a:solidFill>
                          <a:prstDash val="solid"/>
                          <a:miter/>
                        </a:ln>
                      </wps:spPr>
                      <wps:bodyPr/>
                    </wps:wsp>
                  </a:graphicData>
                </a:graphic>
              </wp:anchor>
            </w:drawing>
          </mc:Choice>
          <mc:Fallback>
            <w:pict>
              <v:shape id="五角星 291" o:spid="_x0000_s1026" style="position:absolute;left:0pt;margin-left:441.25pt;margin-top:281.9pt;height:11.15pt;width:10.95pt;z-index:251659264;mso-width-relative:page;mso-height-relative:page;" fillcolor="#FF0000" filled="t" stroked="t" coordsize="139065,141604" o:gfxdata="UEsDBAoAAAAAAIdO4kAAAAAAAAAAAAAAAAAEAAAAZHJzL1BLAwQUAAAACACHTuJAlK4Lm9sAAAAL&#10;AQAADwAAAGRycy9kb3ducmV2LnhtbE2PsU7DMBCGdyTewTokNmqntFEa4nRIBAtCKIWB0Y2POCK2&#10;Q+w0hafnmGC8u0//fX+xP9uBnXAKvXcSkpUAhq71unedhNeX+5sMWIjKaTV4hxK+MMC+vLwoVK79&#10;4ho8HWLHKMSFXEkwMY4556E1aFVY+REd3d79ZFWkceq4ntRC4XbgayFSblXv6INRI1YG24/DbCU8&#10;t9+qfpybqq4/u6fqbdc81IuR8voqEXfAIp7jHwy/+qQOJTkd/ex0YIOELFtvCZWwTW+pAxE7sdkA&#10;O9ImSxPgZcH/dyh/AFBLAwQUAAAACACHTuJA2SshHt8BAADGAwAADgAAAGRycy9lMm9Eb2MueG1s&#10;rVPNjtMwEL4j8Q6W7zRJ2VbbqOkeqMoFwUoLD+A6dmLJf/J4m/Y1EAduHHkHngchHmPHTuj+wGEP&#10;5GDP2DPfzPd5sr46Gk0OIoBytqHVrKREWO5aZbuGfvq4e3VJCURmW6adFQ09CaBXm5cv1oOvxdz1&#10;TrciEASxUA++oX2Mvi4K4L0wDGbOC4uX0gXDIrqhK9rABkQ3upiX5bIYXGh9cFwA4Ol2vKQTYngO&#10;oJNScbF1/NYIG0fUIDSLSAl65YFucrdSCh4/SAkiEt1QZBrzikXQ3qe12KxZ3QXme8WnFthzWnjC&#10;yTBlsegZassiI7dB/QVlFA8OnIwz7kwxEsmKIIuqfKLNTc+8yFxQavBn0eH/wfL3h+tAVIuTUF6u&#10;KLHM4Jv//PHl9/fPv75+I/NVlTQaPNQYeuOvw+QBmonwUQaTdqRCjlnX01lXcYyE42H1elUuF5Rw&#10;vKouqmV5kTCL+2QfIL4VzpBkNBTHLyyynOzwDuIY+ycmFQOnVbtTWmcndPs3OpADwzfe7Ur8JvhH&#10;YdqSoaGrxTw1wnBwJQ4MmsYjebBdrvcoAx4CJ9h/A6fGtgz6sYGMkOqz2qgoklxIVFvckoijbMna&#10;u/aU1czn+Lw5cBrFND8P/Zx9//tt7g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CUrgub2wAAAAsB&#10;AAAPAAAAAAAAAAEAIAAAACIAAABkcnMvZG93bnJldi54bWxQSwECFAAUAAAACACHTuJA2SshHt8B&#10;AADGAwAADgAAAAAAAAABACAAAAAqAQAAZHJzL2Uyb0RvYy54bWxQSwUGAAAAAAYABgBZAQAAewUA&#10;AAAA&#10;" path="m0,54087l53118,54088,69532,0,85946,54088,139064,54087,96091,87515,112505,141603,69532,108175,26559,141603,42973,87515xe">
                <v:path o:connectlocs="69532,0;0,54087;26559,141603;112505,141603;139064,54087" o:connectangles="247,164,82,82,0"/>
                <v:fill on="t" focussize="0,0"/>
                <v:stroke color="#000000" joinstyle="miter"/>
                <v:imagedata o:title=""/>
                <o:lock v:ext="edit" aspectratio="f"/>
              </v:shape>
            </w:pict>
          </mc:Fallback>
        </mc:AlternateContent>
      </w:r>
      <w:r>
        <w:rPr>
          <w:color w:val="auto"/>
          <w:sz w:val="32"/>
          <w:highlight w:val="none"/>
        </w:rPr>
        <mc:AlternateContent>
          <mc:Choice Requires="wps">
            <w:drawing>
              <wp:anchor distT="0" distB="0" distL="0" distR="0" simplePos="0" relativeHeight="251659264" behindDoc="0" locked="0" layoutInCell="1" allowOverlap="1">
                <wp:simplePos x="0" y="0"/>
                <wp:positionH relativeFrom="column">
                  <wp:posOffset>5770245</wp:posOffset>
                </wp:positionH>
                <wp:positionV relativeFrom="paragraph">
                  <wp:posOffset>2940685</wp:posOffset>
                </wp:positionV>
                <wp:extent cx="1087120" cy="422275"/>
                <wp:effectExtent l="107950" t="5080" r="5080" b="277495"/>
                <wp:wrapNone/>
                <wp:docPr id="1090" name="圆角矩形标注 292"/>
                <wp:cNvGraphicFramePr/>
                <a:graphic xmlns:a="http://schemas.openxmlformats.org/drawingml/2006/main">
                  <a:graphicData uri="http://schemas.microsoft.com/office/word/2010/wordprocessingShape">
                    <wps:wsp>
                      <wps:cNvSpPr/>
                      <wps:spPr>
                        <a:xfrm>
                          <a:off x="0" y="0"/>
                          <a:ext cx="1087120" cy="422274"/>
                        </a:xfrm>
                        <a:prstGeom prst="wedgeRoundRectCallout">
                          <a:avLst>
                            <a:gd name="adj1" fmla="val -57710"/>
                            <a:gd name="adj2" fmla="val 110751"/>
                            <a:gd name="adj3" fmla="val 16667"/>
                          </a:avLst>
                        </a:prstGeom>
                        <a:solidFill>
                          <a:srgbClr val="FFFFFF"/>
                        </a:solidFill>
                        <a:ln w="9525" cap="flat" cmpd="sng">
                          <a:solidFill>
                            <a:srgbClr val="000000"/>
                          </a:solidFill>
                          <a:prstDash val="solid"/>
                          <a:miter/>
                        </a:ln>
                      </wps:spPr>
                      <wps:txbx>
                        <w:txbxContent>
                          <w:p w14:paraId="123D9E7C">
                            <w:pPr>
                              <w:keepNext w:val="0"/>
                              <w:keepLines w:val="0"/>
                              <w:pageBreakBefore w:val="0"/>
                              <w:widowControl w:val="0"/>
                              <w:kinsoku/>
                              <w:wordWrap/>
                              <w:overflowPunct/>
                              <w:topLinePunct w:val="0"/>
                              <w:bidi w:val="0"/>
                              <w:adjustRightInd/>
                              <w:snapToGrid w:val="0"/>
                              <w:jc w:val="center"/>
                              <w:textAlignment w:val="auto"/>
                              <w:rPr>
                                <w:b/>
                                <w:bCs/>
                                <w:color w:val="000000"/>
                                <w:sz w:val="28"/>
                                <w:szCs w:val="28"/>
                              </w:rPr>
                            </w:pPr>
                            <w:r>
                              <w:rPr>
                                <w:rFonts w:hint="eastAsia"/>
                                <w:b/>
                                <w:bCs/>
                                <w:color w:val="000000"/>
                                <w:sz w:val="28"/>
                                <w:szCs w:val="28"/>
                              </w:rPr>
                              <w:t>项目位置</w:t>
                            </w:r>
                          </w:p>
                        </w:txbxContent>
                      </wps:txbx>
                      <wps:bodyPr vert="horz" wrap="square" lIns="91440" tIns="45720" rIns="91440" bIns="45720" anchor="ctr">
                        <a:noAutofit/>
                      </wps:bodyPr>
                    </wps:wsp>
                  </a:graphicData>
                </a:graphic>
              </wp:anchor>
            </w:drawing>
          </mc:Choice>
          <mc:Fallback>
            <w:pict>
              <v:shape id="圆角矩形标注 292" o:spid="_x0000_s1026" o:spt="62" type="#_x0000_t62" style="position:absolute;left:0pt;margin-left:454.35pt;margin-top:231.55pt;height:33.25pt;width:85.6pt;z-index:251659264;v-text-anchor:middle;mso-width-relative:page;mso-height-relative:page;" fillcolor="#FFFFFF" filled="t" stroked="t" coordsize="21600,21600" o:gfxdata="UEsDBAoAAAAAAIdO4kAAAAAAAAAAAAAAAAAEAAAAZHJzL1BLAwQUAAAACACHTuJATuWmk90AAAAM&#10;AQAADwAAAGRycy9kb3ducmV2LnhtbE2Py07DMBBF90j8gzVIbBC105akCXEqhMQGCVW0XXTpxtMk&#10;1B5HsfvI3+OuYDm6R/eeKZdXa9gZB985kpBMBDCk2umOGgnbzcfzApgPirQyjlDCiB6W1f1dqQrt&#10;LvSN53VoWCwhXygJbQh9wbmvW7TKT1yPFLODG6wK8Rwargd1ieXW8KkQKbeqo7jQqh7fW6yP65OV&#10;gG96td18reZHno1P+eduNpofkvLxIRGvwAJewx8MN/2oDlV02rsTac+MhFwssohKmKezBNiNEFme&#10;A9tLeJnmKfCq5P+fqH4BUEsDBBQAAAAIAIdO4kAjMc8ZawIAANcEAAAOAAAAZHJzL2Uyb0RvYy54&#10;bWytVMtu1DAU3SPxD5b3bR7MTDqjyVSooyIkBFULH+BxnImRX9ieyZQPgD1rJBAbYM2az2nhM7h2&#10;0jYtLLogi8Q3vj4+59xrzw93UqAts45rVeJsP8WIKaorrtYlfvXyeO8AI+eJqojQipX4nDl8uHj4&#10;YN6aGct1o0XFLAIQ5WatKXHjvZkliaMNk8Tta8MUTNbaSuIhtOuksqQFdCmSPE0nSattZaymzDn4&#10;u+wmcY9o7wOo65pTttR0I5nyHaplgniQ5BpuHF5EtnXNqH9R1455JEoMSn18wyYwXoV3spiT2doS&#10;03DaUyD3oXBHkyRcwabXUEviCdpY/heU5NRqp2u/T7VMOiHREVCRpXe8OWuIYVELWO3Mtenu/8HS&#10;59sTi3gFnZBOwRRFJNT84uO7318//Pr0/eLnl8vP7y9/fEP5NA9mtcbNYM2ZObF95GAYlO9qK8MX&#10;NKFdNPj82mC284jCzyw9KLIctqEwN8rzvBgF0ORmtbHOP2FaojAoccuqNTvVG1WdQimPiBB646PR&#10;ZPvM+eh41ZMm1esMo1oKKOCWCLQ3LorsqsKDpHyYlGVpMc76NhgkPbqVNJlMip5ovy9QvqIaSDgt&#10;eHXMhYiBXa+OhEVAosTH8ekX30oTCrUlno7zMfhB4CTV0MEwlAaq4dQ6yry1wg2B0/j8CzgQWxLX&#10;dAQiQidQcs9s57dQYHsoZle+MPK71a6v6UpX59AWcEtADRpt32LUwhkBWm82xDKMxFMFTTjNRqNw&#10;qGIwGhehsnY4sxrOEEUBqsTU2yhN6ccbr2vuA6NAoNu1D6DfY2P0ZzMcqGEcs27uo8U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TuWmk90AAAAMAQAADwAAAAAAAAABACAAAAAiAAAAZHJzL2Rvd25y&#10;ZXYueG1sUEsBAhQAFAAAAAgAh07iQCMxzxlrAgAA1wQAAA4AAAAAAAAAAQAgAAAALAEAAGRycy9l&#10;Mm9Eb2MueG1sUEsFBgAAAAAGAAYAWQEAAAkGAAAAAA==&#10;" adj="-1665,34722,14400">
                <v:fill on="t" focussize="0,0"/>
                <v:stroke color="#000000" joinstyle="miter"/>
                <v:imagedata o:title=""/>
                <o:lock v:ext="edit" aspectratio="f"/>
                <v:textbox>
                  <w:txbxContent>
                    <w:p w14:paraId="123D9E7C">
                      <w:pPr>
                        <w:keepNext w:val="0"/>
                        <w:keepLines w:val="0"/>
                        <w:pageBreakBefore w:val="0"/>
                        <w:widowControl w:val="0"/>
                        <w:kinsoku/>
                        <w:wordWrap/>
                        <w:overflowPunct/>
                        <w:topLinePunct w:val="0"/>
                        <w:bidi w:val="0"/>
                        <w:adjustRightInd/>
                        <w:snapToGrid w:val="0"/>
                        <w:jc w:val="center"/>
                        <w:textAlignment w:val="auto"/>
                        <w:rPr>
                          <w:b/>
                          <w:bCs/>
                          <w:color w:val="000000"/>
                          <w:sz w:val="28"/>
                          <w:szCs w:val="28"/>
                        </w:rPr>
                      </w:pPr>
                      <w:r>
                        <w:rPr>
                          <w:rFonts w:hint="eastAsia"/>
                          <w:b/>
                          <w:bCs/>
                          <w:color w:val="000000"/>
                          <w:sz w:val="28"/>
                          <w:szCs w:val="28"/>
                        </w:rPr>
                        <w:t>项目位置</w:t>
                      </w:r>
                    </w:p>
                  </w:txbxContent>
                </v:textbox>
              </v:shape>
            </w:pict>
          </mc:Fallback>
        </mc:AlternateContent>
      </w:r>
      <w:r>
        <w:rPr>
          <w:color w:val="auto"/>
          <w:highlight w:val="none"/>
        </w:rPr>
        <w:drawing>
          <wp:inline distT="0" distB="0" distL="0" distR="0">
            <wp:extent cx="7646670" cy="5318760"/>
            <wp:effectExtent l="28575" t="28575" r="40005" b="43815"/>
            <wp:docPr id="1091" name="图片 15"/>
            <wp:cNvGraphicFramePr/>
            <a:graphic xmlns:a="http://schemas.openxmlformats.org/drawingml/2006/main">
              <a:graphicData uri="http://schemas.openxmlformats.org/drawingml/2006/picture">
                <pic:pic xmlns:pic="http://schemas.openxmlformats.org/drawingml/2006/picture">
                  <pic:nvPicPr>
                    <pic:cNvPr id="1091" name="图片 15"/>
                    <pic:cNvPicPr/>
                  </pic:nvPicPr>
                  <pic:blipFill>
                    <a:blip r:embed="rId32" cstate="print"/>
                    <a:srcRect/>
                    <a:stretch>
                      <a:fillRect/>
                    </a:stretch>
                  </pic:blipFill>
                  <pic:spPr>
                    <a:xfrm>
                      <a:off x="0" y="0"/>
                      <a:ext cx="7646670" cy="5318760"/>
                    </a:xfrm>
                    <a:prstGeom prst="rect">
                      <a:avLst/>
                    </a:prstGeom>
                    <a:ln w="28575" cap="flat" cmpd="sng">
                      <a:solidFill>
                        <a:srgbClr val="000000"/>
                      </a:solidFill>
                      <a:prstDash val="solid"/>
                      <a:round/>
                    </a:ln>
                  </pic:spPr>
                </pic:pic>
              </a:graphicData>
            </a:graphic>
          </wp:inline>
        </w:drawing>
      </w:r>
    </w:p>
    <w:p w14:paraId="4BC2A38A">
      <w:pPr>
        <w:kinsoku w:val="0"/>
        <w:overflowPunct w:val="0"/>
        <w:adjustRightInd w:val="0"/>
        <w:snapToGrid w:val="0"/>
        <w:ind w:firstLine="482" w:firstLineChars="200"/>
        <w:jc w:val="center"/>
        <w:outlineLvl w:val="0"/>
        <w:rPr>
          <w:b/>
          <w:bCs/>
          <w:color w:val="auto"/>
          <w:szCs w:val="22"/>
          <w:highlight w:val="none"/>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720" w:num="1"/>
          <w:docGrid w:type="lines" w:linePitch="312" w:charSpace="0"/>
        </w:sectPr>
      </w:pPr>
      <w:bookmarkStart w:id="169" w:name="_Toc7414"/>
      <w:bookmarkStart w:id="170" w:name="_Toc9577"/>
      <w:bookmarkStart w:id="171" w:name="_Toc25092"/>
      <w:r>
        <w:rPr>
          <w:b/>
          <w:bCs/>
          <w:color w:val="auto"/>
          <w:szCs w:val="22"/>
          <w:highlight w:val="none"/>
        </w:rPr>
        <w:t>附图</w:t>
      </w:r>
      <w:r>
        <w:rPr>
          <w:rFonts w:hint="eastAsia"/>
          <w:b/>
          <w:bCs/>
          <w:color w:val="auto"/>
          <w:szCs w:val="22"/>
          <w:highlight w:val="none"/>
        </w:rPr>
        <w:t>6</w:t>
      </w:r>
      <w:r>
        <w:rPr>
          <w:b/>
          <w:bCs/>
          <w:color w:val="auto"/>
          <w:szCs w:val="22"/>
          <w:highlight w:val="none"/>
        </w:rPr>
        <w:t xml:space="preserve"> </w:t>
      </w:r>
      <w:bookmarkEnd w:id="169"/>
      <w:r>
        <w:rPr>
          <w:rFonts w:hint="eastAsia"/>
          <w:b/>
          <w:bCs/>
          <w:color w:val="auto"/>
          <w:szCs w:val="22"/>
          <w:highlight w:val="none"/>
        </w:rPr>
        <w:t>大气环境功能区划图</w:t>
      </w:r>
      <w:bookmarkEnd w:id="170"/>
      <w:bookmarkEnd w:id="171"/>
    </w:p>
    <w:p w14:paraId="52D3BF6B">
      <w:pPr>
        <w:kinsoku w:val="0"/>
        <w:overflowPunct w:val="0"/>
        <w:adjustRightInd w:val="0"/>
        <w:snapToGrid w:val="0"/>
        <w:ind w:firstLine="480" w:firstLineChars="200"/>
        <w:jc w:val="center"/>
        <w:rPr>
          <w:color w:val="auto"/>
          <w:highlight w:val="none"/>
        </w:rPr>
      </w:pPr>
      <w:r>
        <w:rPr>
          <w:color w:val="auto"/>
          <w:highlight w:val="none"/>
        </w:rPr>
        <mc:AlternateContent>
          <mc:Choice Requires="wps">
            <w:drawing>
              <wp:anchor distT="0" distB="0" distL="0" distR="0" simplePos="0" relativeHeight="251659264" behindDoc="0" locked="0" layoutInCell="1" allowOverlap="1">
                <wp:simplePos x="0" y="0"/>
                <wp:positionH relativeFrom="column">
                  <wp:posOffset>5824855</wp:posOffset>
                </wp:positionH>
                <wp:positionV relativeFrom="paragraph">
                  <wp:posOffset>3559810</wp:posOffset>
                </wp:positionV>
                <wp:extent cx="161290" cy="154305"/>
                <wp:effectExtent l="19685" t="20955" r="28575" b="34290"/>
                <wp:wrapNone/>
                <wp:docPr id="1092" name="五角星 314"/>
                <wp:cNvGraphicFramePr/>
                <a:graphic xmlns:a="http://schemas.openxmlformats.org/drawingml/2006/main">
                  <a:graphicData uri="http://schemas.microsoft.com/office/word/2010/wordprocessingShape">
                    <wps:wsp>
                      <wps:cNvSpPr/>
                      <wps:spPr>
                        <a:xfrm>
                          <a:off x="0" y="0"/>
                          <a:ext cx="161290" cy="154304"/>
                        </a:xfrm>
                        <a:prstGeom prst="star5">
                          <a:avLst/>
                        </a:prstGeom>
                        <a:solidFill>
                          <a:srgbClr val="FF0000"/>
                        </a:solidFill>
                        <a:ln w="12700" cap="flat" cmpd="sng">
                          <a:solidFill>
                            <a:srgbClr val="000000"/>
                          </a:solidFill>
                          <a:prstDash val="solid"/>
                          <a:miter/>
                        </a:ln>
                      </wps:spPr>
                      <wps:txbx>
                        <w:txbxContent>
                          <w:p w14:paraId="320B2617">
                            <w:pPr>
                              <w:jc w:val="center"/>
                            </w:pPr>
                          </w:p>
                        </w:txbxContent>
                      </wps:txbx>
                      <wps:bodyPr vert="horz" wrap="square" lIns="91440" tIns="45720" rIns="91440" bIns="45720" anchor="ctr">
                        <a:noAutofit/>
                      </wps:bodyPr>
                    </wps:wsp>
                  </a:graphicData>
                </a:graphic>
              </wp:anchor>
            </w:drawing>
          </mc:Choice>
          <mc:Fallback>
            <w:pict>
              <v:shape id="五角星 314" o:spid="_x0000_s1026" style="position:absolute;left:0pt;margin-left:458.65pt;margin-top:280.3pt;height:12.15pt;width:12.7pt;z-index:251659264;v-text-anchor:middle;mso-width-relative:page;mso-height-relative:page;" fillcolor="#FF0000" filled="t" stroked="t" coordsize="161290,154304" o:gfxdata="UEsDBAoAAAAAAIdO4kAAAAAAAAAAAAAAAAAEAAAAZHJzL1BLAwQUAAAACACHTuJA085lEtwAAAAL&#10;AQAADwAAAGRycy9kb3ducmV2LnhtbE2Py07DMBBF90j8gzVI7KidkiZNiFMhEKiwQTR8gBtP49DY&#10;jmL3AV/PsILlzBzdObdane3AjjiF3jsJyUwAQ9d63btOwkfzdLMEFqJyWg3eoYQvDLCqLy8qVWp/&#10;cu943MSOUYgLpZJgYhxLzkNr0Kow8yM6uu38ZFWkceq4ntSJwu3A50Jk3Kre0QejRnww2O43Byvh&#10;8eW5Efline4/74v21bx9i926kfL6KhF3wCKe4x8Mv/qkDjU5bf3B6cAGCUWS3xIqYZGJDBgRRTrP&#10;gW1ps0wL4HXF/3eofwBQSwMEFAAAAAgAh07iQFJOs04jAgAARwQAAA4AAABkcnMvZTJvRG9jLnht&#10;bK1TzY7TMBC+I/EOlu80P9vu0qrpClEVISFYaeEBXMdpLPmPsdtkeQzEgRvHfQeeByEeg7ETut2F&#10;wx7IIZnJ2N983+fx8rLXihwEeGlNRYtJTokw3NbS7Cr64f3m2XNKfGCmZsoaUdEb4enl6umTZecW&#10;orStVbUAgiDGLzpX0TYEt8gyz1uhmZ9YJwwWGwuaBUxhl9XAOkTXKivz/DzrLNQOLBfe49/1UKQj&#10;IjwG0DaN5GJt+V4LEwZUEIoFlORb6TxdJbZNI3h41zReBKIqikpDemMTjLfxna2WbLED5lrJRwrs&#10;MRQeaNJMGmx6hFqzwMge5F9QWnKw3jZhwq3OBiHJEVRR5A+8uW6ZE0kLWu3d0XT//2D528MVEFnj&#10;JOTzkhLDNJ75j+9fft1+/vn1GzkrptGjzvkFLr12VzBmHsMouG9Axy9KIX3y9eboq+gD4fizOC/K&#10;OTrOsVTMpmd5wszuNjvw4ZWwmsSgojh+MEt2ssMbH7Ajrv2zJjbzVsl6I5VKCey2LxWQA8Mz3mxy&#10;fCJl3HJvmTKkw/blBZYJZzi5DU4Mhtqhem92qeG9Lf4UOeL+GzkyWzPfDgwSwjBXWgYR/UIqyuAn&#10;ujj4FqPQb/vRzK2tb/AY8Fai+tbCJ0o6nEmk9XHPQFCiXhs89HkxncYhTsl0dlFiAqeV7WmFGY5Q&#10;FeUBkjRjX+yDbWTyMxIYuo68cL4S0fEuxAE+zdOqu/u/+g1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DTzmUS3AAAAAsBAAAPAAAAAAAAAAEAIAAAACIAAABkcnMvZG93bnJldi54bWxQSwECFAAUAAAA&#10;CACHTuJAUk6zTiMCAABHBAAADgAAAAAAAAABACAAAAArAQAAZHJzL2Uyb0RvYy54bWxQSwUGAAAA&#10;AAYABgBZAQAAwAUAAAAA&#10;" path="m0,58938l61607,58939,80645,0,99682,58939,161289,58938,111448,95364,130486,154303,80645,117876,30803,154303,49841,95364xe">
                <v:path textboxrect="0,0,161290,154304" o:connectlocs="80645,0;0,58938;30803,154303;130486,154303;161289,58938" o:connectangles="247,164,82,82,0"/>
                <v:fill on="t" focussize="0,0"/>
                <v:stroke weight="1pt" color="#000000" joinstyle="miter"/>
                <v:imagedata o:title=""/>
                <o:lock v:ext="edit" aspectratio="f"/>
                <v:textbox>
                  <w:txbxContent>
                    <w:p w14:paraId="320B2617">
                      <w:pPr>
                        <w:jc w:val="center"/>
                      </w:pPr>
                    </w:p>
                  </w:txbxContent>
                </v:textbox>
              </v:shape>
            </w:pict>
          </mc:Fallback>
        </mc:AlternateContent>
      </w:r>
      <w:r>
        <w:rPr>
          <w:color w:val="auto"/>
          <w:highlight w:val="none"/>
        </w:rPr>
        <mc:AlternateContent>
          <mc:Choice Requires="wps">
            <w:drawing>
              <wp:anchor distT="0" distB="0" distL="0" distR="0" simplePos="0" relativeHeight="251659264" behindDoc="0" locked="0" layoutInCell="1" allowOverlap="1">
                <wp:simplePos x="0" y="0"/>
                <wp:positionH relativeFrom="column">
                  <wp:posOffset>5936615</wp:posOffset>
                </wp:positionH>
                <wp:positionV relativeFrom="paragraph">
                  <wp:posOffset>852170</wp:posOffset>
                </wp:positionV>
                <wp:extent cx="219075" cy="209550"/>
                <wp:effectExtent l="19685" t="20955" r="27940" b="17145"/>
                <wp:wrapNone/>
                <wp:docPr id="1093" name="五角星 313"/>
                <wp:cNvGraphicFramePr/>
                <a:graphic xmlns:a="http://schemas.openxmlformats.org/drawingml/2006/main">
                  <a:graphicData uri="http://schemas.microsoft.com/office/word/2010/wordprocessingShape">
                    <wps:wsp>
                      <wps:cNvSpPr/>
                      <wps:spPr>
                        <a:xfrm>
                          <a:off x="0" y="0"/>
                          <a:ext cx="219075" cy="209550"/>
                        </a:xfrm>
                        <a:prstGeom prst="star5">
                          <a:avLst/>
                        </a:prstGeom>
                        <a:solidFill>
                          <a:srgbClr val="FF0000"/>
                        </a:solidFill>
                        <a:ln w="12700" cap="flat" cmpd="sng">
                          <a:solidFill>
                            <a:srgbClr val="000000"/>
                          </a:solidFill>
                          <a:prstDash val="solid"/>
                          <a:miter/>
                        </a:ln>
                      </wps:spPr>
                      <wps:txbx>
                        <w:txbxContent>
                          <w:p w14:paraId="3D82CA96">
                            <w:pPr>
                              <w:jc w:val="center"/>
                            </w:pPr>
                          </w:p>
                        </w:txbxContent>
                      </wps:txbx>
                      <wps:bodyPr vert="horz" wrap="square" lIns="91440" tIns="45720" rIns="91440" bIns="45720" anchor="ctr">
                        <a:noAutofit/>
                      </wps:bodyPr>
                    </wps:wsp>
                  </a:graphicData>
                </a:graphic>
              </wp:anchor>
            </w:drawing>
          </mc:Choice>
          <mc:Fallback>
            <w:pict>
              <v:shape id="五角星 313" o:spid="_x0000_s1026" style="position:absolute;left:0pt;margin-left:467.45pt;margin-top:67.1pt;height:16.5pt;width:17.25pt;z-index:251659264;v-text-anchor:middle;mso-width-relative:page;mso-height-relative:page;" fillcolor="#FF0000" filled="t" stroked="t" coordsize="219075,209550" o:gfxdata="UEsDBAoAAAAAAIdO4kAAAAAAAAAAAAAAAAAEAAAAZHJzL1BLAwQUAAAACACHTuJAssPPM9kAAAAL&#10;AQAADwAAAGRycy9kb3ducmV2LnhtbE2PQU7DMBBF90i9gzWV2FGnaRTqEKdCoO6QUEsP4MauEzUe&#10;B9ttCqdnWMFy5j/9eVNvbm5gVxNi71HCcpEBM9h63aOVcPjYPqyBxaRQq8GjkfBlImya2V2tKu0n&#10;3JnrPllGJRgrJaFLaaw4j21nnIoLPxqk7OSDU4nGYLkOaqJyN/A8y0ruVI90oVOjeelMe95fnAS7&#10;fn9T3/HzPOrt6+H0LGy5C5OU9/Nl9gQsmVv6g+FXn9ShIaejv6CObJAgVoUglIJVkQMjQpSiAHak&#10;TfmYA29q/v+H5gdQSwMEFAAAAAgAh07iQLE8nOkjAgAARwQAAA4AAABkcnMvZTJvRG9jLnhtbK1T&#10;zY7TMBC+I/EOlu80adpSWjVdIaoiJAQrLTyA6ziNJf8xdpuUx0AcuHHkHXgehHgMxk7odhcOeyCH&#10;ZCZjf/N9n8erq04rchTgpTUlHY9ySoThtpJmX9L377ZPnlHiAzMVU9aIkp6Ep1frx49WrVuKwjZW&#10;VQIIghi/bF1JmxDcMss8b4RmfmSdMFisLWgWMIV9VgFrEV2rrMjzp1lroXJgufAe/276Ih0Q4SGA&#10;tq4lFxvLD1qY0KOCUCygJN9I5+k6sa1rwcPbuvYiEFVSVBrSG5tgvIvvbL1iyz0w10g+UGAPoXBP&#10;k2bSYNMz1IYFRg4g/4LSkoP1tg4jbnXWC0mOoIpxfs+bm4Y5kbSg1d6dTff/D5a/OV4DkRVOQr6Y&#10;UGKYxjP/8f3zr2+ffn75SibjSfSodX6JS2/cNQyZxzAK7mrQ8YtSSJd8PZ19FV0gHH8W40U+n1HC&#10;sVTki9ks+Z7dbnbgw0thNYlBSXH8YJbsZMfXPmBHXPtnTWzmrZLVViqVEtjvXiggR4ZnvN3m+ETK&#10;uOXOMmVIiyqLOZYJZzi5NU4Mhtqhem/2qeGdLf4SOeL+Gzky2zDf9AwSQj9XWgYR/UIqyuAnutj7&#10;FqPQ7brBzJ2tTngMeCtRfWPhIyUtziTS+nBgIChRrwwe+mI8ncYhTsl0Ni8wgcvK7rLCDEeokvIA&#10;SZqxzw/B1jL5GQn0XQdeOF+J6HAX4gBf5mnV7f1f/w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y&#10;w88z2QAAAAsBAAAPAAAAAAAAAAEAIAAAACIAAABkcnMvZG93bnJldi54bWxQSwECFAAUAAAACACH&#10;TuJAsTyc6SMCAABHBAAADgAAAAAAAAABACAAAAAoAQAAZHJzL2Uyb0RvYy54bWxQSwUGAAAAAAYA&#10;BgBZAQAAvQUAAAAA&#10;" path="m0,80040l83679,80041,109537,0,135395,80041,219074,80040,151376,129508,177235,209549,109537,160080,41839,209549,67698,129508xe">
                <v:path textboxrect="0,0,219075,209550" o:connectlocs="109537,0;0,80040;41839,209549;177235,209549;219074,80040" o:connectangles="247,164,82,82,0"/>
                <v:fill on="t" focussize="0,0"/>
                <v:stroke weight="1pt" color="#000000" joinstyle="miter"/>
                <v:imagedata o:title=""/>
                <o:lock v:ext="edit" aspectratio="f"/>
                <v:textbox>
                  <w:txbxContent>
                    <w:p w14:paraId="3D82CA96">
                      <w:pPr>
                        <w:jc w:val="center"/>
                      </w:pPr>
                    </w:p>
                  </w:txbxContent>
                </v:textbox>
              </v:shape>
            </w:pict>
          </mc:Fallback>
        </mc:AlternateContent>
      </w:r>
      <w:r>
        <w:rPr>
          <w:color w:val="auto"/>
          <w:highlight w:val="none"/>
        </w:rPr>
        <mc:AlternateContent>
          <mc:Choice Requires="wps">
            <w:drawing>
              <wp:anchor distT="0" distB="0" distL="0" distR="0" simplePos="0" relativeHeight="251659264" behindDoc="0" locked="0" layoutInCell="1" allowOverlap="1">
                <wp:simplePos x="0" y="0"/>
                <wp:positionH relativeFrom="column">
                  <wp:posOffset>4161155</wp:posOffset>
                </wp:positionH>
                <wp:positionV relativeFrom="paragraph">
                  <wp:posOffset>3081655</wp:posOffset>
                </wp:positionV>
                <wp:extent cx="1276350" cy="589915"/>
                <wp:effectExtent l="13970" t="13970" r="462280" b="24765"/>
                <wp:wrapNone/>
                <wp:docPr id="1094" name="圆角矩形标注 317"/>
                <wp:cNvGraphicFramePr/>
                <a:graphic xmlns:a="http://schemas.openxmlformats.org/drawingml/2006/main">
                  <a:graphicData uri="http://schemas.microsoft.com/office/word/2010/wordprocessingShape">
                    <wps:wsp>
                      <wps:cNvSpPr/>
                      <wps:spPr>
                        <a:xfrm>
                          <a:off x="0" y="0"/>
                          <a:ext cx="1276350" cy="589914"/>
                        </a:xfrm>
                        <a:prstGeom prst="wedgeRoundRectCallout">
                          <a:avLst>
                            <a:gd name="adj1" fmla="val 79186"/>
                            <a:gd name="adj2" fmla="val 39275"/>
                            <a:gd name="adj3" fmla="val 16667"/>
                          </a:avLst>
                        </a:prstGeom>
                        <a:solidFill>
                          <a:srgbClr val="FFFFFF"/>
                        </a:solidFill>
                        <a:ln w="28575" cap="flat" cmpd="sng">
                          <a:solidFill>
                            <a:srgbClr val="000000"/>
                          </a:solidFill>
                          <a:prstDash val="solid"/>
                          <a:miter/>
                        </a:ln>
                      </wps:spPr>
                      <wps:txbx>
                        <w:txbxContent>
                          <w:p w14:paraId="1E7192A9">
                            <w:pPr>
                              <w:jc w:val="center"/>
                              <w:rPr>
                                <w:color w:val="000000"/>
                                <w:sz w:val="28"/>
                                <w:szCs w:val="28"/>
                              </w:rPr>
                            </w:pPr>
                            <w:r>
                              <w:rPr>
                                <w:rFonts w:hint="eastAsia"/>
                                <w:color w:val="000000"/>
                                <w:sz w:val="28"/>
                                <w:szCs w:val="28"/>
                              </w:rPr>
                              <w:t>项目位置</w:t>
                            </w:r>
                          </w:p>
                        </w:txbxContent>
                      </wps:txbx>
                      <wps:bodyPr vert="horz" wrap="square" lIns="91440" tIns="45720" rIns="91440" bIns="45720" anchor="ctr">
                        <a:noAutofit/>
                      </wps:bodyPr>
                    </wps:wsp>
                  </a:graphicData>
                </a:graphic>
              </wp:anchor>
            </w:drawing>
          </mc:Choice>
          <mc:Fallback>
            <w:pict>
              <v:shape id="圆角矩形标注 317" o:spid="_x0000_s1026" o:spt="62" type="#_x0000_t62" style="position:absolute;left:0pt;margin-left:327.65pt;margin-top:242.65pt;height:46.45pt;width:100.5pt;z-index:251659264;v-text-anchor:middle;mso-width-relative:page;mso-height-relative:page;" fillcolor="#FFFFFF" filled="t" stroked="t" coordsize="21600,21600" o:gfxdata="UEsDBAoAAAAAAIdO4kAAAAAAAAAAAAAAAAAEAAAAZHJzL1BLAwQUAAAACACHTuJAKRFDjdsAAAAL&#10;AQAADwAAAGRycy9kb3ducmV2LnhtbE2PTU+DQBCG7yb+h82YeLNLUShBhsb4EW2MB9t68LZlVyCy&#10;s4RdKP57pye9vZN58s4zxXq2nZjM4FtHCMtFBMJQ5XRLNcJ+93SVgfBBkVadI4PwYzysy/OzQuXa&#10;HendTNtQCy4hnyuEJoQ+l9JXjbHKL1xviHdfbrAq8DjUUg/qyOW2k3EUpdKqlvhCo3pz35jqezta&#10;BLWb354/9IuO7ev0cLcZxsfPaUS8vFhGtyCCmcMfDCd9VoeSnQ5uJO1Fh5AmyTWjCDfZKTCRJSmH&#10;A0KyymKQZSH//1D+AlBLAwQUAAAACACHTuJAudG12moCAADWBAAADgAAAGRycy9lMm9Eb2MueG1s&#10;rVTLbtQwFN0j8Q+W90wmmfdoMhXqqAgJQdXCB3gcZ2LkF7ZnMsMHwJ41EogNsGbN57TwGVw7oU1b&#10;Fl2QRXJvfHN8zrnXWRztpUA7Zh3XKsdpr48RU1QXXG1y/OrlyaMpRs4TVRChFcvxgTl8tHz4YFGb&#10;Oct0pUXBLAIQ5ea1yXHlvZkniaMVk8T1tGEKFkttJfGQ2k1SWFIDuhRJ1u+Pk1rbwlhNmXPwdtUs&#10;4hbR3gdQlyWnbKXpVjLlG1TLBPEgyVXcOLyMbMuSUf+iLB3zSOQYlPp4h00gXod7slyQ+cYSU3Ha&#10;UiD3oXBLkyRcwaZXUCviCdpafgdKcmq106XvUS2TRkh0BFSk/VvenFfEsKgFrHbmynT3/2Dp892p&#10;RbyASejPhhgpIqHnFx/f/f764den7xc/v1x+fn/54xsapJNgVm3cHL45N6e2zRyEQfm+tDI8QRPa&#10;R4MPVwazvUcUXqbZZDwYgfcU1kbT2SwdBtDk+mtjnX/CtEQhyHHNig0701tVnEErj4kQeuuj0WT3&#10;zPnoeNGSJsXrFKNSCmjgjgg0maXTcdvgTk3WrRnMssnobs2gW5OOx+OoHWi2u0L0l2ig4LTgxQkX&#10;IiZ2sz4WFgGFHJ/Eq9V4o0woVOc4m45gf0QJHKQSBhhCaaAZTm2iyhufuC5yP17/Qg7MVsRVDYOI&#10;0CiU3DPb2C0UuB562XQvRH6/3rctXeviAFMBPwloQaXtW4xqOCJA682WWIaReKpgBqF7w3CmYjIc&#10;TTJIbHdl3V0higJUjqm3UZrSj7del9wHRoFAs2ubwLjHuWiPZjhP3TxWXf+Oln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KRFDjdsAAAALAQAADwAAAAAAAAABACAAAAAiAAAAZHJzL2Rvd25yZXYu&#10;eG1sUEsBAhQAFAAAAAgAh07iQLnRtdpqAgAA1gQAAA4AAAAAAAAAAQAgAAAAKgEAAGRycy9lMm9E&#10;b2MueG1sUEsFBgAAAAAGAAYAWQEAAAYGAAAAAA==&#10;" adj="27904,19283,14400">
                <v:fill on="t" focussize="0,0"/>
                <v:stroke weight="2.25pt" color="#000000" joinstyle="miter"/>
                <v:imagedata o:title=""/>
                <o:lock v:ext="edit" aspectratio="f"/>
                <v:textbox>
                  <w:txbxContent>
                    <w:p w14:paraId="1E7192A9">
                      <w:pPr>
                        <w:jc w:val="center"/>
                        <w:rPr>
                          <w:color w:val="000000"/>
                          <w:sz w:val="28"/>
                          <w:szCs w:val="28"/>
                        </w:rPr>
                      </w:pPr>
                      <w:r>
                        <w:rPr>
                          <w:rFonts w:hint="eastAsia"/>
                          <w:color w:val="000000"/>
                          <w:sz w:val="28"/>
                          <w:szCs w:val="28"/>
                        </w:rPr>
                        <w:t>项目位置</w:t>
                      </w:r>
                    </w:p>
                  </w:txbxContent>
                </v:textbox>
              </v:shape>
            </w:pict>
          </mc:Fallback>
        </mc:AlternateContent>
      </w:r>
      <w:r>
        <w:rPr>
          <w:color w:val="auto"/>
          <w:highlight w:val="none"/>
        </w:rPr>
        <mc:AlternateContent>
          <mc:Choice Requires="wps">
            <w:drawing>
              <wp:anchor distT="0" distB="0" distL="0" distR="0" simplePos="0" relativeHeight="251659264" behindDoc="0" locked="0" layoutInCell="1" allowOverlap="1">
                <wp:simplePos x="0" y="0"/>
                <wp:positionH relativeFrom="column">
                  <wp:posOffset>4067810</wp:posOffset>
                </wp:positionH>
                <wp:positionV relativeFrom="paragraph">
                  <wp:posOffset>823595</wp:posOffset>
                </wp:positionV>
                <wp:extent cx="1276350" cy="589915"/>
                <wp:effectExtent l="13970" t="13970" r="633730" b="24765"/>
                <wp:wrapNone/>
                <wp:docPr id="1095" name="圆角矩形标注 315"/>
                <wp:cNvGraphicFramePr/>
                <a:graphic xmlns:a="http://schemas.openxmlformats.org/drawingml/2006/main">
                  <a:graphicData uri="http://schemas.microsoft.com/office/word/2010/wordprocessingShape">
                    <wps:wsp>
                      <wps:cNvSpPr/>
                      <wps:spPr>
                        <a:xfrm>
                          <a:off x="0" y="0"/>
                          <a:ext cx="1276350" cy="589915"/>
                        </a:xfrm>
                        <a:prstGeom prst="wedgeRoundRectCallout">
                          <a:avLst>
                            <a:gd name="adj1" fmla="val 90398"/>
                            <a:gd name="adj2" fmla="val -24273"/>
                            <a:gd name="adj3" fmla="val 16667"/>
                          </a:avLst>
                        </a:prstGeom>
                        <a:solidFill>
                          <a:srgbClr val="FFFFFF"/>
                        </a:solidFill>
                        <a:ln w="28575" cap="flat" cmpd="sng">
                          <a:solidFill>
                            <a:srgbClr val="000000"/>
                          </a:solidFill>
                          <a:prstDash val="solid"/>
                          <a:miter/>
                        </a:ln>
                      </wps:spPr>
                      <wps:txbx>
                        <w:txbxContent>
                          <w:p w14:paraId="74BDA57C">
                            <w:pPr>
                              <w:jc w:val="center"/>
                              <w:rPr>
                                <w:color w:val="000000"/>
                                <w:sz w:val="28"/>
                                <w:szCs w:val="28"/>
                              </w:rPr>
                            </w:pPr>
                            <w:r>
                              <w:rPr>
                                <w:rFonts w:hint="eastAsia"/>
                                <w:color w:val="000000"/>
                                <w:sz w:val="28"/>
                                <w:szCs w:val="28"/>
                              </w:rPr>
                              <w:t>项目位置</w:t>
                            </w:r>
                          </w:p>
                        </w:txbxContent>
                      </wps:txbx>
                      <wps:bodyPr vert="horz" wrap="square" lIns="91440" tIns="45720" rIns="91440" bIns="45720" anchor="ctr">
                        <a:noAutofit/>
                      </wps:bodyPr>
                    </wps:wsp>
                  </a:graphicData>
                </a:graphic>
              </wp:anchor>
            </w:drawing>
          </mc:Choice>
          <mc:Fallback>
            <w:pict>
              <v:shape id="圆角矩形标注 315" o:spid="_x0000_s1026" o:spt="62" type="#_x0000_t62" style="position:absolute;left:0pt;margin-left:320.3pt;margin-top:64.85pt;height:46.45pt;width:100.5pt;z-index:251659264;v-text-anchor:middle;mso-width-relative:page;mso-height-relative:page;" fillcolor="#FFFFFF" filled="t" stroked="t" coordsize="21600,21600" o:gfxdata="UEsDBAoAAAAAAIdO4kAAAAAAAAAAAAAAAAAEAAAAZHJzL1BLAwQUAAAACACHTuJANxoNLNgAAAAL&#10;AQAADwAAAGRycy9kb3ducmV2LnhtbE2Py07DMBBF90j8gzVI3VE7VklDiNNFJVQkQBWlH+DGQxIR&#10;j6PYfcDXM6xgOXOP7qNaXfwgTjjFPpCBbK5AIDXB9dQa2L8/3hYgYrLk7BAIDXxhhFV9fVXZ0oUz&#10;veFpl1rBJhRLa6BLaSyljE2H3sZ5GJFY+wiTt4nPqZVusmc294PUSuXS2544obMjrjtsPndHz7nf&#10;We4I99u7l6e22G5ep+Wano2Z3WTqAUTCS/qD4bc+V4eaOx3CkVwUg4F8oXJGWdD3SxBMFIuMPwcD&#10;WuscZF3J/xvqH1BLAwQUAAAACACHTuJA643r4mkCAADXBAAADgAAAGRycy9lMm9Eb2MueG1srVTL&#10;btQwFN0j8Q+W920e8x41U6GOipAQVC18gMdxJkZ+YXsmUz4A9l0jgdgAa9Z8TgufwbUT2rRl0QVZ&#10;JPfG18fnnGv74HAnBdoy67hWBc72U4yYorrkal3g16+O96YYOU9USYRWrMDnzOHDxeNHB42Zs1zX&#10;WpTMIgBRbt6YAtfem3mSOFozSdy+NkzBYKWtJB5Su05KSxpAlyLJ03ScNNqWxmrKnIO/y3YQd4j2&#10;IYC6qjhlS003kinfolomiAdJrubG4UVkW1WM+pdV5ZhHosCg1Mc3LALxKryTxQGZry0xNacdBfIQ&#10;Cnc0ScIVLHoNtSSeoI3l96Akp1Y7Xfl9qmXSComOgIosvePNWU0Mi1rAameuTXf/D5a+2J5YxEvY&#10;CelshJEiEnp++fH9768Xvz59v/z55erzh6sf39AgGwWzGuPmMOfMnNgucxAG5bvKyvAFTWgXDT6/&#10;NpjtPKLwM8sn48EIvKcwNprOZi1ocjPbWOefMi1RCArcsHLNTvVGlafQyiMihN74aDTZPnc+Ol52&#10;pEn5JsOokgIauCUCzdLBbNo1uFeT92v28mE+GdwvGvSLsvF4PAk1wLNbFqK/TAMHpwUvj7kQMbHr&#10;1ZGwCDgU+Dg+3eRbZUKhpsD5dDQB2ymBk1TBDoZQGuiGU+so89YU10dO4/Mv5MBsSVzdMogIrULJ&#10;PbOtDqFATmhm274Q+d1q1/V0pctz2BZwS0APam3fYdTAGQFabzfEMozEMwWbcJYNh+FQxWQ4muSQ&#10;2P7Iqj9CFAWoAlNvozSln2y8rrgPjAKBdtUugf0eDe/OZjhQ/TxW3dxHiz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A3Gg0s2AAAAAsBAAAPAAAAAAAAAAEAIAAAACIAAABkcnMvZG93bnJldi54bWxQ&#10;SwECFAAUAAAACACHTuJA643r4mkCAADXBAAADgAAAAAAAAABACAAAAAnAQAAZHJzL2Uyb0RvYy54&#10;bWxQSwUGAAAAAAYABgBZAQAAAgYAAAAA&#10;" adj="30326,5557,14400">
                <v:fill on="t" focussize="0,0"/>
                <v:stroke weight="2.25pt" color="#000000" joinstyle="miter"/>
                <v:imagedata o:title=""/>
                <o:lock v:ext="edit" aspectratio="f"/>
                <v:textbox>
                  <w:txbxContent>
                    <w:p w14:paraId="74BDA57C">
                      <w:pPr>
                        <w:jc w:val="center"/>
                        <w:rPr>
                          <w:color w:val="000000"/>
                          <w:sz w:val="28"/>
                          <w:szCs w:val="28"/>
                        </w:rPr>
                      </w:pPr>
                      <w:r>
                        <w:rPr>
                          <w:rFonts w:hint="eastAsia"/>
                          <w:color w:val="000000"/>
                          <w:sz w:val="28"/>
                          <w:szCs w:val="28"/>
                        </w:rPr>
                        <w:t>项目位置</w:t>
                      </w:r>
                    </w:p>
                  </w:txbxContent>
                </v:textbox>
              </v:shape>
            </w:pict>
          </mc:Fallback>
        </mc:AlternateContent>
      </w:r>
      <w:r>
        <w:rPr>
          <w:color w:val="auto"/>
          <w:highlight w:val="none"/>
        </w:rPr>
        <mc:AlternateContent>
          <mc:Choice Requires="wps">
            <w:drawing>
              <wp:anchor distT="0" distB="0" distL="0" distR="0" simplePos="0" relativeHeight="251659264" behindDoc="0" locked="0" layoutInCell="1" allowOverlap="1">
                <wp:simplePos x="0" y="0"/>
                <wp:positionH relativeFrom="column">
                  <wp:posOffset>5900420</wp:posOffset>
                </wp:positionH>
                <wp:positionV relativeFrom="paragraph">
                  <wp:posOffset>2379345</wp:posOffset>
                </wp:positionV>
                <wp:extent cx="5080" cy="1180465"/>
                <wp:effectExtent l="59690" t="0" r="68580" b="635"/>
                <wp:wrapNone/>
                <wp:docPr id="1096" name="直接箭头连接符 316"/>
                <wp:cNvGraphicFramePr/>
                <a:graphic xmlns:a="http://schemas.openxmlformats.org/drawingml/2006/main">
                  <a:graphicData uri="http://schemas.microsoft.com/office/word/2010/wordprocessingShape">
                    <wps:wsp>
                      <wps:cNvCnPr/>
                      <wps:spPr>
                        <a:xfrm>
                          <a:off x="0" y="0"/>
                          <a:ext cx="5079" cy="1180464"/>
                        </a:xfrm>
                        <a:prstGeom prst="straightConnector1">
                          <a:avLst/>
                        </a:prstGeom>
                        <a:ln w="28575" cap="flat" cmpd="sng">
                          <a:solidFill>
                            <a:srgbClr val="000000"/>
                          </a:solidFill>
                          <a:prstDash val="solid"/>
                          <a:miter/>
                          <a:tailEnd type="arrow" w="med" len="med"/>
                        </a:ln>
                      </wps:spPr>
                      <wps:bodyPr/>
                    </wps:wsp>
                  </a:graphicData>
                </a:graphic>
              </wp:anchor>
            </w:drawing>
          </mc:Choice>
          <mc:Fallback>
            <w:pict>
              <v:shape id="直接箭头连接符 316" o:spid="_x0000_s1026" o:spt="32" type="#_x0000_t32" style="position:absolute;left:0pt;margin-left:464.6pt;margin-top:187.35pt;height:92.95pt;width:0.4pt;z-index:251659264;mso-width-relative:page;mso-height-relative:page;" filled="f" stroked="t" coordsize="21600,21600" o:gfxdata="UEsDBAoAAAAAAIdO4kAAAAAAAAAAAAAAAAAEAAAAZHJzL1BLAwQUAAAACACHTuJAbgUOCNgAAAAL&#10;AQAADwAAAGRycy9kb3ducmV2LnhtbE2PwU7DMAyG70i8Q2QkbixZu3W0NJ0QEhJHKHDPWtNWS5yq&#10;ybrRp8ec4Gj58+/vL/cXZ8WMUxg8aVivFAikxrcDdRo+3p/v7kGEaKg11hNq+MYA++r6qjRF68/0&#10;hnMdO8EhFAqjoY9xLKQMTY/OhJUfkXj35SdnIo9TJ9vJnDncWZkolUlnBuIPvRnxqcfmWJ8ca6jt&#10;uCyfiz0+2uZ1zl98WncbrW9v1uoBRMRL/IPhV59voGKngz9RG4TVkCd5wqiGdLfZgWAiTxW3O2jY&#10;ZioDWZXyf4fqB1BLAwQUAAAACACHTuJAhGVpKgYCAADWAwAADgAAAGRycy9lMm9Eb2MueG1srVPN&#10;ctMwEL4zwztodCe2Q5Omnjg9JJQLA5mBPoAiy7Zm9DcrNU5eghdghhNwopx652mgfQxWckihXHrA&#10;B3ml3f12v0+r+flOK7IV4KU1FS1GOSXCcFtL01b08t3FsxklPjBTM2WNqOheeHq+ePpk3rtSjG1n&#10;VS2AIIjxZe8q2oXgyizzvBOa+ZF1wqCzsaBZwC20WQ2sR3StsnGeT7PeQu3AcuE9nq4GJz0gwmMA&#10;bdNILlaWX2lhwoAKQrGAlHwnnaeL1G3TCB7eNI0XgaiKItOQViyC9iau2WLOyhaY6yQ/tMAe08ID&#10;TppJg0WPUCsWGLkC+Q+Ulhyst00YcauzgUhSBFkU+QNt3nbMicQFpfbuKLr/f7D89XYNRNY4CfnZ&#10;lBLDNN757Yebn+8/3367/vHp5u77x2h//UKeF9OoV+98iWlLs4bDzrs1RPK7BnT8Iy2ySxrvjxqL&#10;XSAcDyf56RklHB1FMctPpicRMrvPdeDDS2E1iUZFfQAm2y4srTF4mRaKJDPbvvJhSPydEAsrQ/qK&#10;jmeT0wnWYDidDU4FmtohQ2/alOytkvWFVCqmeGg3SwVky+KEpO/Q0V9hscqK+W6IS64Yxkotg4g6&#10;sDIwqV6YmoS9QwkZgO1pbEeLmhIl8LFFa2haGSQdhRyki9bG1vukaDrH606yHEYzztOf+5R9/xwX&#10;v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uBQ4I2AAAAAsBAAAPAAAAAAAAAAEAIAAAACIAAABk&#10;cnMvZG93bnJldi54bWxQSwECFAAUAAAACACHTuJAhGVpKgYCAADWAwAADgAAAAAAAAABACAAAAAn&#10;AQAAZHJzL2Uyb0RvYy54bWxQSwUGAAAAAAYABgBZAQAAnwUAAAAA&#10;">
                <v:fill on="f" focussize="0,0"/>
                <v:stroke weight="2.25pt" color="#000000" joinstyle="miter" endarrow="open"/>
                <v:imagedata o:title=""/>
                <o:lock v:ext="edit" aspectratio="f"/>
              </v:shape>
            </w:pict>
          </mc:Fallback>
        </mc:AlternateContent>
      </w:r>
      <w:r>
        <w:rPr>
          <w:color w:val="auto"/>
          <w:highlight w:val="none"/>
        </w:rPr>
        <w:drawing>
          <wp:anchor distT="0" distB="0" distL="0" distR="0" simplePos="0" relativeHeight="251659264" behindDoc="0" locked="0" layoutInCell="1" allowOverlap="1">
            <wp:simplePos x="0" y="0"/>
            <wp:positionH relativeFrom="column">
              <wp:posOffset>4533265</wp:posOffset>
            </wp:positionH>
            <wp:positionV relativeFrom="paragraph">
              <wp:posOffset>360045</wp:posOffset>
            </wp:positionV>
            <wp:extent cx="2734310" cy="2019300"/>
            <wp:effectExtent l="28575" t="28575" r="37465" b="28575"/>
            <wp:wrapNone/>
            <wp:docPr id="1097" name="图片 17"/>
            <wp:cNvGraphicFramePr/>
            <a:graphic xmlns:a="http://schemas.openxmlformats.org/drawingml/2006/main">
              <a:graphicData uri="http://schemas.openxmlformats.org/drawingml/2006/picture">
                <pic:pic xmlns:pic="http://schemas.openxmlformats.org/drawingml/2006/picture">
                  <pic:nvPicPr>
                    <pic:cNvPr id="1097" name="图片 17"/>
                    <pic:cNvPicPr/>
                  </pic:nvPicPr>
                  <pic:blipFill>
                    <a:blip r:embed="rId33" cstate="print"/>
                    <a:srcRect/>
                    <a:stretch>
                      <a:fillRect/>
                    </a:stretch>
                  </pic:blipFill>
                  <pic:spPr>
                    <a:xfrm>
                      <a:off x="0" y="0"/>
                      <a:ext cx="2734310" cy="2019299"/>
                    </a:xfrm>
                    <a:prstGeom prst="rect">
                      <a:avLst/>
                    </a:prstGeom>
                    <a:ln w="28575" cap="flat" cmpd="sng">
                      <a:solidFill>
                        <a:srgbClr val="000000"/>
                      </a:solidFill>
                      <a:prstDash val="solid"/>
                      <a:round/>
                    </a:ln>
                  </pic:spPr>
                </pic:pic>
              </a:graphicData>
            </a:graphic>
          </wp:anchor>
        </w:drawing>
      </w:r>
      <w:r>
        <w:rPr>
          <w:color w:val="auto"/>
          <w:highlight w:val="none"/>
        </w:rPr>
        <w:drawing>
          <wp:inline distT="0" distB="0" distL="0" distR="0">
            <wp:extent cx="7670800" cy="5344795"/>
            <wp:effectExtent l="28575" t="28575" r="34925" b="36830"/>
            <wp:docPr id="1098" name="图片 16"/>
            <wp:cNvGraphicFramePr/>
            <a:graphic xmlns:a="http://schemas.openxmlformats.org/drawingml/2006/main">
              <a:graphicData uri="http://schemas.openxmlformats.org/drawingml/2006/picture">
                <pic:pic xmlns:pic="http://schemas.openxmlformats.org/drawingml/2006/picture">
                  <pic:nvPicPr>
                    <pic:cNvPr id="1098" name="图片 16"/>
                    <pic:cNvPicPr/>
                  </pic:nvPicPr>
                  <pic:blipFill>
                    <a:blip r:embed="rId34" cstate="print"/>
                    <a:srcRect/>
                    <a:stretch>
                      <a:fillRect/>
                    </a:stretch>
                  </pic:blipFill>
                  <pic:spPr>
                    <a:xfrm>
                      <a:off x="0" y="0"/>
                      <a:ext cx="7670800" cy="5344795"/>
                    </a:xfrm>
                    <a:prstGeom prst="rect">
                      <a:avLst/>
                    </a:prstGeom>
                    <a:ln w="28575" cap="flat" cmpd="sng">
                      <a:solidFill>
                        <a:srgbClr val="000000"/>
                      </a:solidFill>
                      <a:prstDash val="solid"/>
                      <a:round/>
                    </a:ln>
                  </pic:spPr>
                </pic:pic>
              </a:graphicData>
            </a:graphic>
          </wp:inline>
        </w:drawing>
      </w:r>
    </w:p>
    <w:p w14:paraId="2C18EAB3">
      <w:pPr>
        <w:kinsoku w:val="0"/>
        <w:overflowPunct w:val="0"/>
        <w:adjustRightInd w:val="0"/>
        <w:snapToGrid w:val="0"/>
        <w:ind w:firstLine="482" w:firstLineChars="200"/>
        <w:jc w:val="center"/>
        <w:outlineLvl w:val="0"/>
        <w:rPr>
          <w:rFonts w:hint="default" w:ascii="Times New Roman" w:hAnsi="Times New Roman" w:cs="Times New Roman"/>
          <w:b/>
          <w:bCs/>
          <w:color w:val="auto"/>
          <w:szCs w:val="22"/>
          <w:highlight w:val="none"/>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720" w:num="1"/>
          <w:docGrid w:type="lines" w:linePitch="312" w:charSpace="0"/>
        </w:sectPr>
      </w:pPr>
      <w:bookmarkStart w:id="172" w:name="_Toc3229"/>
      <w:bookmarkStart w:id="173" w:name="_Toc7689"/>
      <w:bookmarkStart w:id="174" w:name="_Toc1410"/>
      <w:r>
        <w:rPr>
          <w:rFonts w:hint="default" w:ascii="Times New Roman" w:hAnsi="Times New Roman" w:cs="Times New Roman"/>
          <w:b/>
          <w:bCs/>
          <w:color w:val="auto"/>
          <w:szCs w:val="22"/>
          <w:highlight w:val="none"/>
        </w:rPr>
        <w:t xml:space="preserve">附图7 </w:t>
      </w:r>
      <w:bookmarkEnd w:id="172"/>
      <w:r>
        <w:rPr>
          <w:rFonts w:hint="default" w:ascii="Times New Roman" w:hAnsi="Times New Roman" w:cs="Times New Roman"/>
          <w:b/>
          <w:bCs/>
          <w:color w:val="auto"/>
          <w:szCs w:val="22"/>
          <w:highlight w:val="none"/>
        </w:rPr>
        <w:t>水环境功能区划图</w:t>
      </w:r>
      <w:bookmarkEnd w:id="173"/>
      <w:bookmarkEnd w:id="174"/>
    </w:p>
    <w:p w14:paraId="5B395812">
      <w:pPr>
        <w:pStyle w:val="47"/>
        <w:jc w:val="center"/>
        <w:rPr>
          <w:color w:val="auto"/>
          <w:highlight w:val="none"/>
        </w:rPr>
      </w:pPr>
      <w:r>
        <w:rPr>
          <w:color w:val="auto"/>
          <w:highlight w:val="none"/>
        </w:rPr>
        <mc:AlternateContent>
          <mc:Choice Requires="wps">
            <w:drawing>
              <wp:anchor distT="0" distB="0" distL="0" distR="0" simplePos="0" relativeHeight="251659264" behindDoc="0" locked="0" layoutInCell="1" allowOverlap="1">
                <wp:simplePos x="0" y="0"/>
                <wp:positionH relativeFrom="column">
                  <wp:posOffset>5909945</wp:posOffset>
                </wp:positionH>
                <wp:positionV relativeFrom="paragraph">
                  <wp:posOffset>522605</wp:posOffset>
                </wp:positionV>
                <wp:extent cx="233045" cy="186690"/>
                <wp:effectExtent l="22225" t="17780" r="30480" b="24130"/>
                <wp:wrapNone/>
                <wp:docPr id="1099" name="五角星 301"/>
                <wp:cNvGraphicFramePr/>
                <a:graphic xmlns:a="http://schemas.openxmlformats.org/drawingml/2006/main">
                  <a:graphicData uri="http://schemas.microsoft.com/office/word/2010/wordprocessingShape">
                    <wps:wsp>
                      <wps:cNvSpPr/>
                      <wps:spPr>
                        <a:xfrm>
                          <a:off x="0" y="0"/>
                          <a:ext cx="233045" cy="186690"/>
                        </a:xfrm>
                        <a:prstGeom prst="star5">
                          <a:avLst/>
                        </a:prstGeom>
                        <a:solidFill>
                          <a:srgbClr val="FF0000"/>
                        </a:solidFill>
                        <a:ln w="12700" cap="flat" cmpd="sng">
                          <a:solidFill>
                            <a:srgbClr val="000000"/>
                          </a:solidFill>
                          <a:prstDash val="solid"/>
                          <a:miter/>
                        </a:ln>
                      </wps:spPr>
                      <wps:bodyPr/>
                    </wps:wsp>
                  </a:graphicData>
                </a:graphic>
              </wp:anchor>
            </w:drawing>
          </mc:Choice>
          <mc:Fallback>
            <w:pict>
              <v:shape id="五角星 301" o:spid="_x0000_s1026" style="position:absolute;left:0pt;margin-left:465.35pt;margin-top:41.15pt;height:14.7pt;width:18.35pt;z-index:251659264;mso-width-relative:page;mso-height-relative:page;" fillcolor="#FF0000" filled="t" stroked="t" coordsize="233045,186690" o:gfxdata="UEsDBAoAAAAAAIdO4kAAAAAAAAAAAAAAAAAEAAAAZHJzL1BLAwQUAAAACACHTuJA2+mPw9gAAAAK&#10;AQAADwAAAGRycy9kb3ducmV2LnhtbE2Py07DMBBF90j8gzVI7KjtFjVtGqdClSrBDlI+YBKbOGo8&#10;tmL3xddjVrAc3aN7z1TbqxvZ2Uxx8KRAzgQwQ53XA/UKPg/7pxWwmJA0jp6MgpuJsK3v7yostb/Q&#10;hzk3qWe5hGKJCmxKoeQ8dtY4jDMfDOXsy08OUz6nnusJL7ncjXwuxJI7HCgvWAxmZ013bE5Owd7e&#10;itC8BGyxb99fd4e3byuDUo8PUmyAJXNNfzD86md1qLNT60+kIxsVrBeiyKiC1XwBLAPrZfEMrM2k&#10;lAXwuuL/X6h/AFBLAwQUAAAACACHTuJA5ZkvtOEBAADHAwAADgAAAGRycy9lMm9Eb2MueG1srVPN&#10;jtMwEL4j8Q6W7zRpy5Zt1HQPVOWCYKWFB3AdJ7HkP814m/Y1EAduHHkHngchHoOxU7o/cNgDOdgz&#10;9sw3832erK4O1rC9AtTe1Xw6KTlTTvpGu67mHz9sX1xyhlG4RhjvVM2PCvnV+vmz1RAqNfO9N40C&#10;RiAOqyHUvI8xVEWBsldW4MQH5eiy9WBFJBe6ogExELo1xawsF8XgoQngpUKk0814yU+I8BRA37Za&#10;qo2Xt1a5OKKCMiISJex1QL7O3batkvF926KKzNScmMa8UhGyd2kt1itRdSBCr+WpBfGUFh5xskI7&#10;KnqG2ogo2C3ov6CsluDRt3EivS1GIlkRYjEtH2lz04ugMheSGsNZdPx/sPLd/hqYbmgSyuWSMycs&#10;vfmP759/ffv088tXNi+nSaMhYEWhN+EaTh6SmQgfWrBpJyrskHU9nnVVh8gkHc7m8/LlBWeSrqaX&#10;i8Uy617cJQfA+EZ5y5JRcxo/uMhyiv1bjFSRYv/EpGLojW622pjsQLd7bYDtBb3xdlvSl1qmlAdh&#10;xrGBys9e0TWTgia3pYkh0wZij67LBR+k4H3khPtv5NTZRmA/dpARxrmyOqqkF7ViHG1JxVG3ZO18&#10;c8xy5nN63xx4msU0QPf9nH33/61/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Nvpj8PYAAAACgEA&#10;AA8AAAAAAAAAAQAgAAAAIgAAAGRycy9kb3ducmV2LnhtbFBLAQIUABQAAAAIAIdO4kDlmS+04QEA&#10;AMcDAAAOAAAAAAAAAAEAIAAAACcBAABkcnMvZTJvRG9jLnhtbFBLBQYAAAAABgAGAFkBAAB6BQAA&#10;AAA=&#10;" path="m0,71309l89015,71309,116522,0,144029,71309,233044,71309,161029,115380,188537,186689,116522,142617,44507,186689,72015,115380xe">
                <v:path o:connectlocs="116522,0;0,71309;44507,186689;188537,186689;233044,71309" o:connectangles="247,164,82,82,0"/>
                <v:fill on="t" focussize="0,0"/>
                <v:stroke weight="1pt" color="#000000" joinstyle="miter"/>
                <v:imagedata o:title=""/>
                <o:lock v:ext="edit" aspectratio="f"/>
              </v:shape>
            </w:pict>
          </mc:Fallback>
        </mc:AlternateContent>
      </w:r>
      <w:r>
        <w:rPr>
          <w:color w:val="auto"/>
          <w:highlight w:val="none"/>
        </w:rPr>
        <mc:AlternateContent>
          <mc:Choice Requires="wps">
            <w:drawing>
              <wp:anchor distT="0" distB="0" distL="0" distR="0" simplePos="0" relativeHeight="251659264" behindDoc="0" locked="0" layoutInCell="1" allowOverlap="1">
                <wp:simplePos x="0" y="0"/>
                <wp:positionH relativeFrom="column">
                  <wp:posOffset>4098925</wp:posOffset>
                </wp:positionH>
                <wp:positionV relativeFrom="paragraph">
                  <wp:posOffset>3068955</wp:posOffset>
                </wp:positionV>
                <wp:extent cx="1181735" cy="589915"/>
                <wp:effectExtent l="13970" t="13970" r="423545" b="24765"/>
                <wp:wrapNone/>
                <wp:docPr id="1100" name="圆角矩形标注 303"/>
                <wp:cNvGraphicFramePr/>
                <a:graphic xmlns:a="http://schemas.openxmlformats.org/drawingml/2006/main">
                  <a:graphicData uri="http://schemas.microsoft.com/office/word/2010/wordprocessingShape">
                    <wps:wsp>
                      <wps:cNvSpPr/>
                      <wps:spPr>
                        <a:xfrm>
                          <a:off x="0" y="0"/>
                          <a:ext cx="1181734" cy="589915"/>
                        </a:xfrm>
                        <a:prstGeom prst="wedgeRoundRectCallout">
                          <a:avLst>
                            <a:gd name="adj1" fmla="val 79186"/>
                            <a:gd name="adj2" fmla="val 39275"/>
                            <a:gd name="adj3" fmla="val 16667"/>
                          </a:avLst>
                        </a:prstGeom>
                        <a:solidFill>
                          <a:srgbClr val="FFFFFF"/>
                        </a:solidFill>
                        <a:ln w="28575" cap="flat" cmpd="sng">
                          <a:solidFill>
                            <a:srgbClr val="000000"/>
                          </a:solidFill>
                          <a:prstDash val="solid"/>
                          <a:miter/>
                        </a:ln>
                      </wps:spPr>
                      <wps:txbx>
                        <w:txbxContent>
                          <w:p w14:paraId="785B6DD7">
                            <w:pPr>
                              <w:jc w:val="center"/>
                              <w:rPr>
                                <w:color w:val="000000"/>
                                <w:sz w:val="28"/>
                                <w:szCs w:val="28"/>
                              </w:rPr>
                            </w:pPr>
                            <w:r>
                              <w:rPr>
                                <w:rFonts w:hint="eastAsia"/>
                                <w:color w:val="000000"/>
                                <w:sz w:val="28"/>
                                <w:szCs w:val="28"/>
                              </w:rPr>
                              <w:t>项目位置</w:t>
                            </w:r>
                          </w:p>
                        </w:txbxContent>
                      </wps:txbx>
                      <wps:bodyPr vert="horz" wrap="square" lIns="91440" tIns="45720" rIns="91440" bIns="45720" anchor="ctr">
                        <a:noAutofit/>
                      </wps:bodyPr>
                    </wps:wsp>
                  </a:graphicData>
                </a:graphic>
              </wp:anchor>
            </w:drawing>
          </mc:Choice>
          <mc:Fallback>
            <w:pict>
              <v:shape id="圆角矩形标注 303" o:spid="_x0000_s1026" o:spt="62" type="#_x0000_t62" style="position:absolute;left:0pt;margin-left:322.75pt;margin-top:241.65pt;height:46.45pt;width:93.05pt;z-index:251659264;v-text-anchor:middle;mso-width-relative:page;mso-height-relative:page;" fillcolor="#FFFFFF" filled="t" stroked="t" coordsize="21600,21600" o:gfxdata="UEsDBAoAAAAAAIdO4kAAAAAAAAAAAAAAAAAEAAAAZHJzL1BLAwQUAAAACACHTuJAk6NYldwAAAAL&#10;AQAADwAAAGRycy9kb3ducmV2LnhtbE2Pu07EMBBFeyT+wRokOtZ5bEIUMlkhHgKEKNhHQeeNTRIR&#10;jyPbyYa/x1RQju7RvWeqzaIHNivrekMI8SoCpqgxsqcWYb97vCqAOS9IisGQQvhWDjb1+VklSmlO&#10;9K7mrW9ZKCFXCoTO+7Hk3DWd0sKtzKgoZJ/GauHDaVsurTiFcj3wJIpyrkVPYaETo7rrVPO1nTSC&#10;2C1vTwf5LBP9Ot/fvtjp4WOeEC8v4ugGmFeL/4PhVz+oQx2cjmYi6diAkK+zLKAI6yJNgQWiSOMc&#10;2BEhu84T4HXF//9Q/wBQSwMEFAAAAAgAh07iQNiz54VsAgAA1gQAAA4AAABkcnMvZTJvRG9jLnht&#10;bK1UzW7UMBC+I/EOlu80yf7varMV6moREoKqhQfwOs7GyH/Y3s2WB4B7z0ggLsCZM4/TwmMwdsI2&#10;LRx6IIdkJjP+/M03Y8+P91KgHbOOa5Xj7CjFiCmqC642OX71cvVogpHzRBVEaMVyfMEcPl48fDCv&#10;zYz1dKVFwSwCEOVmtclx5b2ZJYmjFZPEHWnDFARLbSXx4NpNUlhSA7oUSS9NR0mtbWGspsw5+Lts&#10;grhFtPcB1GXJKVtqupVM+QbVMkE8lOQqbhxeRLZlyah/UZaOeSRyDJX6+IZNwF6Hd7KYk9nGElNx&#10;2lIg96FwpyZJuIJND1BL4gnaWv4XlOTUaqdLf0S1TJpCoiJQRZbe0ea8IobFWkBqZw6iu/8HS5/v&#10;Ti3iBUxCloIoikjo+dWHd7++XP78+O3qx+frT++vv39F/bQfxKqNm8Gac3NqW8+BGSrfl1aGL9SE&#10;9lHgi4PAbO8RhZ9ZNsnG/QFGFGLDyXSaDQNocrPaWOefMC1RMHJcs2LDzvRWFWfQyhMihN76KDTZ&#10;PXM+Kl60pEnxOsOolAIauCMCjafZZNQ2uJPT6+b0p71xpACd6+T0uznZaDQatzTbXYHwH6KBgtOC&#10;FysuRHTsZn0iLAIKOV7Fp118K00oVOe4NxnC/ogSOEglDDCY0kAznNrEKm8tcV3kND7/Qg7MlsRV&#10;DYOI0KgguWe2kVsoUD30sulesPx+vW9butbFBUwFXBLQgkrbtxjVcESA1pstsQwj8VTBDE6zwSCc&#10;qegMhuMeOLYbWXcjRFGAyjH1Npam9OOt1yX3gVEg0OzaOjDucS7aoxnOU9ePWTfX0eI3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k6NYldwAAAALAQAADwAAAAAAAAABACAAAAAiAAAAZHJzL2Rvd25y&#10;ZXYueG1sUEsBAhQAFAAAAAgAh07iQNiz54VsAgAA1gQAAA4AAAAAAAAAAQAgAAAAKwEAAGRycy9l&#10;Mm9Eb2MueG1sUEsFBgAAAAAGAAYAWQEAAAkGAAAAAA==&#10;" adj="27904,19283,14400">
                <v:fill on="t" focussize="0,0"/>
                <v:stroke weight="2.25pt" color="#000000" joinstyle="miter"/>
                <v:imagedata o:title=""/>
                <o:lock v:ext="edit" aspectratio="f"/>
                <v:textbox>
                  <w:txbxContent>
                    <w:p w14:paraId="785B6DD7">
                      <w:pPr>
                        <w:jc w:val="center"/>
                        <w:rPr>
                          <w:color w:val="000000"/>
                          <w:sz w:val="28"/>
                          <w:szCs w:val="28"/>
                        </w:rPr>
                      </w:pPr>
                      <w:r>
                        <w:rPr>
                          <w:rFonts w:hint="eastAsia"/>
                          <w:color w:val="000000"/>
                          <w:sz w:val="28"/>
                          <w:szCs w:val="28"/>
                        </w:rPr>
                        <w:t>项目位置</w:t>
                      </w:r>
                    </w:p>
                  </w:txbxContent>
                </v:textbox>
              </v:shape>
            </w:pict>
          </mc:Fallback>
        </mc:AlternateContent>
      </w:r>
      <w:r>
        <w:rPr>
          <w:color w:val="auto"/>
          <w:highlight w:val="none"/>
        </w:rPr>
        <mc:AlternateContent>
          <mc:Choice Requires="wps">
            <w:drawing>
              <wp:anchor distT="0" distB="0" distL="0" distR="0" simplePos="0" relativeHeight="251659264" behindDoc="0" locked="0" layoutInCell="1" allowOverlap="1">
                <wp:simplePos x="0" y="0"/>
                <wp:positionH relativeFrom="column">
                  <wp:posOffset>5659120</wp:posOffset>
                </wp:positionH>
                <wp:positionV relativeFrom="paragraph">
                  <wp:posOffset>3535045</wp:posOffset>
                </wp:positionV>
                <wp:extent cx="159385" cy="152400"/>
                <wp:effectExtent l="19685" t="20955" r="30480" b="17145"/>
                <wp:wrapNone/>
                <wp:docPr id="1101" name="五角星 295"/>
                <wp:cNvGraphicFramePr/>
                <a:graphic xmlns:a="http://schemas.openxmlformats.org/drawingml/2006/main">
                  <a:graphicData uri="http://schemas.microsoft.com/office/word/2010/wordprocessingShape">
                    <wps:wsp>
                      <wps:cNvSpPr/>
                      <wps:spPr>
                        <a:xfrm>
                          <a:off x="0" y="0"/>
                          <a:ext cx="159384" cy="152400"/>
                        </a:xfrm>
                        <a:prstGeom prst="star5">
                          <a:avLst/>
                        </a:prstGeom>
                        <a:solidFill>
                          <a:srgbClr val="FF0000"/>
                        </a:solidFill>
                        <a:ln w="12700" cap="flat" cmpd="sng">
                          <a:solidFill>
                            <a:srgbClr val="000000"/>
                          </a:solidFill>
                          <a:prstDash val="solid"/>
                          <a:miter/>
                        </a:ln>
                      </wps:spPr>
                      <wps:txbx>
                        <w:txbxContent>
                          <w:p w14:paraId="3359169A">
                            <w:pPr>
                              <w:jc w:val="center"/>
                            </w:pPr>
                          </w:p>
                        </w:txbxContent>
                      </wps:txbx>
                      <wps:bodyPr vert="horz" wrap="square" lIns="91440" tIns="45720" rIns="91440" bIns="45720" anchor="ctr">
                        <a:noAutofit/>
                      </wps:bodyPr>
                    </wps:wsp>
                  </a:graphicData>
                </a:graphic>
              </wp:anchor>
            </w:drawing>
          </mc:Choice>
          <mc:Fallback>
            <w:pict>
              <v:shape id="五角星 295" o:spid="_x0000_s1026" style="position:absolute;left:0pt;margin-left:445.6pt;margin-top:278.35pt;height:12pt;width:12.55pt;z-index:251659264;v-text-anchor:middle;mso-width-relative:page;mso-height-relative:page;" fillcolor="#FF0000" filled="t" stroked="t" coordsize="159384,152400" o:gfxdata="UEsDBAoAAAAAAIdO4kAAAAAAAAAAAAAAAAAEAAAAZHJzL1BLAwQUAAAACACHTuJASXG6vNkAAAAL&#10;AQAADwAAAGRycy9kb3ducmV2LnhtbE2PsU7DMBCGdyTewTokFkRtF5KmIU4HJCTElpSFzY2PJMI+&#10;R7HThrfHTDDe3af/vr86rM6yM85h9KRAbgQwpM6bkXoF78eX+wJYiJqMtp5QwTcGONTXV5Uujb9Q&#10;g+c29iyFUCi1giHGqeQ8dAM6HTZ+Qkq3Tz87HdM499zM+pLCneVbIXLu9Ejpw6AnfB6w+2oXp+Ao&#10;l7t17Je3zDbRtN1H8/hKq1K3N1I8AYu4xj8YfvWTOtTJ6eQXMoFZBcVebhOqIMvyHbBE7GX+AOyU&#10;NoXYAa8r/r9D/QNQSwMEFAAAAAgAh07iQGluPT8jAgAARwQAAA4AAABkcnMvZTJvRG9jLnhtbK1T&#10;zY7TMBC+I/EOlu80P7Tstmq6QlRFSAhWWngA13EaS/5j7DYpj4E4cOPIO/A8CPEYjJ3Q7S4c9kAO&#10;yUzG/ub7Po+XV71W5CDAS2sqWkxySoThtpZmV9H37zZPLinxgZmaKWtERY/C06vV40fLzi1EaVur&#10;agEEQYxfdK6ibQhukWWet0IzP7FOGCw2FjQLmMIuq4F1iK5VVub5s6yzUDuwXHiPf9dDkY6I8BBA&#10;2zSSi7Xley1MGFBBKBZQkm+l83SV2DaN4OFt03gRiKooKg3pjU0w3sZ3tlqyxQ6YayUfKbCHULin&#10;STNpsOkJas0CI3uQf0FpycF624QJtzobhCRHUEWR3/PmpmVOJC1otXcn0/3/g+VvDtdAZI2TUOQF&#10;JYZpPPMf3z//+vbp55evpJzPoked8wtceuOuYcw8hlFw34COX5RC+uTr8eSr6APh+LOYzZ9eTinh&#10;WCpm5TRPvme3mx348FJYTWJQURw/mCU72eG1D9gR1/5ZE5t5q2S9kUqlBHbbFwrIgeEZbzY5PpEy&#10;brmzTBnSYfvyAsuEM5zcBicGQ+1QvTe71PDOFn+OHHH/jRyZrZlvBwYJYZgrLYOIfiEVZfATXRx8&#10;i1Hot/1o5tbWRzwGvJWovrXwkZIOZxJpfdgzEJSoVwYPfV5Mp3GIUzKdXZSYwHlle15hhiNURXmA&#10;JM3Y5/tgG5n8jASGriMvnK9EdLwLcYDP87Tq9v6vfg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J&#10;cbq82QAAAAsBAAAPAAAAAAAAAAEAIAAAACIAAABkcnMvZG93bnJldi54bWxQSwECFAAUAAAACACH&#10;TuJAaW49PyMCAABHBAAADgAAAAAAAAABACAAAAAoAQAAZHJzL2Uyb0RvYy54bWxQSwUGAAAAAAYA&#10;BgBZAQAAvQUAAAAA&#10;" path="m0,58211l60879,58211,79692,0,98504,58211,159383,58211,110131,94187,128944,152399,79692,116422,30439,152399,49252,94187xe">
                <v:path textboxrect="0,0,159384,152400" o:connectlocs="79692,0;0,58211;30439,152399;128944,152399;159383,58211" o:connectangles="247,164,82,82,0"/>
                <v:fill on="t" focussize="0,0"/>
                <v:stroke weight="1pt" color="#000000" joinstyle="miter"/>
                <v:imagedata o:title=""/>
                <o:lock v:ext="edit" aspectratio="f"/>
                <v:textbox>
                  <w:txbxContent>
                    <w:p w14:paraId="3359169A">
                      <w:pPr>
                        <w:jc w:val="center"/>
                      </w:pPr>
                    </w:p>
                  </w:txbxContent>
                </v:textbox>
              </v:shape>
            </w:pict>
          </mc:Fallback>
        </mc:AlternateContent>
      </w:r>
      <w:r>
        <w:rPr>
          <w:color w:val="auto"/>
          <w:highlight w:val="none"/>
        </w:rPr>
        <mc:AlternateContent>
          <mc:Choice Requires="wps">
            <w:drawing>
              <wp:anchor distT="0" distB="0" distL="0" distR="0" simplePos="0" relativeHeight="251659264" behindDoc="0" locked="0" layoutInCell="1" allowOverlap="1">
                <wp:simplePos x="0" y="0"/>
                <wp:positionH relativeFrom="column">
                  <wp:posOffset>5739130</wp:posOffset>
                </wp:positionH>
                <wp:positionV relativeFrom="paragraph">
                  <wp:posOffset>2268220</wp:posOffset>
                </wp:positionV>
                <wp:extent cx="207645" cy="1266825"/>
                <wp:effectExtent l="45085" t="2540" r="13970" b="6985"/>
                <wp:wrapNone/>
                <wp:docPr id="1102" name="直接箭头连接符 302"/>
                <wp:cNvGraphicFramePr/>
                <a:graphic xmlns:a="http://schemas.openxmlformats.org/drawingml/2006/main">
                  <a:graphicData uri="http://schemas.microsoft.com/office/word/2010/wordprocessingShape">
                    <wps:wsp>
                      <wps:cNvCnPr/>
                      <wps:spPr>
                        <a:xfrm flipH="1">
                          <a:off x="0" y="0"/>
                          <a:ext cx="207645" cy="1266825"/>
                        </a:xfrm>
                        <a:prstGeom prst="straightConnector1">
                          <a:avLst/>
                        </a:prstGeom>
                        <a:ln w="28575" cap="flat" cmpd="sng">
                          <a:solidFill>
                            <a:srgbClr val="000000"/>
                          </a:solidFill>
                          <a:prstDash val="solid"/>
                          <a:miter/>
                          <a:tailEnd type="arrow" w="med" len="med"/>
                        </a:ln>
                      </wps:spPr>
                      <wps:bodyPr/>
                    </wps:wsp>
                  </a:graphicData>
                </a:graphic>
              </wp:anchor>
            </w:drawing>
          </mc:Choice>
          <mc:Fallback>
            <w:pict>
              <v:shape id="直接箭头连接符 302" o:spid="_x0000_s1026" o:spt="32" type="#_x0000_t32" style="position:absolute;left:0pt;flip:x;margin-left:451.9pt;margin-top:178.6pt;height:99.75pt;width:16.35pt;z-index:251659264;mso-width-relative:page;mso-height-relative:page;" filled="f" stroked="t" coordsize="21600,21600" o:gfxdata="UEsDBAoAAAAAAIdO4kAAAAAAAAAAAAAAAAAEAAAAZHJzL1BLAwQUAAAACACHTuJAvtReyNkAAAAL&#10;AQAADwAAAGRycy9kb3ducmV2LnhtbE2PMU/DMBSEdyT+g/UqsVG7iZzSNE6HShViQpQsbK/2I4ka&#10;21HstIVfj5lgPN3p7rtqd7MDu9AUeu8UrJYCGDntTe9aBc374fEJWIjoDA7ekYIvCrCr7+8qLI2/&#10;uje6HGPLUokLJSroYhxLzoPuyGJY+pFc8j79ZDEmObXcTHhN5XbgmRAFt9i7tNDhSPuO9Pk4WwVF&#10;g/rlYx+jltnzazOd5wN+k1IPi5XYAot0i39h+MVP6FAnppOfnQlsULAReUKPCnK5zoClxCYvJLCT&#10;AimLNfC64v8/1D9QSwMEFAAAAAgAh07iQC6Q2JgLAgAA4gMAAA4AAABkcnMvZTJvRG9jLnhtbK1T&#10;vY4TMRDukXgHyz3ZzUJy0SqbKxIOCgQnAQ/geO1dS/6Tx5dNXoIXQKICKqC6nqeB4zEYe0OAo7kC&#10;F9bYM/PNfJ/Hy/O90WQnAihnGzqdlJQIy12rbNfQ168uHiwogchsy7SzoqEHAfR8df/ecvC1qFzv&#10;dCsCQRAL9eAb2sfo66IA3gvDYOK8sOiULhgW8Ri6og1sQHSji6os58XgQuuD4wIAbzejkx4Rw10A&#10;nZSKi43jV0bYOKIGoVlEStArD3SVu5VS8PhCShCR6IYi05h3LIL2Nu3FasnqLjDfK35sgd2lhVuc&#10;DFMWi56gNiwychXUP1BG8eDAyTjhzhQjkawIspiWt7R52TMvMheUGvxJdPh/sPz57jIQ1eIkTMuK&#10;EssMvvnN2+vvbz7cfPn87f31j6/vkv3pI3mIAajX4KHGtLW9DMcT+MuQyO9lMERq5Z8iXJYDCZJ9&#10;VvtwUlvsI+F4WZVn80czSji6ptV8vqhmCb4YcRKeDxCfCGdIMhoKMTDV9XHtrMWHdWGswXbPII6J&#10;vxJSsrZkwCKL2VmqwXBSJU4ImsYjW7BdbhCcVu2F0jqlQOi2ax3IjqVpyevY0V9hqcqGQT/GZVcK&#10;Y7VRUSRNWB2Z0o9tS+LBo5wsBDfQ1I4RLSVa4MdL1ti0tkg6iTrKmKytaw9Z3XyPT59lOY5pmq0/&#10;zzn799dc/QR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1F7I2QAAAAsBAAAPAAAAAAAAAAEAIAAA&#10;ACIAAABkcnMvZG93bnJldi54bWxQSwECFAAUAAAACACHTuJALpDYmAsCAADiAwAADgAAAAAAAAAB&#10;ACAAAAAoAQAAZHJzL2Uyb0RvYy54bWxQSwUGAAAAAAYABgBZAQAApQUAAAAA&#10;">
                <v:fill on="f" focussize="0,0"/>
                <v:stroke weight="2.25pt" color="#000000" joinstyle="miter" endarrow="open"/>
                <v:imagedata o:title=""/>
                <o:lock v:ext="edit" aspectratio="f"/>
              </v:shape>
            </w:pict>
          </mc:Fallback>
        </mc:AlternateContent>
      </w:r>
      <w:r>
        <w:rPr>
          <w:color w:val="auto"/>
          <w:highlight w:val="none"/>
        </w:rPr>
        <mc:AlternateContent>
          <mc:Choice Requires="wps">
            <w:drawing>
              <wp:anchor distT="0" distB="0" distL="0" distR="0" simplePos="0" relativeHeight="251659264" behindDoc="0" locked="0" layoutInCell="1" allowOverlap="1">
                <wp:simplePos x="0" y="0"/>
                <wp:positionH relativeFrom="column">
                  <wp:posOffset>4146550</wp:posOffset>
                </wp:positionH>
                <wp:positionV relativeFrom="paragraph">
                  <wp:posOffset>491490</wp:posOffset>
                </wp:positionV>
                <wp:extent cx="1276350" cy="589915"/>
                <wp:effectExtent l="13970" t="13970" r="538480" b="24765"/>
                <wp:wrapNone/>
                <wp:docPr id="1103" name="圆角矩形标注 297"/>
                <wp:cNvGraphicFramePr/>
                <a:graphic xmlns:a="http://schemas.openxmlformats.org/drawingml/2006/main">
                  <a:graphicData uri="http://schemas.microsoft.com/office/word/2010/wordprocessingShape">
                    <wps:wsp>
                      <wps:cNvSpPr/>
                      <wps:spPr>
                        <a:xfrm>
                          <a:off x="0" y="0"/>
                          <a:ext cx="1276350" cy="589914"/>
                        </a:xfrm>
                        <a:prstGeom prst="wedgeRoundRectCallout">
                          <a:avLst>
                            <a:gd name="adj1" fmla="val 83980"/>
                            <a:gd name="adj2" fmla="val -31162"/>
                            <a:gd name="adj3" fmla="val 16667"/>
                          </a:avLst>
                        </a:prstGeom>
                        <a:solidFill>
                          <a:srgbClr val="FFFFFF"/>
                        </a:solidFill>
                        <a:ln w="28575" cap="flat" cmpd="sng">
                          <a:solidFill>
                            <a:srgbClr val="000000"/>
                          </a:solidFill>
                          <a:prstDash val="solid"/>
                          <a:miter/>
                        </a:ln>
                      </wps:spPr>
                      <wps:txbx>
                        <w:txbxContent>
                          <w:p w14:paraId="0C3953F2">
                            <w:pPr>
                              <w:jc w:val="center"/>
                              <w:rPr>
                                <w:color w:val="000000"/>
                                <w:sz w:val="28"/>
                                <w:szCs w:val="28"/>
                              </w:rPr>
                            </w:pPr>
                            <w:r>
                              <w:rPr>
                                <w:rFonts w:hint="eastAsia"/>
                                <w:color w:val="000000"/>
                                <w:sz w:val="28"/>
                                <w:szCs w:val="28"/>
                              </w:rPr>
                              <w:t>项目位置</w:t>
                            </w:r>
                          </w:p>
                        </w:txbxContent>
                      </wps:txbx>
                      <wps:bodyPr vert="horz" wrap="square" lIns="91440" tIns="45720" rIns="91440" bIns="45720" anchor="ctr">
                        <a:noAutofit/>
                      </wps:bodyPr>
                    </wps:wsp>
                  </a:graphicData>
                </a:graphic>
              </wp:anchor>
            </w:drawing>
          </mc:Choice>
          <mc:Fallback>
            <w:pict>
              <v:shape id="圆角矩形标注 297" o:spid="_x0000_s1026" o:spt="62" type="#_x0000_t62" style="position:absolute;left:0pt;margin-left:326.5pt;margin-top:38.7pt;height:46.45pt;width:100.5pt;z-index:251659264;v-text-anchor:middle;mso-width-relative:page;mso-height-relative:page;" fillcolor="#FFFFFF" filled="t" stroked="t" coordsize="21600,21600" o:gfxdata="UEsDBAoAAAAAAIdO4kAAAAAAAAAAAAAAAAAEAAAAZHJzL1BLAwQUAAAACACHTuJAqHZ1RdkAAAAK&#10;AQAADwAAAGRycy9kb3ducmV2LnhtbE2Py07DMBBF90j8gzVI7KhdkiZViNMFUqm6ipryAW48JBHx&#10;OIrdB3w9wwqWM3N059xyc3OjuOAcBk8algsFAqn1dqBOw/tx+7QGEaIha0ZPqOELA2yq+7vSFNZf&#10;6YCXJnaCQygURkMf41RIGdoenQkLPyHx7cPPzkQe507a2Vw53I3yWalMOjMQf+jNhK89tp/N2Wlo&#10;5nhI253aNlNSv31n+3q/y2utHx+W6gVExFv8g+FXn9WhYqeTP5MNYtSQrRLuEjXkeQqCgfUq5cWJ&#10;yVwlIKtS/q9Q/QBQSwMEFAAAAAgAh07iQGtsRoBuAgAA1wQAAA4AAABkcnMvZTJvRG9jLnhtbK1U&#10;y27UMBTdI/EPlvdtJpnOU5OpUEdFSAiqFj7A4zgTI7+wPZMpHwD7rpFAbIA1az6nhc/g2kln0sKi&#10;C7JI7o3t43POvfbseCsF2jDruFY5Tg97GDFFdcHVKsevX50ejDFynqiCCK1Yji+Zw8fzx49mtZmy&#10;TFdaFMwiAFFuWpscV96baZI4WjFJ3KE2TMFgqa0kHlK7SgpLakCXIsl6vWFSa1sYqylzDv4umkHc&#10;ItqHAOqy5JQtNF1LpnyDapkgHiS5ihuH55FtWTLqX5alYx6JHINSH9+wCcTL8E7mMzJdWWIqTlsK&#10;5CEU7mmShCvYdAe1IJ6gteV/QUlOrXa69IdUy6QREh0BFWnvnjcXFTEsagGrndmZ7v4fLH2xObOI&#10;F9AJaa+PkSISan798f3vr1e/Pn2//vnl5vOHmx/fUDYZBbNq46aw5sKc2TZzEAbl29LK8AVNaBsN&#10;vtwZzLYeUfiZZqNhfwDeUxgbjCeT9CiAJvvVxjr/lGmJQpDjmhUrdq7XqjiHUp4QIfTaR6PJ5rnz&#10;0fGiJU2KNylGpRRQwA0RaNyfjG8L3JmTdecc9NN0mLVd0JkETuyB0uFwGMUDz3ZbiG6ZBg5OC16c&#10;ciFiYlfLE2ERcMjxaXxakXemCYXqHGfjwWgAfhA4SSV0MITSQDWcWkWZd5a4LnIvPv9CDswWxFUN&#10;g4jQKJTcM9v4LRTYHorZlC9EfrvctjVd6uIS2gJuCahBpe07jGo4I0Dr7ZpYhpF4pqAJoXxH4VDF&#10;5GgwyiCx3ZFld4QoClA5pt5GaUo/WXtdch8YBQLNrm0C/R4boz2b4UB18zhrfx/N/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CodnVF2QAAAAoBAAAPAAAAAAAAAAEAIAAAACIAAABkcnMvZG93bnJl&#10;di54bWxQSwECFAAUAAAACACHTuJAa2xGgG4CAADXBAAADgAAAAAAAAABACAAAAAoAQAAZHJzL2Uy&#10;b0RvYy54bWxQSwUGAAAAAAYABgBZAQAACAYAAAAA&#10;" adj="28940,4069,14400">
                <v:fill on="t" focussize="0,0"/>
                <v:stroke weight="2.25pt" color="#000000" joinstyle="miter"/>
                <v:imagedata o:title=""/>
                <o:lock v:ext="edit" aspectratio="f"/>
                <v:textbox>
                  <w:txbxContent>
                    <w:p w14:paraId="0C3953F2">
                      <w:pPr>
                        <w:jc w:val="center"/>
                        <w:rPr>
                          <w:color w:val="000000"/>
                          <w:sz w:val="28"/>
                          <w:szCs w:val="28"/>
                        </w:rPr>
                      </w:pPr>
                      <w:r>
                        <w:rPr>
                          <w:rFonts w:hint="eastAsia"/>
                          <w:color w:val="000000"/>
                          <w:sz w:val="28"/>
                          <w:szCs w:val="28"/>
                        </w:rPr>
                        <w:t>项目位置</w:t>
                      </w:r>
                    </w:p>
                  </w:txbxContent>
                </v:textbox>
              </v:shape>
            </w:pict>
          </mc:Fallback>
        </mc:AlternateContent>
      </w:r>
      <w:r>
        <w:rPr>
          <w:color w:val="auto"/>
          <w:highlight w:val="none"/>
        </w:rPr>
        <w:drawing>
          <wp:anchor distT="0" distB="0" distL="0" distR="0" simplePos="0" relativeHeight="251659264" behindDoc="0" locked="0" layoutInCell="1" allowOverlap="1">
            <wp:simplePos x="0" y="0"/>
            <wp:positionH relativeFrom="column">
              <wp:posOffset>4425950</wp:posOffset>
            </wp:positionH>
            <wp:positionV relativeFrom="paragraph">
              <wp:posOffset>333375</wp:posOffset>
            </wp:positionV>
            <wp:extent cx="2755900" cy="1914525"/>
            <wp:effectExtent l="28575" t="28575" r="34925" b="38100"/>
            <wp:wrapNone/>
            <wp:docPr id="1104" name="图片 14"/>
            <wp:cNvGraphicFramePr/>
            <a:graphic xmlns:a="http://schemas.openxmlformats.org/drawingml/2006/main">
              <a:graphicData uri="http://schemas.openxmlformats.org/drawingml/2006/picture">
                <pic:pic xmlns:pic="http://schemas.openxmlformats.org/drawingml/2006/picture">
                  <pic:nvPicPr>
                    <pic:cNvPr id="1104" name="图片 14"/>
                    <pic:cNvPicPr/>
                  </pic:nvPicPr>
                  <pic:blipFill>
                    <a:blip r:embed="rId35" cstate="print"/>
                    <a:srcRect/>
                    <a:stretch>
                      <a:fillRect/>
                    </a:stretch>
                  </pic:blipFill>
                  <pic:spPr>
                    <a:xfrm>
                      <a:off x="0" y="0"/>
                      <a:ext cx="2755900" cy="1914525"/>
                    </a:xfrm>
                    <a:prstGeom prst="rect">
                      <a:avLst/>
                    </a:prstGeom>
                    <a:ln w="28575" cap="flat" cmpd="sng">
                      <a:solidFill>
                        <a:srgbClr val="000000"/>
                      </a:solidFill>
                      <a:prstDash val="solid"/>
                      <a:round/>
                    </a:ln>
                  </pic:spPr>
                </pic:pic>
              </a:graphicData>
            </a:graphic>
          </wp:anchor>
        </w:drawing>
      </w:r>
      <w:r>
        <w:rPr>
          <w:color w:val="auto"/>
          <w:highlight w:val="none"/>
        </w:rPr>
        <w:drawing>
          <wp:inline distT="0" distB="0" distL="0" distR="0">
            <wp:extent cx="7590155" cy="5273040"/>
            <wp:effectExtent l="28575" t="9525" r="39370" b="32385"/>
            <wp:docPr id="1105" name="图片 13"/>
            <wp:cNvGraphicFramePr/>
            <a:graphic xmlns:a="http://schemas.openxmlformats.org/drawingml/2006/main">
              <a:graphicData uri="http://schemas.openxmlformats.org/drawingml/2006/picture">
                <pic:pic xmlns:pic="http://schemas.openxmlformats.org/drawingml/2006/picture">
                  <pic:nvPicPr>
                    <pic:cNvPr id="1105" name="图片 13"/>
                    <pic:cNvPicPr/>
                  </pic:nvPicPr>
                  <pic:blipFill>
                    <a:blip r:embed="rId36" cstate="print"/>
                    <a:srcRect/>
                    <a:stretch>
                      <a:fillRect/>
                    </a:stretch>
                  </pic:blipFill>
                  <pic:spPr>
                    <a:xfrm>
                      <a:off x="0" y="0"/>
                      <a:ext cx="7590155" cy="5273040"/>
                    </a:xfrm>
                    <a:prstGeom prst="rect">
                      <a:avLst/>
                    </a:prstGeom>
                    <a:ln w="28575" cap="flat" cmpd="sng">
                      <a:solidFill>
                        <a:srgbClr val="000000"/>
                      </a:solidFill>
                      <a:prstDash val="solid"/>
                      <a:round/>
                    </a:ln>
                  </pic:spPr>
                </pic:pic>
              </a:graphicData>
            </a:graphic>
          </wp:inline>
        </w:drawing>
      </w:r>
    </w:p>
    <w:p w14:paraId="1336E135">
      <w:pPr>
        <w:pStyle w:val="47"/>
        <w:jc w:val="center"/>
        <w:outlineLvl w:val="0"/>
        <w:rPr>
          <w:rFonts w:hint="default" w:ascii="Times New Roman" w:hAnsi="Times New Roman" w:cs="Times New Roman"/>
          <w:color w:val="auto"/>
          <w:highlight w:val="none"/>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720" w:num="1"/>
          <w:docGrid w:type="lines" w:linePitch="312" w:charSpace="0"/>
        </w:sectPr>
      </w:pPr>
      <w:bookmarkStart w:id="175" w:name="_Toc29915"/>
      <w:bookmarkStart w:id="176" w:name="_Toc16764"/>
      <w:r>
        <w:rPr>
          <w:rFonts w:hint="default" w:ascii="Times New Roman" w:hAnsi="Times New Roman" w:cs="Times New Roman"/>
          <w:b/>
          <w:bCs/>
          <w:color w:val="auto"/>
          <w:szCs w:val="22"/>
          <w:highlight w:val="none"/>
        </w:rPr>
        <w:t xml:space="preserve">附图8 </w:t>
      </w:r>
      <w:r>
        <w:rPr>
          <w:rFonts w:hint="default" w:ascii="Times New Roman" w:hAnsi="Times New Roman" w:cs="Times New Roman"/>
          <w:color w:val="auto"/>
          <w:highlight w:val="none"/>
        </w:rPr>
        <mc:AlternateContent>
          <mc:Choice Requires="wps">
            <w:drawing>
              <wp:anchor distT="0" distB="0" distL="0" distR="0" simplePos="0" relativeHeight="251659264" behindDoc="0" locked="0" layoutInCell="1" allowOverlap="1">
                <wp:simplePos x="0" y="0"/>
                <wp:positionH relativeFrom="column">
                  <wp:posOffset>4244975</wp:posOffset>
                </wp:positionH>
                <wp:positionV relativeFrom="paragraph">
                  <wp:posOffset>3159760</wp:posOffset>
                </wp:positionV>
                <wp:extent cx="1209675" cy="589915"/>
                <wp:effectExtent l="13970" t="13970" r="433705" b="24765"/>
                <wp:wrapNone/>
                <wp:docPr id="1106" name="圆角矩形标注 306"/>
                <wp:cNvGraphicFramePr/>
                <a:graphic xmlns:a="http://schemas.openxmlformats.org/drawingml/2006/main">
                  <a:graphicData uri="http://schemas.microsoft.com/office/word/2010/wordprocessingShape">
                    <wps:wsp>
                      <wps:cNvSpPr/>
                      <wps:spPr>
                        <a:xfrm>
                          <a:off x="0" y="0"/>
                          <a:ext cx="1209675" cy="589915"/>
                        </a:xfrm>
                        <a:prstGeom prst="wedgeRoundRectCallout">
                          <a:avLst>
                            <a:gd name="adj1" fmla="val 79186"/>
                            <a:gd name="adj2" fmla="val 39275"/>
                            <a:gd name="adj3" fmla="val 16667"/>
                          </a:avLst>
                        </a:prstGeom>
                        <a:solidFill>
                          <a:srgbClr val="FFFFFF"/>
                        </a:solidFill>
                        <a:ln w="28575" cap="flat" cmpd="sng">
                          <a:solidFill>
                            <a:srgbClr val="000000"/>
                          </a:solidFill>
                          <a:prstDash val="solid"/>
                          <a:miter/>
                        </a:ln>
                      </wps:spPr>
                      <wps:txbx>
                        <w:txbxContent>
                          <w:p w14:paraId="25B04290">
                            <w:pPr>
                              <w:jc w:val="center"/>
                              <w:rPr>
                                <w:color w:val="000000"/>
                              </w:rPr>
                            </w:pPr>
                            <w:r>
                              <w:rPr>
                                <w:rFonts w:hint="eastAsia"/>
                                <w:color w:val="000000"/>
                              </w:rPr>
                              <w:t>项目位置</w:t>
                            </w:r>
                          </w:p>
                        </w:txbxContent>
                      </wps:txbx>
                      <wps:bodyPr vert="horz" wrap="square" lIns="91440" tIns="45720" rIns="91440" bIns="45720" anchor="ctr">
                        <a:noAutofit/>
                      </wps:bodyPr>
                    </wps:wsp>
                  </a:graphicData>
                </a:graphic>
              </wp:anchor>
            </w:drawing>
          </mc:Choice>
          <mc:Fallback>
            <w:pict>
              <v:shape id="圆角矩形标注 306" o:spid="_x0000_s1026" o:spt="62" type="#_x0000_t62" style="position:absolute;left:0pt;margin-left:334.25pt;margin-top:248.8pt;height:46.45pt;width:95.25pt;z-index:251659264;v-text-anchor:middle;mso-width-relative:page;mso-height-relative:page;" fillcolor="#FFFFFF" filled="t" stroked="t" coordsize="21600,21600" o:gfxdata="UEsDBAoAAAAAAIdO4kAAAAAAAAAAAAAAAAAEAAAAZHJzL1BLAwQUAAAACACHTuJAgSGXwNsAAAAL&#10;AQAADwAAAGRycy9kb3ducmV2LnhtbE2PTU/DMAyG70j8h8hI3Fi6iZau1J0QH4IJcWCDAzevCW1F&#10;k1RJ2pV/jznBybL86PXzlpvZ9GLSPnTOIiwXCQhta6c62yC87R8uchAhklXUO6sRvnWATXV6UlKh&#10;3NG+6mkXG8EhNhSE0MY4FFKGutWGwsIN2vLt03lDkVffSOXpyOGml6skyaShzvKHlgZ92+r6azca&#10;BNrPL4/v6kmtzPN0d7P14/3HNCKeny2TaxBRz/EPhl99VoeKnQ5utCqIHiHL8pRRhMv1VQaCiTxd&#10;c7sDAs8UZFXK/x2qH1BLAwQUAAAACACHTuJAduIPH2sCAADWBAAADgAAAGRycy9lMm9Eb2MueG1s&#10;rVTLbhMxFN0j8Q+W93QezVuZVKhRERKCqoUPcDyejJFf2E4m5QNg3zUSiA2wZs3ntPAZXHuGdFpY&#10;dEEWE9+518fnnHs986OdFGjLrONaFTg7SDFiiuqSq3WBX708eTTByHmiSiK0YgW+YA4fLR4+mDdm&#10;xnJda1EyiwBEuVljClx7b2ZJ4mjNJHEH2jAFyUpbSTyEdp2UljSALkWSp+koabQtjdWUOQdvl20S&#10;d4j2PoC6qjhlS003kinfolomiAdJrubG4UVkW1WM+hdV5ZhHosCg1McnHALrVXgmizmZrS0xNacd&#10;BXIfCnc0ScIVHLqHWhJP0Mbyv6Akp1Y7XfkDqmXSComOgIosvePNeU0Mi1rAamf2prv/B0ufb08t&#10;4iVMQpaOMFJEQs+vPrz79eXy58dvVz8+X396f/39KzqELJjVGDeDPefm1HaRg2VQvqusDP+gCe2i&#10;wRd7g9nOIwovszydjsZDjCjkhpPpNBsG0ORmt7HOP2FaorAocMPKNTvTG1WeQSuPiRB646PRZPvM&#10;+eh42ZEm5esMo0oKaOCWCDSeZpPIGbrSq8n7NYfTHOi0Q9CrOezXZKPRaNzR7E4Fwn+IBgpOC16e&#10;cCFiYNerY2ERUCjwSfx1m2+VCYWaAueTYbSDwEWqYIDBGWmgGU6to8pbW1wfOY2/fyEHZkvi6pZB&#10;RGgVSu6Zbe0WClwPvWy7F1Z+t9p1LV3p8gKmAj4S0IJa27cYNXBFgNabDbEMI/FUwQxOs8Eg3KkY&#10;DIbjHALbz6z6GaIoQBWYehulKf1443XFfWAUCLSndgGMe5yL7mqG+9SPY9XN52jxG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IEhl8DbAAAACwEAAA8AAAAAAAAAAQAgAAAAIgAAAGRycy9kb3ducmV2&#10;LnhtbFBLAQIUABQAAAAIAIdO4kB24g8fawIAANYEAAAOAAAAAAAAAAEAIAAAACoBAABkcnMvZTJv&#10;RG9jLnhtbFBLBQYAAAAABgAGAFkBAAAHBgAAAAA=&#10;" adj="27904,19283,14400">
                <v:fill on="t" focussize="0,0"/>
                <v:stroke weight="2.25pt" color="#000000" joinstyle="miter"/>
                <v:imagedata o:title=""/>
                <o:lock v:ext="edit" aspectratio="f"/>
                <v:textbox>
                  <w:txbxContent>
                    <w:p w14:paraId="25B04290">
                      <w:pPr>
                        <w:jc w:val="center"/>
                        <w:rPr>
                          <w:color w:val="000000"/>
                        </w:rPr>
                      </w:pPr>
                      <w:r>
                        <w:rPr>
                          <w:rFonts w:hint="eastAsia"/>
                          <w:color w:val="000000"/>
                        </w:rPr>
                        <w:t>项目位置</w:t>
                      </w: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0" distR="0" simplePos="0" relativeHeight="251659264" behindDoc="0" locked="0" layoutInCell="1" allowOverlap="1">
                <wp:simplePos x="0" y="0"/>
                <wp:positionH relativeFrom="column">
                  <wp:posOffset>5802630</wp:posOffset>
                </wp:positionH>
                <wp:positionV relativeFrom="paragraph">
                  <wp:posOffset>2149475</wp:posOffset>
                </wp:positionV>
                <wp:extent cx="342900" cy="1366520"/>
                <wp:effectExtent l="34925" t="3175" r="22225" b="1905"/>
                <wp:wrapNone/>
                <wp:docPr id="1107" name="直接箭头连接符 307"/>
                <wp:cNvGraphicFramePr/>
                <a:graphic xmlns:a="http://schemas.openxmlformats.org/drawingml/2006/main">
                  <a:graphicData uri="http://schemas.microsoft.com/office/word/2010/wordprocessingShape">
                    <wps:wsp>
                      <wps:cNvCnPr/>
                      <wps:spPr>
                        <a:xfrm flipH="1">
                          <a:off x="0" y="0"/>
                          <a:ext cx="342900" cy="1366520"/>
                        </a:xfrm>
                        <a:prstGeom prst="straightConnector1">
                          <a:avLst/>
                        </a:prstGeom>
                        <a:ln w="28575" cap="flat" cmpd="sng">
                          <a:solidFill>
                            <a:srgbClr val="000000"/>
                          </a:solidFill>
                          <a:prstDash val="solid"/>
                          <a:miter/>
                          <a:tailEnd type="arrow" w="med" len="med"/>
                        </a:ln>
                      </wps:spPr>
                      <wps:bodyPr/>
                    </wps:wsp>
                  </a:graphicData>
                </a:graphic>
              </wp:anchor>
            </w:drawing>
          </mc:Choice>
          <mc:Fallback>
            <w:pict>
              <v:shape id="直接箭头连接符 307" o:spid="_x0000_s1026" o:spt="32" type="#_x0000_t32" style="position:absolute;left:0pt;flip:x;margin-left:456.9pt;margin-top:169.25pt;height:107.6pt;width:27pt;z-index:251659264;mso-width-relative:page;mso-height-relative:page;" filled="f" stroked="t" coordsize="21600,21600" o:gfxdata="UEsDBAoAAAAAAIdO4kAAAAAAAAAAAAAAAAAEAAAAZHJzL1BLAwQUAAAACACHTuJAIu4Ak9oAAAAL&#10;AQAADwAAAGRycy9kb3ducmV2LnhtbE2PwU7DMBBE70j8g7VI3KiTRknbEKeHShXihGhz4bZ1liRq&#10;bEf2pi18PeYEx50dzbyptjczigv5MDirIF0kIMhq1w62U9Ac909rEIHRtjg6Swq+KMC2vr+rsGzd&#10;1b7T5cCdiCE2lKigZ55KKYPuyWBYuIls/H06b5Dj6TvZerzGcDPKZZIU0uBgY0OPE+160ufDbBQU&#10;DerXjx2zzpcvb40/z3v8JqUeH9LkGQTTjf/M8Isf0aGOTCc32zaIUcEmzSI6K8iydQ4iOjbFKion&#10;BXmerUDWlfy/of4BUEsDBBQAAAAIAIdO4kCmO2NtDgIAAOIDAAAOAAAAZHJzL2Uyb0RvYy54bWyt&#10;U72OEzEQ7pF4B8s92U1CcscqmysSDgoEkYAHcLz2riX/yePLJi/BCyBRARVQXc/TwPEYjL0hwNFc&#10;gQtr7PF8M98348XF3miyEwGUszUdj0pKhOWuUbat6etXlw/OKYHIbMO0s6KmBwH0Ynn/3qL3lZi4&#10;zulGBIIgFqre17SL0VdFAbwThsHIeWHRKV0wLOIxtEUTWI/oRheTspwXvQuND44LALxdD056RAx3&#10;AXRSKi7Wjl8ZYeOAGoRmESlBpzzQZa5WSsHjCylBRKJrikxj3jEJ2tu0F8sFq9rAfKf4sQR2lxJu&#10;cTJMWUx6glqzyMhVUP9AGcWDAyfjiDtTDESyIshiXN7S5mXHvMhcUGrwJ9Hh/8Hy57tNIKrBSRiX&#10;Z5RYZrDnN2+vv7/5cPPl87f31z++vkv2p49kig9Qr95DhWEruwnHE/hNSOT3MhgitfJPES7LgQTJ&#10;Pqt9OKkt9pFwvJw+nDwqsQ8cXePpfD6b5HYUA07C8wHiE+EMSUZNIQam2i6unLXYWBeGHGz3DCJW&#10;goG/AlKwtqSv6eR8djbDHAwnVeKEoGk8sgXb5gLBadVcKq1TCIR2u9KB7FialrwSYQT+61nKsmbQ&#10;De+ya5gjo6JImrAqMqUf24bEg0c5WQiup6kcIxpKtMCPl6wBW1tMkUQdZEzW1jWHrG6+x9bnIo5j&#10;mmbrz3OO/v01lz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Iu4Ak9oAAAALAQAADwAAAAAAAAAB&#10;ACAAAAAiAAAAZHJzL2Rvd25yZXYueG1sUEsBAhQAFAAAAAgAh07iQKY7Y20OAgAA4gMAAA4AAAAA&#10;AAAAAQAgAAAAKQEAAGRycy9lMm9Eb2MueG1sUEsFBgAAAAAGAAYAWQEAAKkFAAAAAA==&#10;">
                <v:fill on="f" focussize="0,0"/>
                <v:stroke weight="2.25pt" color="#000000" joinstyle="miter" endarrow="open"/>
                <v:imagedata o:title=""/>
                <o:lock v:ext="edit" aspectratio="f"/>
              </v:shape>
            </w:pict>
          </mc:Fallback>
        </mc:AlternateContent>
      </w:r>
      <w:r>
        <w:rPr>
          <w:rFonts w:hint="default" w:ascii="Times New Roman" w:hAnsi="Times New Roman" w:cs="Times New Roman"/>
          <w:color w:val="auto"/>
          <w:highlight w:val="none"/>
        </w:rPr>
        <mc:AlternateContent>
          <mc:Choice Requires="wps">
            <w:drawing>
              <wp:anchor distT="0" distB="0" distL="0" distR="0" simplePos="0" relativeHeight="251659264" behindDoc="0" locked="0" layoutInCell="1" allowOverlap="1">
                <wp:simplePos x="0" y="0"/>
                <wp:positionH relativeFrom="column">
                  <wp:posOffset>5668645</wp:posOffset>
                </wp:positionH>
                <wp:positionV relativeFrom="paragraph">
                  <wp:posOffset>3515995</wp:posOffset>
                </wp:positionV>
                <wp:extent cx="267970" cy="294005"/>
                <wp:effectExtent l="17145" t="23495" r="19685" b="25400"/>
                <wp:wrapNone/>
                <wp:docPr id="1108" name="五角星 308"/>
                <wp:cNvGraphicFramePr/>
                <a:graphic xmlns:a="http://schemas.openxmlformats.org/drawingml/2006/main">
                  <a:graphicData uri="http://schemas.microsoft.com/office/word/2010/wordprocessingShape">
                    <wps:wsp>
                      <wps:cNvSpPr/>
                      <wps:spPr>
                        <a:xfrm>
                          <a:off x="0" y="0"/>
                          <a:ext cx="267970" cy="294004"/>
                        </a:xfrm>
                        <a:prstGeom prst="star5">
                          <a:avLst/>
                        </a:prstGeom>
                        <a:solidFill>
                          <a:srgbClr val="FFFF00"/>
                        </a:solidFill>
                        <a:ln w="12700" cap="flat" cmpd="sng">
                          <a:solidFill>
                            <a:srgbClr val="000000"/>
                          </a:solidFill>
                          <a:prstDash val="solid"/>
                          <a:miter/>
                        </a:ln>
                      </wps:spPr>
                      <wps:bodyPr/>
                    </wps:wsp>
                  </a:graphicData>
                </a:graphic>
              </wp:anchor>
            </w:drawing>
          </mc:Choice>
          <mc:Fallback>
            <w:pict>
              <v:shape id="五角星 308" o:spid="_x0000_s1026" style="position:absolute;left:0pt;margin-left:446.35pt;margin-top:276.85pt;height:23.15pt;width:21.1pt;z-index:251659264;mso-width-relative:page;mso-height-relative:page;" fillcolor="#FFFF00" filled="t" stroked="t" coordsize="267970,294004" o:gfxdata="UEsDBAoAAAAAAIdO4kAAAAAAAAAAAAAAAAAEAAAAZHJzL1BLAwQUAAAACACHTuJAyx3mAdoAAAAL&#10;AQAADwAAAGRycy9kb3ducmV2LnhtbE2Py07DMBBF90j8gzVIbBC105KQhEwqxKN7SiuxdJ0hiRrb&#10;Uew+4OsZVrCb0RzdObdanu0gjjSF3juEZKZAkDO+6V2LsHl/vc1BhKhdowfvCOGLAizry4tKl40/&#10;uTc6rmMrOMSFUiN0MY6llMF0ZHWY+ZEc3z79ZHXkdWplM+kTh9tBzpXKpNW94w+dHumpI7NfHywC&#10;fdyol3TVZqrfb5/H4jt/TIxBvL5K1AOISOf4B8OvPqtDzU47f3BNEANCXszvGUVI0wUPTBSLuwLE&#10;DiFTSoGsK/m/Q/0DUEsDBBQAAAAIAIdO4kBX0TpT4QEAAMcDAAAOAAAAZHJzL2Uyb0RvYy54bWyt&#10;U0tu2zAQ3RfIHQjuY8lqGjeC5SxqOJugDZD2ADRFSgT4A4ex7GsUXXTXZe/Q8xRFj9EhpTpxusmi&#10;XFBDzvDNvDej5fXeaLITAZSzDZ3PSkqE5a5Vtmvop4+b87eUQGS2ZdpZ0dCDAHq9Onu1HHwtKtc7&#10;3YpAEMRCPfiG9jH6uiiA98IwmDkvLDqlC4ZFPIauaAMbEN3ooirLy2JwofXBcQGAt+vRSSfE8BJA&#10;J6XiYu34gxE2jqhBaBaREvTKA13laqUUPH6QEkQkuqHINOYdk6C9TXuxWrK6C8z3ik8lsJeU8IyT&#10;Ycpi0iPUmkVGHoL6B8ooHhw4GWfcmWIkkhVBFvPymTb3PfMic0GpwR9Fh/8Hy9/v7gJRLU7CvMTO&#10;W2aw5z9/fPn9/fOvr9/Ia7xEjQYPNYbe+7swnQDNRHgvg0lfpEL2WdfDUVexj4TjZXW5uFqg4hxd&#10;1dVFWV4kzOLxsQ8Qb4QzJBkNxfELb7KcbHcLcYz9G5OSgdOq3Sit8yF023c6kB3DHm9wlbmtCH8S&#10;pi0ZkGW1QDfhDCdX4sSgaTyyB9vlhCdP4ClymddU+ElYqmzNoB8ryK4Uxmqjokh6YSna4iepOOqW&#10;rK1rD1nOfI/9zYHTLKYBenrOrx//v9U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yx3mAdoAAAAL&#10;AQAADwAAAAAAAAABACAAAAAiAAAAZHJzL2Rvd25yZXYueG1sUEsBAhQAFAAAAAgAh07iQFfROlPh&#10;AQAAxwMAAA4AAAAAAAAAAQAgAAAAKQEAAGRycy9lMm9Eb2MueG1sUEsFBgAAAAAGAAYAWQEAAHwF&#10;AAAAAA==&#10;" path="m0,112299l102355,112300,133985,0,165614,112300,267969,112299,185161,181703,216792,294003,133985,224597,51177,294003,82808,181703xe">
                <v:path o:connectlocs="133985,0;0,112299;51177,294003;216792,294003;267969,112299" o:connectangles="247,164,82,82,0"/>
                <v:fill on="t" focussize="0,0"/>
                <v:stroke weight="1pt" color="#000000" joinstyle="miter"/>
                <v:imagedata o:title=""/>
                <o:lock v:ext="edit" aspectratio="f"/>
              </v:shape>
            </w:pict>
          </mc:Fallback>
        </mc:AlternateContent>
      </w:r>
      <w:r>
        <w:rPr>
          <w:rFonts w:hint="default" w:ascii="Times New Roman" w:hAnsi="Times New Roman" w:cs="Times New Roman"/>
          <w:b/>
          <w:bCs/>
          <w:color w:val="auto"/>
          <w:szCs w:val="22"/>
          <w:highlight w:val="none"/>
        </w:rPr>
        <w:t>生态</w:t>
      </w:r>
      <w:r>
        <w:rPr>
          <w:rFonts w:hint="eastAsia" w:ascii="Times New Roman" w:hAnsi="Times New Roman" w:cs="Times New Roman"/>
          <w:b/>
          <w:bCs/>
          <w:color w:val="auto"/>
          <w:szCs w:val="22"/>
          <w:highlight w:val="none"/>
          <w:lang w:val="en-US" w:eastAsia="zh-CN"/>
        </w:rPr>
        <w:t>保护</w:t>
      </w:r>
      <w:r>
        <w:rPr>
          <w:rFonts w:hint="default" w:ascii="Times New Roman" w:hAnsi="Times New Roman" w:cs="Times New Roman"/>
          <w:b/>
          <w:bCs/>
          <w:color w:val="auto"/>
          <w:szCs w:val="22"/>
          <w:highlight w:val="none"/>
        </w:rPr>
        <w:t>红线分布图</w:t>
      </w:r>
      <w:bookmarkEnd w:id="175"/>
      <w:bookmarkEnd w:id="176"/>
    </w:p>
    <w:p w14:paraId="35138656">
      <w:pPr>
        <w:pStyle w:val="47"/>
        <w:jc w:val="center"/>
        <w:rPr>
          <w:color w:val="auto"/>
          <w:highlight w:val="none"/>
        </w:rPr>
      </w:pPr>
      <w:r>
        <w:rPr>
          <w:color w:val="auto"/>
          <w:highlight w:val="none"/>
        </w:rPr>
        <mc:AlternateContent>
          <mc:Choice Requires="wps">
            <w:drawing>
              <wp:anchor distT="0" distB="0" distL="0" distR="0" simplePos="0" relativeHeight="251659264" behindDoc="0" locked="0" layoutInCell="1" allowOverlap="1">
                <wp:simplePos x="0" y="0"/>
                <wp:positionH relativeFrom="column">
                  <wp:posOffset>5673725</wp:posOffset>
                </wp:positionH>
                <wp:positionV relativeFrom="paragraph">
                  <wp:posOffset>3526790</wp:posOffset>
                </wp:positionV>
                <wp:extent cx="180975" cy="167640"/>
                <wp:effectExtent l="19685" t="20320" r="27940" b="21590"/>
                <wp:wrapNone/>
                <wp:docPr id="1109" name="五角星 324"/>
                <wp:cNvGraphicFramePr/>
                <a:graphic xmlns:a="http://schemas.openxmlformats.org/drawingml/2006/main">
                  <a:graphicData uri="http://schemas.microsoft.com/office/word/2010/wordprocessingShape">
                    <wps:wsp>
                      <wps:cNvSpPr/>
                      <wps:spPr>
                        <a:xfrm>
                          <a:off x="0" y="0"/>
                          <a:ext cx="180975" cy="167640"/>
                        </a:xfrm>
                        <a:prstGeom prst="star5">
                          <a:avLst/>
                        </a:prstGeom>
                        <a:solidFill>
                          <a:srgbClr val="FF0000"/>
                        </a:solidFill>
                        <a:ln w="12700" cap="flat" cmpd="sng">
                          <a:solidFill>
                            <a:srgbClr val="000000"/>
                          </a:solidFill>
                          <a:prstDash val="solid"/>
                          <a:miter/>
                        </a:ln>
                      </wps:spPr>
                      <wps:txbx>
                        <w:txbxContent>
                          <w:p w14:paraId="10CF7668">
                            <w:pPr>
                              <w:jc w:val="center"/>
                            </w:pPr>
                          </w:p>
                        </w:txbxContent>
                      </wps:txbx>
                      <wps:bodyPr vert="horz" wrap="square" lIns="91440" tIns="45720" rIns="91440" bIns="45720" anchor="ctr">
                        <a:noAutofit/>
                      </wps:bodyPr>
                    </wps:wsp>
                  </a:graphicData>
                </a:graphic>
              </wp:anchor>
            </w:drawing>
          </mc:Choice>
          <mc:Fallback>
            <w:pict>
              <v:shape id="五角星 324" o:spid="_x0000_s1026" style="position:absolute;left:0pt;margin-left:446.75pt;margin-top:277.7pt;height:13.2pt;width:14.25pt;z-index:251659264;v-text-anchor:middle;mso-width-relative:page;mso-height-relative:page;" fillcolor="#FF0000" filled="t" stroked="t" coordsize="180975,167640" o:gfxdata="UEsDBAoAAAAAAIdO4kAAAAAAAAAAAAAAAAAEAAAAZHJzL1BLAwQUAAAACACHTuJAlYHyStkAAAAL&#10;AQAADwAAAGRycy9kb3ducmV2LnhtbE2PwU7DMAyG70i8Q2Qkbixtt6KuNJ3EJLhwmDYQXNPGaysS&#10;p2qybrw95sSOtj/9/v5qc3FWzDiFwZOCdJGAQGq9GahT8PH+8lCACFGT0dYTKvjBAJv69qbSpfFn&#10;2uN8iJ3gEAqlVtDHOJZShrZHp8PCj0h8O/rJ6cjj1Ekz6TOHOyuzJHmUTg/EH3o94rbH9vtwcgro&#10;2X6+zmR3q7d9ky2Pu/C1da1S93dp8gQi4iX+w/Cnz+pQs1PjT2SCsAqK9TJnVEGe5ysQTKyzjNs1&#10;vCnSAmRdyesO9S9QSwMEFAAAAAgAh07iQIxOScQkAgAARwQAAA4AAABkcnMvZTJvRG9jLnhtbK1T&#10;zY7TMBC+I/EOlu80SWm326rpClEVISFYaeEBXMdpLPmPsdukPAbiwI3jvgPPgxCPwdgJ3e7CYQ/k&#10;kMxk7G++7/N4edVpRQ4CvLSmpMUop0QYbitpdiX98H7z7JISH5ipmLJGlPQoPL1aPX2ybN1CjG1j&#10;VSWAIIjxi9aVtAnBLbLM80Zo5kfWCYPF2oJmAVPYZRWwFtG1ysZ5fpG1FioHlgvv8e+6L9IBER4D&#10;aOtacrG2fK+FCT0qCMUCSvKNdJ6uEtu6Fjy8q2svAlElRaUhvbEJxtv4zlZLttgBc43kAwX2GAoP&#10;NGkmDTY9Qa1ZYGQP8i8oLTlYb+sw4lZnvZDkCKoo8gfe3DTMiaQFrfbuZLr/f7D87eEaiKxwEop8&#10;TolhGs/8x/cvv24///z6jTwfT6JHrfMLXHrjrmHIPIZRcFeDjl+UQrrk6/Hkq+gC4fizuMznsykl&#10;HEvFxexiknzP7jY78OGVsJrEoKQ4fjBNdrLDGx+wI679syY281bJaiOVSgnsti8VkAPDM95scnwi&#10;Zdxyb5kypMX24xmWCWc4uTVODIbaoXpvdqnhvS3+HDni/hs5Mlsz3/QMEkI/V1oGEf1CKsrgJ7rY&#10;+xaj0G27wcytrY54DHgrUX1j4RMlLc4k0vq4ZyAoUa8NHvq8mKB1JKRkMp2NMYHzyva8wgxHqJLy&#10;AEmasS/2wdYy+RkJ9F0HXjhfiehwF+IAn+dp1d39X/0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lYHyStkAAAALAQAADwAAAAAAAAABACAAAAAiAAAAZHJzL2Rvd25yZXYueG1sUEsBAhQAFAAAAAgA&#10;h07iQIxOScQkAgAARwQAAA4AAAAAAAAAAQAgAAAAKAEAAGRycy9lMm9Eb2MueG1sUEsFBgAAAAAG&#10;AAYAWQEAAL4FAAAAAA==&#10;" path="m0,64032l69126,64033,90487,0,111848,64033,180974,64032,125050,103606,146411,167639,90487,128064,34563,167639,55924,103606xe">
                <v:path textboxrect="0,0,180975,167640" o:connectlocs="90487,0;0,64032;34563,167639;146411,167639;180974,64032" o:connectangles="247,164,82,82,0"/>
                <v:fill on="t" focussize="0,0"/>
                <v:stroke weight="1pt" color="#000000" joinstyle="miter"/>
                <v:imagedata o:title=""/>
                <o:lock v:ext="edit" aspectratio="f"/>
                <v:textbox>
                  <w:txbxContent>
                    <w:p w14:paraId="10CF7668">
                      <w:pPr>
                        <w:jc w:val="center"/>
                      </w:pPr>
                    </w:p>
                  </w:txbxContent>
                </v:textbox>
              </v:shape>
            </w:pict>
          </mc:Fallback>
        </mc:AlternateContent>
      </w:r>
      <w:r>
        <w:rPr>
          <w:color w:val="auto"/>
          <w:highlight w:val="none"/>
        </w:rPr>
        <mc:AlternateContent>
          <mc:Choice Requires="wps">
            <w:drawing>
              <wp:anchor distT="0" distB="0" distL="0" distR="0" simplePos="0" relativeHeight="251659264" behindDoc="0" locked="0" layoutInCell="1" allowOverlap="1">
                <wp:simplePos x="0" y="0"/>
                <wp:positionH relativeFrom="column">
                  <wp:posOffset>3756025</wp:posOffset>
                </wp:positionH>
                <wp:positionV relativeFrom="paragraph">
                  <wp:posOffset>765810</wp:posOffset>
                </wp:positionV>
                <wp:extent cx="251460" cy="254000"/>
                <wp:effectExtent l="18415" t="21590" r="34925" b="29210"/>
                <wp:wrapNone/>
                <wp:docPr id="1110" name="五角星 323"/>
                <wp:cNvGraphicFramePr/>
                <a:graphic xmlns:a="http://schemas.openxmlformats.org/drawingml/2006/main">
                  <a:graphicData uri="http://schemas.microsoft.com/office/word/2010/wordprocessingShape">
                    <wps:wsp>
                      <wps:cNvSpPr/>
                      <wps:spPr>
                        <a:xfrm>
                          <a:off x="0" y="0"/>
                          <a:ext cx="251459" cy="254000"/>
                        </a:xfrm>
                        <a:prstGeom prst="star5">
                          <a:avLst/>
                        </a:prstGeom>
                        <a:solidFill>
                          <a:srgbClr val="FF0000"/>
                        </a:solidFill>
                        <a:ln w="12700" cap="flat" cmpd="sng">
                          <a:solidFill>
                            <a:srgbClr val="000000"/>
                          </a:solidFill>
                          <a:prstDash val="solid"/>
                          <a:miter/>
                        </a:ln>
                      </wps:spPr>
                      <wps:txbx>
                        <w:txbxContent>
                          <w:p w14:paraId="25BA7A96">
                            <w:pPr>
                              <w:jc w:val="center"/>
                            </w:pPr>
                          </w:p>
                        </w:txbxContent>
                      </wps:txbx>
                      <wps:bodyPr vert="horz" wrap="square" lIns="91440" tIns="45720" rIns="91440" bIns="45720" anchor="ctr">
                        <a:noAutofit/>
                      </wps:bodyPr>
                    </wps:wsp>
                  </a:graphicData>
                </a:graphic>
              </wp:anchor>
            </w:drawing>
          </mc:Choice>
          <mc:Fallback>
            <w:pict>
              <v:shape id="五角星 323" o:spid="_x0000_s1026" style="position:absolute;left:0pt;margin-left:295.75pt;margin-top:60.3pt;height:20pt;width:19.8pt;z-index:251659264;v-text-anchor:middle;mso-width-relative:page;mso-height-relative:page;" fillcolor="#FF0000" filled="t" stroked="t" coordsize="251459,254000" o:gfxdata="UEsDBAoAAAAAAIdO4kAAAAAAAAAAAAAAAAAEAAAAZHJzL1BLAwQUAAAACACHTuJA+r+P19cAAAAL&#10;AQAADwAAAGRycy9kb3ducmV2LnhtbE2PzU7DMBCE70i8g7VIXBC1HZSopHF6qNQTQoj+3N14G0fE&#10;dmS7aXl7lhMcd+bT7EyzvrmRzRjTELwCuRDA0HfBDL5XcNhvn5fAUtbe6DF4VPCNCdbt/V2jaxOu&#10;/hPnXe4ZhfhUawU256nmPHUWnU6LMKEn7xyi05nO2HMT9ZXC3cgLISru9ODpg9UTbix2X7uLU3B8&#10;W4ajPLw/bXqc7b7YTjJ+lEo9PkixApbxlv9g+K1P1aGlTqdw8SaxUUH5KktCyShEBYyI6kVKYCdS&#10;KlJ42/D/G9ofUEsDBBQAAAAIAIdO4kB4C7t0IAIAAEcEAAAOAAAAZHJzL2Uyb0RvYy54bWytU82O&#10;0zAQviPxDpbvND/bsmzVdIWoipAQrLTwAK7jNJb8x9htUh4DceDGcd+B50GIx2DsZLvdhcMeuCQz&#10;mck33/d5vLjstSJ7AV5aU9FiklMiDLe1NNuKfvywfvaCEh+YqZmyRlT0IDy9XD59sujcXJS2taoW&#10;QBDE+HnnKtqG4OZZ5nkrNPMT64TBYmNBs4ApbLMaWIfoWmVlnj/POgu1A8uF9/h1NRTpiAiPAbRN&#10;I7lYWb7TwoQBFYRiASX5VjpPl4lt0wge3jeNF4GoiqLSkJ44BONNfGbLBZtvgblW8pECewyFB5o0&#10;kwaHHqFWLDCyA/kXlJYcrLdNmHCrs0FIcgRVFPkDb65b5kTSglZ7dzTd/z9Y/m5/BUTWuAlFgaYY&#10;pvHMf/74+vvmy69v38lZeRY96pyfY+u1u4Ix8xhGwX0DOr5RCumTr4ejr6IPhOPHclZMZxeUcCyV&#10;s2meJ9+zu58d+PBaWE1iUFFcP5glO9n+rQ84EXtve+Iwb5Ws11KplMB280oB2TM84/Ua0W/h77Up&#10;QzpUWZ5jmXCGm9vgxmCoHar3ZpsG3vvFnyJH3H8jR2Yr5tuBQUIY9krLIKJfyF4ZfEUXB99iFPpN&#10;P5q5sfUBjwFvJapvLXympMOdRFqfdgwEJeqNwUO/KKbTuMQpmc7OS0zgtLI5rTDDEaqiPECSZuzL&#10;XbCNTH5GAsPUkRfuVyI63oW4wKd56rq7/8s/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r+P19cA&#10;AAALAQAADwAAAAAAAAABACAAAAAiAAAAZHJzL2Rvd25yZXYueG1sUEsBAhQAFAAAAAgAh07iQHgL&#10;u3QgAgAARwQAAA4AAAAAAAAAAQAgAAAAJgEAAGRycy9lMm9Eb2MueG1sUEsFBgAAAAAGAAYAWQEA&#10;ALgFAAAAAA==&#10;" path="m0,97019l96049,97019,125729,0,155409,97019,251458,97019,173753,156979,203434,253999,125729,194037,48024,253999,77705,156979xe">
                <v:path textboxrect="0,0,251459,254000" o:connectlocs="125729,0;0,97019;48024,253999;203434,253999;251458,97019" o:connectangles="247,164,82,82,0"/>
                <v:fill on="t" focussize="0,0"/>
                <v:stroke weight="1pt" color="#000000" joinstyle="miter"/>
                <v:imagedata o:title=""/>
                <o:lock v:ext="edit" aspectratio="f"/>
                <v:textbox>
                  <w:txbxContent>
                    <w:p w14:paraId="25BA7A96">
                      <w:pPr>
                        <w:jc w:val="center"/>
                      </w:pPr>
                    </w:p>
                  </w:txbxContent>
                </v:textbox>
              </v:shape>
            </w:pict>
          </mc:Fallback>
        </mc:AlternateContent>
      </w:r>
      <w:r>
        <w:rPr>
          <w:color w:val="auto"/>
          <w:highlight w:val="none"/>
        </w:rPr>
        <mc:AlternateContent>
          <mc:Choice Requires="wps">
            <w:drawing>
              <wp:anchor distT="0" distB="0" distL="0" distR="0" simplePos="0" relativeHeight="251659264" behindDoc="0" locked="0" layoutInCell="1" allowOverlap="1">
                <wp:simplePos x="0" y="0"/>
                <wp:positionH relativeFrom="column">
                  <wp:posOffset>5887720</wp:posOffset>
                </wp:positionH>
                <wp:positionV relativeFrom="paragraph">
                  <wp:posOffset>2799715</wp:posOffset>
                </wp:positionV>
                <wp:extent cx="1276350" cy="533400"/>
                <wp:effectExtent l="116205" t="13970" r="17145" b="290830"/>
                <wp:wrapNone/>
                <wp:docPr id="1111" name="圆角矩形标注 326"/>
                <wp:cNvGraphicFramePr/>
                <a:graphic xmlns:a="http://schemas.openxmlformats.org/drawingml/2006/main">
                  <a:graphicData uri="http://schemas.microsoft.com/office/word/2010/wordprocessingShape">
                    <wps:wsp>
                      <wps:cNvSpPr/>
                      <wps:spPr>
                        <a:xfrm>
                          <a:off x="0" y="0"/>
                          <a:ext cx="1276349" cy="533400"/>
                        </a:xfrm>
                        <a:prstGeom prst="wedgeRoundRectCallout">
                          <a:avLst>
                            <a:gd name="adj1" fmla="val -53681"/>
                            <a:gd name="adj2" fmla="val 94232"/>
                            <a:gd name="adj3" fmla="val 16667"/>
                          </a:avLst>
                        </a:prstGeom>
                        <a:solidFill>
                          <a:srgbClr val="F2F2F2"/>
                        </a:solidFill>
                        <a:ln w="28575" cap="flat" cmpd="sng">
                          <a:solidFill>
                            <a:srgbClr val="000000"/>
                          </a:solidFill>
                          <a:prstDash val="solid"/>
                          <a:miter/>
                        </a:ln>
                      </wps:spPr>
                      <wps:txbx>
                        <w:txbxContent>
                          <w:p w14:paraId="639BA789">
                            <w:pPr>
                              <w:jc w:val="center"/>
                              <w:rPr>
                                <w:sz w:val="28"/>
                                <w:szCs w:val="28"/>
                              </w:rPr>
                            </w:pPr>
                            <w:r>
                              <w:rPr>
                                <w:rFonts w:hint="eastAsia"/>
                                <w:sz w:val="28"/>
                                <w:szCs w:val="28"/>
                              </w:rPr>
                              <w:t>项目位置</w:t>
                            </w:r>
                          </w:p>
                        </w:txbxContent>
                      </wps:txbx>
                      <wps:bodyPr vert="horz" wrap="square" lIns="91440" tIns="45720" rIns="91440" bIns="45720" anchor="ctr">
                        <a:noAutofit/>
                      </wps:bodyPr>
                    </wps:wsp>
                  </a:graphicData>
                </a:graphic>
              </wp:anchor>
            </w:drawing>
          </mc:Choice>
          <mc:Fallback>
            <w:pict>
              <v:shape id="圆角矩形标注 326" o:spid="_x0000_s1026" o:spt="62" type="#_x0000_t62" style="position:absolute;left:0pt;margin-left:463.6pt;margin-top:220.45pt;height:42pt;width:100.5pt;z-index:251659264;v-text-anchor:middle;mso-width-relative:page;mso-height-relative:page;" fillcolor="#F2F2F2" filled="t" stroked="t" coordsize="21600,21600" o:gfxdata="UEsDBAoAAAAAAIdO4kAAAAAAAAAAAAAAAAAEAAAAZHJzL1BLAwQUAAAACACHTuJAkM4kstwAAAAM&#10;AQAADwAAAGRycy9kb3ducmV2LnhtbE2Py07DMBBF90j8gzVIbBC1EwVoQiZdIIHYFNRQVbBzYzeO&#10;iMeR7T74e9wVLGfm6M659eJkR3bQPgyOELKZAKapc2qgHmH98Xw7BxaiJCVHRxrhRwdYNJcXtayU&#10;O9JKH9rYsxRCoZIIJsap4jx0RlsZZm7SlG47562MafQ9V14eU7gdeS7EPbdyoPTByEk/Gd19t3uL&#10;EIx/M9Py63MZ383m5Wblunb3inh9lYlHYFGf4h8MZ/2kDk1y2ro9qcBGhDJ/yBOKUBSiBHYmsnye&#10;VluEu7wogTc1/1+i+QVQSwMEFAAAAAgAh07iQD73Q4FtAgAA1wQAAA4AAABkcnMvZTJvRG9jLnht&#10;bK1U3W7TMBS+R+IdLN+vaZM23aqlE1pVhIRg2uABXMdpjPyH7TYdDwD3u0YCcQNcc83jbPAYHDth&#10;yzYudkEiJefEx5+/7zt2Do92UqAts45rVeDRYIgRU1SXXK0L/PrVcm8fI+eJKonQihX4nDl8NH/8&#10;6LAxM5bqWouSWQQgys0aU+DaezNLEkdrJokbaMMUDFbaSuIhteuktKQBdCmSdDjMk0bb0lhNmXPw&#10;ddEO4g7RPgRQVxWnbKHpRjLlW1TLBPEgydXcODyPbKuKUf+yqhzzSBQYlPr4hEUgXoVnMj8ks7Ul&#10;pua0o0AeQuGOJkm4gkWvoRbEE7Sx/B6U5NRqpys/oFomrZDoCKgYDe94c1YTw6IWsNqZa9Pd/4Ol&#10;L7YnFvESdgJcGCkioeeXH9///nrx69P3y59frj5/uPrxDWVpHsxqjJvBnDNzYrvMQRiU7yorwxs0&#10;oV00+PzaYLbziMLHUTrNs/EBRhTGJlk2HsYOJDezjXX+KdMShaDADSvX7FRvVHkKrTwmQuiNj0aT&#10;7XPno+NlR5qUb0BAJQU0cEsE2ptk+f6o63CvKO0XHYzTLL1fk/VrRnmeT0MN8OyWhegv08DBacHL&#10;JRciJna9OhYWAYcCL9Nwd5NvlQmFmgKn+5PpBPwgcJIq2MEQSgPdcGodZd6a4vrIw3j9CzkwWxBX&#10;twwiQqtQcs9sq0MokBOa2bYvRH632nU9XenyHLYF/CWgB7W27zBq4IwArbcbYhlG4pmCTXgwGo/D&#10;oYrJeDJNIbH9kVV/hCgKUAWm3kZpSj/ZeF1xHxgFAu2qXQL7PRrenc1woPp5rLr5H83/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JDOJLLcAAAADAEAAA8AAAAAAAAAAQAgAAAAIgAAAGRycy9kb3du&#10;cmV2LnhtbFBLAQIUABQAAAAIAIdO4kA+90OBbQIAANcEAAAOAAAAAAAAAAEAIAAAACsBAABkcnMv&#10;ZTJvRG9jLnhtbFBLBQYAAAAABgAGAFkBAAAKBgAAAAA=&#10;" adj="-795,31154,14400">
                <v:fill on="t" focussize="0,0"/>
                <v:stroke weight="2.25pt" color="#000000" joinstyle="miter"/>
                <v:imagedata o:title=""/>
                <o:lock v:ext="edit" aspectratio="f"/>
                <v:textbox>
                  <w:txbxContent>
                    <w:p w14:paraId="639BA789">
                      <w:pPr>
                        <w:jc w:val="center"/>
                        <w:rPr>
                          <w:sz w:val="28"/>
                          <w:szCs w:val="28"/>
                        </w:rPr>
                      </w:pPr>
                      <w:r>
                        <w:rPr>
                          <w:rFonts w:hint="eastAsia"/>
                          <w:sz w:val="28"/>
                          <w:szCs w:val="28"/>
                        </w:rPr>
                        <w:t>项目位置</w:t>
                      </w:r>
                    </w:p>
                  </w:txbxContent>
                </v:textbox>
              </v:shape>
            </w:pict>
          </mc:Fallback>
        </mc:AlternateContent>
      </w:r>
      <w:r>
        <w:rPr>
          <w:color w:val="auto"/>
          <w:highlight w:val="none"/>
        </w:rPr>
        <mc:AlternateContent>
          <mc:Choice Requires="wps">
            <w:drawing>
              <wp:anchor distT="0" distB="0" distL="0" distR="0" simplePos="0" relativeHeight="251659264" behindDoc="0" locked="0" layoutInCell="1" allowOverlap="1">
                <wp:simplePos x="0" y="0"/>
                <wp:positionH relativeFrom="column">
                  <wp:posOffset>1801495</wp:posOffset>
                </wp:positionH>
                <wp:positionV relativeFrom="paragraph">
                  <wp:posOffset>356870</wp:posOffset>
                </wp:positionV>
                <wp:extent cx="1276350" cy="600075"/>
                <wp:effectExtent l="13970" t="13970" r="786130" b="14605"/>
                <wp:wrapNone/>
                <wp:docPr id="1112" name="圆角矩形标注 325"/>
                <wp:cNvGraphicFramePr/>
                <a:graphic xmlns:a="http://schemas.openxmlformats.org/drawingml/2006/main">
                  <a:graphicData uri="http://schemas.microsoft.com/office/word/2010/wordprocessingShape">
                    <wps:wsp>
                      <wps:cNvSpPr/>
                      <wps:spPr>
                        <a:xfrm>
                          <a:off x="0" y="0"/>
                          <a:ext cx="1276350" cy="600075"/>
                        </a:xfrm>
                        <a:prstGeom prst="wedgeRoundRectCallout">
                          <a:avLst>
                            <a:gd name="adj1" fmla="val 101542"/>
                            <a:gd name="adj2" fmla="val 32116"/>
                            <a:gd name="adj3" fmla="val 16667"/>
                          </a:avLst>
                        </a:prstGeom>
                        <a:solidFill>
                          <a:srgbClr val="F2F2F2"/>
                        </a:solidFill>
                        <a:ln w="28575" cap="flat" cmpd="sng">
                          <a:solidFill>
                            <a:srgbClr val="000000"/>
                          </a:solidFill>
                          <a:prstDash val="solid"/>
                          <a:miter/>
                        </a:ln>
                      </wps:spPr>
                      <wps:txbx>
                        <w:txbxContent>
                          <w:p w14:paraId="62D9FCB2">
                            <w:pPr>
                              <w:jc w:val="center"/>
                              <w:rPr>
                                <w:sz w:val="28"/>
                                <w:szCs w:val="28"/>
                              </w:rPr>
                            </w:pPr>
                            <w:r>
                              <w:rPr>
                                <w:rFonts w:hint="eastAsia"/>
                                <w:sz w:val="28"/>
                                <w:szCs w:val="28"/>
                              </w:rPr>
                              <w:t>项目位置</w:t>
                            </w:r>
                          </w:p>
                        </w:txbxContent>
                      </wps:txbx>
                      <wps:bodyPr vert="horz" wrap="square" lIns="91440" tIns="45720" rIns="91440" bIns="45720" anchor="ctr">
                        <a:noAutofit/>
                      </wps:bodyPr>
                    </wps:wsp>
                  </a:graphicData>
                </a:graphic>
              </wp:anchor>
            </w:drawing>
          </mc:Choice>
          <mc:Fallback>
            <w:pict>
              <v:shape id="圆角矩形标注 325" o:spid="_x0000_s1026" o:spt="62" type="#_x0000_t62" style="position:absolute;left:0pt;margin-left:141.85pt;margin-top:28.1pt;height:47.25pt;width:100.5pt;z-index:251659264;v-text-anchor:middle;mso-width-relative:page;mso-height-relative:page;" fillcolor="#F2F2F2" filled="t" stroked="t" coordsize="21600,21600" o:gfxdata="UEsDBAoAAAAAAIdO4kAAAAAAAAAAAAAAAAAEAAAAZHJzL1BLAwQUAAAACACHTuJAKCOBINgAAAAK&#10;AQAADwAAAGRycy9kb3ducmV2LnhtbE2Py07DMBBF90j8gzVI7Kjd0EcU4lQCCYkVEi0SLN14mkft&#10;cRS7bfr3DCtYzszRnXPLzeSdOOMYu0Aa5jMFAqkOtqNGw+fu9SEHEZMha1wg1HDFCJvq9qY0hQ0X&#10;+sDzNjWCQygWRkOb0lBIGesWvYmzMCDx7RBGbxKPYyPtaC4c7p3MlFpJbzriD60Z8KXF+rg9eQ3v&#10;h+v0Jfvm6Fy0U9c/v1HWf2t9fzdXTyASTukPhl99VoeKnfbhRDYKpyHLH9eMaliuMhAMLPIFL/ZM&#10;LtUaZFXK/xWqH1BLAwQUAAAACACHTuJAlp47y20CAADXBAAADgAAAGRycy9lMm9Eb2MueG1srVTL&#10;bhMxFN0j8Q+W93QeSSYlyqRCjYqQEFQtfIDj8WSM/MJ2MikfAPuukUBsgDVrPqeFz+DaMyRpy6IL&#10;ZqSZe8fXx+eca8/0aCMFWjPruFYlzg5SjJiiuuJqWeLXr04eHWLkPFEVEVqxEl8wh49mDx9MWzNh&#10;uW60qJhFAKLcpDUlbrw3kyRxtGGSuANtmILBWltJPKR2mVSWtIAuRZKnaZG02lbGasqcg6/zbhD3&#10;iPY+gLquOWVzTVeSKd+hWiaIB0mu4cbhWWRb14z6l3XtmEeixKDUxycsAvEiPJPZlEyWlpiG054C&#10;uQ+FW5ok4QoW3ULNiSdoZfkdKMmp1U7X/oBqmXRCoiOgIktveXPeEMOiFrDama3p7v/B0hfrU4t4&#10;BTshy3KMFJHQ86uP739/vfz16fvVzy/Xnz9c//iGBvkomNUaN4E55+bU9pmDMCjf1FaGN2hCm2jw&#10;xdZgtvGIwscsHxeDEXhPYaxI03QcQZPdbGOdf8q0RCEoccuqJTvTK1WdQSuPiRB65aPRZP3c+eh4&#10;1ZMm1ZsMo1oKaOCaCJSl2WiY9x3eKwKVu6JBnmXF3ZrBfk1WFMU41ADPflmI/jINHJwWvDrhQsTE&#10;LhfHwiLgUOKTPNz95BtlQqG2xPnhCDxAlMBJqmEHQygNdMOpZZR5Y4rbRwb34PoXcmA2J67pGESE&#10;TqHkntlOh1AgJzSza1+I/Gax6Xu60NUFbAv4S0APGm3fYdTCGQFab1fEMozEMwWb8HE2HIZDFZPh&#10;aJxDYvdHFvsjRFGAKjH1NkpT+snK65r7wCgQ6FbtE9jv0fD+bIYDtZ/Hqt3/aPYH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KCOBINgAAAAKAQAADwAAAAAAAAABACAAAAAiAAAAZHJzL2Rvd25yZXYu&#10;eG1sUEsBAhQAFAAAAAgAh07iQJaeO8ttAgAA1wQAAA4AAAAAAAAAAQAgAAAAJwEAAGRycy9lMm9E&#10;b2MueG1sUEsFBgAAAAAGAAYAWQEAAAYGAAAAAA==&#10;" adj="32733,17737,14400">
                <v:fill on="t" focussize="0,0"/>
                <v:stroke weight="2.25pt" color="#000000" joinstyle="miter"/>
                <v:imagedata o:title=""/>
                <o:lock v:ext="edit" aspectratio="f"/>
                <v:textbox>
                  <w:txbxContent>
                    <w:p w14:paraId="62D9FCB2">
                      <w:pPr>
                        <w:jc w:val="center"/>
                        <w:rPr>
                          <w:sz w:val="28"/>
                          <w:szCs w:val="28"/>
                        </w:rPr>
                      </w:pPr>
                      <w:r>
                        <w:rPr>
                          <w:rFonts w:hint="eastAsia"/>
                          <w:sz w:val="28"/>
                          <w:szCs w:val="28"/>
                        </w:rPr>
                        <w:t>项目位置</w:t>
                      </w:r>
                    </w:p>
                  </w:txbxContent>
                </v:textbox>
              </v:shape>
            </w:pict>
          </mc:Fallback>
        </mc:AlternateContent>
      </w:r>
      <w:r>
        <w:rPr>
          <w:color w:val="auto"/>
          <w:highlight w:val="none"/>
        </w:rPr>
        <mc:AlternateContent>
          <mc:Choice Requires="wps">
            <w:drawing>
              <wp:anchor distT="0" distB="0" distL="0" distR="0" simplePos="0" relativeHeight="251659264" behindDoc="0" locked="0" layoutInCell="1" allowOverlap="1">
                <wp:simplePos x="0" y="0"/>
                <wp:positionH relativeFrom="column">
                  <wp:posOffset>5144135</wp:posOffset>
                </wp:positionH>
                <wp:positionV relativeFrom="paragraph">
                  <wp:posOffset>2479675</wp:posOffset>
                </wp:positionV>
                <wp:extent cx="529590" cy="1111250"/>
                <wp:effectExtent l="12700" t="6350" r="29210" b="6350"/>
                <wp:wrapNone/>
                <wp:docPr id="1113" name="直接箭头连接符 327"/>
                <wp:cNvGraphicFramePr/>
                <a:graphic xmlns:a="http://schemas.openxmlformats.org/drawingml/2006/main">
                  <a:graphicData uri="http://schemas.microsoft.com/office/word/2010/wordprocessingShape">
                    <wps:wsp>
                      <wps:cNvCnPr/>
                      <wps:spPr>
                        <a:xfrm>
                          <a:off x="0" y="0"/>
                          <a:ext cx="529590" cy="1111250"/>
                        </a:xfrm>
                        <a:prstGeom prst="straightConnector1">
                          <a:avLst/>
                        </a:prstGeom>
                        <a:ln w="28575" cap="flat" cmpd="sng">
                          <a:solidFill>
                            <a:srgbClr val="000000"/>
                          </a:solidFill>
                          <a:prstDash val="solid"/>
                          <a:miter/>
                          <a:tailEnd type="arrow" w="med" len="med"/>
                        </a:ln>
                      </wps:spPr>
                      <wps:bodyPr/>
                    </wps:wsp>
                  </a:graphicData>
                </a:graphic>
              </wp:anchor>
            </w:drawing>
          </mc:Choice>
          <mc:Fallback>
            <w:pict>
              <v:shape id="直接箭头连接符 327" o:spid="_x0000_s1026" o:spt="32" type="#_x0000_t32" style="position:absolute;left:0pt;margin-left:405.05pt;margin-top:195.25pt;height:87.5pt;width:41.7pt;z-index:251659264;mso-width-relative:page;mso-height-relative:page;" filled="f" stroked="t" coordsize="21600,21600" o:gfxdata="UEsDBAoAAAAAAIdO4kAAAAAAAAAAAAAAAAAEAAAAZHJzL1BLAwQUAAAACACHTuJAGFbWVdcAAAAL&#10;AQAADwAAAGRycy9kb3ducmV2LnhtbE2PwU7DMAyG70i8Q2QkbiwpJVNbmk4ICYkjdHDPmtBWS5yq&#10;ybrRp8ec4GbLn39/rncX79hi5zgGVJBtBDCLXTAj9go+9i93BbCYNBrtAloF3zbCrrm+qnVlwhnf&#10;7dKmnlEIxkorGFKaKs5jN1iv4yZMFmn2FWavE7Vzz82szxTuHb8XYsu9HpEuDHqyz4Ptju3Jk4aQ&#10;07p+ru745Lq3pXwNeds/KHV7k4lHYMle0h8Mv/q0Aw05HcIJTWROQZGJjFAFeSkkMCKKMqfioEBu&#10;pQTe1Pz/D80PUEsDBBQAAAAIAIdO4kDqjWKkBgIAANgDAAAOAAAAZHJzL2Uyb0RvYy54bWytU82O&#10;0zAQviPxDpbvNE1WZXejpntoWS4IKgEP4CZOYsl/mvE27UvwAkicgBPsae88DSyPwdgpXVgueyAH&#10;Z+zxfDPfN+P5xc5otpWAytmK55MpZ9LWrlG2q/jbN5dPzjjDIGwjtLOy4nuJ/GLx+NF88KUsXO90&#10;I4ERiMVy8BXvQ/BllmHdSyNw4ry05GwdGBFoC13WgBgI3eismE6fZoODxoOrJSKdrkYnPyDCQwBd&#10;26parlx9ZaQNIypILQJRwl555ItUbdvKOrxqW5SB6YoT05BWSkL2Jq7ZYi7KDoTvVX0oQTykhHuc&#10;jFCWkh6hViIIdgXqHyijanDo2jCpnclGIkkRYpFP72nzuhdeJi4kNfqj6Pj/YOuX2zUw1dAk5PkJ&#10;Z1YY6vnt+5sf7z7dXn/9/vHm57cP0f7ymZ0Up1GvwWNJYUu7hsMO/Roi+V0LJv6JFtsljfdHjeUu&#10;sJoOZ8X57JzUr8lFKfNilpqQ3UV7wPBcOsOiUXEMIFTXh6WzltrpIE9Ci+0LDJSfAn8HxNTasqHi&#10;xdnsdEY5BM1nS3NBpvHEEW2XgtFp1VwqrWMIQrdZamBbEWckfZEmAf91LWZZCezHe8k1To9RQUYl&#10;RBmE0s9sw8Lek4gCwA08lmNkw5mW9NyiNWJrSymilKN40dq4Zp80TefU8FTEYTjjRP25T9F3D3Lx&#10;C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BhW1lXXAAAACwEAAA8AAAAAAAAAAQAgAAAAIgAAAGRy&#10;cy9kb3ducmV2LnhtbFBLAQIUABQAAAAIAIdO4kDqjWKkBgIAANgDAAAOAAAAAAAAAAEAIAAAACYB&#10;AABkcnMvZTJvRG9jLnhtbFBLBQYAAAAABgAGAFkBAACeBQAAAAA=&#10;">
                <v:fill on="f" focussize="0,0"/>
                <v:stroke weight="2.25pt" color="#000000" joinstyle="miter" endarrow="open"/>
                <v:imagedata o:title=""/>
                <o:lock v:ext="edit" aspectratio="f"/>
              </v:shape>
            </w:pict>
          </mc:Fallback>
        </mc:AlternateContent>
      </w:r>
      <w:r>
        <w:rPr>
          <w:color w:val="auto"/>
          <w:highlight w:val="none"/>
        </w:rPr>
        <w:drawing>
          <wp:anchor distT="0" distB="0" distL="0" distR="0" simplePos="0" relativeHeight="251659264" behindDoc="0" locked="0" layoutInCell="1" allowOverlap="1">
            <wp:simplePos x="0" y="0"/>
            <wp:positionH relativeFrom="column">
              <wp:posOffset>2209800</wp:posOffset>
            </wp:positionH>
            <wp:positionV relativeFrom="paragraph">
              <wp:posOffset>347980</wp:posOffset>
            </wp:positionV>
            <wp:extent cx="2924175" cy="2164715"/>
            <wp:effectExtent l="28575" t="28575" r="38100" b="35560"/>
            <wp:wrapNone/>
            <wp:docPr id="1114" name="图片 19"/>
            <wp:cNvGraphicFramePr/>
            <a:graphic xmlns:a="http://schemas.openxmlformats.org/drawingml/2006/main">
              <a:graphicData uri="http://schemas.openxmlformats.org/drawingml/2006/picture">
                <pic:pic xmlns:pic="http://schemas.openxmlformats.org/drawingml/2006/picture">
                  <pic:nvPicPr>
                    <pic:cNvPr id="1114" name="图片 19"/>
                    <pic:cNvPicPr/>
                  </pic:nvPicPr>
                  <pic:blipFill>
                    <a:blip r:embed="rId37" cstate="print"/>
                    <a:srcRect/>
                    <a:stretch>
                      <a:fillRect/>
                    </a:stretch>
                  </pic:blipFill>
                  <pic:spPr>
                    <a:xfrm>
                      <a:off x="0" y="0"/>
                      <a:ext cx="2924175" cy="2164715"/>
                    </a:xfrm>
                    <a:prstGeom prst="rect">
                      <a:avLst/>
                    </a:prstGeom>
                    <a:ln w="28575" cap="flat" cmpd="sng">
                      <a:solidFill>
                        <a:srgbClr val="000000"/>
                      </a:solidFill>
                      <a:prstDash val="solid"/>
                      <a:round/>
                    </a:ln>
                  </pic:spPr>
                </pic:pic>
              </a:graphicData>
            </a:graphic>
          </wp:anchor>
        </w:drawing>
      </w:r>
      <w:r>
        <w:rPr>
          <w:color w:val="auto"/>
          <w:highlight w:val="none"/>
        </w:rPr>
        <w:drawing>
          <wp:inline distT="0" distB="0" distL="0" distR="0">
            <wp:extent cx="7498080" cy="5197475"/>
            <wp:effectExtent l="28575" t="28575" r="36195" b="31750"/>
            <wp:docPr id="1115" name="图片 18"/>
            <wp:cNvGraphicFramePr/>
            <a:graphic xmlns:a="http://schemas.openxmlformats.org/drawingml/2006/main">
              <a:graphicData uri="http://schemas.openxmlformats.org/drawingml/2006/picture">
                <pic:pic xmlns:pic="http://schemas.openxmlformats.org/drawingml/2006/picture">
                  <pic:nvPicPr>
                    <pic:cNvPr id="1115" name="图片 18"/>
                    <pic:cNvPicPr/>
                  </pic:nvPicPr>
                  <pic:blipFill>
                    <a:blip r:embed="rId38" cstate="print"/>
                    <a:srcRect/>
                    <a:stretch>
                      <a:fillRect/>
                    </a:stretch>
                  </pic:blipFill>
                  <pic:spPr>
                    <a:xfrm>
                      <a:off x="0" y="0"/>
                      <a:ext cx="7498080" cy="5197475"/>
                    </a:xfrm>
                    <a:prstGeom prst="rect">
                      <a:avLst/>
                    </a:prstGeom>
                    <a:ln w="28575" cap="flat" cmpd="sng">
                      <a:solidFill>
                        <a:srgbClr val="000000"/>
                      </a:solidFill>
                      <a:prstDash val="solid"/>
                      <a:round/>
                    </a:ln>
                  </pic:spPr>
                </pic:pic>
              </a:graphicData>
            </a:graphic>
          </wp:inline>
        </w:drawing>
      </w:r>
    </w:p>
    <w:p w14:paraId="64E028B2">
      <w:pPr>
        <w:pStyle w:val="47"/>
        <w:jc w:val="center"/>
        <w:outlineLvl w:val="0"/>
        <w:rPr>
          <w:rFonts w:hint="default" w:ascii="Times New Roman" w:hAnsi="Times New Roman" w:cs="Times New Roman"/>
          <w:b/>
          <w:bCs/>
          <w:color w:val="auto"/>
          <w:szCs w:val="22"/>
          <w:highlight w:val="none"/>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720" w:num="1"/>
          <w:docGrid w:type="lines" w:linePitch="312" w:charSpace="0"/>
        </w:sectPr>
      </w:pPr>
      <w:bookmarkStart w:id="177" w:name="_Toc2359"/>
      <w:bookmarkStart w:id="178" w:name="_Toc21031"/>
      <w:r>
        <w:rPr>
          <w:rFonts w:hint="default" w:ascii="Times New Roman" w:hAnsi="Times New Roman" w:cs="Times New Roman"/>
          <w:b/>
          <w:bCs/>
          <w:color w:val="auto"/>
          <w:szCs w:val="22"/>
          <w:highlight w:val="none"/>
        </w:rPr>
        <w:t xml:space="preserve">附图9 </w:t>
      </w:r>
      <w:r>
        <w:rPr>
          <w:rFonts w:hint="default" w:ascii="Times New Roman" w:hAnsi="Times New Roman" w:cs="Times New Roman"/>
          <w:b/>
          <w:bCs/>
          <w:color w:val="auto"/>
          <w:highlight w:val="none"/>
        </w:rPr>
        <mc:AlternateContent>
          <mc:Choice Requires="wps">
            <w:drawing>
              <wp:anchor distT="0" distB="0" distL="0" distR="0" simplePos="0" relativeHeight="251659264" behindDoc="0" locked="0" layoutInCell="1" allowOverlap="1">
                <wp:simplePos x="0" y="0"/>
                <wp:positionH relativeFrom="column">
                  <wp:posOffset>4244975</wp:posOffset>
                </wp:positionH>
                <wp:positionV relativeFrom="paragraph">
                  <wp:posOffset>3159760</wp:posOffset>
                </wp:positionV>
                <wp:extent cx="1209675" cy="589915"/>
                <wp:effectExtent l="13970" t="13970" r="433705" b="24765"/>
                <wp:wrapNone/>
                <wp:docPr id="1116" name="圆角矩形标注 319"/>
                <wp:cNvGraphicFramePr/>
                <a:graphic xmlns:a="http://schemas.openxmlformats.org/drawingml/2006/main">
                  <a:graphicData uri="http://schemas.microsoft.com/office/word/2010/wordprocessingShape">
                    <wps:wsp>
                      <wps:cNvSpPr/>
                      <wps:spPr>
                        <a:xfrm>
                          <a:off x="0" y="0"/>
                          <a:ext cx="1209675" cy="589915"/>
                        </a:xfrm>
                        <a:prstGeom prst="wedgeRoundRectCallout">
                          <a:avLst>
                            <a:gd name="adj1" fmla="val 79186"/>
                            <a:gd name="adj2" fmla="val 39275"/>
                            <a:gd name="adj3" fmla="val 16667"/>
                          </a:avLst>
                        </a:prstGeom>
                        <a:solidFill>
                          <a:srgbClr val="FFFFFF"/>
                        </a:solidFill>
                        <a:ln w="28575" cap="flat" cmpd="sng">
                          <a:solidFill>
                            <a:srgbClr val="000000"/>
                          </a:solidFill>
                          <a:prstDash val="solid"/>
                          <a:miter/>
                        </a:ln>
                      </wps:spPr>
                      <wps:txbx>
                        <w:txbxContent>
                          <w:p w14:paraId="19D046CC">
                            <w:pPr>
                              <w:jc w:val="center"/>
                              <w:rPr>
                                <w:color w:val="000000"/>
                              </w:rPr>
                            </w:pPr>
                            <w:r>
                              <w:rPr>
                                <w:rFonts w:hint="eastAsia"/>
                                <w:color w:val="000000"/>
                              </w:rPr>
                              <w:t>项目位置</w:t>
                            </w:r>
                          </w:p>
                        </w:txbxContent>
                      </wps:txbx>
                      <wps:bodyPr vert="horz" wrap="square" lIns="91440" tIns="45720" rIns="91440" bIns="45720" anchor="ctr">
                        <a:noAutofit/>
                      </wps:bodyPr>
                    </wps:wsp>
                  </a:graphicData>
                </a:graphic>
              </wp:anchor>
            </w:drawing>
          </mc:Choice>
          <mc:Fallback>
            <w:pict>
              <v:shape id="圆角矩形标注 319" o:spid="_x0000_s1026" o:spt="62" type="#_x0000_t62" style="position:absolute;left:0pt;margin-left:334.25pt;margin-top:248.8pt;height:46.45pt;width:95.25pt;z-index:251659264;v-text-anchor:middle;mso-width-relative:page;mso-height-relative:page;" fillcolor="#FFFFFF" filled="t" stroked="t" coordsize="21600,21600" o:gfxdata="UEsDBAoAAAAAAIdO4kAAAAAAAAAAAAAAAAAEAAAAZHJzL1BLAwQUAAAACACHTuJAgSGXwNsAAAAL&#10;AQAADwAAAGRycy9kb3ducmV2LnhtbE2PTU/DMAyG70j8h8hI3Fi6iZau1J0QH4IJcWCDAzevCW1F&#10;k1RJ2pV/jznBybL86PXzlpvZ9GLSPnTOIiwXCQhta6c62yC87R8uchAhklXUO6sRvnWATXV6UlKh&#10;3NG+6mkXG8EhNhSE0MY4FFKGutWGwsIN2vLt03lDkVffSOXpyOGml6skyaShzvKHlgZ92+r6azca&#10;BNrPL4/v6kmtzPN0d7P14/3HNCKeny2TaxBRz/EPhl99VoeKnQ5utCqIHiHL8pRRhMv1VQaCiTxd&#10;c7sDAs8UZFXK/x2qH1BLAwQUAAAACACHTuJArVIL+GwCAADWBAAADgAAAGRycy9lMm9Eb2MueG1s&#10;rVTLbtQwFN0j8Q+W9zSTtJOZjCZToY6KkBBULXyAx3EmRn5heyZTPgD2XSOB2ABr1nxOC5/BtRPa&#10;tLDogiwS3/j6+Jxzrz0/3EmBtsw6rlWJ070RRkxRXXG1LvGrl8ePphg5T1RFhFasxOfM4cPFwwfz&#10;1sxYphstKmYRgCg3a02JG+/NLEkcbZgkbk8bpmCy1lYSD6FdJ5UlLaBLkWSjUZ602lbGasqcg7/L&#10;bhL3iPY+gLquOWVLTTeSKd+hWiaIB0mu4cbhRWRb14z6F3XtmEeixKDUxzdsAuNVeCeLOZmtLTEN&#10;pz0Fch8KdzRJwhVseg21JJ6gjeV/QUlOrXa69ntUy6QTEh0BFenojjdnDTEsagGrnbk23f0/WPp8&#10;e2IRr6AT0jTHSBEJNb/88O7Xl4ufH79d/vh89en91fevaD8tglmtcTNYc2ZObB85GAblu9rK8AVN&#10;aBcNPr82mO08ovAzzUZFPhljRGFuPC2KdBxAk5vVxjr/hGmJwqDELavW7FRvVHUKpTwiQuiNj0aT&#10;7TPno+NVT5pUr1OMaimggFsi0KRIp3lf4EFONszZLzKg0zXBIGd/mJPmeT7pafa7AuE/RAMFpwWv&#10;jrkQMbDr1ZGwCCiU+Dg+/eJbaUKhtsTZdBztIHCQamhgcEYaKIZT66jy1hI3RB7F51/IgdmSuKZj&#10;EBE6hZJ7Zju7hQLXQy276oWR3612fUlXujqHroBLAkrQaPsWoxaOCNB6syGWYSSeKujBIj04CGcq&#10;BgfjSQaBHc6shjNEUYAqMfU2SlP68cbrmvvAKBDodu0DaPfYF/3RDOdpGMesm+to8R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CBIZfA2wAAAAsBAAAPAAAAAAAAAAEAIAAAACIAAABkcnMvZG93bnJl&#10;di54bWxQSwECFAAUAAAACACHTuJArVIL+GwCAADWBAAADgAAAAAAAAABACAAAAAqAQAAZHJzL2Uy&#10;b0RvYy54bWxQSwUGAAAAAAYABgBZAQAACAYAAAAA&#10;" adj="27904,19283,14400">
                <v:fill on="t" focussize="0,0"/>
                <v:stroke weight="2.25pt" color="#000000" joinstyle="miter"/>
                <v:imagedata o:title=""/>
                <o:lock v:ext="edit" aspectratio="f"/>
                <v:textbox>
                  <w:txbxContent>
                    <w:p w14:paraId="19D046CC">
                      <w:pPr>
                        <w:jc w:val="center"/>
                        <w:rPr>
                          <w:color w:val="000000"/>
                        </w:rPr>
                      </w:pPr>
                      <w:r>
                        <w:rPr>
                          <w:rFonts w:hint="eastAsia"/>
                          <w:color w:val="000000"/>
                        </w:rPr>
                        <w:t>项目位置</w:t>
                      </w:r>
                    </w:p>
                  </w:txbxContent>
                </v:textbox>
              </v:shape>
            </w:pict>
          </mc:Fallback>
        </mc:AlternateContent>
      </w:r>
      <w:r>
        <w:rPr>
          <w:rFonts w:hint="default" w:ascii="Times New Roman" w:hAnsi="Times New Roman" w:cs="Times New Roman"/>
          <w:b/>
          <w:bCs/>
          <w:color w:val="auto"/>
          <w:highlight w:val="none"/>
        </w:rPr>
        <mc:AlternateContent>
          <mc:Choice Requires="wps">
            <w:drawing>
              <wp:anchor distT="0" distB="0" distL="0" distR="0" simplePos="0" relativeHeight="251659264" behindDoc="0" locked="0" layoutInCell="1" allowOverlap="1">
                <wp:simplePos x="0" y="0"/>
                <wp:positionH relativeFrom="column">
                  <wp:posOffset>5802630</wp:posOffset>
                </wp:positionH>
                <wp:positionV relativeFrom="paragraph">
                  <wp:posOffset>2149475</wp:posOffset>
                </wp:positionV>
                <wp:extent cx="342900" cy="1366520"/>
                <wp:effectExtent l="34925" t="3175" r="22225" b="1905"/>
                <wp:wrapNone/>
                <wp:docPr id="1117" name="直接箭头连接符 320"/>
                <wp:cNvGraphicFramePr/>
                <a:graphic xmlns:a="http://schemas.openxmlformats.org/drawingml/2006/main">
                  <a:graphicData uri="http://schemas.microsoft.com/office/word/2010/wordprocessingShape">
                    <wps:wsp>
                      <wps:cNvCnPr/>
                      <wps:spPr>
                        <a:xfrm flipH="1">
                          <a:off x="0" y="0"/>
                          <a:ext cx="342900" cy="1366520"/>
                        </a:xfrm>
                        <a:prstGeom prst="straightConnector1">
                          <a:avLst/>
                        </a:prstGeom>
                        <a:ln w="28575" cap="flat" cmpd="sng">
                          <a:solidFill>
                            <a:srgbClr val="000000"/>
                          </a:solidFill>
                          <a:prstDash val="solid"/>
                          <a:miter/>
                          <a:tailEnd type="arrow" w="med" len="med"/>
                        </a:ln>
                      </wps:spPr>
                      <wps:bodyPr/>
                    </wps:wsp>
                  </a:graphicData>
                </a:graphic>
              </wp:anchor>
            </w:drawing>
          </mc:Choice>
          <mc:Fallback>
            <w:pict>
              <v:shape id="直接箭头连接符 320" o:spid="_x0000_s1026" o:spt="32" type="#_x0000_t32" style="position:absolute;left:0pt;flip:x;margin-left:456.9pt;margin-top:169.25pt;height:107.6pt;width:27pt;z-index:251659264;mso-width-relative:page;mso-height-relative:page;" filled="f" stroked="t" coordsize="21600,21600" o:gfxdata="UEsDBAoAAAAAAIdO4kAAAAAAAAAAAAAAAAAEAAAAZHJzL1BLAwQUAAAACACHTuJAIu4Ak9oAAAAL&#10;AQAADwAAAGRycy9kb3ducmV2LnhtbE2PwU7DMBBE70j8g7VI3KiTRknbEKeHShXihGhz4bZ1liRq&#10;bEf2pi18PeYEx50dzbyptjczigv5MDirIF0kIMhq1w62U9Ac909rEIHRtjg6Swq+KMC2vr+rsGzd&#10;1b7T5cCdiCE2lKigZ55KKYPuyWBYuIls/H06b5Dj6TvZerzGcDPKZZIU0uBgY0OPE+160ufDbBQU&#10;DerXjx2zzpcvb40/z3v8JqUeH9LkGQTTjf/M8Isf0aGOTCc32zaIUcEmzSI6K8iydQ4iOjbFKion&#10;BXmerUDWlfy/of4BUEsDBBQAAAAIAIdO4kDOc427DQIAAOIDAAAOAAAAZHJzL2Uyb0RvYy54bWyt&#10;U0uOEzEQ3SNxB8t70vmQzNBKZxYJAwsEIwEHcNzutCX/VOVJJ5fgAkisgNXAavacBoZjUHaHDAyb&#10;WdALq+zqelXv+Xl+trOGbRWg9q7io8GQM+Wkr7XbVPztm/NHp5xhFK4WxjtV8b1CfrZ4+GDehVKN&#10;fetNrYARiMOyCxVvYwxlUaBslRU48EE5SjYerIi0hU1Rg+gI3ZpiPBzOis5DHcBLhUinqz7JD4hw&#10;H0DfNFqqlZeXVrnYo4IyIhIlbHVAvsjTNo2S8VXToIrMVJyYxrxSE4rXaS0Wc1FuQIRWy8MI4j4j&#10;3OFkhXbU9Ai1ElGwS9D/QFktwaNv4kB6W/REsiLEYjS8o83rVgSVuZDUGI6i4/+DlS+3F8B0TU4Y&#10;jU44c8LSnd+8v/7x7tPN1y/fP17//PYhxVef2WSc9eoCllS2dBdA6qUdhgtI5HcNWNYYHZ4TXJaD&#10;CLJdVnt/VFvtIpN0OHk8fjKke5CUGk1ms2kPX/Q4CS8AxmfKW5aCimMEoTdtXHrn6GI99D3E9gVG&#10;moQKfxekYuNYV/Hx6fRkSj0EObUhh1BoA7FFt8kDoje6PtfGpBKEzXppgG1Fckv+kkEI+K/fUpeV&#10;wLb/L6d6H1kdVdJElFFo89TVLO4DySkAfMfTOFbVnBlFDy9FPbZx1OJWxhStfb3P6uZzuvo8xMGm&#10;yVt/7nP17dNc/A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i7gCT2gAAAAsBAAAPAAAAAAAAAAEA&#10;IAAAACIAAABkcnMvZG93bnJldi54bWxQSwECFAAUAAAACACHTuJAznONuw0CAADiAwAADgAAAAAA&#10;AAABACAAAAApAQAAZHJzL2Uyb0RvYy54bWxQSwUGAAAAAAYABgBZAQAAqAUAAAAA&#10;">
                <v:fill on="f" focussize="0,0"/>
                <v:stroke weight="2.25pt" color="#000000" joinstyle="miter" endarrow="open"/>
                <v:imagedata o:title=""/>
                <o:lock v:ext="edit" aspectratio="f"/>
              </v:shape>
            </w:pict>
          </mc:Fallback>
        </mc:AlternateContent>
      </w:r>
      <w:r>
        <w:rPr>
          <w:rFonts w:hint="default" w:ascii="Times New Roman" w:hAnsi="Times New Roman" w:cs="Times New Roman"/>
          <w:b/>
          <w:bCs/>
          <w:color w:val="auto"/>
          <w:highlight w:val="none"/>
        </w:rPr>
        <mc:AlternateContent>
          <mc:Choice Requires="wps">
            <w:drawing>
              <wp:anchor distT="0" distB="0" distL="0" distR="0" simplePos="0" relativeHeight="251659264" behindDoc="0" locked="0" layoutInCell="1" allowOverlap="1">
                <wp:simplePos x="0" y="0"/>
                <wp:positionH relativeFrom="column">
                  <wp:posOffset>5668645</wp:posOffset>
                </wp:positionH>
                <wp:positionV relativeFrom="paragraph">
                  <wp:posOffset>3515995</wp:posOffset>
                </wp:positionV>
                <wp:extent cx="267970" cy="294005"/>
                <wp:effectExtent l="17145" t="23495" r="19685" b="25400"/>
                <wp:wrapNone/>
                <wp:docPr id="1118" name="五角星 321"/>
                <wp:cNvGraphicFramePr/>
                <a:graphic xmlns:a="http://schemas.openxmlformats.org/drawingml/2006/main">
                  <a:graphicData uri="http://schemas.microsoft.com/office/word/2010/wordprocessingShape">
                    <wps:wsp>
                      <wps:cNvSpPr/>
                      <wps:spPr>
                        <a:xfrm>
                          <a:off x="0" y="0"/>
                          <a:ext cx="267970" cy="294004"/>
                        </a:xfrm>
                        <a:prstGeom prst="star5">
                          <a:avLst/>
                        </a:prstGeom>
                        <a:solidFill>
                          <a:srgbClr val="FFFF00"/>
                        </a:solidFill>
                        <a:ln w="12700" cap="flat" cmpd="sng">
                          <a:solidFill>
                            <a:srgbClr val="000000"/>
                          </a:solidFill>
                          <a:prstDash val="solid"/>
                          <a:miter/>
                        </a:ln>
                      </wps:spPr>
                      <wps:bodyPr/>
                    </wps:wsp>
                  </a:graphicData>
                </a:graphic>
              </wp:anchor>
            </w:drawing>
          </mc:Choice>
          <mc:Fallback>
            <w:pict>
              <v:shape id="五角星 321" o:spid="_x0000_s1026" style="position:absolute;left:0pt;margin-left:446.35pt;margin-top:276.85pt;height:23.15pt;width:21.1pt;z-index:251659264;mso-width-relative:page;mso-height-relative:page;" fillcolor="#FFFF00" filled="t" stroked="t" coordsize="267970,294004" o:gfxdata="UEsDBAoAAAAAAIdO4kAAAAAAAAAAAAAAAAAEAAAAZHJzL1BLAwQUAAAACACHTuJAyx3mAdoAAAAL&#10;AQAADwAAAGRycy9kb3ducmV2LnhtbE2Py07DMBBF90j8gzVIbBC105KQhEwqxKN7SiuxdJ0hiRrb&#10;Uew+4OsZVrCb0RzdObdanu0gjjSF3juEZKZAkDO+6V2LsHl/vc1BhKhdowfvCOGLAizry4tKl40/&#10;uTc6rmMrOMSFUiN0MY6llMF0ZHWY+ZEc3z79ZHXkdWplM+kTh9tBzpXKpNW94w+dHumpI7NfHywC&#10;fdyol3TVZqrfb5/H4jt/TIxBvL5K1AOISOf4B8OvPqtDzU47f3BNEANCXszvGUVI0wUPTBSLuwLE&#10;DiFTSoGsK/m/Q/0DUEsDBBQAAAAIAIdO4kCO9z024QEAAMcDAAAOAAAAZHJzL2Uyb0RvYy54bWyt&#10;U0uOEzEQ3SNxB8t70h+GCdNKZxZEYYNgpIEDOG6725J/cnnSyTUQC3YsuQPnQYhjUHY3mcmwmQVe&#10;uMuu8qt6r6pX1wejyV4EUM62tFqUlAjLXads39JPH7cvXlMCkdmOaWdFS48C6PX6+bPV6BtRu8Hp&#10;TgSCIBaa0bd0iNE3RQF8EIbBwnlh0SldMCziMfRFF9iI6EYXdVleFqMLnQ+OCwC83UxOOiOGpwA6&#10;KRUXG8fvjLBxQg1Cs4iUYFAe6DpXK6Xg8YOUICLRLUWmMe+YBO1d2ov1ijV9YH5QfC6BPaWER5wM&#10;UxaTnqA2LDJyF9Q/UEbx4MDJuODOFBORrAiyqMpH2twOzIvMBaUGfxId/h8sf7+/CUR1OAlVhZ23&#10;zGDPf/748vv7519fv5GXdZU0Gj00GHrrb8J8AjQT4YMMJn2RCjlkXY8nXcUhEo6X9eXyaomKc3TV&#10;VxdleZEwi/vHPkB8K5whyWgpjl94leVk+3cQp9i/MSkZOK26rdI6H0K/e6MD2TPs8RZXmduK8Gdh&#10;2pIRWdZLdBPOcHIlTgyaxiN7sH1OePYEHiKXec2Fn4WlyjYMhqmC7EphrDEqiqQXlqItfpKKk27J&#10;2rnumOXM99jfHDjPYhqgh+f8+v7/W/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yx3mAdoAAAAL&#10;AQAADwAAAAAAAAABACAAAAAiAAAAZHJzL2Rvd25yZXYueG1sUEsBAhQAFAAAAAgAh07iQI73PTbh&#10;AQAAxwMAAA4AAAAAAAAAAQAgAAAAKQEAAGRycy9lMm9Eb2MueG1sUEsFBgAAAAAGAAYAWQEAAHwF&#10;AAAAAA==&#10;" path="m0,112299l102355,112300,133985,0,165614,112300,267969,112299,185161,181703,216792,294003,133985,224597,51177,294003,82808,181703xe">
                <v:path o:connectlocs="133985,0;0,112299;51177,294003;216792,294003;267969,112299" o:connectangles="247,164,82,82,0"/>
                <v:fill on="t" focussize="0,0"/>
                <v:stroke weight="1pt" color="#000000" joinstyle="miter"/>
                <v:imagedata o:title=""/>
                <o:lock v:ext="edit" aspectratio="f"/>
              </v:shape>
            </w:pict>
          </mc:Fallback>
        </mc:AlternateContent>
      </w:r>
      <w:r>
        <w:rPr>
          <w:rFonts w:hint="default" w:ascii="Times New Roman" w:hAnsi="Times New Roman" w:cs="Times New Roman"/>
          <w:b/>
          <w:bCs/>
          <w:color w:val="auto"/>
          <w:highlight w:val="none"/>
        </w:rPr>
        <w:t>水环境管控单元</w:t>
      </w:r>
      <w:r>
        <w:rPr>
          <w:rFonts w:hint="eastAsia" w:ascii="Times New Roman" w:hAnsi="Times New Roman" w:cs="Times New Roman"/>
          <w:b/>
          <w:bCs/>
          <w:color w:val="auto"/>
          <w:highlight w:val="none"/>
          <w:lang w:val="en-US" w:eastAsia="zh-CN"/>
        </w:rPr>
        <w:t>分区</w:t>
      </w:r>
      <w:r>
        <w:rPr>
          <w:rFonts w:hint="default" w:ascii="Times New Roman" w:hAnsi="Times New Roman" w:cs="Times New Roman"/>
          <w:b/>
          <w:bCs/>
          <w:color w:val="auto"/>
          <w:szCs w:val="22"/>
          <w:highlight w:val="none"/>
        </w:rPr>
        <w:t>图</w:t>
      </w:r>
      <w:bookmarkEnd w:id="177"/>
      <w:bookmarkEnd w:id="178"/>
    </w:p>
    <w:p w14:paraId="0508D392">
      <w:pPr>
        <w:pStyle w:val="47"/>
        <w:jc w:val="center"/>
        <w:rPr>
          <w:color w:val="auto"/>
          <w:highlight w:val="none"/>
        </w:rPr>
      </w:pPr>
      <w:r>
        <w:rPr>
          <w:color w:val="auto"/>
          <w:highlight w:val="none"/>
        </w:rPr>
        <mc:AlternateContent>
          <mc:Choice Requires="wps">
            <w:drawing>
              <wp:anchor distT="0" distB="0" distL="0" distR="0" simplePos="0" relativeHeight="251659264" behindDoc="0" locked="0" layoutInCell="1" allowOverlap="1">
                <wp:simplePos x="0" y="0"/>
                <wp:positionH relativeFrom="column">
                  <wp:posOffset>6029325</wp:posOffset>
                </wp:positionH>
                <wp:positionV relativeFrom="paragraph">
                  <wp:posOffset>864870</wp:posOffset>
                </wp:positionV>
                <wp:extent cx="222250" cy="201295"/>
                <wp:effectExtent l="20320" t="19685" r="24130" b="26669"/>
                <wp:wrapNone/>
                <wp:docPr id="1119" name="五角星 330"/>
                <wp:cNvGraphicFramePr/>
                <a:graphic xmlns:a="http://schemas.openxmlformats.org/drawingml/2006/main">
                  <a:graphicData uri="http://schemas.microsoft.com/office/word/2010/wordprocessingShape">
                    <wps:wsp>
                      <wps:cNvSpPr/>
                      <wps:spPr>
                        <a:xfrm>
                          <a:off x="0" y="0"/>
                          <a:ext cx="222250" cy="201294"/>
                        </a:xfrm>
                        <a:prstGeom prst="star5">
                          <a:avLst/>
                        </a:prstGeom>
                        <a:solidFill>
                          <a:srgbClr val="FF0000"/>
                        </a:solidFill>
                        <a:ln w="12700" cap="flat" cmpd="sng">
                          <a:solidFill>
                            <a:srgbClr val="000000"/>
                          </a:solidFill>
                          <a:prstDash val="solid"/>
                          <a:miter/>
                        </a:ln>
                      </wps:spPr>
                      <wps:bodyPr/>
                    </wps:wsp>
                  </a:graphicData>
                </a:graphic>
              </wp:anchor>
            </w:drawing>
          </mc:Choice>
          <mc:Fallback>
            <w:pict>
              <v:shape id="五角星 330" o:spid="_x0000_s1026" style="position:absolute;left:0pt;margin-left:474.75pt;margin-top:68.1pt;height:15.85pt;width:17.5pt;z-index:251659264;mso-width-relative:page;mso-height-relative:page;" fillcolor="#FF0000" filled="t" stroked="t" coordsize="222250,201294" o:gfxdata="UEsDBAoAAAAAAIdO4kAAAAAAAAAAAAAAAAAEAAAAZHJzL1BLAwQUAAAACACHTuJA1QROQtwAAAAL&#10;AQAADwAAAGRycy9kb3ducmV2LnhtbE2PwU7DMBBE70j8g7VIXBB1WtrQhDgVQgJRLogAQtzceJsY&#10;4nUUu2369ywnOO7M0+xMsRpdJ/Y4BOtJwXSSgECqvbHUKHh7vb9cgghRk9GdJ1RwxACr8vSk0Lnx&#10;B3rBfRUbwSEUcq2gjbHPpQx1i06Hie+R2Nv6wenI59BIM+gDh7tOzpIklU5b4g+t7vGuxfq72jkF&#10;z8fPr6d3v1h/3D7Yi7HZPla19Uqdn02TGxARx/gHw299rg4ld9r4HZkgOgXZPFswysZVOgPBRLac&#10;s7JhJb3OQJaF/L+h/AFQSwMEFAAAAAgAh07iQF1pwifaAQAAxwMAAA4AAABkcnMvZTJvRG9jLnht&#10;bK1TzY7TMBC+I/EOlu80aZYFNmq6B6pyQbDSwgO4jpNY8p9mvE37GogDN468A8+DEI/B2Cnt/h32&#10;gA/OjGf8zXyfJ4vLnTVsqwC1dw2fz0rOlJO+1a5v+OdP6xdvOMMoXCuMd6rhe4X8cvn82WIMtar8&#10;4E2rgBGIw3oMDR9iDHVRoByUFTjzQTkKdh6siORCX7QgRkK3pqjK8lUxemgDeKkQ6XQ1BfkBEZ4C&#10;6LtOS7Xy8sYqFydUUEZEooSDDsiXuduuUzJ+7DpUkZmGE9OYdypC9ibtxXIh6h5EGLQ8tCCe0sI9&#10;TlZoR0WPUCsRBbsB/QDKagkefRdn0ttiIpIVIRbz8p4214MIKnMhqTEcRcf/Bys/bK+A6ZYmYT6/&#10;4MwJS2/+6+fXPz++/P72nZ2dZY3GgDWlXocrIMWSh2QmwrsObPoSFbbLuu6PuqpdZJIOK1rnpLik&#10;ENGsLl4m3YvT5QAY3ylvWTIaTuMH51lOsX2Pccr9l5OKoTe6XWtjsgP95q0BthX0xut1SesAfyfN&#10;ODYSy+o1hZkUNLkdTQyZNhB7dH0ueOcK3kZOuI8jp85WAoepg4wwzZXVUSW9iKlx9DnplqyNb/dZ&#10;znxO75sTD7OYBui2n2+f/r/lX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NUETkLcAAAACwEAAA8A&#10;AAAAAAAAAQAgAAAAIgAAAGRycy9kb3ducmV2LnhtbFBLAQIUABQAAAAIAIdO4kBdacIn2gEAAMcD&#10;AAAOAAAAAAAAAAEAIAAAACsBAABkcnMvZTJvRG9jLnhtbFBLBQYAAAAABgAGAFkBAAB3BQAAAAA=&#10;" path="m0,76887l84892,76887,111125,0,137357,76887,222249,76887,153570,124406,179803,201293,111125,153773,42446,201293,68679,124406xe">
                <v:path o:connectlocs="111125,0;0,76887;42446,201293;179803,201293;222249,76887" o:connectangles="247,164,82,82,0"/>
                <v:fill on="t" focussize="0,0"/>
                <v:stroke weight="1pt" color="#000000" joinstyle="miter"/>
                <v:imagedata o:title=""/>
                <o:lock v:ext="edit" aspectratio="f"/>
              </v:shape>
            </w:pict>
          </mc:Fallback>
        </mc:AlternateContent>
      </w:r>
      <w:r>
        <w:rPr>
          <w:color w:val="auto"/>
          <w:highlight w:val="none"/>
        </w:rPr>
        <mc:AlternateContent>
          <mc:Choice Requires="wps">
            <w:drawing>
              <wp:anchor distT="0" distB="0" distL="0" distR="0" simplePos="0" relativeHeight="251659264" behindDoc="0" locked="0" layoutInCell="1" allowOverlap="1">
                <wp:simplePos x="0" y="0"/>
                <wp:positionH relativeFrom="column">
                  <wp:posOffset>5718810</wp:posOffset>
                </wp:positionH>
                <wp:positionV relativeFrom="paragraph">
                  <wp:posOffset>3582670</wp:posOffset>
                </wp:positionV>
                <wp:extent cx="155575" cy="146050"/>
                <wp:effectExtent l="19685" t="20320" r="34290" b="24130"/>
                <wp:wrapNone/>
                <wp:docPr id="1120" name="五角星 331"/>
                <wp:cNvGraphicFramePr/>
                <a:graphic xmlns:a="http://schemas.openxmlformats.org/drawingml/2006/main">
                  <a:graphicData uri="http://schemas.microsoft.com/office/word/2010/wordprocessingShape">
                    <wps:wsp>
                      <wps:cNvSpPr/>
                      <wps:spPr>
                        <a:xfrm>
                          <a:off x="0" y="0"/>
                          <a:ext cx="155575" cy="146050"/>
                        </a:xfrm>
                        <a:prstGeom prst="star5">
                          <a:avLst/>
                        </a:prstGeom>
                        <a:solidFill>
                          <a:srgbClr val="FF0000"/>
                        </a:solidFill>
                        <a:ln w="12700" cap="flat" cmpd="sng">
                          <a:solidFill>
                            <a:srgbClr val="000000"/>
                          </a:solidFill>
                          <a:prstDash val="solid"/>
                          <a:miter/>
                        </a:ln>
                      </wps:spPr>
                      <wps:bodyPr/>
                    </wps:wsp>
                  </a:graphicData>
                </a:graphic>
              </wp:anchor>
            </w:drawing>
          </mc:Choice>
          <mc:Fallback>
            <w:pict>
              <v:shape id="五角星 331" o:spid="_x0000_s1026" style="position:absolute;left:0pt;margin-left:450.3pt;margin-top:282.1pt;height:11.5pt;width:12.25pt;z-index:251659264;mso-width-relative:page;mso-height-relative:page;" fillcolor="#FF0000" filled="t" stroked="t" coordsize="155575,146050" o:gfxdata="UEsDBAoAAAAAAIdO4kAAAAAAAAAAAAAAAAAEAAAAZHJzL1BLAwQUAAAACACHTuJAT3w+iNgAAAAL&#10;AQAADwAAAGRycy9kb3ducmV2LnhtbE2Py07DMBBF90j8gzVIbCrqJPQZ4nSBBBVLAh/gxEMciMdR&#10;7Cbt3zOs6HJmrs6cWxzOrhcTjqHzpCBdJiCQGm86ahV8frw87ECEqMno3hMquGCAQ3l7U+jc+Jne&#10;capiKxhCIdcKbIxDLmVoLDodln5A4tuXH52OPI6tNKOeGe56mSXJRjrdEX+wesBni81PdXIKKodv&#10;i+F1MflLbbduOB6/59WjUvd3afIEIuI5/ofhT5/VoWSn2p/IBNEr2DOdowrWm1UGghP7bJ2CqHmz&#10;22Ygy0Jedyh/AVBLAwQUAAAACACHTuJAmEbv7+ABAADHAwAADgAAAGRycy9lMm9Eb2MueG1srVNL&#10;btswEN0X6B0I7mtJTpUEguUsYribog2Q9gA0RUoE+AOHsexrFF1012Xv0PMURY/RIeU430UW0YKc&#10;IWfezHscLS52RpOtCKCcbWk1KykRlrtO2b6lX7+s351TApHZjmlnRUv3AujF8u2bxegbMXeD050I&#10;BEEsNKNv6RCjb4oC+CAMg5nzwuKldMGwiG7oiy6wEdGNLuZleVqMLnQ+OC4A8HQ1XdIDYngJoJNS&#10;cbFy/MYIGyfUIDSLSAkG5YEuc7dSCh4/SwkiEt1SZBrzikXQ3qS1WC5Y0wfmB8UPLbCXtPCIk2HK&#10;YtEj1IpFRm6CegJlFA8OnIwz7kwxEcmKIIuqfKTN9cC8yFxQavBH0eH1YPmn7VUgqsNJqOYoimUG&#10;3/zP7+//fn37++MnOTmpkkajhwZDr/1VOHiAZiK8k8GkHamQXdZ1f9RV7CLheFjVdX1WU8Lxqnp/&#10;WtZZ9+Iu2QeIH4QzJBktxfELdZaTbT9CxIoYexuTioHTqlsrrbMT+s2lDmTL8I3X6xK/1DKmPAjT&#10;loxYfn6G14QznFyJE4Om8cgebJ8LPkiB+8gJ93nk1NmKwTB1kBGmuTIqiqQXtqItbknFSbdkbVy3&#10;z3Lmc3zfHHiYxTRA9/2cfff/Lf8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T3w+iNgAAAALAQAA&#10;DwAAAAAAAAABACAAAAAiAAAAZHJzL2Rvd25yZXYueG1sUEsBAhQAFAAAAAgAh07iQJhG7+/gAQAA&#10;xwMAAA4AAAAAAAAAAQAgAAAAJwEAAGRycy9lMm9Eb2MueG1sUEsFBgAAAAAGAAYAWQEAAHkFAAAA&#10;AA==&#10;" path="m0,55785l59424,55786,77787,0,96150,55786,155574,55785,107499,90263,125862,146049,77787,111571,29712,146049,48075,90263xe">
                <v:path o:connectlocs="77787,0;0,55785;29712,146049;125862,146049;155574,55785" o:connectangles="247,164,82,82,0"/>
                <v:fill on="t" focussize="0,0"/>
                <v:stroke weight="1pt" color="#000000" joinstyle="miter"/>
                <v:imagedata o:title=""/>
                <o:lock v:ext="edit" aspectratio="f"/>
              </v:shape>
            </w:pict>
          </mc:Fallback>
        </mc:AlternateContent>
      </w:r>
      <w:r>
        <w:rPr>
          <w:color w:val="auto"/>
          <w:highlight w:val="none"/>
        </w:rPr>
        <mc:AlternateContent>
          <mc:Choice Requires="wps">
            <w:drawing>
              <wp:anchor distT="0" distB="0" distL="0" distR="0" simplePos="0" relativeHeight="251659264" behindDoc="0" locked="0" layoutInCell="1" allowOverlap="1">
                <wp:simplePos x="0" y="0"/>
                <wp:positionH relativeFrom="column">
                  <wp:posOffset>4584700</wp:posOffset>
                </wp:positionH>
                <wp:positionV relativeFrom="paragraph">
                  <wp:posOffset>628650</wp:posOffset>
                </wp:positionV>
                <wp:extent cx="1276350" cy="533400"/>
                <wp:effectExtent l="13970" t="13970" r="271780" b="24130"/>
                <wp:wrapNone/>
                <wp:docPr id="1121" name="圆角矩形标注 332"/>
                <wp:cNvGraphicFramePr/>
                <a:graphic xmlns:a="http://schemas.openxmlformats.org/drawingml/2006/main">
                  <a:graphicData uri="http://schemas.microsoft.com/office/word/2010/wordprocessingShape">
                    <wps:wsp>
                      <wps:cNvSpPr/>
                      <wps:spPr>
                        <a:xfrm>
                          <a:off x="0" y="0"/>
                          <a:ext cx="1276350" cy="533400"/>
                        </a:xfrm>
                        <a:prstGeom prst="wedgeRoundRectCallout">
                          <a:avLst>
                            <a:gd name="adj1" fmla="val 66766"/>
                            <a:gd name="adj2" fmla="val 19047"/>
                            <a:gd name="adj3" fmla="val 16667"/>
                          </a:avLst>
                        </a:prstGeom>
                        <a:solidFill>
                          <a:srgbClr val="F2F2F2"/>
                        </a:solidFill>
                        <a:ln w="28575" cap="flat" cmpd="sng">
                          <a:solidFill>
                            <a:srgbClr val="000000"/>
                          </a:solidFill>
                          <a:prstDash val="solid"/>
                          <a:miter/>
                        </a:ln>
                      </wps:spPr>
                      <wps:txbx>
                        <w:txbxContent>
                          <w:p w14:paraId="7C3359FE">
                            <w:pPr>
                              <w:jc w:val="center"/>
                              <w:rPr>
                                <w:b/>
                                <w:bCs/>
                                <w:sz w:val="28"/>
                                <w:szCs w:val="28"/>
                              </w:rPr>
                            </w:pPr>
                            <w:r>
                              <w:rPr>
                                <w:rFonts w:hint="eastAsia"/>
                                <w:b/>
                                <w:bCs/>
                                <w:sz w:val="28"/>
                                <w:szCs w:val="28"/>
                              </w:rPr>
                              <w:t>项目位置</w:t>
                            </w:r>
                          </w:p>
                        </w:txbxContent>
                      </wps:txbx>
                      <wps:bodyPr vert="horz" wrap="square" lIns="91440" tIns="45720" rIns="91440" bIns="45720" anchor="ctr">
                        <a:noAutofit/>
                      </wps:bodyPr>
                    </wps:wsp>
                  </a:graphicData>
                </a:graphic>
              </wp:anchor>
            </w:drawing>
          </mc:Choice>
          <mc:Fallback>
            <w:pict>
              <v:shape id="圆角矩形标注 332" o:spid="_x0000_s1026" o:spt="62" type="#_x0000_t62" style="position:absolute;left:0pt;margin-left:361pt;margin-top:49.5pt;height:42pt;width:100.5pt;z-index:251659264;v-text-anchor:middle;mso-width-relative:page;mso-height-relative:page;" fillcolor="#F2F2F2" filled="t" stroked="t" coordsize="21600,21600" o:gfxdata="UEsDBAoAAAAAAIdO4kAAAAAAAAAAAAAAAAAEAAAAZHJzL1BLAwQUAAAACACHTuJAw4t9btcAAAAK&#10;AQAADwAAAGRycy9kb3ducmV2LnhtbE2PzU7DMBCE70h9B2srcaNOg1SaEKcHJCSONKAKbk68+RHx&#10;OordJOTpWU5w2lntaPab7LTYXkw4+s6Rgv0uAoFUOdNRo+D97fnuCMIHTUb3jlDBN3o45ZubTKfG&#10;zXTGqQiN4BDyqVbQhjCkUvqqRav9zg1IfKvdaHXgdWykGfXM4baXcRQdpNUd8YdWD/jUYvVVXK2C&#10;el6rDyqnT6T68LKc19fLWsxK3W730SOIgEv4M8MvPqNDzkylu5LxolfwEMfcJShIEp5sSOJ7FiU7&#10;jyxknsn/FfIfUEsDBBQAAAAIAIdO4kBxYFZwagIAANYEAAAOAAAAZHJzL2Uyb0RvYy54bWytVMtu&#10;EzEU3SPxD5b3dB5JJm2USYUaFSEhqFr4AMfjyRj5he1kUj4A9qyRQGyANWs+p4XP4NozpEnLogtm&#10;pJl7x9fH55xrz/R4IwVaM+u4ViXODlKMmKK64mpZ4lcvTx8dYuQ8URURWrESXzKHj2cPH0xbM2G5&#10;brSomEUAotykNSVuvDeTJHG0YZK4A22YgsFaW0k8pHaZVJa0gC5FkqdpkbTaVsZqypyDr/NuEPeI&#10;9j6Auq45ZXNNV5Ip36FaJogHSa7hxuFZZFvXjPoXde2YR6LEoNTHJywC8SI8k9mUTJaWmIbTngK5&#10;D4VbmiThChbdQs2JJ2hl+R0oyanVTtf+gGqZdEKiI6AiS295c9EQw6IWsNqZrenu/8HS5+szi3gF&#10;OyHLM4wUkdDzq4/vfn/98OvT96ufX64/v7/+8Q0NBnkwqzVuAnMuzJntMwdhUL6prQxv0IQ20eDL&#10;rcFs4xGFj1k+LgYj8J7C2GgwGKaxA8nNbGOdf8K0RCEoccuqJTvXK1WdQytPiBB65aPRZP3M+eh4&#10;1ZMm1WsQUEsBDVwTgYpiXBR9g3dq8t2a7Cgdju/WDPZqCkAKNUCzXxWiv0QDBacFr065EDGxy8WJ&#10;sAgolPg0D3c/ea9MKNSWOD8cjUdgB4GDVMMGhlAaaIZTy6hyb4rbRU7j9S/kwGxOXNMxiAidQsk9&#10;s50OoUBO6GXXvRD5zWLTt3Shq0vYFfCTgBY02r7FqIUjArTerIhlGImnCvbgUTYchjMVk+FonENi&#10;d0cWuyNEUYAqMfU2SlP68crrmvvAKBDoVu0T2O7R8P5ohvO0m8eqm9/R7A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Di31u1wAAAAoBAAAPAAAAAAAAAAEAIAAAACIAAABkcnMvZG93bnJldi54bWxQ&#10;SwECFAAUAAAACACHTuJAcWBWcGoCAADWBAAADgAAAAAAAAABACAAAAAmAQAAZHJzL2Uyb0RvYy54&#10;bWxQSwUGAAAAAAYABgBZAQAAAgYAAAAA&#10;" adj="25221,14914,14400">
                <v:fill on="t" focussize="0,0"/>
                <v:stroke weight="2.25pt" color="#000000" joinstyle="miter"/>
                <v:imagedata o:title=""/>
                <o:lock v:ext="edit" aspectratio="f"/>
                <v:textbox>
                  <w:txbxContent>
                    <w:p w14:paraId="7C3359FE">
                      <w:pPr>
                        <w:jc w:val="center"/>
                        <w:rPr>
                          <w:b/>
                          <w:bCs/>
                          <w:sz w:val="28"/>
                          <w:szCs w:val="28"/>
                        </w:rPr>
                      </w:pPr>
                      <w:r>
                        <w:rPr>
                          <w:rFonts w:hint="eastAsia"/>
                          <w:b/>
                          <w:bCs/>
                          <w:sz w:val="28"/>
                          <w:szCs w:val="28"/>
                        </w:rPr>
                        <w:t>项目位置</w:t>
                      </w:r>
                    </w:p>
                  </w:txbxContent>
                </v:textbox>
              </v:shape>
            </w:pict>
          </mc:Fallback>
        </mc:AlternateContent>
      </w:r>
      <w:r>
        <w:rPr>
          <w:color w:val="auto"/>
          <w:highlight w:val="none"/>
        </w:rPr>
        <mc:AlternateContent>
          <mc:Choice Requires="wps">
            <w:drawing>
              <wp:anchor distT="0" distB="0" distL="0" distR="0" simplePos="0" relativeHeight="251659264" behindDoc="0" locked="0" layoutInCell="1" allowOverlap="1">
                <wp:simplePos x="0" y="0"/>
                <wp:positionH relativeFrom="column">
                  <wp:posOffset>5796915</wp:posOffset>
                </wp:positionH>
                <wp:positionV relativeFrom="paragraph">
                  <wp:posOffset>2249170</wp:posOffset>
                </wp:positionV>
                <wp:extent cx="394970" cy="1333500"/>
                <wp:effectExtent l="29845" t="3810" r="32385" b="15240"/>
                <wp:wrapNone/>
                <wp:docPr id="1122" name="直接箭头连接符 334"/>
                <wp:cNvGraphicFramePr/>
                <a:graphic xmlns:a="http://schemas.openxmlformats.org/drawingml/2006/main">
                  <a:graphicData uri="http://schemas.microsoft.com/office/word/2010/wordprocessingShape">
                    <wps:wsp>
                      <wps:cNvCnPr/>
                      <wps:spPr>
                        <a:xfrm flipH="1">
                          <a:off x="0" y="0"/>
                          <a:ext cx="394970" cy="1333500"/>
                        </a:xfrm>
                        <a:prstGeom prst="straightConnector1">
                          <a:avLst/>
                        </a:prstGeom>
                        <a:ln w="28575" cap="flat" cmpd="sng">
                          <a:solidFill>
                            <a:srgbClr val="000000"/>
                          </a:solidFill>
                          <a:prstDash val="solid"/>
                          <a:miter/>
                          <a:tailEnd type="arrow" w="med" len="med"/>
                        </a:ln>
                      </wps:spPr>
                      <wps:bodyPr/>
                    </wps:wsp>
                  </a:graphicData>
                </a:graphic>
              </wp:anchor>
            </w:drawing>
          </mc:Choice>
          <mc:Fallback>
            <w:pict>
              <v:shape id="直接箭头连接符 334" o:spid="_x0000_s1026" o:spt="32" type="#_x0000_t32" style="position:absolute;left:0pt;flip:x;margin-left:456.45pt;margin-top:177.1pt;height:105pt;width:31.1pt;z-index:251659264;mso-width-relative:page;mso-height-relative:page;" filled="f" stroked="t" coordsize="21600,21600" o:gfxdata="UEsDBAoAAAAAAIdO4kAAAAAAAAAAAAAAAAAEAAAAZHJzL1BLAwQUAAAACACHTuJAHsKxc9kAAAAL&#10;AQAADwAAAGRycy9kb3ducmV2LnhtbE2PwU7DMAyG70i8Q2QkbixtoYWWpjtMmhAnxOiFm5eYtlrj&#10;VE26DZ6ecGJH259+f3+9PttRHGn2g2MF6SoBQaydGbhT0H5s755A+IBscHRMCr7Jw7q5vqqxMu7E&#10;73TchU7EEPYVKuhDmCopve7Jol+5iTjevtxsMcRx7qSZ8RTD7SizJCmkxYHjhx4n2vSkD7vFKiha&#10;1K+fmxB0nr28tfNh2eIPKXV7kybPIAKdwz8Mf/pRHZrotHcLGy9GBWWalRFVcJ8/ZCAiUT7mKYi9&#10;gryIG9nU8rJD8wtQSwMEFAAAAAgAh07iQNN02ycOAgAA4gMAAA4AAABkcnMvZTJvRG9jLnhtbK1T&#10;zW4TMRC+I/EOlu9kk2xD21U2PSQUDggiAQ/geO1dS/6Tx80mL8ELIHECToVT7zwNlMdg7A0ByqUH&#10;fLDGHs83830znl/sjCZbEUA5W9PJaEyJsNw1yrY1ffP68tEZJRCZbZh2VtR0L4BeLB4+mPe+ElPX&#10;Od2IQBDEQtX7mnYx+qoogHfCMBg5Lyw6pQuGRTyGtmgC6xHd6GI6Hj8uehcaHxwXAHi7Gpz0gBju&#10;A+ikVFysHL8ywsYBNQjNIlKCTnmgi1ytlILHl1KCiETXFJnGvGMStDdpLxZzVrWB+U7xQwnsPiXc&#10;4WSYspj0CLVikZGroP6BMooHB07GEXemGIhkRZDFZHxHm1cd8yJzQanBH0WH/wfLX2zXgagGJ2Ey&#10;nVJimcGe3767+f724+2Xz98+3Pz4+j7Z159IWZ4kvXoPFYYt7TocTuDXIZHfyWCI1Mo/Q7gsBxIk&#10;u6z2/qi22EXC8bI8Pzk/xT5wdE3KspyNczuKASfh+QDxqXCGJKOmEANTbReXzlpsrAtDDrZ9DhEr&#10;wcBfASlYW9LXdHo2O51hDoaTKnFC0DQe2YJtc4HgtGouldYpBEK7WepAtixNS16JMAL/9SxlWTHo&#10;hnfZNcyRUVEkTVgVmdJPbEPi3qOcLATX01SOEQ0lWuDHS9aArS2mSKIOMiZr45p9VjffY+tzEYcx&#10;TbP15zlH//6ai5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ewrFz2QAAAAsBAAAPAAAAAAAAAAEA&#10;IAAAACIAAABkcnMvZG93bnJldi54bWxQSwECFAAUAAAACACHTuJA03TbJw4CAADiAwAADgAAAAAA&#10;AAABACAAAAAoAQAAZHJzL2Uyb0RvYy54bWxQSwUGAAAAAAYABgBZAQAAqAUAAAAA&#10;">
                <v:fill on="f" focussize="0,0"/>
                <v:stroke weight="2.25pt" color="#000000" joinstyle="miter" endarrow="open"/>
                <v:imagedata o:title=""/>
                <o:lock v:ext="edit" aspectratio="f"/>
              </v:shape>
            </w:pict>
          </mc:Fallback>
        </mc:AlternateContent>
      </w:r>
      <w:r>
        <w:rPr>
          <w:color w:val="auto"/>
          <w:highlight w:val="none"/>
        </w:rPr>
        <mc:AlternateContent>
          <mc:Choice Requires="wps">
            <w:drawing>
              <wp:anchor distT="0" distB="0" distL="0" distR="0" simplePos="0" relativeHeight="251659264" behindDoc="0" locked="0" layoutInCell="1" allowOverlap="1">
                <wp:simplePos x="0" y="0"/>
                <wp:positionH relativeFrom="column">
                  <wp:posOffset>4036060</wp:posOffset>
                </wp:positionH>
                <wp:positionV relativeFrom="paragraph">
                  <wp:posOffset>3282950</wp:posOffset>
                </wp:positionV>
                <wp:extent cx="1276350" cy="533400"/>
                <wp:effectExtent l="13970" t="13970" r="462280" b="24130"/>
                <wp:wrapNone/>
                <wp:docPr id="1123" name="圆角矩形标注 333"/>
                <wp:cNvGraphicFramePr/>
                <a:graphic xmlns:a="http://schemas.openxmlformats.org/drawingml/2006/main">
                  <a:graphicData uri="http://schemas.microsoft.com/office/word/2010/wordprocessingShape">
                    <wps:wsp>
                      <wps:cNvSpPr/>
                      <wps:spPr>
                        <a:xfrm>
                          <a:off x="0" y="0"/>
                          <a:ext cx="1276350" cy="533400"/>
                        </a:xfrm>
                        <a:prstGeom prst="wedgeRoundRectCallout">
                          <a:avLst>
                            <a:gd name="adj1" fmla="val 78507"/>
                            <a:gd name="adj2" fmla="val 24642"/>
                            <a:gd name="adj3" fmla="val 16667"/>
                          </a:avLst>
                        </a:prstGeom>
                        <a:solidFill>
                          <a:srgbClr val="F2F2F2"/>
                        </a:solidFill>
                        <a:ln w="28575" cap="flat" cmpd="sng">
                          <a:solidFill>
                            <a:srgbClr val="000000"/>
                          </a:solidFill>
                          <a:prstDash val="solid"/>
                          <a:miter/>
                        </a:ln>
                      </wps:spPr>
                      <wps:txbx>
                        <w:txbxContent>
                          <w:p w14:paraId="4D3379BF">
                            <w:pPr>
                              <w:jc w:val="center"/>
                              <w:rPr>
                                <w:b/>
                                <w:bCs/>
                                <w:sz w:val="28"/>
                                <w:szCs w:val="28"/>
                              </w:rPr>
                            </w:pPr>
                            <w:r>
                              <w:rPr>
                                <w:rFonts w:hint="eastAsia"/>
                                <w:b/>
                                <w:bCs/>
                                <w:sz w:val="28"/>
                                <w:szCs w:val="28"/>
                              </w:rPr>
                              <w:t>项目位置</w:t>
                            </w:r>
                          </w:p>
                        </w:txbxContent>
                      </wps:txbx>
                      <wps:bodyPr vert="horz" wrap="square" lIns="91440" tIns="45720" rIns="91440" bIns="45720" anchor="ctr">
                        <a:noAutofit/>
                      </wps:bodyPr>
                    </wps:wsp>
                  </a:graphicData>
                </a:graphic>
              </wp:anchor>
            </w:drawing>
          </mc:Choice>
          <mc:Fallback>
            <w:pict>
              <v:shape id="圆角矩形标注 333" o:spid="_x0000_s1026" o:spt="62" type="#_x0000_t62" style="position:absolute;left:0pt;margin-left:317.8pt;margin-top:258.5pt;height:42pt;width:100.5pt;z-index:251659264;v-text-anchor:middle;mso-width-relative:page;mso-height-relative:page;" fillcolor="#F2F2F2" filled="t" stroked="t" coordsize="21600,21600" o:gfxdata="UEsDBAoAAAAAAIdO4kAAAAAAAAAAAAAAAAAEAAAAZHJzL1BLAwQUAAAACACHTuJAMDAKCtoAAAAL&#10;AQAADwAAAGRycy9kb3ducmV2LnhtbE2PwU7DMBBE70j8g7VI3KgdqoQS4lQqEpU4cEio4OrG2yRK&#10;bAfbacPfs5zguDNPszPFdjEjO6MPvbMSkpUAhrZxurethMP7y90GWIjKajU6ixK+McC2vL4qVK7d&#10;xVZ4rmPLKMSGXEnoYpxyzkPToVFh5Sa05J2cNyrS6VuuvbpQuBn5vRAZN6q39KFTEz532Az1bCTM&#10;1cf+0Q+H+m33WfGvYb87vaaLlLc3iXgCFnGJfzD81qfqUFKno5utDmyUkK3TjFAJafJAo4jYrDNS&#10;jmSJRAAvC/5/Q/kDUEsDBBQAAAAIAIdO4kBBX9+ebQIAANYEAAAOAAAAZHJzL2Uyb0RvYy54bWyt&#10;VMtu1DAU3SPxD5b3NK95MWqmQh0NQkJQtfABHseZGPmF7ZlM+QDYd40EYgOsWfM5LXwG107oTFsW&#10;XZBIyb259vE559o5PNpKgTbMOq5VibODFCOmqK64WpX49avFowlGzhNVEaEVK/E5c/ho9vDBYWum&#10;LNeNFhWzCECUm7amxI33ZpokjjZMEnegDVNQrLWVxENqV0llSQvoUiR5mo6SVtvKWE2Zc/B13hVx&#10;j2jvA6jrmlM213QtmfIdqmWCeJDkGm4cnkW2dc2of1nXjnkkSgxKfXzCIhAvwzOZHZLpyhLTcNpT&#10;IPehcEuTJFzBotdQc+IJWlt+B0pyarXTtT+gWiadkOgIqMjSW96cNcSwqAWsdubadPf/YOmLzYlF&#10;vIKdkOUFRopI6Pnlx/e/v178+vT98ueXq88frn58Q0VRBLNa46Yw58yc2D5zEAbl29rK8AZNaBsN&#10;Pr82mG09ovAxy8ejYgjeU6gNi2KQxg4ku9nGOv+UaYlCUOKWVSt2qteqOoVWHhMh9NpHo8nmufPR&#10;8aonTao3GUa1FNDADRFoPBmm477Be2Py/TH5YDTI744BI3Y42Wg0ijhAs18Vor9EAwWnBa8WXIiY&#10;2NXyWFgEFEq8yMMdFoApN4YJhdoS55PheAh2EDhINWxgCKWBZji1iipvTHH7yGm8/oUcmM2JazoG&#10;EaFTKLlntqMiFDAKvey6FyK/XW77li51dQ67An4S0IJG23cYtXBEgNbbNbEMI/FMwR58nA0G4UzF&#10;ZDAc55DY/cpyv0IUBagSU2+jNKWfrL2uuQ+MAoFu1T6B7R49649mOE/7eRy1+x3N/g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AwMAoK2gAAAAsBAAAPAAAAAAAAAAEAIAAAACIAAABkcnMvZG93bnJl&#10;di54bWxQSwECFAAUAAAACACHTuJAQV/fnm0CAADWBAAADgAAAAAAAAABACAAAAApAQAAZHJzL2Uy&#10;b0RvYy54bWxQSwUGAAAAAAYABgBZAQAACAYAAAAA&#10;" adj="27758,16123,14400">
                <v:fill on="t" focussize="0,0"/>
                <v:stroke weight="2.25pt" color="#000000" joinstyle="miter"/>
                <v:imagedata o:title=""/>
                <o:lock v:ext="edit" aspectratio="f"/>
                <v:textbox>
                  <w:txbxContent>
                    <w:p w14:paraId="4D3379BF">
                      <w:pPr>
                        <w:jc w:val="center"/>
                        <w:rPr>
                          <w:b/>
                          <w:bCs/>
                          <w:sz w:val="28"/>
                          <w:szCs w:val="28"/>
                        </w:rPr>
                      </w:pPr>
                      <w:r>
                        <w:rPr>
                          <w:rFonts w:hint="eastAsia"/>
                          <w:b/>
                          <w:bCs/>
                          <w:sz w:val="28"/>
                          <w:szCs w:val="28"/>
                        </w:rPr>
                        <w:t>项目位置</w:t>
                      </w:r>
                    </w:p>
                  </w:txbxContent>
                </v:textbox>
              </v:shape>
            </w:pict>
          </mc:Fallback>
        </mc:AlternateContent>
      </w:r>
      <w:r>
        <w:rPr>
          <w:color w:val="auto"/>
          <w:highlight w:val="none"/>
        </w:rPr>
        <w:drawing>
          <wp:anchor distT="0" distB="0" distL="0" distR="0" simplePos="0" relativeHeight="251659264" behindDoc="0" locked="0" layoutInCell="1" allowOverlap="1">
            <wp:simplePos x="0" y="0"/>
            <wp:positionH relativeFrom="column">
              <wp:posOffset>4379595</wp:posOffset>
            </wp:positionH>
            <wp:positionV relativeFrom="paragraph">
              <wp:posOffset>370840</wp:posOffset>
            </wp:positionV>
            <wp:extent cx="2750820" cy="1859280"/>
            <wp:effectExtent l="28575" t="9525" r="40005" b="36195"/>
            <wp:wrapNone/>
            <wp:docPr id="1124" name="图片 21"/>
            <wp:cNvGraphicFramePr/>
            <a:graphic xmlns:a="http://schemas.openxmlformats.org/drawingml/2006/main">
              <a:graphicData uri="http://schemas.openxmlformats.org/drawingml/2006/picture">
                <pic:pic xmlns:pic="http://schemas.openxmlformats.org/drawingml/2006/picture">
                  <pic:nvPicPr>
                    <pic:cNvPr id="1124" name="图片 21"/>
                    <pic:cNvPicPr/>
                  </pic:nvPicPr>
                  <pic:blipFill>
                    <a:blip r:embed="rId39" cstate="print"/>
                    <a:srcRect/>
                    <a:stretch>
                      <a:fillRect/>
                    </a:stretch>
                  </pic:blipFill>
                  <pic:spPr>
                    <a:xfrm>
                      <a:off x="0" y="0"/>
                      <a:ext cx="2750819" cy="1859280"/>
                    </a:xfrm>
                    <a:prstGeom prst="rect">
                      <a:avLst/>
                    </a:prstGeom>
                    <a:ln w="28575" cap="flat" cmpd="sng">
                      <a:solidFill>
                        <a:srgbClr val="000000"/>
                      </a:solidFill>
                      <a:prstDash val="solid"/>
                      <a:round/>
                    </a:ln>
                  </pic:spPr>
                </pic:pic>
              </a:graphicData>
            </a:graphic>
          </wp:anchor>
        </w:drawing>
      </w:r>
      <w:r>
        <w:rPr>
          <w:color w:val="auto"/>
          <w:highlight w:val="none"/>
        </w:rPr>
        <w:drawing>
          <wp:inline distT="0" distB="0" distL="0" distR="0">
            <wp:extent cx="7539990" cy="5222875"/>
            <wp:effectExtent l="28575" t="28575" r="32385" b="44450"/>
            <wp:docPr id="1125" name="图片 20"/>
            <wp:cNvGraphicFramePr/>
            <a:graphic xmlns:a="http://schemas.openxmlformats.org/drawingml/2006/main">
              <a:graphicData uri="http://schemas.openxmlformats.org/drawingml/2006/picture">
                <pic:pic xmlns:pic="http://schemas.openxmlformats.org/drawingml/2006/picture">
                  <pic:nvPicPr>
                    <pic:cNvPr id="1125" name="图片 20"/>
                    <pic:cNvPicPr/>
                  </pic:nvPicPr>
                  <pic:blipFill>
                    <a:blip r:embed="rId40" cstate="print"/>
                    <a:srcRect/>
                    <a:stretch>
                      <a:fillRect/>
                    </a:stretch>
                  </pic:blipFill>
                  <pic:spPr>
                    <a:xfrm>
                      <a:off x="0" y="0"/>
                      <a:ext cx="7539990" cy="5222875"/>
                    </a:xfrm>
                    <a:prstGeom prst="rect">
                      <a:avLst/>
                    </a:prstGeom>
                    <a:ln w="28575" cap="flat" cmpd="sng">
                      <a:solidFill>
                        <a:srgbClr val="000000"/>
                      </a:solidFill>
                      <a:prstDash val="solid"/>
                      <a:round/>
                    </a:ln>
                  </pic:spPr>
                </pic:pic>
              </a:graphicData>
            </a:graphic>
          </wp:inline>
        </w:drawing>
      </w:r>
    </w:p>
    <w:p w14:paraId="05EB7421">
      <w:pPr>
        <w:pStyle w:val="47"/>
        <w:jc w:val="center"/>
        <w:outlineLvl w:val="0"/>
        <w:rPr>
          <w:rFonts w:hint="default" w:ascii="Times New Roman" w:hAnsi="Times New Roman" w:cs="Times New Roman"/>
          <w:color w:val="auto"/>
          <w:highlight w:val="none"/>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720" w:num="1"/>
          <w:docGrid w:type="lines" w:linePitch="312" w:charSpace="0"/>
        </w:sectPr>
      </w:pPr>
      <w:bookmarkStart w:id="179" w:name="_Toc1547"/>
      <w:bookmarkStart w:id="180" w:name="_Toc5472"/>
      <w:r>
        <w:rPr>
          <w:rFonts w:hint="default" w:ascii="Times New Roman" w:hAnsi="Times New Roman" w:cs="Times New Roman"/>
          <w:b/>
          <w:bCs/>
          <w:color w:val="auto"/>
          <w:szCs w:val="22"/>
          <w:highlight w:val="none"/>
        </w:rPr>
        <w:t>附图10 大气环境管控单元图</w:t>
      </w:r>
      <w:bookmarkEnd w:id="179"/>
      <w:bookmarkEnd w:id="180"/>
    </w:p>
    <w:p w14:paraId="3FFFF895">
      <w:pPr>
        <w:jc w:val="center"/>
        <w:rPr>
          <w:color w:val="auto"/>
          <w:highlight w:val="none"/>
        </w:rPr>
      </w:pPr>
      <w:r>
        <w:rPr>
          <w:color w:val="auto"/>
          <w:highlight w:val="none"/>
        </w:rPr>
        <mc:AlternateContent>
          <mc:Choice Requires="wps">
            <w:drawing>
              <wp:anchor distT="0" distB="0" distL="0" distR="0" simplePos="0" relativeHeight="251659264" behindDoc="0" locked="0" layoutInCell="1" allowOverlap="1">
                <wp:simplePos x="0" y="0"/>
                <wp:positionH relativeFrom="column">
                  <wp:posOffset>5662295</wp:posOffset>
                </wp:positionH>
                <wp:positionV relativeFrom="paragraph">
                  <wp:posOffset>3543935</wp:posOffset>
                </wp:positionV>
                <wp:extent cx="177165" cy="168275"/>
                <wp:effectExtent l="19685" t="20320" r="31750" b="20955"/>
                <wp:wrapNone/>
                <wp:docPr id="1126" name="五角星 337"/>
                <wp:cNvGraphicFramePr/>
                <a:graphic xmlns:a="http://schemas.openxmlformats.org/drawingml/2006/main">
                  <a:graphicData uri="http://schemas.microsoft.com/office/word/2010/wordprocessingShape">
                    <wps:wsp>
                      <wps:cNvSpPr/>
                      <wps:spPr>
                        <a:xfrm>
                          <a:off x="0" y="0"/>
                          <a:ext cx="177165" cy="168275"/>
                        </a:xfrm>
                        <a:prstGeom prst="star5">
                          <a:avLst/>
                        </a:prstGeom>
                        <a:solidFill>
                          <a:srgbClr val="FF0000"/>
                        </a:solidFill>
                        <a:ln w="12700" cap="flat" cmpd="sng">
                          <a:solidFill>
                            <a:srgbClr val="000000"/>
                          </a:solidFill>
                          <a:prstDash val="solid"/>
                          <a:miter/>
                        </a:ln>
                      </wps:spPr>
                      <wps:bodyPr/>
                    </wps:wsp>
                  </a:graphicData>
                </a:graphic>
              </wp:anchor>
            </w:drawing>
          </mc:Choice>
          <mc:Fallback>
            <w:pict>
              <v:shape id="五角星 337" o:spid="_x0000_s1026" style="position:absolute;left:0pt;margin-left:445.85pt;margin-top:279.05pt;height:13.25pt;width:13.95pt;z-index:251659264;mso-width-relative:page;mso-height-relative:page;" fillcolor="#FF0000" filled="t" stroked="t" coordsize="177165,168275" o:gfxdata="UEsDBAoAAAAAAIdO4kAAAAAAAAAAAAAAAAAEAAAAZHJzL1BLAwQUAAAACACHTuJAm6IaAdsAAAAL&#10;AQAADwAAAGRycy9kb3ducmV2LnhtbE2PPU/DMBCGdyT+g3VILFXrBJGQhDgdQAwsoJZWiM2NjyTC&#10;H8F2mvbfc0ww3t2j9563Xp+MZkf0YXBWQLpKgKFtnRpsJ2D39rQsgIUorZLaWRRwxgDr5vKilpVy&#10;s93gcRs7RiE2VFJAH+NYcR7aHo0MKzeipdun80ZGGn3HlZczhRvNb5Ik50YOlj70csSHHtuv7WQE&#10;dNn7h3p83c14flk8+++FjlPcC3F9lSb3wCKe4h8Mv/qkDg05HdxkVWBaQFGmd4QKyLIiBUZEmZY5&#10;sANtitsceFPz/x2aH1BLAwQUAAAACACHTuJAnX1oC98BAADHAwAADgAAAGRycy9lMm9Eb2MueG1s&#10;rVM7jtswEO0D5A4E+1ifha2FYHmLGE4TJAtscgCaoiQC/IHDtexrBCnSpcwdcp4gyDEypBTvJ1ts&#10;sSrIGc7wzbzH0frqqBU5CA/SmoYWi5wSYbhtpekb+vnT7s0lJRCYaZmyRjT0JIBebV6/Wo+uFqUd&#10;rGqFJwhioB5dQ4cQXJ1lwAehGSysEwaDnfWaBXR9n7WejYiuVVbm+SobrW+dt1wA4Ol2CtIZ0T8H&#10;0Had5GJr+a0WJkyoXigWkBIM0gHdpG67TvDwsetABKIaikxDWrEI2vu4Zps1q3vP3CD53AJ7TguP&#10;OGkmDRY9Q21ZYOTWy/+gtOTegu3CgludTUSSIsiiyB9pczMwJxIXlBrcWXR4OVj+4XDtiWxxEopy&#10;RYlhGt/818+vf358+f3tO7m4qKJGo4MaU2/ctZ89QDMSPnZexx2pkGPS9XTWVRwD4XhYVFWxWlLC&#10;MVSsLstqGTGzu8vOQ3gnrCbRaCiOn18mOdnhPYQp919OLAZWyXYnlUqO7/dvlScHhm+82+X4zfAP&#10;0pQhI5YvKwwTznByO5wYNLVD9mD6VPDBFbiPHHGfRo6dbRkMUwcJITbAai2DiHohU2VwiypOukVr&#10;b9tTkjOd4/umxHkW4wDd99Ptu/9v8x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CbohoB2wAAAAsB&#10;AAAPAAAAAAAAAAEAIAAAACIAAABkcnMvZG93bnJldi54bWxQSwECFAAUAAAACACHTuJAnX1oC98B&#10;AADHAwAADgAAAAAAAAABACAAAAAqAQAAZHJzL2Uyb0RvYy54bWxQSwUGAAAAAAYABgBZAQAAewUA&#10;AAAA&#10;" path="m0,64275l67671,64275,88582,0,109493,64275,177164,64275,122417,103999,143329,168274,88582,128549,33835,168274,54747,103999xe">
                <v:path o:connectlocs="88582,0;0,64275;33835,168274;143329,168274;177164,64275" o:connectangles="247,164,82,82,0"/>
                <v:fill on="t" focussize="0,0"/>
                <v:stroke weight="1pt" color="#000000" joinstyle="miter"/>
                <v:imagedata o:title=""/>
                <o:lock v:ext="edit" aspectratio="f"/>
              </v:shape>
            </w:pict>
          </mc:Fallback>
        </mc:AlternateContent>
      </w:r>
      <w:r>
        <w:rPr>
          <w:color w:val="auto"/>
          <w:highlight w:val="none"/>
        </w:rPr>
        <mc:AlternateContent>
          <mc:Choice Requires="wps">
            <w:drawing>
              <wp:anchor distT="0" distB="0" distL="0" distR="0" simplePos="0" relativeHeight="251659264" behindDoc="0" locked="0" layoutInCell="1" allowOverlap="1">
                <wp:simplePos x="0" y="0"/>
                <wp:positionH relativeFrom="column">
                  <wp:posOffset>3969385</wp:posOffset>
                </wp:positionH>
                <wp:positionV relativeFrom="paragraph">
                  <wp:posOffset>3296920</wp:posOffset>
                </wp:positionV>
                <wp:extent cx="1276350" cy="533400"/>
                <wp:effectExtent l="13970" t="13970" r="462280" b="24130"/>
                <wp:wrapNone/>
                <wp:docPr id="1127" name="圆角矩形标注 336"/>
                <wp:cNvGraphicFramePr/>
                <a:graphic xmlns:a="http://schemas.openxmlformats.org/drawingml/2006/main">
                  <a:graphicData uri="http://schemas.microsoft.com/office/word/2010/wordprocessingShape">
                    <wps:wsp>
                      <wps:cNvSpPr/>
                      <wps:spPr>
                        <a:xfrm>
                          <a:off x="0" y="0"/>
                          <a:ext cx="1276350" cy="533400"/>
                        </a:xfrm>
                        <a:prstGeom prst="wedgeRoundRectCallout">
                          <a:avLst>
                            <a:gd name="adj1" fmla="val 78557"/>
                            <a:gd name="adj2" fmla="val 11904"/>
                            <a:gd name="adj3" fmla="val 16667"/>
                          </a:avLst>
                        </a:prstGeom>
                        <a:solidFill>
                          <a:srgbClr val="F2F2F2"/>
                        </a:solidFill>
                        <a:ln w="28575" cap="flat" cmpd="sng">
                          <a:solidFill>
                            <a:srgbClr val="000000"/>
                          </a:solidFill>
                          <a:prstDash val="solid"/>
                          <a:miter/>
                        </a:ln>
                      </wps:spPr>
                      <wps:txbx>
                        <w:txbxContent>
                          <w:p w14:paraId="2CFD05AE">
                            <w:pPr>
                              <w:jc w:val="center"/>
                              <w:rPr>
                                <w:b/>
                                <w:bCs/>
                                <w:color w:val="000000"/>
                                <w:sz w:val="28"/>
                                <w:szCs w:val="28"/>
                              </w:rPr>
                            </w:pPr>
                            <w:r>
                              <w:rPr>
                                <w:rFonts w:hint="eastAsia"/>
                                <w:b/>
                                <w:bCs/>
                                <w:color w:val="000000"/>
                                <w:sz w:val="28"/>
                                <w:szCs w:val="28"/>
                              </w:rPr>
                              <w:t>项目位置</w:t>
                            </w:r>
                          </w:p>
                        </w:txbxContent>
                      </wps:txbx>
                      <wps:bodyPr vert="horz" wrap="square" lIns="91440" tIns="45720" rIns="91440" bIns="45720" anchor="ctr">
                        <a:noAutofit/>
                      </wps:bodyPr>
                    </wps:wsp>
                  </a:graphicData>
                </a:graphic>
              </wp:anchor>
            </w:drawing>
          </mc:Choice>
          <mc:Fallback>
            <w:pict>
              <v:shape id="圆角矩形标注 336" o:spid="_x0000_s1026" o:spt="62" type="#_x0000_t62" style="position:absolute;left:0pt;margin-left:312.55pt;margin-top:259.6pt;height:42pt;width:100.5pt;z-index:251659264;v-text-anchor:middle;mso-width-relative:page;mso-height-relative:page;" fillcolor="#F2F2F2" filled="t" stroked="t" coordsize="21600,21600" o:gfxdata="UEsDBAoAAAAAAIdO4kAAAAAAAAAAAAAAAAAEAAAAZHJzL1BLAwQUAAAACACHTuJAbocU/NkAAAAL&#10;AQAADwAAAGRycy9kb3ducmV2LnhtbE2PzU7DMBCE70i8g7VI3Kgdo4QS4vSABAfEhbYC9ebGSxI1&#10;Xqex+/f2LCc47s7s7DfV4uwHccQp9oEMZDMFAqkJrqfWwHr1cjcHEZMlZ4dAaOCCERb19VVlSxdO&#10;9IHHZWoFh1AsrYEupbGUMjYdehtnYURi7TtM3iYep1a6yZ443A9SK1VIb3viD50d8bnDZrc8eMbY&#10;XFa7t33RPujPsI6vKX/ff22Mub3J1BOIhOf0Z4ZffL6Bmpm24UAuisFAofOMrQby7FGDYMdcF7zZ&#10;sqTuNci6kv871D9QSwMEFAAAAAgAh07iQG/t/XhsAgAA1gQAAA4AAABkcnMvZTJvRG9jLnhtbK1U&#10;y24TMRTdI/EPlvd0HskkadRJhRoFISGoWvgAx+PJGPmF7WRSPgD2rJFAbIA1az6nhc/g2jO0Scui&#10;CxIpuXd8fe4559pzdLyVAm2YdVyrEmcHKUZMUV1xtSrxq5eLRxOMnCeqIkIrVuIL5vDx7OGDo9ZM&#10;Wa4bLSpmEYAoN21NiRvvzTRJHG2YJO5AG6ZgsdZWEg+pXSWVJS2gS5HkaTpKWm0rYzVlzsHTebeI&#10;e0R7H0Bd15yyuaZryZTvUC0TxIMk13Dj8CyyrWtG/Yu6dswjUWJQ6uMvNIF4GX6T2RGZriwxDac9&#10;BXIfCrc0ScIVNL2GmhNP0NryO1CSU6udrv0B1TLphERHQEWW3vLmvCGGRS1gtTPXprv/B0ufb04t&#10;4hWchCwfY6SIhJlffnz3++uHX5++X/78cvX5/dWPb2gwGAWzWuOmsOfcnNo+cxAG5dvayvAPmtA2&#10;GnxxbTDbekThIbQYDQrwnsJaMRgM0ziB5Ga3sc4/YVqiEJS4ZdWKnem1qs5glCdECL320WiyeeZ8&#10;dLzqSZPqdYZRLQUMcEMEGk+KYtwPeKcm363JssN0eLdmsFczGo0iDtDsu0L0l2ig4LTg1YILERO7&#10;Wp4Ii4BCiRd5+IYGsGWvTCjUljifFOMC7CBwkWo4wBBKA8NwahVV7m1xu8hp/PwLOTCbE9d0DCJC&#10;p1Byz2xHRShgFGbZTS9Efrvc9iNd6uoCTgW8JGAEjbZvMWrhigCtN2tiGUbiqYIzeJgNh+FOxWRY&#10;jHNI7O7KcneFKApQJabeRmlKP157XXMfGAUCXdc+geMePeuvZrhPu3msunkdzf4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bocU/NkAAAALAQAADwAAAAAAAAABACAAAAAiAAAAZHJzL2Rvd25yZXYu&#10;eG1sUEsBAhQAFAAAAAgAh07iQG/t/XhsAgAA1gQAAA4AAAAAAAAAAQAgAAAAKAEAAGRycy9lMm9E&#10;b2MueG1sUEsFBgAAAAAGAAYAWQEAAAYGAAAAAA==&#10;" adj="27768,13371,14400">
                <v:fill on="t" focussize="0,0"/>
                <v:stroke weight="2.25pt" color="#000000" joinstyle="miter"/>
                <v:imagedata o:title=""/>
                <o:lock v:ext="edit" aspectratio="f"/>
                <v:textbox>
                  <w:txbxContent>
                    <w:p w14:paraId="2CFD05AE">
                      <w:pPr>
                        <w:jc w:val="center"/>
                        <w:rPr>
                          <w:b/>
                          <w:bCs/>
                          <w:color w:val="000000"/>
                          <w:sz w:val="28"/>
                          <w:szCs w:val="28"/>
                        </w:rPr>
                      </w:pPr>
                      <w:r>
                        <w:rPr>
                          <w:rFonts w:hint="eastAsia"/>
                          <w:b/>
                          <w:bCs/>
                          <w:color w:val="000000"/>
                          <w:sz w:val="28"/>
                          <w:szCs w:val="28"/>
                        </w:rPr>
                        <w:t>项目位置</w:t>
                      </w:r>
                    </w:p>
                  </w:txbxContent>
                </v:textbox>
              </v:shape>
            </w:pict>
          </mc:Fallback>
        </mc:AlternateContent>
      </w:r>
      <w:r>
        <w:rPr>
          <w:color w:val="auto"/>
          <w:highlight w:val="none"/>
        </w:rPr>
        <w:drawing>
          <wp:inline distT="0" distB="0" distL="0" distR="0">
            <wp:extent cx="7325360" cy="5222240"/>
            <wp:effectExtent l="28575" t="28575" r="37465" b="45085"/>
            <wp:docPr id="1128" name="图片 22"/>
            <wp:cNvGraphicFramePr/>
            <a:graphic xmlns:a="http://schemas.openxmlformats.org/drawingml/2006/main">
              <a:graphicData uri="http://schemas.openxmlformats.org/drawingml/2006/picture">
                <pic:pic xmlns:pic="http://schemas.openxmlformats.org/drawingml/2006/picture">
                  <pic:nvPicPr>
                    <pic:cNvPr id="1128" name="图片 22"/>
                    <pic:cNvPicPr/>
                  </pic:nvPicPr>
                  <pic:blipFill>
                    <a:blip r:embed="rId41" cstate="print"/>
                    <a:srcRect/>
                    <a:stretch>
                      <a:fillRect/>
                    </a:stretch>
                  </pic:blipFill>
                  <pic:spPr>
                    <a:xfrm>
                      <a:off x="0" y="0"/>
                      <a:ext cx="7325360" cy="5222240"/>
                    </a:xfrm>
                    <a:prstGeom prst="rect">
                      <a:avLst/>
                    </a:prstGeom>
                    <a:ln w="28575" cap="flat" cmpd="sng">
                      <a:solidFill>
                        <a:srgbClr val="000000"/>
                      </a:solidFill>
                      <a:prstDash val="solid"/>
                      <a:round/>
                    </a:ln>
                  </pic:spPr>
                </pic:pic>
              </a:graphicData>
            </a:graphic>
          </wp:inline>
        </w:drawing>
      </w:r>
    </w:p>
    <w:p w14:paraId="26D6882A">
      <w:pPr>
        <w:pStyle w:val="47"/>
        <w:jc w:val="center"/>
        <w:outlineLvl w:val="0"/>
        <w:rPr>
          <w:color w:val="auto"/>
          <w:highlight w:val="none"/>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720" w:num="1"/>
          <w:docGrid w:type="lines" w:linePitch="312" w:charSpace="0"/>
        </w:sectPr>
      </w:pPr>
      <w:bookmarkStart w:id="181" w:name="_Toc23970"/>
      <w:bookmarkStart w:id="182" w:name="_Toc6687"/>
      <w:r>
        <w:rPr>
          <w:b/>
          <w:bCs/>
          <w:color w:val="auto"/>
          <w:szCs w:val="22"/>
          <w:highlight w:val="none"/>
        </w:rPr>
        <w:t>附图1</w:t>
      </w:r>
      <w:r>
        <w:rPr>
          <w:rFonts w:hint="eastAsia"/>
          <w:b/>
          <w:bCs/>
          <w:color w:val="auto"/>
          <w:szCs w:val="22"/>
          <w:highlight w:val="none"/>
        </w:rPr>
        <w:t>1</w:t>
      </w:r>
      <w:r>
        <w:rPr>
          <w:b/>
          <w:bCs/>
          <w:color w:val="auto"/>
          <w:szCs w:val="22"/>
          <w:highlight w:val="none"/>
        </w:rPr>
        <w:t xml:space="preserve"> </w:t>
      </w:r>
      <w:r>
        <w:rPr>
          <w:rFonts w:hint="eastAsia"/>
          <w:b/>
          <w:bCs/>
          <w:color w:val="auto"/>
          <w:szCs w:val="22"/>
          <w:highlight w:val="none"/>
        </w:rPr>
        <w:t>生态管控单元分区图</w:t>
      </w:r>
      <w:bookmarkEnd w:id="181"/>
      <w:bookmarkEnd w:id="182"/>
    </w:p>
    <w:tbl>
      <w:tblPr>
        <w:tblStyle w:val="3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96"/>
        <w:gridCol w:w="4356"/>
      </w:tblGrid>
      <w:tr w14:paraId="108068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0" w:hRule="atLeast"/>
          <w:jc w:val="center"/>
        </w:trPr>
        <w:tc>
          <w:tcPr>
            <w:tcW w:w="4276" w:type="dxa"/>
            <w:vAlign w:val="center"/>
          </w:tcPr>
          <w:p w14:paraId="33B6A624">
            <w:pPr>
              <w:pStyle w:val="4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76" w:lineRule="auto"/>
              <w:ind w:left="0" w:right="0"/>
              <w:jc w:val="center"/>
              <w:textAlignment w:val="auto"/>
              <w:rPr>
                <w:rFonts w:hint="eastAsia" w:ascii="Times New Roman" w:eastAsia="宋体" w:cs="Times New Roman"/>
                <w:b/>
                <w:bCs/>
                <w:color w:val="auto"/>
                <w:sz w:val="21"/>
                <w:szCs w:val="21"/>
                <w:highlight w:val="none"/>
                <w:lang w:eastAsia="zh-CN"/>
              </w:rPr>
            </w:pPr>
            <w:r>
              <w:rPr>
                <w:rFonts w:hint="eastAsia" w:ascii="Times New Roman" w:eastAsia="宋体" w:cs="Times New Roman"/>
                <w:b/>
                <w:bCs/>
                <w:color w:val="auto"/>
                <w:sz w:val="21"/>
                <w:szCs w:val="21"/>
                <w:highlight w:val="none"/>
                <w:lang w:eastAsia="zh-CN"/>
              </w:rPr>
              <w:drawing>
                <wp:inline distT="0" distB="0" distL="0" distR="0">
                  <wp:extent cx="2572385" cy="1158240"/>
                  <wp:effectExtent l="0" t="0" r="18415" b="3810"/>
                  <wp:docPr id="1129" name="图片 18" descr="bfca8059a265b8b14a157329ef71c500"/>
                  <wp:cNvGraphicFramePr/>
                  <a:graphic xmlns:a="http://schemas.openxmlformats.org/drawingml/2006/main">
                    <a:graphicData uri="http://schemas.openxmlformats.org/drawingml/2006/picture">
                      <pic:pic xmlns:pic="http://schemas.openxmlformats.org/drawingml/2006/picture">
                        <pic:nvPicPr>
                          <pic:cNvPr id="1129" name="图片 18" descr="bfca8059a265b8b14a157329ef71c500"/>
                          <pic:cNvPicPr/>
                        </pic:nvPicPr>
                        <pic:blipFill>
                          <a:blip r:embed="rId42" cstate="print"/>
                          <a:srcRect/>
                          <a:stretch>
                            <a:fillRect/>
                          </a:stretch>
                        </pic:blipFill>
                        <pic:spPr>
                          <a:xfrm>
                            <a:off x="0" y="0"/>
                            <a:ext cx="2572385" cy="1158240"/>
                          </a:xfrm>
                          <a:prstGeom prst="rect">
                            <a:avLst/>
                          </a:prstGeom>
                        </pic:spPr>
                      </pic:pic>
                    </a:graphicData>
                  </a:graphic>
                </wp:inline>
              </w:drawing>
            </w:r>
          </w:p>
        </w:tc>
        <w:tc>
          <w:tcPr>
            <w:tcW w:w="4348" w:type="dxa"/>
            <w:vAlign w:val="center"/>
          </w:tcPr>
          <w:p w14:paraId="07C8AA11">
            <w:pPr>
              <w:pStyle w:val="4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76" w:lineRule="auto"/>
              <w:ind w:left="0" w:right="0"/>
              <w:jc w:val="center"/>
              <w:textAlignment w:val="auto"/>
              <w:rPr>
                <w:rFonts w:hint="eastAsia" w:ascii="Times New Roman" w:eastAsia="宋体" w:cs="Times New Roman"/>
                <w:b/>
                <w:bCs/>
                <w:color w:val="auto"/>
                <w:sz w:val="21"/>
                <w:szCs w:val="21"/>
                <w:highlight w:val="none"/>
                <w:lang w:eastAsia="zh-CN"/>
              </w:rPr>
            </w:pPr>
            <w:r>
              <w:rPr>
                <w:rFonts w:hint="eastAsia" w:ascii="Times New Roman" w:eastAsia="宋体" w:cs="Times New Roman"/>
                <w:b/>
                <w:bCs/>
                <w:color w:val="auto"/>
                <w:sz w:val="21"/>
                <w:szCs w:val="21"/>
                <w:highlight w:val="none"/>
                <w:lang w:eastAsia="zh-CN"/>
              </w:rPr>
              <w:drawing>
                <wp:inline distT="0" distB="0" distL="0" distR="0">
                  <wp:extent cx="2626995" cy="1182370"/>
                  <wp:effectExtent l="0" t="0" r="1905" b="17780"/>
                  <wp:docPr id="1130" name="图片 20" descr="ff89ca3aab1312eae1a11f32e96fece8"/>
                  <wp:cNvGraphicFramePr/>
                  <a:graphic xmlns:a="http://schemas.openxmlformats.org/drawingml/2006/main">
                    <a:graphicData uri="http://schemas.openxmlformats.org/drawingml/2006/picture">
                      <pic:pic xmlns:pic="http://schemas.openxmlformats.org/drawingml/2006/picture">
                        <pic:nvPicPr>
                          <pic:cNvPr id="1130" name="图片 20" descr="ff89ca3aab1312eae1a11f32e96fece8"/>
                          <pic:cNvPicPr/>
                        </pic:nvPicPr>
                        <pic:blipFill>
                          <a:blip r:embed="rId43" cstate="print"/>
                          <a:srcRect/>
                          <a:stretch>
                            <a:fillRect/>
                          </a:stretch>
                        </pic:blipFill>
                        <pic:spPr>
                          <a:xfrm>
                            <a:off x="0" y="0"/>
                            <a:ext cx="2626995" cy="1182370"/>
                          </a:xfrm>
                          <a:prstGeom prst="rect">
                            <a:avLst/>
                          </a:prstGeom>
                        </pic:spPr>
                      </pic:pic>
                    </a:graphicData>
                  </a:graphic>
                </wp:inline>
              </w:drawing>
            </w:r>
          </w:p>
        </w:tc>
      </w:tr>
      <w:tr w14:paraId="0AC45A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4276" w:type="dxa"/>
            <w:vAlign w:val="center"/>
          </w:tcPr>
          <w:p w14:paraId="4D7A1835">
            <w:pPr>
              <w:pStyle w:val="4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76" w:lineRule="auto"/>
              <w:ind w:left="0" w:right="0"/>
              <w:jc w:val="center"/>
              <w:textAlignment w:val="auto"/>
              <w:rPr>
                <w:rFonts w:hint="default" w:asci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 xml:space="preserve">项目东面 </w:t>
            </w:r>
            <w:r>
              <w:rPr>
                <w:rFonts w:hint="eastAsia" w:ascii="Times New Roman" w:cs="Times New Roman"/>
                <w:b/>
                <w:bCs/>
                <w:color w:val="auto"/>
                <w:sz w:val="21"/>
                <w:szCs w:val="21"/>
                <w:highlight w:val="none"/>
                <w:lang w:val="en-US" w:eastAsia="zh-CN"/>
              </w:rPr>
              <w:t>空地</w:t>
            </w:r>
          </w:p>
        </w:tc>
        <w:tc>
          <w:tcPr>
            <w:tcW w:w="4348" w:type="dxa"/>
            <w:vAlign w:val="center"/>
          </w:tcPr>
          <w:p w14:paraId="6458B9FE">
            <w:pPr>
              <w:pStyle w:val="4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76" w:lineRule="auto"/>
              <w:ind w:left="0" w:right="0"/>
              <w:jc w:val="center"/>
              <w:textAlignment w:val="auto"/>
              <w:rPr>
                <w:rFonts w:hint="eastAsia" w:ascii="Times New Roman" w:eastAsia="宋体" w:cs="Times New Roman"/>
                <w:b/>
                <w:bCs/>
                <w:color w:val="auto"/>
                <w:sz w:val="21"/>
                <w:szCs w:val="21"/>
                <w:highlight w:val="none"/>
                <w:lang w:eastAsia="zh-CN"/>
              </w:rPr>
            </w:pPr>
            <w:r>
              <w:rPr>
                <w:rFonts w:hint="eastAsia" w:ascii="Times New Roman" w:cs="Times New Roman"/>
                <w:b/>
                <w:bCs/>
                <w:color w:val="auto"/>
                <w:sz w:val="21"/>
                <w:szCs w:val="21"/>
                <w:highlight w:val="none"/>
              </w:rPr>
              <w:t>项目</w:t>
            </w:r>
            <w:r>
              <w:rPr>
                <w:rFonts w:hint="eastAsia" w:ascii="Times New Roman" w:cs="Times New Roman"/>
                <w:b/>
                <w:bCs/>
                <w:color w:val="auto"/>
                <w:sz w:val="21"/>
                <w:szCs w:val="21"/>
                <w:highlight w:val="none"/>
                <w:lang w:val="en-US" w:eastAsia="zh-CN"/>
              </w:rPr>
              <w:t>南</w:t>
            </w:r>
            <w:r>
              <w:rPr>
                <w:rFonts w:hint="eastAsia" w:ascii="Times New Roman" w:cs="Times New Roman"/>
                <w:b/>
                <w:bCs/>
                <w:color w:val="auto"/>
                <w:sz w:val="21"/>
                <w:szCs w:val="21"/>
                <w:highlight w:val="none"/>
              </w:rPr>
              <w:t xml:space="preserve">面 </w:t>
            </w:r>
            <w:r>
              <w:rPr>
                <w:rFonts w:hint="eastAsia" w:ascii="Times New Roman" w:cs="Times New Roman"/>
                <w:b/>
                <w:bCs/>
                <w:color w:val="auto"/>
                <w:sz w:val="21"/>
                <w:szCs w:val="21"/>
                <w:highlight w:val="none"/>
                <w:lang w:val="en-US" w:eastAsia="zh-CN"/>
              </w:rPr>
              <w:t>闲置</w:t>
            </w:r>
            <w:r>
              <w:rPr>
                <w:rFonts w:hint="eastAsia" w:ascii="Times New Roman" w:cs="Times New Roman"/>
                <w:b/>
                <w:bCs/>
                <w:color w:val="auto"/>
                <w:sz w:val="21"/>
                <w:szCs w:val="21"/>
                <w:highlight w:val="none"/>
                <w:lang w:eastAsia="zh-CN"/>
              </w:rPr>
              <w:t>厂房</w:t>
            </w:r>
          </w:p>
        </w:tc>
      </w:tr>
      <w:tr w14:paraId="5466F7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0" w:hRule="atLeast"/>
          <w:jc w:val="center"/>
        </w:trPr>
        <w:tc>
          <w:tcPr>
            <w:tcW w:w="4276" w:type="dxa"/>
            <w:vAlign w:val="center"/>
          </w:tcPr>
          <w:p w14:paraId="108FC406">
            <w:pPr>
              <w:pStyle w:val="4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76" w:lineRule="auto"/>
              <w:ind w:left="0" w:right="0"/>
              <w:jc w:val="center"/>
              <w:textAlignment w:val="auto"/>
              <w:rPr>
                <w:rFonts w:hint="eastAsia" w:ascii="Times New Roman" w:eastAsia="宋体" w:cs="Times New Roman"/>
                <w:b/>
                <w:bCs/>
                <w:color w:val="auto"/>
                <w:sz w:val="21"/>
                <w:szCs w:val="21"/>
                <w:highlight w:val="none"/>
                <w:lang w:eastAsia="zh-CN"/>
              </w:rPr>
            </w:pPr>
            <w:r>
              <w:rPr>
                <w:rFonts w:hint="eastAsia" w:ascii="Times New Roman" w:eastAsia="宋体" w:cs="Times New Roman"/>
                <w:b/>
                <w:bCs/>
                <w:color w:val="auto"/>
                <w:sz w:val="21"/>
                <w:szCs w:val="21"/>
                <w:highlight w:val="none"/>
                <w:lang w:eastAsia="zh-CN"/>
              </w:rPr>
              <w:drawing>
                <wp:inline distT="0" distB="0" distL="0" distR="0">
                  <wp:extent cx="2572385" cy="1158240"/>
                  <wp:effectExtent l="0" t="0" r="18415" b="3810"/>
                  <wp:docPr id="1131" name="图片 21" descr="c9aa9b4416cdd832f88144e7c6f80d6e"/>
                  <wp:cNvGraphicFramePr/>
                  <a:graphic xmlns:a="http://schemas.openxmlformats.org/drawingml/2006/main">
                    <a:graphicData uri="http://schemas.openxmlformats.org/drawingml/2006/picture">
                      <pic:pic xmlns:pic="http://schemas.openxmlformats.org/drawingml/2006/picture">
                        <pic:nvPicPr>
                          <pic:cNvPr id="1131" name="图片 21" descr="c9aa9b4416cdd832f88144e7c6f80d6e"/>
                          <pic:cNvPicPr/>
                        </pic:nvPicPr>
                        <pic:blipFill>
                          <a:blip r:embed="rId44" cstate="print"/>
                          <a:srcRect/>
                          <a:stretch>
                            <a:fillRect/>
                          </a:stretch>
                        </pic:blipFill>
                        <pic:spPr>
                          <a:xfrm>
                            <a:off x="0" y="0"/>
                            <a:ext cx="2572385" cy="1158240"/>
                          </a:xfrm>
                          <a:prstGeom prst="rect">
                            <a:avLst/>
                          </a:prstGeom>
                        </pic:spPr>
                      </pic:pic>
                    </a:graphicData>
                  </a:graphic>
                </wp:inline>
              </w:drawing>
            </w:r>
          </w:p>
        </w:tc>
        <w:tc>
          <w:tcPr>
            <w:tcW w:w="4348" w:type="dxa"/>
            <w:vAlign w:val="center"/>
          </w:tcPr>
          <w:p w14:paraId="6C02080E">
            <w:pPr>
              <w:pStyle w:val="4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76" w:lineRule="auto"/>
              <w:ind w:left="0" w:right="0"/>
              <w:jc w:val="center"/>
              <w:textAlignment w:val="auto"/>
              <w:rPr>
                <w:rFonts w:hint="eastAsia" w:ascii="Times New Roman" w:eastAsia="宋体" w:cs="Times New Roman"/>
                <w:b/>
                <w:bCs/>
                <w:color w:val="auto"/>
                <w:sz w:val="21"/>
                <w:szCs w:val="21"/>
                <w:highlight w:val="none"/>
                <w:lang w:eastAsia="zh-CN"/>
              </w:rPr>
            </w:pPr>
            <w:r>
              <w:rPr>
                <w:rFonts w:hint="eastAsia" w:ascii="Times New Roman" w:eastAsia="宋体" w:cs="Times New Roman"/>
                <w:b/>
                <w:bCs/>
                <w:color w:val="auto"/>
                <w:sz w:val="21"/>
                <w:szCs w:val="21"/>
                <w:highlight w:val="none"/>
                <w:lang w:eastAsia="zh-CN"/>
              </w:rPr>
              <w:drawing>
                <wp:inline distT="0" distB="0" distL="0" distR="0">
                  <wp:extent cx="2626995" cy="1182370"/>
                  <wp:effectExtent l="0" t="0" r="1905" b="17780"/>
                  <wp:docPr id="1132" name="图片 24" descr="20f00018e1ce80ba0ecd94a12eb85cb1"/>
                  <wp:cNvGraphicFramePr/>
                  <a:graphic xmlns:a="http://schemas.openxmlformats.org/drawingml/2006/main">
                    <a:graphicData uri="http://schemas.openxmlformats.org/drawingml/2006/picture">
                      <pic:pic xmlns:pic="http://schemas.openxmlformats.org/drawingml/2006/picture">
                        <pic:nvPicPr>
                          <pic:cNvPr id="1132" name="图片 24" descr="20f00018e1ce80ba0ecd94a12eb85cb1"/>
                          <pic:cNvPicPr/>
                        </pic:nvPicPr>
                        <pic:blipFill>
                          <a:blip r:embed="rId45" cstate="print"/>
                          <a:srcRect/>
                          <a:stretch>
                            <a:fillRect/>
                          </a:stretch>
                        </pic:blipFill>
                        <pic:spPr>
                          <a:xfrm>
                            <a:off x="0" y="0"/>
                            <a:ext cx="2626995" cy="1182370"/>
                          </a:xfrm>
                          <a:prstGeom prst="rect">
                            <a:avLst/>
                          </a:prstGeom>
                        </pic:spPr>
                      </pic:pic>
                    </a:graphicData>
                  </a:graphic>
                </wp:inline>
              </w:drawing>
            </w:r>
          </w:p>
        </w:tc>
      </w:tr>
      <w:tr w14:paraId="495F38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276" w:type="dxa"/>
            <w:vAlign w:val="center"/>
          </w:tcPr>
          <w:p w14:paraId="1C47C9F3">
            <w:pPr>
              <w:pStyle w:val="4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76" w:lineRule="auto"/>
              <w:ind w:left="0" w:right="0"/>
              <w:jc w:val="center"/>
              <w:textAlignment w:val="auto"/>
              <w:rPr>
                <w:rFonts w:hint="default" w:ascii="Times New Roman" w:eastAsia="宋体" w:cs="Times New Roman"/>
                <w:b/>
                <w:bCs/>
                <w:color w:val="auto"/>
                <w:sz w:val="21"/>
                <w:szCs w:val="21"/>
                <w:highlight w:val="none"/>
                <w:lang w:val="en-US" w:eastAsia="zh-CN"/>
              </w:rPr>
            </w:pPr>
            <w:r>
              <w:rPr>
                <w:rFonts w:hint="eastAsia" w:ascii="Times New Roman" w:cs="Times New Roman"/>
                <w:b/>
                <w:bCs/>
                <w:color w:val="auto"/>
                <w:sz w:val="21"/>
                <w:szCs w:val="21"/>
                <w:highlight w:val="none"/>
              </w:rPr>
              <w:t>项目</w:t>
            </w:r>
            <w:r>
              <w:rPr>
                <w:rFonts w:hint="eastAsia" w:ascii="Times New Roman" w:cs="Times New Roman"/>
                <w:b/>
                <w:bCs/>
                <w:color w:val="auto"/>
                <w:sz w:val="21"/>
                <w:szCs w:val="21"/>
                <w:highlight w:val="none"/>
                <w:lang w:val="en-US" w:eastAsia="zh-CN"/>
              </w:rPr>
              <w:t>西面 在建厂房</w:t>
            </w:r>
          </w:p>
        </w:tc>
        <w:tc>
          <w:tcPr>
            <w:tcW w:w="4348" w:type="dxa"/>
            <w:vAlign w:val="center"/>
          </w:tcPr>
          <w:p w14:paraId="538A9277">
            <w:pPr>
              <w:pStyle w:val="4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76" w:lineRule="auto"/>
              <w:ind w:left="0" w:right="0"/>
              <w:jc w:val="center"/>
              <w:textAlignment w:val="auto"/>
              <w:rPr>
                <w:rFonts w:hint="default" w:ascii="Times New Roman" w:eastAsia="宋体" w:cs="Times New Roman"/>
                <w:b/>
                <w:bCs/>
                <w:color w:val="auto"/>
                <w:sz w:val="21"/>
                <w:szCs w:val="21"/>
                <w:highlight w:val="none"/>
                <w:lang w:val="en-US" w:eastAsia="zh-CN"/>
              </w:rPr>
            </w:pPr>
            <w:r>
              <w:rPr>
                <w:rFonts w:hint="eastAsia" w:ascii="Times New Roman" w:cs="Times New Roman"/>
                <w:b/>
                <w:bCs/>
                <w:color w:val="auto"/>
                <w:sz w:val="21"/>
                <w:szCs w:val="21"/>
                <w:highlight w:val="none"/>
              </w:rPr>
              <w:t>项目</w:t>
            </w:r>
            <w:r>
              <w:rPr>
                <w:rFonts w:hint="eastAsia" w:ascii="Times New Roman" w:cs="Times New Roman"/>
                <w:b/>
                <w:bCs/>
                <w:color w:val="auto"/>
                <w:sz w:val="21"/>
                <w:szCs w:val="21"/>
                <w:highlight w:val="none"/>
                <w:lang w:val="en-US" w:eastAsia="zh-CN"/>
              </w:rPr>
              <w:t>北</w:t>
            </w:r>
            <w:r>
              <w:rPr>
                <w:rFonts w:hint="eastAsia" w:ascii="Times New Roman" w:cs="Times New Roman"/>
                <w:b/>
                <w:bCs/>
                <w:color w:val="auto"/>
                <w:sz w:val="21"/>
                <w:szCs w:val="21"/>
                <w:highlight w:val="none"/>
              </w:rPr>
              <w:t xml:space="preserve">面 </w:t>
            </w:r>
            <w:r>
              <w:rPr>
                <w:rFonts w:hint="eastAsia" w:ascii="Times New Roman" w:cs="Times New Roman"/>
                <w:b/>
                <w:bCs/>
                <w:color w:val="auto"/>
                <w:sz w:val="21"/>
                <w:szCs w:val="21"/>
                <w:highlight w:val="none"/>
                <w:lang w:val="en-US" w:eastAsia="zh-CN"/>
              </w:rPr>
              <w:t>在建厂房</w:t>
            </w:r>
          </w:p>
        </w:tc>
      </w:tr>
      <w:tr w14:paraId="0958CC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0" w:type="auto"/>
            <w:gridSpan w:val="2"/>
            <w:vAlign w:val="center"/>
          </w:tcPr>
          <w:p w14:paraId="4E5A56E7">
            <w:pPr>
              <w:pStyle w:val="4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76" w:lineRule="auto"/>
              <w:ind w:left="0" w:right="0"/>
              <w:jc w:val="center"/>
              <w:textAlignment w:val="auto"/>
              <w:rPr>
                <w:rFonts w:hint="eastAsia" w:ascii="Times New Roman" w:cs="Times New Roman"/>
                <w:b/>
                <w:bCs/>
                <w:color w:val="auto"/>
                <w:sz w:val="21"/>
                <w:szCs w:val="21"/>
                <w:highlight w:val="none"/>
              </w:rPr>
            </w:pPr>
            <w:bookmarkStart w:id="183" w:name="_Toc20038"/>
            <w:bookmarkStart w:id="184" w:name="_Toc28856"/>
            <w:r>
              <w:rPr>
                <w:rFonts w:hint="eastAsia" w:ascii="Times New Roman" w:cs="Times New Roman"/>
                <w:b/>
                <w:bCs/>
                <w:color w:val="auto"/>
                <w:sz w:val="21"/>
                <w:szCs w:val="21"/>
                <w:highlight w:val="none"/>
                <w:lang w:val="en-US" w:eastAsia="zh-CN"/>
              </w:rPr>
              <w:t>项目现状照片</w:t>
            </w:r>
          </w:p>
        </w:tc>
      </w:tr>
    </w:tbl>
    <w:p w14:paraId="31C08156">
      <w:pPr>
        <w:keepNext w:val="0"/>
        <w:keepLines w:val="0"/>
        <w:pageBreakBefore w:val="0"/>
        <w:widowControl w:val="0"/>
        <w:kinsoku w:val="0"/>
        <w:wordWrap/>
        <w:overflowPunct w:val="0"/>
        <w:topLinePunct w:val="0"/>
        <w:autoSpaceDE/>
        <w:autoSpaceDN/>
        <w:bidi w:val="0"/>
        <w:adjustRightInd w:val="0"/>
        <w:snapToGrid w:val="0"/>
        <w:spacing w:before="157" w:beforeLines="50"/>
        <w:ind w:firstLine="482" w:firstLineChars="200"/>
        <w:jc w:val="center"/>
        <w:textAlignment w:val="auto"/>
        <w:outlineLvl w:val="0"/>
        <w:rPr>
          <w:b/>
          <w:bCs/>
          <w:color w:val="auto"/>
          <w:szCs w:val="22"/>
          <w:highlight w:val="none"/>
        </w:rPr>
      </w:pPr>
      <w:bookmarkStart w:id="185" w:name="_Toc16737"/>
      <w:r>
        <w:rPr>
          <w:b/>
          <w:bCs/>
          <w:color w:val="auto"/>
          <w:szCs w:val="22"/>
          <w:highlight w:val="none"/>
        </w:rPr>
        <w:t>附图</w:t>
      </w:r>
      <w:r>
        <w:rPr>
          <w:rFonts w:hint="eastAsia"/>
          <w:b/>
          <w:bCs/>
          <w:color w:val="auto"/>
          <w:szCs w:val="22"/>
          <w:highlight w:val="none"/>
        </w:rPr>
        <w:t>1</w:t>
      </w:r>
      <w:r>
        <w:rPr>
          <w:rFonts w:hint="eastAsia"/>
          <w:b/>
          <w:bCs/>
          <w:color w:val="auto"/>
          <w:szCs w:val="22"/>
          <w:highlight w:val="none"/>
          <w:lang w:val="en-US" w:eastAsia="zh-CN"/>
        </w:rPr>
        <w:t>2</w:t>
      </w:r>
      <w:r>
        <w:rPr>
          <w:b/>
          <w:bCs/>
          <w:color w:val="auto"/>
          <w:szCs w:val="22"/>
          <w:highlight w:val="none"/>
        </w:rPr>
        <w:t xml:space="preserve"> 项目</w:t>
      </w:r>
      <w:r>
        <w:rPr>
          <w:rFonts w:hint="eastAsia"/>
          <w:b/>
          <w:bCs/>
          <w:color w:val="auto"/>
          <w:szCs w:val="22"/>
          <w:highlight w:val="none"/>
          <w:lang w:val="en-US" w:eastAsia="zh-CN"/>
        </w:rPr>
        <w:t>和项目</w:t>
      </w:r>
      <w:r>
        <w:rPr>
          <w:b/>
          <w:bCs/>
          <w:color w:val="auto"/>
          <w:szCs w:val="22"/>
          <w:highlight w:val="none"/>
        </w:rPr>
        <w:t>周边现状</w:t>
      </w:r>
      <w:r>
        <w:rPr>
          <w:rFonts w:hint="eastAsia"/>
          <w:b/>
          <w:bCs/>
          <w:color w:val="auto"/>
          <w:szCs w:val="22"/>
          <w:highlight w:val="none"/>
        </w:rPr>
        <w:t>图</w:t>
      </w:r>
      <w:bookmarkEnd w:id="183"/>
      <w:bookmarkEnd w:id="184"/>
      <w:bookmarkEnd w:id="185"/>
    </w:p>
    <w:p w14:paraId="0231ABEB">
      <w:pPr>
        <w:pStyle w:val="48"/>
        <w:ind w:right="-120"/>
        <w:rPr>
          <w:color w:val="auto"/>
          <w:highlight w:val="none"/>
        </w:rPr>
        <w:sectPr>
          <w:type w:val="continuous"/>
          <w:pgSz w:w="11906" w:h="16838"/>
          <w:pgMar w:top="1417" w:right="1134" w:bottom="1559" w:left="1417" w:header="851" w:footer="992" w:gutter="0"/>
          <w:pgBorders>
            <w:top w:val="none" w:sz="0" w:space="0"/>
            <w:left w:val="none" w:sz="0" w:space="0"/>
            <w:bottom w:val="none" w:sz="0" w:space="0"/>
            <w:right w:val="none" w:sz="0" w:space="0"/>
          </w:pgBorders>
          <w:pgNumType w:fmt="numberInDash"/>
          <w:cols w:space="720" w:num="1"/>
          <w:docGrid w:type="lines" w:linePitch="312" w:charSpace="0"/>
        </w:sectPr>
      </w:pPr>
    </w:p>
    <w:p w14:paraId="4B32BB3E">
      <w:pPr>
        <w:jc w:val="center"/>
        <w:rPr>
          <w:color w:val="auto"/>
          <w:highlight w:val="none"/>
        </w:rPr>
      </w:pPr>
      <w:r>
        <w:rPr>
          <w:color w:val="auto"/>
          <w:sz w:val="24"/>
          <w:highlight w:val="none"/>
        </w:rPr>
        <mc:AlternateContent>
          <mc:Choice Requires="wpg">
            <w:drawing>
              <wp:anchor distT="0" distB="0" distL="0" distR="0" simplePos="0" relativeHeight="251659264" behindDoc="0" locked="0" layoutInCell="1" allowOverlap="1">
                <wp:simplePos x="0" y="0"/>
                <wp:positionH relativeFrom="column">
                  <wp:posOffset>4284980</wp:posOffset>
                </wp:positionH>
                <wp:positionV relativeFrom="paragraph">
                  <wp:posOffset>2446655</wp:posOffset>
                </wp:positionV>
                <wp:extent cx="1740535" cy="919480"/>
                <wp:effectExtent l="6350" t="6350" r="24765" b="7620"/>
                <wp:wrapNone/>
                <wp:docPr id="1133" name="组合 264"/>
                <wp:cNvGraphicFramePr/>
                <a:graphic xmlns:a="http://schemas.openxmlformats.org/drawingml/2006/main">
                  <a:graphicData uri="http://schemas.microsoft.com/office/word/2010/wordprocessingGroup">
                    <wpg:wgp>
                      <wpg:cNvGrpSpPr/>
                      <wpg:grpSpPr>
                        <a:xfrm rot="0">
                          <a:off x="0" y="0"/>
                          <a:ext cx="1740535" cy="919479"/>
                          <a:chOff x="8884" y="1801423"/>
                          <a:chExt cx="2741" cy="1448"/>
                        </a:xfrm>
                      </wpg:grpSpPr>
                      <wps:wsp>
                        <wps:cNvPr id="13" name="圆角矩形标注 13"/>
                        <wps:cNvSpPr/>
                        <wps:spPr>
                          <a:xfrm>
                            <a:off x="8884" y="1802037"/>
                            <a:ext cx="1750" cy="834"/>
                          </a:xfrm>
                          <a:prstGeom prst="wedgeRoundRectCallout">
                            <a:avLst>
                              <a:gd name="adj1" fmla="val 95257"/>
                              <a:gd name="adj2" fmla="val -112949"/>
                              <a:gd name="adj3" fmla="val 16667"/>
                            </a:avLst>
                          </a:prstGeom>
                          <a:solidFill>
                            <a:srgbClr val="FFFFFF"/>
                          </a:solidFill>
                          <a:ln w="12700" cap="flat" cmpd="sng">
                            <a:solidFill>
                              <a:srgbClr val="000000"/>
                            </a:solidFill>
                            <a:prstDash val="solid"/>
                            <a:miter/>
                          </a:ln>
                        </wps:spPr>
                        <wps:txbx>
                          <w:txbxContent>
                            <w:p w14:paraId="3F261548">
                              <w:pPr>
                                <w:jc w:val="center"/>
                                <w:rPr>
                                  <w:b/>
                                  <w:bCs/>
                                  <w:sz w:val="28"/>
                                  <w:szCs w:val="28"/>
                                </w:rPr>
                              </w:pPr>
                              <w:r>
                                <w:rPr>
                                  <w:rFonts w:hint="eastAsia"/>
                                  <w:b/>
                                  <w:bCs/>
                                  <w:sz w:val="28"/>
                                  <w:szCs w:val="28"/>
                                </w:rPr>
                                <w:t>项目位置</w:t>
                              </w:r>
                            </w:p>
                          </w:txbxContent>
                        </wps:txbx>
                        <wps:bodyPr vert="horz" wrap="square" lIns="91440" tIns="45720" rIns="91440" bIns="45720" anchor="ctr">
                          <a:noAutofit/>
                        </wps:bodyPr>
                      </wps:wsp>
                      <wps:wsp>
                        <wps:cNvPr id="14" name="椭圆 14"/>
                        <wps:cNvSpPr/>
                        <wps:spPr>
                          <a:xfrm>
                            <a:off x="11455" y="1801423"/>
                            <a:ext cx="170" cy="170"/>
                          </a:xfrm>
                          <a:prstGeom prst="ellipse">
                            <a:avLst/>
                          </a:prstGeom>
                          <a:solidFill>
                            <a:srgbClr val="FF0000"/>
                          </a:solidFill>
                          <a:ln w="12700" cap="flat" cmpd="sng">
                            <a:solidFill>
                              <a:srgbClr val="2E75B5"/>
                            </a:solidFill>
                            <a:prstDash val="solid"/>
                            <a:miter/>
                          </a:ln>
                        </wps:spPr>
                        <wps:bodyPr/>
                      </wps:wsp>
                    </wpg:wgp>
                  </a:graphicData>
                </a:graphic>
              </wp:anchor>
            </w:drawing>
          </mc:Choice>
          <mc:Fallback>
            <w:pict>
              <v:group id="组合 264" o:spid="_x0000_s1026" o:spt="203" style="position:absolute;left:0pt;margin-left:337.4pt;margin-top:192.65pt;height:72.4pt;width:137.05pt;z-index:251659264;mso-width-relative:page;mso-height-relative:page;" coordorigin="8884,1801423" coordsize="2741,1448" o:gfxdata="UEsDBAoAAAAAAIdO4kAAAAAAAAAAAAAAAAAEAAAAZHJzL1BLAwQUAAAACACHTuJAEjYN1NwAAAAL&#10;AQAADwAAAGRycy9kb3ducmV2LnhtbE2PwU7DMBBE70j8g7VI3Kht0pQ0xKlQBZyqSrRIiNs23iZR&#10;YzuK3aT9e8wJjqMZzbwpVhfTsZEG3zqrQM4EMLKV062tFXzu3x4yYD6g1dg5Swqu5GFV3t4UmGs3&#10;2Q8ad6FmscT6HBU0IfQ5575qyKCfuZ5s9I5uMBiiHGquB5xiuen4oxALbrC1caHBntYNVafd2Sh4&#10;n3B6SeTruDkd19fvfbr92khS6v5OimdggS7hLwy/+BEdysh0cGerPesULJ7mET0oSLI0ARYTy3m2&#10;BHZQkCZCAi8L/v9D+QNQSwMEFAAAAAgAh07iQDDyOl47AwAAAQgAAA4AAABkcnMvZTJvRG9jLnht&#10;bL1Vy27UMBTdI/EPlvftxJlkHlGnFfQlJARVCx/gSZwHcuxge5opawQsEWskEEICFqxYIj6nLZ/B&#10;tZOZSUuRqlYii8g3tq/PPef4ZmNrXnJ0zJQupJhgsu5hxEQsk0JkE/z0yd7aCCNtqEgol4JN8AnT&#10;eGvz7p2NuoqYL3PJE6YQJBE6qqsJzo2pol5PxzkrqV6XFRMwmUpVUgOhynqJojVkL3nP97xBr5Yq&#10;qZSMmdbwdaeZxG1GdZ2EMk2LmO3IeFYyYZqsinFqoCSdF5XGmw5tmrLYPE5TzQziEwyVGveGQ2A8&#10;te/e5gaNMkWrvIhbCPQ6EC7VVNJCwKHLVDvUUDRTxV+pyiJWUsvUrMey7DWFOEagCuJd4mZfyVnl&#10;asmiOquWpINQl1i/cdr40fGBQkUCTiD9PkaClqD5+c+Xp2/fIH8QWILqKotg3b6qjqoD1X7ImsjW&#10;PE9ViZR03NoYqkJzR/HJkmI2NyiGj2QYeGE/xCiGuTEZB8Nxo0Gcg1B222g0CjCCWTLySOD3F9O7&#10;bQZ/GJBmOwmCkZ3tNRBgYJEugdUVGFSvWNO3Y+0opxVzYmjLxoK1JWen71/9/vLu/MO301+fzj6+&#10;PvvxFREH3uKADUvudKSBxgVxHcK6lftef9hUvmIuBNNa2kZ9J8uybBpVSpt9JktkBxNcsyRjh3Im&#10;kkO4ANuUczkzzp70+KE29sgsaaWmyTOgMy052P6YcjQO/bA9ubvG765ZI8QfB61w3VVAxioTGQwG&#10;LhMAbc+F0QKqBaElL5K9gnMXqGy6zRUCEBO8555W3AvLuEA1eMMfepYNCg0ohYsPw7ICE2uRuTov&#10;bNHdzJ57rspske1QnTcIXIZGgbIwTDU+48K5bCGhldbMp3N3J3Q0lckJ+AKaK4iQS/UCoxpaC8B6&#10;PqOKYcQfCHDhGIxre5ELgnDoQ6C6M9PuDBUxpJrg2ChXmpD3ZkamhbGILIDm1DYAw9sL+z+cD7e0&#10;6RZnn7+D+RFpm8U13U5IEEIfuHzRV3Zv3U6Grkv/2+2Mc2j59mq2Pmukuq7RrB+ussNtjebvDsP7&#10;4VWZb2i0RueF6k5o1/DgzwDiX/j1dGNnjNWfe/MP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sAUAAFtDb250ZW50X1R5cGVzXS54bWxQSwECFAAK&#10;AAAAAACHTuJAAAAAAAAAAAAAAAAABgAAAAAAAAAAABAAAACSBAAAX3JlbHMvUEsBAhQAFAAAAAgA&#10;h07iQIoUZjzRAAAAlAEAAAsAAAAAAAAAAQAgAAAAtgQAAF9yZWxzLy5yZWxzUEsBAhQACgAAAAAA&#10;h07iQAAAAAAAAAAAAAAAAAQAAAAAAAAAAAAQAAAAAAAAAGRycy9QSwECFAAUAAAACACHTuJAEjYN&#10;1NwAAAALAQAADwAAAAAAAAABACAAAAAiAAAAZHJzL2Rvd25yZXYueG1sUEsBAhQAFAAAAAgAh07i&#10;QDDyOl47AwAAAQgAAA4AAAAAAAAAAQAgAAAAKwEAAGRycy9lMm9Eb2MueG1sUEsFBgAAAAAGAAYA&#10;WQEAANgGAAAAAA==&#10;">
                <o:lock v:ext="edit" aspectratio="f"/>
                <v:shape id="_x0000_s1026" o:spid="_x0000_s1026" o:spt="62" type="#_x0000_t62" style="position:absolute;left:8884;top:1802037;height:834;width:1750;v-text-anchor:middle;" fillcolor="#FFFFFF" filled="t" stroked="t" coordsize="21600,21600" o:gfxdata="UEsDBAoAAAAAAIdO4kAAAAAAAAAAAAAAAAAEAAAAZHJzL1BLAwQUAAAACACHTuJAFnoAILoAAADb&#10;AAAADwAAAGRycy9kb3ducmV2LnhtbEVPTWsCMRC9F/ofwhR6q4mKRbZGEcFWehBWPXgcNtPN4may&#10;JFG3/vpGEHqbx/uc2aJ3rbhQiI1nDcOBAkFcedNwreGwX79NQcSEbLD1TBp+KcJi/vw0w8L4K5d0&#10;2aVa5BCOBWqwKXWFlLGy5DAOfEecuR8fHKYMQy1NwGsOd60cKfUuHTacGyx2tLJUnXZnp+GzL7+P&#10;PAnI9Tiq7f7L3pZVqfXry1B9gEjUp3/xw70xef4Y7r/kA+T8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WegAgugAAANsA&#10;AAAPAAAAAAAAAAEAIAAAACIAAABkcnMvZG93bnJldi54bWxQSwECFAAUAAAACACHTuJAMy8FnjsA&#10;AAA5AAAAEAAAAAAAAAABACAAAAAJAQAAZHJzL3NoYXBleG1sLnhtbFBLBQYAAAAABgAGAFsBAACz&#10;AwAAAAA=&#10;" adj="31376,-13597,14400">
                  <v:fill on="t" focussize="0,0"/>
                  <v:stroke weight="1pt" color="#000000" joinstyle="miter"/>
                  <v:imagedata o:title=""/>
                  <o:lock v:ext="edit" aspectratio="f"/>
                  <v:textbox>
                    <w:txbxContent>
                      <w:p w14:paraId="3F261548">
                        <w:pPr>
                          <w:jc w:val="center"/>
                          <w:rPr>
                            <w:b/>
                            <w:bCs/>
                            <w:sz w:val="28"/>
                            <w:szCs w:val="28"/>
                          </w:rPr>
                        </w:pPr>
                        <w:r>
                          <w:rPr>
                            <w:rFonts w:hint="eastAsia"/>
                            <w:b/>
                            <w:bCs/>
                            <w:sz w:val="28"/>
                            <w:szCs w:val="28"/>
                          </w:rPr>
                          <w:t>项目位置</w:t>
                        </w:r>
                      </w:p>
                    </w:txbxContent>
                  </v:textbox>
                </v:shape>
                <v:shape id="_x0000_s1026" o:spid="_x0000_s1026" o:spt="3" type="#_x0000_t3" style="position:absolute;left:11455;top:1801423;height:170;width:170;" fillcolor="#FF0000" filled="t" stroked="t" coordsize="21600,21600" o:gfxdata="UEsDBAoAAAAAAIdO4kAAAAAAAAAAAAAAAAAEAAAAZHJzL1BLAwQUAAAACACHTuJALrDlT7wAAADb&#10;AAAADwAAAGRycy9kb3ducmV2LnhtbEVPTWuDQBC9F/Iflgn0VldDKcW4CcFgqJdCTXvIbXAnauLO&#10;irvV5N93C4Xe5vE+J9veTC8mGl1nWUESxSCIa6s7bhR8HounVxDOI2vsLZOCOznYbhYPGabazvxB&#10;U+UbEULYpaig9X5IpXR1SwZdZAfiwJ3taNAHODZSjziHcNPLVRy/SIMdh4YWB8pbqq/Vt1EwfXW7&#10;oryX+UHuq8t7MZuyPh2Uelwm8RqEp5v/F/+533SY/wy/v4QD5OY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6w5U+8AAAA&#10;2wAAAA8AAAAAAAAAAQAgAAAAIgAAAGRycy9kb3ducmV2LnhtbFBLAQIUABQAAAAIAIdO4kAzLwWe&#10;OwAAADkAAAAQAAAAAAAAAAEAIAAAAAsBAABkcnMvc2hhcGV4bWwueG1sUEsFBgAAAAAGAAYAWwEA&#10;ALUDAAAAAA==&#10;">
                  <v:fill on="t" focussize="0,0"/>
                  <v:stroke weight="1pt" color="#2E75B5" joinstyle="miter"/>
                  <v:imagedata o:title=""/>
                  <o:lock v:ext="edit" aspectratio="f"/>
                </v:shape>
              </v:group>
            </w:pict>
          </mc:Fallback>
        </mc:AlternateContent>
      </w:r>
      <w:r>
        <w:rPr>
          <w:color w:val="auto"/>
          <w:highlight w:val="none"/>
        </w:rPr>
        <w:drawing>
          <wp:inline distT="0" distB="0" distL="0" distR="0">
            <wp:extent cx="7818120" cy="5196205"/>
            <wp:effectExtent l="28575" t="9525" r="40005" b="33020"/>
            <wp:docPr id="1136" name="图片 9"/>
            <wp:cNvGraphicFramePr/>
            <a:graphic xmlns:a="http://schemas.openxmlformats.org/drawingml/2006/main">
              <a:graphicData uri="http://schemas.openxmlformats.org/drawingml/2006/picture">
                <pic:pic xmlns:pic="http://schemas.openxmlformats.org/drawingml/2006/picture">
                  <pic:nvPicPr>
                    <pic:cNvPr id="1136" name="图片 9"/>
                    <pic:cNvPicPr/>
                  </pic:nvPicPr>
                  <pic:blipFill>
                    <a:blip r:embed="rId46" cstate="print"/>
                    <a:srcRect/>
                    <a:stretch>
                      <a:fillRect/>
                    </a:stretch>
                  </pic:blipFill>
                  <pic:spPr>
                    <a:xfrm>
                      <a:off x="0" y="0"/>
                      <a:ext cx="7818120" cy="5196205"/>
                    </a:xfrm>
                    <a:prstGeom prst="rect">
                      <a:avLst/>
                    </a:prstGeom>
                    <a:ln w="28575" cap="flat" cmpd="sng">
                      <a:solidFill>
                        <a:srgbClr val="000000"/>
                      </a:solidFill>
                      <a:prstDash val="solid"/>
                      <a:round/>
                    </a:ln>
                  </pic:spPr>
                </pic:pic>
              </a:graphicData>
            </a:graphic>
          </wp:inline>
        </w:drawing>
      </w:r>
    </w:p>
    <w:p w14:paraId="476B219F">
      <w:pPr>
        <w:pStyle w:val="46"/>
        <w:jc w:val="center"/>
        <w:outlineLvl w:val="0"/>
        <w:rPr>
          <w:rFonts w:hint="eastAsia" w:ascii="Times New Roman" w:cs="Times New Roman"/>
          <w:b/>
          <w:bCs/>
          <w:color w:val="auto"/>
          <w:highlight w:val="none"/>
        </w:rPr>
      </w:pPr>
      <w:bookmarkStart w:id="186" w:name="_Toc25232"/>
      <w:bookmarkStart w:id="187" w:name="_Toc22409"/>
      <w:r>
        <w:rPr>
          <w:rFonts w:hint="eastAsia" w:ascii="Times New Roman" w:cs="Times New Roman"/>
          <w:b/>
          <w:bCs/>
          <w:color w:val="auto"/>
          <w:highlight w:val="none"/>
        </w:rPr>
        <w:t>附图1</w:t>
      </w:r>
      <w:r>
        <w:rPr>
          <w:rFonts w:hint="eastAsia" w:ascii="Times New Roman" w:cs="Times New Roman"/>
          <w:b/>
          <w:bCs/>
          <w:color w:val="auto"/>
          <w:highlight w:val="none"/>
          <w:lang w:val="en-US" w:eastAsia="zh-CN"/>
        </w:rPr>
        <w:t>3-1</w:t>
      </w:r>
      <w:r>
        <w:rPr>
          <w:rFonts w:hint="eastAsia" w:ascii="Times New Roman" w:cs="Times New Roman"/>
          <w:b/>
          <w:bCs/>
          <w:color w:val="auto"/>
          <w:highlight w:val="none"/>
        </w:rPr>
        <w:t xml:space="preserve"> 广东省“三线一单”</w:t>
      </w:r>
      <w:r>
        <w:rPr>
          <w:rFonts w:hint="eastAsia" w:ascii="Times New Roman" w:cs="Times New Roman"/>
          <w:b/>
          <w:bCs/>
          <w:color w:val="auto"/>
          <w:highlight w:val="none"/>
          <w:lang w:val="en-US" w:eastAsia="zh-CN"/>
        </w:rPr>
        <w:t>平台陆域环境管控单元</w:t>
      </w:r>
      <w:r>
        <w:rPr>
          <w:rFonts w:hint="eastAsia" w:ascii="Times New Roman" w:cs="Times New Roman"/>
          <w:b/>
          <w:bCs/>
          <w:color w:val="auto"/>
          <w:highlight w:val="none"/>
        </w:rPr>
        <w:t>截图</w:t>
      </w:r>
      <w:bookmarkEnd w:id="186"/>
      <w:bookmarkEnd w:id="187"/>
    </w:p>
    <w:p w14:paraId="4B1FFF36">
      <w:pPr>
        <w:rPr>
          <w:rFonts w:hint="eastAsia" w:ascii="Times New Roman" w:cs="Times New Roman"/>
          <w:b/>
          <w:bCs/>
          <w:color w:val="auto"/>
          <w:highlight w:val="none"/>
        </w:rPr>
      </w:pPr>
      <w:r>
        <w:rPr>
          <w:rFonts w:hint="eastAsia" w:ascii="Times New Roman" w:cs="Times New Roman"/>
          <w:b/>
          <w:bCs/>
          <w:color w:val="auto"/>
          <w:highlight w:val="none"/>
        </w:rPr>
        <w:br w:type="page"/>
      </w:r>
    </w:p>
    <w:p w14:paraId="05B8E80E">
      <w:pPr>
        <w:jc w:val="center"/>
        <w:rPr>
          <w:color w:val="auto"/>
          <w:highlight w:val="none"/>
        </w:rPr>
      </w:pPr>
      <w:r>
        <w:rPr>
          <w:color w:val="auto"/>
          <w:sz w:val="24"/>
          <w:highlight w:val="none"/>
        </w:rPr>
        <mc:AlternateContent>
          <mc:Choice Requires="wpg">
            <w:drawing>
              <wp:anchor distT="0" distB="0" distL="0" distR="0" simplePos="0" relativeHeight="251659264" behindDoc="0" locked="0" layoutInCell="1" allowOverlap="1">
                <wp:simplePos x="0" y="0"/>
                <wp:positionH relativeFrom="column">
                  <wp:posOffset>4309110</wp:posOffset>
                </wp:positionH>
                <wp:positionV relativeFrom="paragraph">
                  <wp:posOffset>2449195</wp:posOffset>
                </wp:positionV>
                <wp:extent cx="1403350" cy="735965"/>
                <wp:effectExtent l="6350" t="6350" r="19050" b="19685"/>
                <wp:wrapNone/>
                <wp:docPr id="1137" name="组合 265"/>
                <wp:cNvGraphicFramePr/>
                <a:graphic xmlns:a="http://schemas.openxmlformats.org/drawingml/2006/main">
                  <a:graphicData uri="http://schemas.microsoft.com/office/word/2010/wordprocessingGroup">
                    <wpg:wgp>
                      <wpg:cNvGrpSpPr/>
                      <wpg:grpSpPr>
                        <a:xfrm rot="0">
                          <a:off x="0" y="0"/>
                          <a:ext cx="1403350" cy="735964"/>
                          <a:chOff x="8656" y="1801729"/>
                          <a:chExt cx="2475" cy="1282"/>
                        </a:xfrm>
                      </wpg:grpSpPr>
                      <wps:wsp>
                        <wps:cNvPr id="15" name="圆角矩形标注 15"/>
                        <wps:cNvSpPr/>
                        <wps:spPr>
                          <a:xfrm>
                            <a:off x="8656" y="1802177"/>
                            <a:ext cx="1750" cy="834"/>
                          </a:xfrm>
                          <a:prstGeom prst="wedgeRoundRectCallout">
                            <a:avLst>
                              <a:gd name="adj1" fmla="val 80018"/>
                              <a:gd name="adj2" fmla="val -91515"/>
                              <a:gd name="adj3" fmla="val 16667"/>
                            </a:avLst>
                          </a:prstGeom>
                          <a:solidFill>
                            <a:srgbClr val="FFFFFF"/>
                          </a:solidFill>
                          <a:ln w="12700" cap="flat" cmpd="sng">
                            <a:solidFill>
                              <a:srgbClr val="000000"/>
                            </a:solidFill>
                            <a:prstDash val="solid"/>
                            <a:miter/>
                          </a:ln>
                        </wps:spPr>
                        <wps:txbx>
                          <w:txbxContent>
                            <w:p w14:paraId="19C28AF9">
                              <w:pPr>
                                <w:jc w:val="center"/>
                                <w:rPr>
                                  <w:b/>
                                  <w:bCs/>
                                  <w:sz w:val="28"/>
                                  <w:szCs w:val="28"/>
                                </w:rPr>
                              </w:pPr>
                              <w:r>
                                <w:rPr>
                                  <w:rFonts w:hint="eastAsia"/>
                                  <w:b/>
                                  <w:bCs/>
                                  <w:sz w:val="28"/>
                                  <w:szCs w:val="28"/>
                                </w:rPr>
                                <w:t>项目位置</w:t>
                              </w:r>
                            </w:p>
                          </w:txbxContent>
                        </wps:txbx>
                        <wps:bodyPr vert="horz" wrap="square" lIns="91440" tIns="45720" rIns="91440" bIns="45720" anchor="ctr">
                          <a:noAutofit/>
                        </wps:bodyPr>
                      </wps:wsp>
                      <wps:wsp>
                        <wps:cNvPr id="16" name="椭圆 16"/>
                        <wps:cNvSpPr/>
                        <wps:spPr>
                          <a:xfrm>
                            <a:off x="10961" y="1801729"/>
                            <a:ext cx="170" cy="170"/>
                          </a:xfrm>
                          <a:prstGeom prst="ellipse">
                            <a:avLst/>
                          </a:prstGeom>
                          <a:solidFill>
                            <a:srgbClr val="FF0000"/>
                          </a:solidFill>
                          <a:ln w="12700" cap="flat" cmpd="sng">
                            <a:solidFill>
                              <a:srgbClr val="2E75B5"/>
                            </a:solidFill>
                            <a:prstDash val="solid"/>
                            <a:miter/>
                          </a:ln>
                        </wps:spPr>
                        <wps:bodyPr/>
                      </wps:wsp>
                    </wpg:wgp>
                  </a:graphicData>
                </a:graphic>
              </wp:anchor>
            </w:drawing>
          </mc:Choice>
          <mc:Fallback>
            <w:pict>
              <v:group id="组合 265" o:spid="_x0000_s1026" o:spt="203" style="position:absolute;left:0pt;margin-left:339.3pt;margin-top:192.85pt;height:57.95pt;width:110.5pt;z-index:251659264;mso-width-relative:page;mso-height-relative:page;" coordorigin="8656,1801729" coordsize="2475,1282" o:gfxdata="UEsDBAoAAAAAAIdO4kAAAAAAAAAAAAAAAAAEAAAAZHJzL1BLAwQUAAAACACHTuJAavofb9wAAAAL&#10;AQAADwAAAGRycy9kb3ducmV2LnhtbE2PwU7DMAyG70i8Q2QkbiwJU7uuqzuhCThNSGxIaLes8dpq&#10;TVI1Wbu9PeEER9uffn9/sb6ajo00+NZZBDkTwMhWTre2Rvjavz1lwHxQVqvOWUK4kYd1eX9XqFy7&#10;yX7SuAs1iyHW5wqhCaHPOfdVQ0b5mevJxtvJDUaFOA4114OaYrjp+LMQKTeqtfFDo3raNFSddxeD&#10;8D6p6WUuX8ft+bS5HfbJx/dWEuLjgxQrYIGu4Q+GX/2oDmV0OrqL1Z51COkiSyOKMM+SBbBIZMtl&#10;3BwREiFT4GXB/3cofwBQSwMEFAAAAAgAh07iQB1HRfJAAwAAAAgAAA4AAABkcnMvZTJvRG9jLnht&#10;bL1VzW7UMBC+I/EOlu/txtndZDfqtgJKKyQEiJ8H8CbOD3LsYHubLWcEHBFnJBBCAg6cOCIep4XH&#10;YGxnt9kCogKJHCJPxh5/8803k529Zc3REVO6kmKGyXaAEROpzCpRzPCD+wdbE4y0oSKjXAo2w8dM&#10;473dy5d22iZhoSwlz5hCEETopG1muDSmSQYDnZaspnpbNkyAM5eqpgZMVQwyRVuIXvNBGATRoJUq&#10;a5RMmdbwdd87cRdRXSSgzPMqZfsyXdRMGB9VMU4NpKTLqtF416HNc5aa23mumUF8hiFT495wCazn&#10;9j3Y3aFJoWhTVmkHgV4EwrmcaloJuHQdap8aihaq+ilUXaVKapmb7VTWA5+IYwSyIME5bg6VXDQu&#10;lyJpi2ZNOhTqHOt/HTa9dXRHoSoDJZBhjJGgNdT825cnJy+eozAaW4Lapkhg36Fq7jV3VPeh8JbN&#10;eZmrGinpuLU2ZIWWjuLjNcVsaVAKH8koGA7HwH4Kvng4nkYjX4O0hELZY5NoHGEEXjIJSBxOV+7r&#10;XYRwFI/9cRJOQusdeAiwsEjXwNoGBKrPWNP/xtq9kjbMFUNbNlasARbP2cmrp9/fv/z2+uPJ17en&#10;b56dfv6ASEefO7DmTicaaFwR1yOsn3lI4thnvmYuXtE2GTrO1mnTpFHaHDJZI7uY4ZZlBbsrFyK7&#10;Cw1wjXIuF8bJkx7d1MZeWWQdbJo9JBjlNQfZH1GOJkFAJv7m/p6wv2drSsY+t81Aw/4mEkWRSwFw&#10;dtfCaoXUYtCSV9lBxbkzVDG/xhUCDDN84J6uthvbuEAtSCOMA6shCvMnh76HZd2AhrUoXJobR3Q/&#10;cuCeX0W2yPapLj0CF8HTUFeGKS8zLpzIVhW0CjPL+dK1hE7mMjsGWcBshRqUUj3GqIXJArAeLahi&#10;GPEbAkQ4JaORHUXOGI3jEAzV98z7HipSCDXDqVEuNSGvLIzMK2MRWQD+1s4Avdt+/R/Chyb1wj99&#10;9wm0j0hk6bJ3Q3f8WewkmEYgvPN9fqb2bkaQ2A3p34udcQ4T33ZmpzNfqosKzerhV3L4V6GF1+Px&#10;Vdf/AH1Dj38pNF/nVdVdod28gx8DFH/jz9O3nTDOfty7P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1BQAAW0NvbnRlbnRfVHlwZXNdLnhtbFBL&#10;AQIUAAoAAAAAAIdO4kAAAAAAAAAAAAAAAAAGAAAAAAAAAAAAEAAAAJcEAABfcmVscy9QSwECFAAU&#10;AAAACACHTuJAihRmPNEAAACUAQAACwAAAAAAAAABACAAAAC7BAAAX3JlbHMvLnJlbHNQSwECFAAK&#10;AAAAAACHTuJAAAAAAAAAAAAAAAAABAAAAAAAAAAAABAAAAAAAAAAZHJzL1BLAQIUABQAAAAIAIdO&#10;4kBq+h9v3AAAAAsBAAAPAAAAAAAAAAEAIAAAACIAAABkcnMvZG93bnJldi54bWxQSwECFAAUAAAA&#10;CACHTuJAHUdF8kADAAAACAAADgAAAAAAAAABACAAAAArAQAAZHJzL2Uyb0RvYy54bWxQSwUGAAAA&#10;AAYABgBZAQAA3QYAAAAA&#10;">
                <o:lock v:ext="edit" aspectratio="f"/>
                <v:shape id="_x0000_s1026" o:spid="_x0000_s1026" o:spt="62" type="#_x0000_t62" style="position:absolute;left:8656;top:1802177;height:834;width:1750;v-text-anchor:middle;" fillcolor="#FFFFFF" filled="t" stroked="t" coordsize="21600,21600" o:gfxdata="UEsDBAoAAAAAAIdO4kAAAAAAAAAAAAAAAAAEAAAAZHJzL1BLAwQUAAAACACHTuJAQuFxw7YAAADb&#10;AAAADwAAAGRycy9kb3ducmV2LnhtbEVPSwrCMBDdC94hjODOpgqKVqOgKLhwoVX3QzO2xWZSm/i7&#10;vREEd/N435ktXqYSD2pcaVlBP4pBEGdWl5wrOB03vTEI55E1VpZJwZscLObt1gwTbZ98oEfqcxFC&#10;2CWooPC+TqR0WUEGXWRr4sBdbGPQB9jkUjf4DOGmkoM4HkmDJYeGAmtaFZRd07tRsJ/422CXWn1Y&#10;2/e5WtdZuRyOlep2+vEUhKeX/4t/7q0O84fw/SUcIOc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ELhccO2AAAA2wAAAA8A&#10;AAAAAAAAAQAgAAAAIgAAAGRycy9kb3ducmV2LnhtbFBLAQIUABQAAAAIAIdO4kAzLwWeOwAAADkA&#10;AAAQAAAAAAAAAAEAIAAAAAUBAABkcnMvc2hhcGV4bWwueG1sUEsFBgAAAAAGAAYAWwEAAK8DAAAA&#10;AA==&#10;" adj="28084,-8967,14400">
                  <v:fill on="t" focussize="0,0"/>
                  <v:stroke weight="1pt" color="#000000" joinstyle="miter"/>
                  <v:imagedata o:title=""/>
                  <o:lock v:ext="edit" aspectratio="f"/>
                  <v:textbox>
                    <w:txbxContent>
                      <w:p w14:paraId="19C28AF9">
                        <w:pPr>
                          <w:jc w:val="center"/>
                          <w:rPr>
                            <w:b/>
                            <w:bCs/>
                            <w:sz w:val="28"/>
                            <w:szCs w:val="28"/>
                          </w:rPr>
                        </w:pPr>
                        <w:r>
                          <w:rPr>
                            <w:rFonts w:hint="eastAsia"/>
                            <w:b/>
                            <w:bCs/>
                            <w:sz w:val="28"/>
                            <w:szCs w:val="28"/>
                          </w:rPr>
                          <w:t>项目位置</w:t>
                        </w:r>
                      </w:p>
                    </w:txbxContent>
                  </v:textbox>
                </v:shape>
                <v:shape id="_x0000_s1026" o:spid="_x0000_s1026" o:spt="3" type="#_x0000_t3" style="position:absolute;left:10961;top:1801729;height:170;width:170;" fillcolor="#FF0000" filled="t" stroked="t" coordsize="21600,21600" o:gfxdata="UEsDBAoAAAAAAIdO4kAAAAAAAAAAAAAAAAAEAAAAZHJzL1BLAwQUAAAACACHTuJAsS7eo7wAAADb&#10;AAAADwAAAGRycy9kb3ducmV2LnhtbEVPTWuDQBC9B/oflinklqz2EIp1I8GixEugNj30NrhTNXVn&#10;xd1q8u+zhUJv83ifk2ZXM4iZJtdbVhBvIxDEjdU9twrO78XmGYTzyBoHy6TgRg6y/cMqxUTbhd9o&#10;rn0rQgi7BBV03o+JlK7pyKDb2pE4cF92MugDnFqpJ1xCuBnkUxTtpMGeQ0OHI+UdNd/1j1Ewf/SH&#10;orpVeSlf68upWEzVfJZKrR/j6AWEp6v/F/+5jzrM38HvL+EAub8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Eu3qO8AAAA&#10;2wAAAA8AAAAAAAAAAQAgAAAAIgAAAGRycy9kb3ducmV2LnhtbFBLAQIUABQAAAAIAIdO4kAzLwWe&#10;OwAAADkAAAAQAAAAAAAAAAEAIAAAAAsBAABkcnMvc2hhcGV4bWwueG1sUEsFBgAAAAAGAAYAWwEA&#10;ALUDAAAAAA==&#10;">
                  <v:fill on="t" focussize="0,0"/>
                  <v:stroke weight="1pt" color="#2E75B5" joinstyle="miter"/>
                  <v:imagedata o:title=""/>
                  <o:lock v:ext="edit" aspectratio="f"/>
                </v:shape>
              </v:group>
            </w:pict>
          </mc:Fallback>
        </mc:AlternateContent>
      </w:r>
      <w:r>
        <w:rPr>
          <w:color w:val="auto"/>
          <w:highlight w:val="none"/>
        </w:rPr>
        <w:drawing>
          <wp:inline distT="0" distB="0" distL="0" distR="0">
            <wp:extent cx="8426450" cy="5177155"/>
            <wp:effectExtent l="28575" t="9525" r="41275" b="33020"/>
            <wp:docPr id="1140" name="图片 10"/>
            <wp:cNvGraphicFramePr/>
            <a:graphic xmlns:a="http://schemas.openxmlformats.org/drawingml/2006/main">
              <a:graphicData uri="http://schemas.openxmlformats.org/drawingml/2006/picture">
                <pic:pic xmlns:pic="http://schemas.openxmlformats.org/drawingml/2006/picture">
                  <pic:nvPicPr>
                    <pic:cNvPr id="1140" name="图片 10"/>
                    <pic:cNvPicPr/>
                  </pic:nvPicPr>
                  <pic:blipFill>
                    <a:blip r:embed="rId47" cstate="print"/>
                    <a:srcRect/>
                    <a:stretch>
                      <a:fillRect/>
                    </a:stretch>
                  </pic:blipFill>
                  <pic:spPr>
                    <a:xfrm>
                      <a:off x="0" y="0"/>
                      <a:ext cx="8426450" cy="5177155"/>
                    </a:xfrm>
                    <a:prstGeom prst="rect">
                      <a:avLst/>
                    </a:prstGeom>
                    <a:ln w="28575" cap="flat" cmpd="sng">
                      <a:solidFill>
                        <a:srgbClr val="000000"/>
                      </a:solidFill>
                      <a:prstDash val="solid"/>
                      <a:round/>
                    </a:ln>
                  </pic:spPr>
                </pic:pic>
              </a:graphicData>
            </a:graphic>
          </wp:inline>
        </w:drawing>
      </w:r>
    </w:p>
    <w:p w14:paraId="576C180D">
      <w:pPr>
        <w:pStyle w:val="46"/>
        <w:jc w:val="center"/>
        <w:outlineLvl w:val="0"/>
        <w:rPr>
          <w:rFonts w:hint="eastAsia" w:ascii="Times New Roman" w:cs="Times New Roman"/>
          <w:b/>
          <w:bCs/>
          <w:color w:val="auto"/>
          <w:highlight w:val="none"/>
        </w:rPr>
      </w:pPr>
      <w:bookmarkStart w:id="188" w:name="_Toc11254"/>
      <w:bookmarkStart w:id="189" w:name="_Toc19902"/>
      <w:r>
        <w:rPr>
          <w:rFonts w:hint="eastAsia" w:ascii="Times New Roman" w:cs="Times New Roman"/>
          <w:b/>
          <w:bCs/>
          <w:color w:val="auto"/>
          <w:highlight w:val="none"/>
        </w:rPr>
        <w:t>附图1</w:t>
      </w:r>
      <w:r>
        <w:rPr>
          <w:rFonts w:hint="eastAsia" w:ascii="Times New Roman" w:cs="Times New Roman"/>
          <w:b/>
          <w:bCs/>
          <w:color w:val="auto"/>
          <w:highlight w:val="none"/>
          <w:lang w:val="en-US" w:eastAsia="zh-CN"/>
        </w:rPr>
        <w:t>3-2</w:t>
      </w:r>
      <w:r>
        <w:rPr>
          <w:rFonts w:hint="eastAsia" w:ascii="Times New Roman" w:cs="Times New Roman"/>
          <w:b/>
          <w:bCs/>
          <w:color w:val="auto"/>
          <w:highlight w:val="none"/>
        </w:rPr>
        <w:t xml:space="preserve"> 广东省“三线一单”</w:t>
      </w:r>
      <w:r>
        <w:rPr>
          <w:rFonts w:hint="eastAsia" w:ascii="Times New Roman" w:cs="Times New Roman"/>
          <w:b/>
          <w:bCs/>
          <w:color w:val="auto"/>
          <w:highlight w:val="none"/>
          <w:lang w:val="en-US" w:eastAsia="zh-CN"/>
        </w:rPr>
        <w:t>平台生态空间一般管控区</w:t>
      </w:r>
      <w:r>
        <w:rPr>
          <w:rFonts w:hint="eastAsia" w:ascii="Times New Roman" w:cs="Times New Roman"/>
          <w:b/>
          <w:bCs/>
          <w:color w:val="auto"/>
          <w:highlight w:val="none"/>
        </w:rPr>
        <w:t>截图</w:t>
      </w:r>
      <w:bookmarkEnd w:id="188"/>
      <w:bookmarkEnd w:id="189"/>
    </w:p>
    <w:p w14:paraId="59F57C96">
      <w:pPr>
        <w:rPr>
          <w:rFonts w:hint="eastAsia" w:ascii="Times New Roman" w:cs="Times New Roman"/>
          <w:b/>
          <w:bCs/>
          <w:color w:val="auto"/>
          <w:highlight w:val="none"/>
        </w:rPr>
      </w:pPr>
      <w:r>
        <w:rPr>
          <w:rFonts w:hint="eastAsia" w:ascii="Times New Roman" w:cs="Times New Roman"/>
          <w:b/>
          <w:bCs/>
          <w:color w:val="auto"/>
          <w:highlight w:val="none"/>
        </w:rPr>
        <w:br w:type="page"/>
      </w:r>
    </w:p>
    <w:p w14:paraId="30DDEAF3">
      <w:pPr>
        <w:pStyle w:val="46"/>
        <w:keepNext w:val="0"/>
        <w:keepLines w:val="0"/>
        <w:pageBreakBefore w:val="0"/>
        <w:widowControl w:val="0"/>
        <w:kinsoku/>
        <w:wordWrap/>
        <w:overflowPunct/>
        <w:topLinePunct w:val="0"/>
        <w:autoSpaceDE w:val="0"/>
        <w:autoSpaceDN w:val="0"/>
        <w:bidi w:val="0"/>
        <w:adjustRightInd w:val="0"/>
        <w:snapToGrid/>
        <w:spacing w:line="276" w:lineRule="auto"/>
        <w:jc w:val="center"/>
        <w:textAlignment w:val="auto"/>
        <w:outlineLvl w:val="9"/>
        <w:rPr>
          <w:color w:val="auto"/>
          <w:highlight w:val="none"/>
        </w:rPr>
      </w:pPr>
      <w:r>
        <w:rPr>
          <w:color w:val="auto"/>
          <w:sz w:val="24"/>
          <w:highlight w:val="none"/>
        </w:rPr>
        <mc:AlternateContent>
          <mc:Choice Requires="wpg">
            <w:drawing>
              <wp:anchor distT="0" distB="0" distL="0" distR="0" simplePos="0" relativeHeight="251659264" behindDoc="0" locked="0" layoutInCell="1" allowOverlap="1">
                <wp:simplePos x="0" y="0"/>
                <wp:positionH relativeFrom="column">
                  <wp:posOffset>4593590</wp:posOffset>
                </wp:positionH>
                <wp:positionV relativeFrom="paragraph">
                  <wp:posOffset>2727325</wp:posOffset>
                </wp:positionV>
                <wp:extent cx="1740535" cy="919480"/>
                <wp:effectExtent l="6350" t="6350" r="24765" b="7620"/>
                <wp:wrapNone/>
                <wp:docPr id="1141" name="组合 268"/>
                <wp:cNvGraphicFramePr/>
                <a:graphic xmlns:a="http://schemas.openxmlformats.org/drawingml/2006/main">
                  <a:graphicData uri="http://schemas.microsoft.com/office/word/2010/wordprocessingGroup">
                    <wpg:wgp>
                      <wpg:cNvGrpSpPr/>
                      <wpg:grpSpPr>
                        <a:xfrm rot="0">
                          <a:off x="0" y="0"/>
                          <a:ext cx="1740534" cy="919479"/>
                          <a:chOff x="8884" y="1801423"/>
                          <a:chExt cx="2741" cy="1448"/>
                        </a:xfrm>
                      </wpg:grpSpPr>
                      <wps:wsp>
                        <wps:cNvPr id="17" name="圆角矩形标注 17"/>
                        <wps:cNvSpPr/>
                        <wps:spPr>
                          <a:xfrm>
                            <a:off x="8884" y="1802037"/>
                            <a:ext cx="1750" cy="834"/>
                          </a:xfrm>
                          <a:prstGeom prst="wedgeRoundRectCallout">
                            <a:avLst>
                              <a:gd name="adj1" fmla="val 95257"/>
                              <a:gd name="adj2" fmla="val -112949"/>
                              <a:gd name="adj3" fmla="val 16667"/>
                            </a:avLst>
                          </a:prstGeom>
                          <a:solidFill>
                            <a:srgbClr val="FFFFFF"/>
                          </a:solidFill>
                          <a:ln w="12700" cap="flat" cmpd="sng">
                            <a:solidFill>
                              <a:srgbClr val="000000"/>
                            </a:solidFill>
                            <a:prstDash val="solid"/>
                            <a:miter/>
                          </a:ln>
                        </wps:spPr>
                        <wps:txbx>
                          <w:txbxContent>
                            <w:p w14:paraId="4B7A302F">
                              <w:pPr>
                                <w:jc w:val="center"/>
                                <w:rPr>
                                  <w:b/>
                                  <w:bCs/>
                                  <w:sz w:val="28"/>
                                  <w:szCs w:val="28"/>
                                </w:rPr>
                              </w:pPr>
                              <w:r>
                                <w:rPr>
                                  <w:rFonts w:hint="eastAsia"/>
                                  <w:b/>
                                  <w:bCs/>
                                  <w:sz w:val="28"/>
                                  <w:szCs w:val="28"/>
                                </w:rPr>
                                <w:t>项目位置</w:t>
                              </w:r>
                            </w:p>
                          </w:txbxContent>
                        </wps:txbx>
                        <wps:bodyPr vert="horz" wrap="square" lIns="91440" tIns="45720" rIns="91440" bIns="45720" anchor="ctr">
                          <a:noAutofit/>
                        </wps:bodyPr>
                      </wps:wsp>
                      <wps:wsp>
                        <wps:cNvPr id="18" name="椭圆 18"/>
                        <wps:cNvSpPr/>
                        <wps:spPr>
                          <a:xfrm>
                            <a:off x="11455" y="1801423"/>
                            <a:ext cx="170" cy="170"/>
                          </a:xfrm>
                          <a:prstGeom prst="ellipse">
                            <a:avLst/>
                          </a:prstGeom>
                          <a:solidFill>
                            <a:srgbClr val="FF0000"/>
                          </a:solidFill>
                          <a:ln w="12700" cap="flat" cmpd="sng">
                            <a:solidFill>
                              <a:srgbClr val="2E75B5"/>
                            </a:solidFill>
                            <a:prstDash val="solid"/>
                            <a:miter/>
                          </a:ln>
                        </wps:spPr>
                        <wps:bodyPr/>
                      </wps:wsp>
                    </wpg:wgp>
                  </a:graphicData>
                </a:graphic>
              </wp:anchor>
            </w:drawing>
          </mc:Choice>
          <mc:Fallback>
            <w:pict>
              <v:group id="组合 268" o:spid="_x0000_s1026" o:spt="203" style="position:absolute;left:0pt;margin-left:361.7pt;margin-top:214.75pt;height:72.4pt;width:137.05pt;z-index:251659264;mso-width-relative:page;mso-height-relative:page;" coordorigin="8884,1801423" coordsize="2741,1448" o:gfxdata="UEsDBAoAAAAAAIdO4kAAAAAAAAAAAAAAAAAEAAAAZHJzL1BLAwQUAAAACACHTuJA6krUldwAAAAL&#10;AQAADwAAAGRycy9kb3ducmV2LnhtbE2PTUvDQBCG74L/YRnBm918miZmUqSop1KwFYq3bXaahGZ3&#10;Q3abtP/e9aS3GebhnectV1fVs4lG2xmNEC4CYKRrIzvdIHzt35+WwKwTWoreaEK4kYVVdX9XikKa&#10;WX/StHMN8yHaFgKhdW4oOLd1S0rYhRlI+9vJjEo4v44Nl6OYfbjqeRQEz1yJTvsPrRho3VJ93l0U&#10;wscs5tc4fJs259P69r1Pt4dNSIiPD2HwAszR1f3B8Kvv1aHyTkdz0dKyHiGL4sSjCEmUp8A8keeZ&#10;H44IaZbEwKuS/+9Q/QBQSwMEFAAAAAgAh07iQLFgo3M/AwAAAQgAAA4AAABkcnMvZTJvRG9jLnht&#10;bL1VzW7UMBC+I/EOlu9tfppsdqPdraClFRKCqoUH8CbOD3LsYHubLWcEHBFnJBBCAg6cOCIepy2P&#10;wdjJbtMfpKqVyCHyeOzxN998Ho83FxVDh1SqUvAJ9tZdjChPRFryfIKfPd1ZG2KkNOEpYYLTCT6i&#10;Cm9O794ZN3VMfVEIllKJIAhXcVNPcKF1HTuOSgpaEbUuasrBmQlZEQ2mzJ1UkgaiV8zxXXfgNEKm&#10;tRQJVQpmt1sn7iLK6wQUWVYmdFsk84py3UaVlBENKamirBWeWrRZRhP9JMsU1YhNMGSq7R8OgfHM&#10;/J3pmMS5JHVRJh0Ech0IF3KqSMnh0FWobaIJmsvyUqiqTKRQItPriaicNhHLCGThuRe42ZViXttc&#10;8rjJ6xXpUKgLrN84bPL4cE+iMgUleIGHEScV1Pz016vjd2+RPxgagpo6j2HdrqwP6j3ZTeStZXJe&#10;ZLJCUlhujQ1ZoYWl+GhFMV1olMCkFwVuuBFglIBv5I2CaNTWICmgUGbbcDgEN3i9oesF/sbS/aCL&#10;4EcGp9nuBYHF57QQpmPHIF0Ba2oQqDpjTd2OtYOC1NQWQxk2lqxFS86OP7z+8/X96cfvx78/n3x6&#10;c/LzG/Kilj67YcWdihXQuCSuR1g/c9/dsJtJfMZcCKI1eQ+BP6jCKm0S11LpXSoqZAYT3NA0p/ti&#10;ztN9uABbhDEx11ae5PCR0ubIPO1KTdLnQGdWMZD9IWFoFPphd3J/jd9fs+Z5/ijoCtdftdFf5Q0G&#10;AxsJgHbnwmgJ1YBQgpXpTsmYNWQ+22ISAYgJ3rFfl+W5ZYyjBkrvR65hg0ADyuDiw7CqQcSK5zbP&#10;c1tUP7Jrv6siG2TbRBUtAhvBLCNxVWoqW8IZtypbltBITC9mC3snVDwT6RHoAporFKEQ8iVGDbQW&#10;gPViTiTFiD3koMIRCNf0ImsEYeSDIfueWd9DeAKhJjjR0qbGxb25FlmpDSIDoD21M0Dw5sL+D+XD&#10;O9F2i5MvP0D8yOuaxTXVDv0mDC9f9DO5d2r3Itul/612yhi0fHM1O521pbqu0IwerpLDbYXmP4jC&#10;++FVkW8otLbOy6rbQtuGBy+DbQbdK2aenr5thXH2ck//A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LQFAABbQ29udGVudF9UeXBlc10ueG1sUEsB&#10;AhQACgAAAAAAh07iQAAAAAAAAAAAAAAAAAYAAAAAAAAAAAAQAAAAlgQAAF9yZWxzL1BLAQIUABQA&#10;AAAIAIdO4kCKFGY80QAAAJQBAAALAAAAAAAAAAEAIAAAALoEAABfcmVscy8ucmVsc1BLAQIUAAoA&#10;AAAAAIdO4kAAAAAAAAAAAAAAAAAEAAAAAAAAAAAAEAAAAAAAAABkcnMvUEsBAhQAFAAAAAgAh07i&#10;QOpK1JXcAAAACwEAAA8AAAAAAAAAAQAgAAAAIgAAAGRycy9kb3ducmV2LnhtbFBLAQIUABQAAAAI&#10;AIdO4kCxYKNzPwMAAAEIAAAOAAAAAAAAAAEAIAAAACsBAABkcnMvZTJvRG9jLnhtbFBLBQYAAAAA&#10;BgAGAFkBAADcBgAAAAA=&#10;">
                <o:lock v:ext="edit" aspectratio="f"/>
                <v:shape id="_x0000_s1026" o:spid="_x0000_s1026" o:spt="62" type="#_x0000_t62" style="position:absolute;left:8884;top:1802037;height:834;width:1750;v-text-anchor:middle;" fillcolor="#FFFFFF" filled="t" stroked="t" coordsize="21600,21600" o:gfxdata="UEsDBAoAAAAAAIdO4kAAAAAAAAAAAAAAAAAEAAAAZHJzL1BLAwQUAAAACACHTuJAaUEGI7sAAADb&#10;AAAADwAAAGRycy9kb3ducmV2LnhtbEVPTWsCMRC9F/wPYQreamKLtaxGkUKreCiseuhx2IybpZvJ&#10;kqS6+utNoeBtHu9z5sveteJEITaeNYxHCgRx5U3DtYbD/uPpDURMyAZbz6ThQhGWi8HDHAvjz1zS&#10;aZdqkUM4FqjBptQVUsbKksM48h1x5o4+OEwZhlqagOcc7lr5rNSrdNhwbrDY0bul6mf36zR89uX2&#10;mycBuX6J6mu/ttdVVWo9fByrGYhEfbqL/90bk+dP4e+XfIBc3A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UEGI7sAAADb&#10;AAAADwAAAAAAAAABACAAAAAiAAAAZHJzL2Rvd25yZXYueG1sUEsBAhQAFAAAAAgAh07iQDMvBZ47&#10;AAAAOQAAABAAAAAAAAAAAQAgAAAACgEAAGRycy9zaGFwZXhtbC54bWxQSwUGAAAAAAYABgBbAQAA&#10;tAMAAAAA&#10;" adj="31376,-13597,14400">
                  <v:fill on="t" focussize="0,0"/>
                  <v:stroke weight="1pt" color="#000000" joinstyle="miter"/>
                  <v:imagedata o:title=""/>
                  <o:lock v:ext="edit" aspectratio="f"/>
                  <v:textbox>
                    <w:txbxContent>
                      <w:p w14:paraId="4B7A302F">
                        <w:pPr>
                          <w:jc w:val="center"/>
                          <w:rPr>
                            <w:b/>
                            <w:bCs/>
                            <w:sz w:val="28"/>
                            <w:szCs w:val="28"/>
                          </w:rPr>
                        </w:pPr>
                        <w:r>
                          <w:rPr>
                            <w:rFonts w:hint="eastAsia"/>
                            <w:b/>
                            <w:bCs/>
                            <w:sz w:val="28"/>
                            <w:szCs w:val="28"/>
                          </w:rPr>
                          <w:t>项目位置</w:t>
                        </w:r>
                      </w:p>
                    </w:txbxContent>
                  </v:textbox>
                </v:shape>
                <v:shape id="_x0000_s1026" o:spid="_x0000_s1026" o:spt="3" type="#_x0000_t3" style="position:absolute;left:11455;top:1801423;height:170;width:170;" fillcolor="#FF0000" filled="t" stroked="t" coordsize="21600,21600" o:gfxdata="UEsDBAoAAAAAAIdO4kAAAAAAAAAAAAAAAAAEAAAAZHJzL1BLAwQUAAAACACHTuJAr/3vSr4AAADb&#10;AAAADwAAAGRycy9kb3ducmV2LnhtbEWPQWvCQBCF7wX/wzJCb3WjBynRVYoSMZeCqR56G7LTJDU7&#10;G7Jrov/eORR6m+G9ee+b9fbuWjVQHxrPBuazBBRx6W3DlYHzV/b2DipEZIutZzLwoADbzeRljan1&#10;I59oKGKlJIRDigbqGLtU61DW5DDMfEcs2o/vHUZZ+0rbHkcJd61eJMlSO2xYGmrsaFdTeS1uzsBw&#10;aT6y/JHvDnpf/H5mo8vL74Mxr9N5sgIV6R7/zX/XRyv4Aiu/yAB68wR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3vSr4A&#10;AADbAAAADwAAAAAAAAABACAAAAAiAAAAZHJzL2Rvd25yZXYueG1sUEsBAhQAFAAAAAgAh07iQDMv&#10;BZ47AAAAOQAAABAAAAAAAAAAAQAgAAAADQEAAGRycy9zaGFwZXhtbC54bWxQSwUGAAAAAAYABgBb&#10;AQAAtwMAAAAA&#10;">
                  <v:fill on="t" focussize="0,0"/>
                  <v:stroke weight="1pt" color="#2E75B5" joinstyle="miter"/>
                  <v:imagedata o:title=""/>
                  <o:lock v:ext="edit" aspectratio="f"/>
                </v:shape>
              </v:group>
            </w:pict>
          </mc:Fallback>
        </mc:AlternateContent>
      </w:r>
      <w:r>
        <w:rPr>
          <w:color w:val="auto"/>
          <w:highlight w:val="none"/>
        </w:rPr>
        <w:drawing>
          <wp:inline distT="0" distB="0" distL="0" distR="0">
            <wp:extent cx="8351520" cy="5339080"/>
            <wp:effectExtent l="28575" t="28575" r="39370" b="42545"/>
            <wp:docPr id="1144" name="图片 11"/>
            <wp:cNvGraphicFramePr/>
            <a:graphic xmlns:a="http://schemas.openxmlformats.org/drawingml/2006/main">
              <a:graphicData uri="http://schemas.openxmlformats.org/drawingml/2006/picture">
                <pic:pic xmlns:pic="http://schemas.openxmlformats.org/drawingml/2006/picture">
                  <pic:nvPicPr>
                    <pic:cNvPr id="1144" name="图片 11"/>
                    <pic:cNvPicPr/>
                  </pic:nvPicPr>
                  <pic:blipFill>
                    <a:blip r:embed="rId48" cstate="print"/>
                    <a:srcRect/>
                    <a:stretch>
                      <a:fillRect/>
                    </a:stretch>
                  </pic:blipFill>
                  <pic:spPr>
                    <a:xfrm>
                      <a:off x="0" y="0"/>
                      <a:ext cx="8352154" cy="5339080"/>
                    </a:xfrm>
                    <a:prstGeom prst="rect">
                      <a:avLst/>
                    </a:prstGeom>
                    <a:ln w="28575" cap="flat" cmpd="sng">
                      <a:solidFill>
                        <a:srgbClr val="000000"/>
                      </a:solidFill>
                      <a:prstDash val="solid"/>
                      <a:round/>
                    </a:ln>
                  </pic:spPr>
                </pic:pic>
              </a:graphicData>
            </a:graphic>
          </wp:inline>
        </w:drawing>
      </w:r>
    </w:p>
    <w:p w14:paraId="0A5B09A4">
      <w:pPr>
        <w:pStyle w:val="46"/>
        <w:keepNext w:val="0"/>
        <w:keepLines w:val="0"/>
        <w:pageBreakBefore w:val="0"/>
        <w:widowControl w:val="0"/>
        <w:kinsoku/>
        <w:wordWrap/>
        <w:overflowPunct/>
        <w:topLinePunct w:val="0"/>
        <w:autoSpaceDE w:val="0"/>
        <w:autoSpaceDN w:val="0"/>
        <w:bidi w:val="0"/>
        <w:adjustRightInd w:val="0"/>
        <w:snapToGrid/>
        <w:spacing w:line="276" w:lineRule="auto"/>
        <w:jc w:val="center"/>
        <w:textAlignment w:val="auto"/>
        <w:outlineLvl w:val="0"/>
        <w:rPr>
          <w:rFonts w:hint="eastAsia" w:ascii="Times New Roman" w:cs="Times New Roman"/>
          <w:b/>
          <w:bCs/>
          <w:color w:val="auto"/>
          <w:highlight w:val="none"/>
        </w:rPr>
      </w:pPr>
      <w:bookmarkStart w:id="190" w:name="_Toc17410"/>
      <w:bookmarkStart w:id="191" w:name="_Toc31222"/>
      <w:r>
        <w:rPr>
          <w:rFonts w:hint="eastAsia" w:ascii="Times New Roman" w:cs="Times New Roman"/>
          <w:b/>
          <w:bCs/>
          <w:color w:val="auto"/>
          <w:highlight w:val="none"/>
        </w:rPr>
        <w:t>附图1</w:t>
      </w:r>
      <w:r>
        <w:rPr>
          <w:rFonts w:hint="eastAsia" w:ascii="Times New Roman" w:cs="Times New Roman"/>
          <w:b/>
          <w:bCs/>
          <w:color w:val="auto"/>
          <w:highlight w:val="none"/>
          <w:lang w:val="en-US" w:eastAsia="zh-CN"/>
        </w:rPr>
        <w:t>3-3</w:t>
      </w:r>
      <w:r>
        <w:rPr>
          <w:rFonts w:hint="eastAsia" w:ascii="Times New Roman" w:cs="Times New Roman"/>
          <w:b/>
          <w:bCs/>
          <w:color w:val="auto"/>
          <w:highlight w:val="none"/>
        </w:rPr>
        <w:t xml:space="preserve"> 广东省“三线一单”</w:t>
      </w:r>
      <w:r>
        <w:rPr>
          <w:rFonts w:hint="eastAsia" w:ascii="Times New Roman" w:cs="Times New Roman"/>
          <w:b/>
          <w:bCs/>
          <w:color w:val="auto"/>
          <w:highlight w:val="none"/>
          <w:lang w:val="en-US" w:eastAsia="zh-CN"/>
        </w:rPr>
        <w:t>平台水环境管控分区</w:t>
      </w:r>
      <w:r>
        <w:rPr>
          <w:rFonts w:hint="eastAsia" w:ascii="Times New Roman" w:cs="Times New Roman"/>
          <w:b/>
          <w:bCs/>
          <w:color w:val="auto"/>
          <w:highlight w:val="none"/>
        </w:rPr>
        <w:t>截图</w:t>
      </w:r>
      <w:bookmarkEnd w:id="190"/>
      <w:bookmarkEnd w:id="191"/>
    </w:p>
    <w:p w14:paraId="42E21437">
      <w:pPr>
        <w:pStyle w:val="14"/>
        <w:keepNext w:val="0"/>
        <w:keepLines w:val="0"/>
        <w:pageBreakBefore w:val="0"/>
        <w:widowControl w:val="0"/>
        <w:kinsoku/>
        <w:wordWrap/>
        <w:overflowPunct/>
        <w:topLinePunct w:val="0"/>
        <w:bidi w:val="0"/>
        <w:snapToGrid/>
        <w:spacing w:line="276" w:lineRule="auto"/>
        <w:jc w:val="center"/>
        <w:textAlignment w:val="auto"/>
        <w:rPr>
          <w:color w:val="auto"/>
          <w:highlight w:val="none"/>
        </w:rPr>
      </w:pPr>
      <w:r>
        <w:rPr>
          <w:color w:val="auto"/>
          <w:sz w:val="24"/>
          <w:highlight w:val="none"/>
        </w:rPr>
        <mc:AlternateContent>
          <mc:Choice Requires="wpg">
            <w:drawing>
              <wp:anchor distT="0" distB="0" distL="0" distR="0" simplePos="0" relativeHeight="251659264" behindDoc="0" locked="0" layoutInCell="1" allowOverlap="1">
                <wp:simplePos x="0" y="0"/>
                <wp:positionH relativeFrom="column">
                  <wp:posOffset>4877435</wp:posOffset>
                </wp:positionH>
                <wp:positionV relativeFrom="paragraph">
                  <wp:posOffset>2611755</wp:posOffset>
                </wp:positionV>
                <wp:extent cx="1740535" cy="919480"/>
                <wp:effectExtent l="6350" t="6350" r="24765" b="7620"/>
                <wp:wrapNone/>
                <wp:docPr id="1145" name="组合 271"/>
                <wp:cNvGraphicFramePr/>
                <a:graphic xmlns:a="http://schemas.openxmlformats.org/drawingml/2006/main">
                  <a:graphicData uri="http://schemas.microsoft.com/office/word/2010/wordprocessingGroup">
                    <wpg:wgp>
                      <wpg:cNvGrpSpPr/>
                      <wpg:grpSpPr>
                        <a:xfrm rot="0">
                          <a:off x="0" y="0"/>
                          <a:ext cx="1740534" cy="919479"/>
                          <a:chOff x="8884" y="1801423"/>
                          <a:chExt cx="2741" cy="1448"/>
                        </a:xfrm>
                      </wpg:grpSpPr>
                      <wps:wsp>
                        <wps:cNvPr id="19" name="圆角矩形标注 19"/>
                        <wps:cNvSpPr/>
                        <wps:spPr>
                          <a:xfrm>
                            <a:off x="8884" y="1802037"/>
                            <a:ext cx="1750" cy="834"/>
                          </a:xfrm>
                          <a:prstGeom prst="wedgeRoundRectCallout">
                            <a:avLst>
                              <a:gd name="adj1" fmla="val 95257"/>
                              <a:gd name="adj2" fmla="val -112949"/>
                              <a:gd name="adj3" fmla="val 16667"/>
                            </a:avLst>
                          </a:prstGeom>
                          <a:solidFill>
                            <a:srgbClr val="FFFFFF"/>
                          </a:solidFill>
                          <a:ln w="12700" cap="flat" cmpd="sng">
                            <a:solidFill>
                              <a:srgbClr val="000000"/>
                            </a:solidFill>
                            <a:prstDash val="solid"/>
                            <a:miter/>
                          </a:ln>
                        </wps:spPr>
                        <wps:txbx>
                          <w:txbxContent>
                            <w:p w14:paraId="0DE3D520">
                              <w:pPr>
                                <w:jc w:val="center"/>
                                <w:rPr>
                                  <w:b/>
                                  <w:bCs/>
                                  <w:sz w:val="28"/>
                                  <w:szCs w:val="28"/>
                                </w:rPr>
                              </w:pPr>
                              <w:r>
                                <w:rPr>
                                  <w:rFonts w:hint="eastAsia"/>
                                  <w:b/>
                                  <w:bCs/>
                                  <w:sz w:val="28"/>
                                  <w:szCs w:val="28"/>
                                </w:rPr>
                                <w:t>项目位置</w:t>
                              </w:r>
                            </w:p>
                          </w:txbxContent>
                        </wps:txbx>
                        <wps:bodyPr vert="horz" wrap="square" lIns="91440" tIns="45720" rIns="91440" bIns="45720" anchor="ctr">
                          <a:noAutofit/>
                        </wps:bodyPr>
                      </wps:wsp>
                      <wps:wsp>
                        <wps:cNvPr id="20" name="椭圆 20"/>
                        <wps:cNvSpPr/>
                        <wps:spPr>
                          <a:xfrm>
                            <a:off x="11455" y="1801423"/>
                            <a:ext cx="170" cy="170"/>
                          </a:xfrm>
                          <a:prstGeom prst="ellipse">
                            <a:avLst/>
                          </a:prstGeom>
                          <a:solidFill>
                            <a:srgbClr val="FF0000"/>
                          </a:solidFill>
                          <a:ln w="12700" cap="flat" cmpd="sng">
                            <a:solidFill>
                              <a:srgbClr val="2E75B5"/>
                            </a:solidFill>
                            <a:prstDash val="solid"/>
                            <a:miter/>
                          </a:ln>
                        </wps:spPr>
                        <wps:bodyPr/>
                      </wps:wsp>
                    </wpg:wgp>
                  </a:graphicData>
                </a:graphic>
              </wp:anchor>
            </w:drawing>
          </mc:Choice>
          <mc:Fallback>
            <w:pict>
              <v:group id="组合 271" o:spid="_x0000_s1026" o:spt="203" style="position:absolute;left:0pt;margin-left:384.05pt;margin-top:205.65pt;height:72.4pt;width:137.05pt;z-index:251659264;mso-width-relative:page;mso-height-relative:page;" coordorigin="8884,1801423" coordsize="2741,1448" o:gfxdata="UEsDBAoAAAAAAIdO4kAAAAAAAAAAAAAAAAAEAAAAZHJzL1BLAwQUAAAACACHTuJA6Nd7W9wAAAAM&#10;AQAADwAAAGRycy9kb3ducmV2LnhtbE2PwWrDMBBE74X+g9hCb40kJ3aDazmU0PYUCk0KpTfF2tgm&#10;1spYip38fZVTc1zmMfO2WJ1tx0YcfOtIgZwJYEiVMy3VCr53709LYD5oMrpzhAou6GFV3t8VOjdu&#10;oi8ct6FmsYR8rhU0IfQ5575q0Go/cz1SzA5usDrEc6i5GfQUy23HEyEybnVLcaHRPa4brI7bk1Xw&#10;MenpdS7fxs3xsL787tLPn41EpR4fpHgBFvAc/mG46kd1KKPT3p3IeNYpeM6WMqIKFlLOgV0JsUgS&#10;YHsFaZpJ4GXBb58o/wBQSwMEFAAAAAgAh07iQLtNo3I+AwAAAQgAAA4AAABkcnMvZTJvRG9jLnht&#10;bL1VTW/TMBi+I/EfLN+3JmnatNHaCVY2ISGYNvgBbuJ8IMcOttt0nBFwRJyRQAgJOHDiiPg52/gZ&#10;vHbSNis7VJtEDpGd1379vM/z+M3e/qJgaE6lygUfYXfXwYjySMQ5T0f42dPDnQFGShMeEyY4HeEz&#10;qvD++O6dvaoMqScywWIqESThKqzKEc60LsNOR0UZLYjaFSXlEEyELIiGqUw7sSQVZC9Yx3OcfqcS&#10;Mi6liKhS8HVSB3GTUW6TUCRJHtGJiGYF5brOKikjGkpSWV4qPLZok4RG+kmSKKoRG2GoVNs3HALj&#10;qXl3xnskTCUpszxqIJBtIGzUVJCcw6GrVBOiCZrJ/J9URR5JoUSidyNRdOpCLCNQhetscHMkxay0&#10;taRhlZYr0kGoDdZvnDZ6PD+WKI/BCa7fw4iTAjS//PXq/N1b5AWuIagq0xDWHcnytDyWzYe0npma&#10;F4kskBSWWzOHqtDCUny2opguNIrgoxv4Tq/rYxRBbOgO/WBYaxBlIJTZNhgMIAxRd+C4vtddhh80&#10;GbzAd+vtru8PTLRTQ4CBQboCVpVgULVmTd2OtdOMlNSKoQwbS9aGS87OP7z+8/X95cfv578/X3x6&#10;c/HzG3JtbQYHbFhxp0IFNC6JaxHWrtxzukFd+Zq5HpjW0DYA/tplk7CUSh9RUSAzGOGKxik9ETMe&#10;n8AFOCCMiZm29iTzR0qbI9O4kZrEz4HOpGBg+zlhaNjzes3J7TVee82O63pDvxGuvarbXuX2+32b&#10;CfRpzoXREqoBoQTL48OcMTuR6fSASQQgRvjQPk2VV5Yxjirwhhc4hg0CDSiBiw/DogQTK57aOq9s&#10;Ue3Mjn2uy2yQTYjKagQ2Q61AkWsqa8IZty5bSmik1Yvpwt4JFU5FfAa+gOYKImRCvsSogtYCsF7M&#10;iKQYsYccXDgE45peZCd+L/BgItuRaTtCeASpRjjS0pbGxb2ZFkmuDSIDoD61mYDhzYX9D843qOtu&#10;cfHlB5gfwYeGh63cbvoNNJzNi762u9HXRAObd3XJ1xZq3E4Zg5Zvrmbjs1qqbY1m/HCdHW5rNO9B&#10;0Lvfuy7zDY1W67xU3QptGx78GUD8K7+e9twaY/3nHv8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swUAAFtDb250ZW50X1R5cGVzXS54bWxQSwEC&#10;FAAKAAAAAACHTuJAAAAAAAAAAAAAAAAABgAAAAAAAAAAABAAAACVBAAAX3JlbHMvUEsBAhQAFAAA&#10;AAgAh07iQIoUZjzRAAAAlAEAAAsAAAAAAAAAAQAgAAAAuQQAAF9yZWxzLy5yZWxzUEsBAhQACgAA&#10;AAAAh07iQAAAAAAAAAAAAAAAAAQAAAAAAAAAAAAQAAAAAAAAAGRycy9QSwECFAAUAAAACACHTuJA&#10;6Nd7W9wAAAAMAQAADwAAAAAAAAABACAAAAAiAAAAZHJzL2Rvd25yZXYueG1sUEsBAhQAFAAAAAgA&#10;h07iQLtNo3I+AwAAAQgAAA4AAAAAAAAAAQAgAAAAKwEAAGRycy9lMm9Eb2MueG1sUEsFBgAAAAAG&#10;AAYAWQEAANsGAAAAAA==&#10;">
                <o:lock v:ext="edit" aspectratio="f"/>
                <v:shape id="_x0000_s1026" o:spid="_x0000_s1026" o:spt="62" type="#_x0000_t62" style="position:absolute;left:8884;top:1802037;height:834;width:1750;v-text-anchor:middle;" fillcolor="#FFFFFF" filled="t" stroked="t" coordsize="21600,21600" o:gfxdata="UEsDBAoAAAAAAIdO4kAAAAAAAAAAAAAAAAAEAAAAZHJzL1BLAwQUAAAACACHTuJAd5I3yrsAAADb&#10;AAAADwAAAGRycy9kb3ducmV2LnhtbEVPTWsCMRC9F/wPYQreamKLxa5GkUKreCiseuhx2IybpZvJ&#10;kqS6+utNoeBtHu9z5sveteJEITaeNYxHCgRx5U3DtYbD/uNpCiImZIOtZ9JwoQjLxeBhjoXxZy7p&#10;tEu1yCEcC9RgU+oKKWNlyWEc+Y44c0cfHKYMQy1NwHMOd618VupVOmw4N1js6N1S9bP7dRo++3L7&#10;zZOAXL9E9bVf2+uqKrUePo7VDESiPt3F/+6NyfPf4O+XfIBc3A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5I3yrsAAADb&#10;AAAADwAAAAAAAAABACAAAAAiAAAAZHJzL2Rvd25yZXYueG1sUEsBAhQAFAAAAAgAh07iQDMvBZ47&#10;AAAAOQAAABAAAAAAAAAAAQAgAAAACgEAAGRycy9zaGFwZXhtbC54bWxQSwUGAAAAAAYABgBbAQAA&#10;tAMAAAAA&#10;" adj="31376,-13597,14400">
                  <v:fill on="t" focussize="0,0"/>
                  <v:stroke weight="1pt" color="#000000" joinstyle="miter"/>
                  <v:imagedata o:title=""/>
                  <o:lock v:ext="edit" aspectratio="f"/>
                  <v:textbox>
                    <w:txbxContent>
                      <w:p w14:paraId="0DE3D520">
                        <w:pPr>
                          <w:jc w:val="center"/>
                          <w:rPr>
                            <w:b/>
                            <w:bCs/>
                            <w:sz w:val="28"/>
                            <w:szCs w:val="28"/>
                          </w:rPr>
                        </w:pPr>
                        <w:r>
                          <w:rPr>
                            <w:rFonts w:hint="eastAsia"/>
                            <w:b/>
                            <w:bCs/>
                            <w:sz w:val="28"/>
                            <w:szCs w:val="28"/>
                          </w:rPr>
                          <w:t>项目位置</w:t>
                        </w:r>
                      </w:p>
                    </w:txbxContent>
                  </v:textbox>
                </v:shape>
                <v:shape id="_x0000_s1026" o:spid="_x0000_s1026" o:spt="3" type="#_x0000_t3" style="position:absolute;left:11455;top:1801423;height:170;width:170;" fillcolor="#FF0000" filled="t" stroked="t" coordsize="21600,21600" o:gfxdata="UEsDBAoAAAAAAIdO4kAAAAAAAAAAAAAAAAAEAAAAZHJzL1BLAwQUAAAACACHTuJAn+cp8bkAAADb&#10;AAAADwAAAGRycy9kb3ducmV2LnhtbEVPTYvCMBC9C/6HMMLeNNWDLNUoolTsZcGqB29DM7bVZlKa&#10;2Oq/N4cFj4/3vVy/TC06al1lWcF0EoEgzq2uuFBwPiXjXxDOI2usLZOCNzlYr4aDJcba9nykLvOF&#10;CCHsYlRQet/EUrq8JINuYhviwN1sa9AH2BZSt9iHcFPLWRTNpcGKQ0OJDW1Lyh/Z0yjoLtUmSd/p&#10;di932f0v6U2aX/dK/Yym0QKEp5f/iv/dB61gFtaHL+EHyNU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nKfG5AAAA2wAA&#10;AA8AAAAAAAAAAQAgAAAAIgAAAGRycy9kb3ducmV2LnhtbFBLAQIUABQAAAAIAIdO4kAzLwWeOwAA&#10;ADkAAAAQAAAAAAAAAAEAIAAAAAgBAABkcnMvc2hhcGV4bWwueG1sUEsFBgAAAAAGAAYAWwEAALID&#10;AAAAAA==&#10;">
                  <v:fill on="t" focussize="0,0"/>
                  <v:stroke weight="1pt" color="#2E75B5" joinstyle="miter"/>
                  <v:imagedata o:title=""/>
                  <o:lock v:ext="edit" aspectratio="f"/>
                </v:shape>
              </v:group>
            </w:pict>
          </mc:Fallback>
        </mc:AlternateContent>
      </w:r>
      <w:r>
        <w:rPr>
          <w:color w:val="auto"/>
          <w:highlight w:val="none"/>
        </w:rPr>
        <w:drawing>
          <wp:inline distT="0" distB="0" distL="0" distR="0">
            <wp:extent cx="8347075" cy="5318125"/>
            <wp:effectExtent l="28575" t="28575" r="44450" b="44450"/>
            <wp:docPr id="1148" name="图片 12"/>
            <wp:cNvGraphicFramePr/>
            <a:graphic xmlns:a="http://schemas.openxmlformats.org/drawingml/2006/main">
              <a:graphicData uri="http://schemas.openxmlformats.org/drawingml/2006/picture">
                <pic:pic xmlns:pic="http://schemas.openxmlformats.org/drawingml/2006/picture">
                  <pic:nvPicPr>
                    <pic:cNvPr id="1148" name="图片 12"/>
                    <pic:cNvPicPr/>
                  </pic:nvPicPr>
                  <pic:blipFill>
                    <a:blip r:embed="rId49" cstate="print"/>
                    <a:srcRect/>
                    <a:stretch>
                      <a:fillRect/>
                    </a:stretch>
                  </pic:blipFill>
                  <pic:spPr>
                    <a:xfrm>
                      <a:off x="0" y="0"/>
                      <a:ext cx="8347075" cy="5318125"/>
                    </a:xfrm>
                    <a:prstGeom prst="rect">
                      <a:avLst/>
                    </a:prstGeom>
                    <a:ln w="28575" cap="flat" cmpd="sng">
                      <a:solidFill>
                        <a:srgbClr val="000000"/>
                      </a:solidFill>
                      <a:prstDash val="solid"/>
                      <a:round/>
                    </a:ln>
                  </pic:spPr>
                </pic:pic>
              </a:graphicData>
            </a:graphic>
          </wp:inline>
        </w:drawing>
      </w:r>
    </w:p>
    <w:p w14:paraId="19F33C11">
      <w:pPr>
        <w:pStyle w:val="46"/>
        <w:keepNext w:val="0"/>
        <w:keepLines w:val="0"/>
        <w:pageBreakBefore w:val="0"/>
        <w:widowControl w:val="0"/>
        <w:kinsoku/>
        <w:wordWrap/>
        <w:overflowPunct/>
        <w:topLinePunct w:val="0"/>
        <w:bidi w:val="0"/>
        <w:snapToGrid/>
        <w:spacing w:line="276" w:lineRule="auto"/>
        <w:jc w:val="center"/>
        <w:textAlignment w:val="auto"/>
        <w:outlineLvl w:val="0"/>
        <w:rPr>
          <w:rFonts w:hint="eastAsia" w:ascii="Times New Roman" w:cs="Times New Roman"/>
          <w:b/>
          <w:bCs/>
          <w:color w:val="auto"/>
          <w:highlight w:val="none"/>
        </w:rPr>
      </w:pPr>
      <w:bookmarkStart w:id="192" w:name="_Toc15954"/>
      <w:bookmarkStart w:id="193" w:name="_Toc27132"/>
      <w:r>
        <w:rPr>
          <w:rFonts w:hint="eastAsia" w:ascii="Times New Roman" w:cs="Times New Roman"/>
          <w:b/>
          <w:bCs/>
          <w:color w:val="auto"/>
          <w:highlight w:val="none"/>
        </w:rPr>
        <w:t>附图1</w:t>
      </w:r>
      <w:r>
        <w:rPr>
          <w:rFonts w:hint="eastAsia" w:ascii="Times New Roman" w:cs="Times New Roman"/>
          <w:b/>
          <w:bCs/>
          <w:color w:val="auto"/>
          <w:highlight w:val="none"/>
          <w:lang w:val="en-US" w:eastAsia="zh-CN"/>
        </w:rPr>
        <w:t>3-4</w:t>
      </w:r>
      <w:r>
        <w:rPr>
          <w:rFonts w:hint="eastAsia" w:ascii="Times New Roman" w:cs="Times New Roman"/>
          <w:b/>
          <w:bCs/>
          <w:color w:val="auto"/>
          <w:highlight w:val="none"/>
        </w:rPr>
        <w:t xml:space="preserve"> 广东省“三线一单”</w:t>
      </w:r>
      <w:r>
        <w:rPr>
          <w:rFonts w:hint="eastAsia" w:ascii="Times New Roman" w:cs="Times New Roman"/>
          <w:b/>
          <w:bCs/>
          <w:color w:val="auto"/>
          <w:highlight w:val="none"/>
          <w:lang w:val="en-US" w:eastAsia="zh-CN"/>
        </w:rPr>
        <w:t>平台大气环境管控分区</w:t>
      </w:r>
      <w:r>
        <w:rPr>
          <w:rFonts w:hint="eastAsia" w:ascii="Times New Roman" w:cs="Times New Roman"/>
          <w:b/>
          <w:bCs/>
          <w:color w:val="auto"/>
          <w:highlight w:val="none"/>
        </w:rPr>
        <w:t>截图</w:t>
      </w:r>
      <w:bookmarkEnd w:id="192"/>
      <w:bookmarkEnd w:id="193"/>
    </w:p>
    <w:p w14:paraId="19E56D86">
      <w:pPr>
        <w:pStyle w:val="14"/>
        <w:keepNext w:val="0"/>
        <w:keepLines w:val="0"/>
        <w:pageBreakBefore w:val="0"/>
        <w:widowControl w:val="0"/>
        <w:kinsoku/>
        <w:wordWrap/>
        <w:overflowPunct/>
        <w:topLinePunct w:val="0"/>
        <w:bidi w:val="0"/>
        <w:snapToGrid/>
        <w:spacing w:line="276" w:lineRule="auto"/>
        <w:jc w:val="center"/>
        <w:textAlignment w:val="auto"/>
        <w:rPr>
          <w:color w:val="auto"/>
          <w:highlight w:val="none"/>
        </w:rPr>
      </w:pPr>
      <w:r>
        <w:rPr>
          <w:color w:val="auto"/>
          <w:sz w:val="24"/>
          <w:highlight w:val="none"/>
        </w:rPr>
        <mc:AlternateContent>
          <mc:Choice Requires="wpg">
            <w:drawing>
              <wp:anchor distT="0" distB="0" distL="0" distR="0" simplePos="0" relativeHeight="251659264" behindDoc="0" locked="0" layoutInCell="1" allowOverlap="1">
                <wp:simplePos x="0" y="0"/>
                <wp:positionH relativeFrom="column">
                  <wp:posOffset>4836160</wp:posOffset>
                </wp:positionH>
                <wp:positionV relativeFrom="paragraph">
                  <wp:posOffset>2452370</wp:posOffset>
                </wp:positionV>
                <wp:extent cx="1740535" cy="919480"/>
                <wp:effectExtent l="6350" t="6350" r="24765" b="7620"/>
                <wp:wrapNone/>
                <wp:docPr id="1149" name="组合 274"/>
                <wp:cNvGraphicFramePr/>
                <a:graphic xmlns:a="http://schemas.openxmlformats.org/drawingml/2006/main">
                  <a:graphicData uri="http://schemas.microsoft.com/office/word/2010/wordprocessingGroup">
                    <wpg:wgp>
                      <wpg:cNvGrpSpPr/>
                      <wpg:grpSpPr>
                        <a:xfrm rot="0">
                          <a:off x="0" y="0"/>
                          <a:ext cx="1740534" cy="919480"/>
                          <a:chOff x="8884" y="1801423"/>
                          <a:chExt cx="2741" cy="1448"/>
                        </a:xfrm>
                      </wpg:grpSpPr>
                      <wps:wsp>
                        <wps:cNvPr id="21" name="圆角矩形标注 21"/>
                        <wps:cNvSpPr/>
                        <wps:spPr>
                          <a:xfrm>
                            <a:off x="8884" y="1802037"/>
                            <a:ext cx="1750" cy="834"/>
                          </a:xfrm>
                          <a:prstGeom prst="wedgeRoundRectCallout">
                            <a:avLst>
                              <a:gd name="adj1" fmla="val 95257"/>
                              <a:gd name="adj2" fmla="val -112949"/>
                              <a:gd name="adj3" fmla="val 16667"/>
                            </a:avLst>
                          </a:prstGeom>
                          <a:solidFill>
                            <a:srgbClr val="FFFFFF"/>
                          </a:solidFill>
                          <a:ln w="12700" cap="flat" cmpd="sng">
                            <a:solidFill>
                              <a:srgbClr val="000000"/>
                            </a:solidFill>
                            <a:prstDash val="solid"/>
                            <a:miter/>
                          </a:ln>
                        </wps:spPr>
                        <wps:txbx>
                          <w:txbxContent>
                            <w:p w14:paraId="4B3F2E19">
                              <w:pPr>
                                <w:jc w:val="center"/>
                                <w:rPr>
                                  <w:b/>
                                  <w:bCs/>
                                  <w:sz w:val="28"/>
                                  <w:szCs w:val="28"/>
                                </w:rPr>
                              </w:pPr>
                              <w:r>
                                <w:rPr>
                                  <w:rFonts w:hint="eastAsia"/>
                                  <w:b/>
                                  <w:bCs/>
                                  <w:sz w:val="28"/>
                                  <w:szCs w:val="28"/>
                                </w:rPr>
                                <w:t>项目位置</w:t>
                              </w:r>
                            </w:p>
                          </w:txbxContent>
                        </wps:txbx>
                        <wps:bodyPr vert="horz" wrap="square" lIns="91440" tIns="45720" rIns="91440" bIns="45720" anchor="ctr">
                          <a:noAutofit/>
                        </wps:bodyPr>
                      </wps:wsp>
                      <wps:wsp>
                        <wps:cNvPr id="22" name="椭圆 22"/>
                        <wps:cNvSpPr/>
                        <wps:spPr>
                          <a:xfrm>
                            <a:off x="11455" y="1801423"/>
                            <a:ext cx="170" cy="170"/>
                          </a:xfrm>
                          <a:prstGeom prst="ellipse">
                            <a:avLst/>
                          </a:prstGeom>
                          <a:solidFill>
                            <a:srgbClr val="FF0000"/>
                          </a:solidFill>
                          <a:ln w="12700" cap="flat" cmpd="sng">
                            <a:solidFill>
                              <a:srgbClr val="2E75B5"/>
                            </a:solidFill>
                            <a:prstDash val="solid"/>
                            <a:miter/>
                          </a:ln>
                        </wps:spPr>
                        <wps:bodyPr/>
                      </wps:wsp>
                    </wpg:wgp>
                  </a:graphicData>
                </a:graphic>
              </wp:anchor>
            </w:drawing>
          </mc:Choice>
          <mc:Fallback>
            <w:pict>
              <v:group id="组合 274" o:spid="_x0000_s1026" o:spt="203" style="position:absolute;left:0pt;margin-left:380.8pt;margin-top:193.1pt;height:72.4pt;width:137.05pt;z-index:251659264;mso-width-relative:page;mso-height-relative:page;" coordorigin="8884,1801423" coordsize="2741,1448" o:gfxdata="UEsDBAoAAAAAAIdO4kAAAAAAAAAAAAAAAAAEAAAAZHJzL1BLAwQUAAAACACHTuJA7sQTitsAAAAM&#10;AQAADwAAAGRycy9kb3ducmV2LnhtbE2PwWrDMBBE74X+g9hAb42kGDvBsRxKaHsKhSaF0ptibWwT&#10;a2UsxU7+vsqpPS7zmHlbbK62YyMOvnWkQM4FMKTKmZZqBV+Ht+cVMB80Gd05QgU39LApHx8KnRs3&#10;0SeO+1CzWEI+1wqaEPqcc181aLWfux4pZic3WB3iOdTcDHqK5bbjCyEybnVLcaHRPW4brM77i1Xw&#10;PunpJZGv4+582t5+DunH906iUk8zKdbAAl7DHwx3/agOZXQ6ugsZzzoFy0xmEVWQrLIFsDshknQJ&#10;7KggTaQAXhb8/xPlL1BLAwQUAAAACACHTuJAkOgkzUEDAAABCAAADgAAAGRycy9lMm9Eb2MueG1s&#10;vVXLbtQwFN0j8Q+W9+0kmWQeUWcq6NAKCUHVwgd4EueBHDvYnsmUNQKWiDUSCCEBC1YsEZ/Tls/g&#10;2snMZNpKVK1EFpFvrn187rnHzs7uomBoTqXKBR9hd9vBiPJIxDlPR/jZ0/2tAUZKEx4TJjgd4ROq&#10;8O747p2dqgypJzLBYioRgHAVVuUIZ1qXYaejoowWRG2LknJIJkIWREMo004sSQXoBet4jtPrVELG&#10;pRQRVQq+TuokbhDldQBFkuQRnYhoVlCua1RJGdFQksryUuGxZZskNNJPkkRRjdgIQ6XavmETGE/N&#10;uzPeIWEqSZnlUUOBXIfChZoKknPYdAU1IZqgmcwvQRV5JIUSid6ORNGpC7GKQBWuc0GbAylmpa0l&#10;Dau0XIkOjbqg+o1ho8fzQ4nyGJzg+kOMOCmg5+e/Xp2+e4u8vm8Eqso0hHkHsjwuD2XzIa0jU/Mi&#10;kQWSwmprYqgKLazEJyuJ6UKjCD66fd8Juj5GEeSG7tAfND2IMmiUWTYYDCANWXfguL7XrVsUZQ8a&#10;BCDl1std3x+YbKemAAPDdEWsKsGgaq2aup1qxxkpqW2GMmo0qnnApdbs9MPrP1/fn3/8fvr789mn&#10;N2c/vyFIWrXsgpV2KlQg41K4lmDtyj2n268rXysXgGmNbAPQr102CUup9AEVBTKDEa5onNIjMePx&#10;ERyAPcKYmGlrTzJ/pLTZMo0b2iR+DiUkBQPbzwlDw8ALmp3bc7z2nC3X9YbgFiCxidRtz3J7vZ5F&#10;gv40+8JoSdUsVYLl8X7OmA1kOt1jEgGJEd63T1PlxjTGUQXe8PqOUYPABZTAwYdhUYKJFU9tnRtL&#10;VBvZsc9VyIbZhKisZmAR6gqLXFNZC864ddmyhcZiejFdNF2eivgEfAGXKzQhE/IlRhVcLUDrxYxI&#10;ihF7yMGFQzCuuYts4Ad9DwLZzkzbGcIjgBrhSEtbGhf3ZlokuTaMDIF61yYAw5sD+z+cD5aonX/2&#10;5QeYH3mekcvsDcfj326H+yYILh/0td0bt7t9e0OsDvnaQo3bKWNw5Zuj2fisbtV1jWb8cJUdbms0&#10;70E/uB9chXxDo9V9XnbdNtpeePBngOZv/HrasTXG+s89/gt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1BQAAW0NvbnRlbnRfVHlwZXNdLnhtbFBL&#10;AQIUAAoAAAAAAIdO4kAAAAAAAAAAAAAAAAAGAAAAAAAAAAAAEAAAAJcEAABfcmVscy9QSwECFAAU&#10;AAAACACHTuJAihRmPNEAAACUAQAACwAAAAAAAAABACAAAAC7BAAAX3JlbHMvLnJlbHNQSwECFAAK&#10;AAAAAACHTuJAAAAAAAAAAAAAAAAABAAAAAAAAAAAABAAAAAAAAAAZHJzL1BLAQIUABQAAAAIAIdO&#10;4kDuxBOK2wAAAAwBAAAPAAAAAAAAAAEAIAAAACIAAABkcnMvZG93bnJldi54bWxQSwECFAAUAAAA&#10;CACHTuJAkOgkzUEDAAABCAAADgAAAAAAAAABACAAAAAqAQAAZHJzL2Uyb0RvYy54bWxQSwUGAAAA&#10;AAYABgBZAQAA3QYAAAAA&#10;">
                <o:lock v:ext="edit" aspectratio="f"/>
                <v:shape id="_x0000_s1026" o:spid="_x0000_s1026" o:spt="62" type="#_x0000_t62" style="position:absolute;left:8884;top:1802037;height:834;width:1750;v-text-anchor:middle;" fillcolor="#FFFFFF" filled="t" stroked="t" coordsize="21600,21600" o:gfxdata="UEsDBAoAAAAAAIdO4kAAAAAAAAAAAAAAAAAEAAAAZHJzL1BLAwQUAAAACACHTuJAR4jxcb0AAADb&#10;AAAADwAAAGRycy9kb3ducmV2LnhtbEWPQWsCMRSE7wX/Q3hCbzVZxSJboxRBLT0UVj14fGxeN0s3&#10;L0sSddtf3wiFHoeZ+YZZrgfXiSuF2HrWUEwUCOLam5YbDafj9mkBIiZkg51n0vBNEdar0cMSS+Nv&#10;XNH1kBqRIRxL1GBT6kspY23JYZz4njh7nz44TFmGRpqAtwx3nZwq9SwdtpwXLPa0sVR/HS5Ow26o&#10;3s88D8jNLKqP497+vNaV1o/jQr2ASDSk//Bf+81omBZw/5J/gFz9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HiPFxvQAA&#10;ANsAAAAPAAAAAAAAAAEAIAAAACIAAABkcnMvZG93bnJldi54bWxQSwECFAAUAAAACACHTuJAMy8F&#10;njsAAAA5AAAAEAAAAAAAAAABACAAAAAMAQAAZHJzL3NoYXBleG1sLnhtbFBLBQYAAAAABgAGAFsB&#10;AAC2AwAAAAA=&#10;" adj="31376,-13597,14400">
                  <v:fill on="t" focussize="0,0"/>
                  <v:stroke weight="1pt" color="#000000" joinstyle="miter"/>
                  <v:imagedata o:title=""/>
                  <o:lock v:ext="edit" aspectratio="f"/>
                  <v:textbox>
                    <w:txbxContent>
                      <w:p w14:paraId="4B3F2E19">
                        <w:pPr>
                          <w:jc w:val="center"/>
                          <w:rPr>
                            <w:b/>
                            <w:bCs/>
                            <w:sz w:val="28"/>
                            <w:szCs w:val="28"/>
                          </w:rPr>
                        </w:pPr>
                        <w:r>
                          <w:rPr>
                            <w:rFonts w:hint="eastAsia"/>
                            <w:b/>
                            <w:bCs/>
                            <w:sz w:val="28"/>
                            <w:szCs w:val="28"/>
                          </w:rPr>
                          <w:t>项目位置</w:t>
                        </w:r>
                      </w:p>
                    </w:txbxContent>
                  </v:textbox>
                </v:shape>
                <v:shape id="_x0000_s1026" o:spid="_x0000_s1026" o:spt="3" type="#_x0000_t3" style="position:absolute;left:11455;top:1801423;height:170;width:170;" fillcolor="#FF0000" filled="t" stroked="t" coordsize="21600,21600" o:gfxdata="UEsDBAoAAAAAAIdO4kAAAAAAAAAAAAAAAAAEAAAAZHJzL1BLAwQUAAAACACHTuJAAHkSHb4AAADb&#10;AAAADwAAAGRycy9kb3ducmV2LnhtbEWPQWuDQBSE74H+h+UVektWPZRis0qwGOqlUJMecnu4L2rq&#10;vhV3q8m/7xYKOQ4z8w2zza9mEDNNrresIN5EIIgbq3tuFRwP5foFhPPIGgfLpOBGDvLsYbXFVNuF&#10;P2mufSsChF2KCjrvx1RK13Rk0G3sSBy8s50M+iCnVuoJlwA3g0yi6Fka7DksdDhS0VHzXf8YBfNX&#10;vyurW1Xs5Vt9+SgXUzWnvVJPj3H0CsLT1d/D/+13rSBJ4O9L+AEy+w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HkSHb4A&#10;AADbAAAADwAAAAAAAAABACAAAAAiAAAAZHJzL2Rvd25yZXYueG1sUEsBAhQAFAAAAAgAh07iQDMv&#10;BZ47AAAAOQAAABAAAAAAAAAAAQAgAAAADQEAAGRycy9zaGFwZXhtbC54bWxQSwUGAAAAAAYABgBb&#10;AQAAtwMAAAAA&#10;">
                  <v:fill on="t" focussize="0,0"/>
                  <v:stroke weight="1pt" color="#2E75B5" joinstyle="miter"/>
                  <v:imagedata o:title=""/>
                  <o:lock v:ext="edit" aspectratio="f"/>
                </v:shape>
              </v:group>
            </w:pict>
          </mc:Fallback>
        </mc:AlternateContent>
      </w:r>
      <w:r>
        <w:rPr>
          <w:color w:val="auto"/>
          <w:highlight w:val="none"/>
        </w:rPr>
        <w:drawing>
          <wp:inline distT="0" distB="0" distL="0" distR="0">
            <wp:extent cx="8080375" cy="5347970"/>
            <wp:effectExtent l="28575" t="9525" r="44450" b="33655"/>
            <wp:docPr id="1152" name="图片 13"/>
            <wp:cNvGraphicFramePr/>
            <a:graphic xmlns:a="http://schemas.openxmlformats.org/drawingml/2006/main">
              <a:graphicData uri="http://schemas.openxmlformats.org/drawingml/2006/picture">
                <pic:pic xmlns:pic="http://schemas.openxmlformats.org/drawingml/2006/picture">
                  <pic:nvPicPr>
                    <pic:cNvPr id="1152" name="图片 13"/>
                    <pic:cNvPicPr/>
                  </pic:nvPicPr>
                  <pic:blipFill>
                    <a:blip r:embed="rId50" cstate="print"/>
                    <a:srcRect/>
                    <a:stretch>
                      <a:fillRect/>
                    </a:stretch>
                  </pic:blipFill>
                  <pic:spPr>
                    <a:xfrm>
                      <a:off x="0" y="0"/>
                      <a:ext cx="8080375" cy="5347970"/>
                    </a:xfrm>
                    <a:prstGeom prst="rect">
                      <a:avLst/>
                    </a:prstGeom>
                    <a:ln w="28575" cap="flat" cmpd="sng">
                      <a:solidFill>
                        <a:srgbClr val="000000"/>
                      </a:solidFill>
                      <a:prstDash val="solid"/>
                      <a:round/>
                    </a:ln>
                  </pic:spPr>
                </pic:pic>
              </a:graphicData>
            </a:graphic>
          </wp:inline>
        </w:drawing>
      </w:r>
    </w:p>
    <w:p w14:paraId="52FD0223">
      <w:pPr>
        <w:pStyle w:val="46"/>
        <w:keepNext w:val="0"/>
        <w:keepLines w:val="0"/>
        <w:pageBreakBefore w:val="0"/>
        <w:widowControl w:val="0"/>
        <w:kinsoku/>
        <w:wordWrap/>
        <w:overflowPunct/>
        <w:topLinePunct w:val="0"/>
        <w:bidi w:val="0"/>
        <w:snapToGrid/>
        <w:spacing w:line="276" w:lineRule="auto"/>
        <w:jc w:val="center"/>
        <w:textAlignment w:val="auto"/>
        <w:outlineLvl w:val="0"/>
        <w:rPr>
          <w:rFonts w:hint="eastAsia" w:ascii="Times New Roman" w:cs="Times New Roman"/>
          <w:b/>
          <w:bCs/>
          <w:color w:val="auto"/>
          <w:highlight w:val="none"/>
        </w:rPr>
      </w:pPr>
      <w:bookmarkStart w:id="194" w:name="_Toc30103"/>
      <w:bookmarkStart w:id="195" w:name="_Toc3375"/>
      <w:r>
        <w:rPr>
          <w:rFonts w:hint="eastAsia" w:ascii="Times New Roman" w:cs="Times New Roman"/>
          <w:b/>
          <w:bCs/>
          <w:color w:val="auto"/>
          <w:highlight w:val="none"/>
        </w:rPr>
        <w:t>附图1</w:t>
      </w:r>
      <w:r>
        <w:rPr>
          <w:rFonts w:hint="eastAsia" w:ascii="Times New Roman" w:cs="Times New Roman"/>
          <w:b/>
          <w:bCs/>
          <w:color w:val="auto"/>
          <w:highlight w:val="none"/>
          <w:lang w:val="en-US" w:eastAsia="zh-CN"/>
        </w:rPr>
        <w:t>3-5</w:t>
      </w:r>
      <w:r>
        <w:rPr>
          <w:rFonts w:hint="eastAsia" w:ascii="Times New Roman" w:cs="Times New Roman"/>
          <w:b/>
          <w:bCs/>
          <w:color w:val="auto"/>
          <w:highlight w:val="none"/>
        </w:rPr>
        <w:t xml:space="preserve"> 广东省“三线一单”</w:t>
      </w:r>
      <w:r>
        <w:rPr>
          <w:rFonts w:hint="eastAsia" w:ascii="Times New Roman" w:cs="Times New Roman"/>
          <w:b/>
          <w:bCs/>
          <w:color w:val="auto"/>
          <w:highlight w:val="none"/>
          <w:lang w:val="en-US" w:eastAsia="zh-CN"/>
        </w:rPr>
        <w:t>平台自然资源管控分区</w:t>
      </w:r>
      <w:r>
        <w:rPr>
          <w:rFonts w:hint="eastAsia" w:ascii="Times New Roman" w:cs="Times New Roman"/>
          <w:b/>
          <w:bCs/>
          <w:color w:val="auto"/>
          <w:highlight w:val="none"/>
        </w:rPr>
        <w:t>截图</w:t>
      </w:r>
      <w:bookmarkEnd w:id="194"/>
      <w:bookmarkEnd w:id="195"/>
    </w:p>
    <w:p w14:paraId="363A5B3E">
      <w:pPr>
        <w:rPr>
          <w:color w:val="auto"/>
          <w:highlight w:val="none"/>
        </w:rPr>
      </w:pPr>
      <w:r>
        <w:rPr>
          <w:color w:val="auto"/>
          <w:highlight w:val="none"/>
        </w:rPr>
        <w:br w:type="page"/>
      </w:r>
    </w:p>
    <w:p w14:paraId="0895AC10">
      <w:pPr>
        <w:pStyle w:val="51"/>
        <w:ind w:left="0"/>
        <w:jc w:val="center"/>
        <w:rPr>
          <w:rFonts w:ascii="Times New Roman"/>
          <w:color w:val="auto"/>
          <w:highlight w:val="none"/>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0" w:num="1"/>
          <w:docGrid w:type="lines" w:linePitch="334" w:charSpace="0"/>
        </w:sectPr>
      </w:pPr>
    </w:p>
    <w:p w14:paraId="590CBD59">
      <w:pPr>
        <w:pStyle w:val="51"/>
        <w:ind w:left="0"/>
        <w:jc w:val="center"/>
        <w:rPr>
          <w:rFonts w:ascii="Times New Roman"/>
          <w:color w:val="auto"/>
          <w:highlight w:val="none"/>
        </w:rPr>
      </w:pPr>
      <w:r>
        <w:rPr>
          <w:color w:val="auto"/>
          <w:sz w:val="32"/>
          <w:highlight w:val="none"/>
        </w:rPr>
        <mc:AlternateContent>
          <mc:Choice Requires="wps">
            <w:drawing>
              <wp:anchor distT="0" distB="0" distL="0" distR="0" simplePos="0" relativeHeight="251659264" behindDoc="0" locked="0" layoutInCell="1" allowOverlap="1">
                <wp:simplePos x="0" y="0"/>
                <wp:positionH relativeFrom="column">
                  <wp:posOffset>374015</wp:posOffset>
                </wp:positionH>
                <wp:positionV relativeFrom="paragraph">
                  <wp:posOffset>4020185</wp:posOffset>
                </wp:positionV>
                <wp:extent cx="1595755" cy="1203325"/>
                <wp:effectExtent l="5080" t="4445" r="18415" b="11430"/>
                <wp:wrapNone/>
                <wp:docPr id="1153" name="文本框 44"/>
                <wp:cNvGraphicFramePr/>
                <a:graphic xmlns:a="http://schemas.openxmlformats.org/drawingml/2006/main">
                  <a:graphicData uri="http://schemas.microsoft.com/office/word/2010/wordprocessingShape">
                    <wps:wsp>
                      <wps:cNvSpPr/>
                      <wps:spPr>
                        <a:xfrm>
                          <a:off x="0" y="0"/>
                          <a:ext cx="1595755" cy="1203325"/>
                        </a:xfrm>
                        <a:prstGeom prst="rect">
                          <a:avLst/>
                        </a:prstGeom>
                        <a:solidFill>
                          <a:srgbClr val="FFFFFF"/>
                        </a:solidFill>
                        <a:ln w="6350" cap="flat" cmpd="sng">
                          <a:solidFill>
                            <a:srgbClr val="000000"/>
                          </a:solidFill>
                          <a:prstDash val="solid"/>
                          <a:round/>
                        </a:ln>
                      </wps:spPr>
                      <wps:txbx>
                        <w:txbxContent>
                          <w:p w14:paraId="1350E1A4">
                            <w:pPr>
                              <w:jc w:val="center"/>
                              <w:rPr>
                                <w:rFonts w:hint="eastAsia"/>
                                <w:b/>
                                <w:bCs/>
                                <w:lang w:val="en-US" w:eastAsia="zh-CN"/>
                              </w:rPr>
                            </w:pPr>
                            <w:r>
                              <w:rPr>
                                <w:rFonts w:hint="eastAsia"/>
                                <w:b/>
                                <w:bCs/>
                                <w:lang w:val="en-US" w:eastAsia="zh-CN"/>
                              </w:rPr>
                              <w:t>图例</w:t>
                            </w:r>
                          </w:p>
                          <w:p w14:paraId="1BA01098">
                            <w:pPr>
                              <w:rPr>
                                <w:rFonts w:hint="eastAsia"/>
                                <w:lang w:val="en-US" w:eastAsia="zh-CN"/>
                              </w:rPr>
                            </w:pPr>
                            <w:r>
                              <w:rPr>
                                <w:rFonts w:hint="eastAsia"/>
                                <w:lang w:val="en-US" w:eastAsia="zh-CN"/>
                              </w:rPr>
                              <w:t>项目红线</w:t>
                            </w:r>
                          </w:p>
                          <w:p w14:paraId="444B0292">
                            <w:pPr>
                              <w:rPr>
                                <w:rFonts w:hint="default"/>
                                <w:lang w:val="en-US" w:eastAsia="zh-CN"/>
                              </w:rPr>
                            </w:pPr>
                            <w:r>
                              <w:rPr>
                                <w:rFonts w:hint="eastAsia"/>
                                <w:lang w:val="en-US" w:eastAsia="zh-CN"/>
                              </w:rPr>
                              <w:t>大气补充监测点</w:t>
                            </w:r>
                          </w:p>
                        </w:txbxContent>
                      </wps:txbx>
                      <wps:bodyPr vert="horz" wrap="square" lIns="91440" tIns="45720" rIns="91440" bIns="45720" anchor="t">
                        <a:noAutofit/>
                      </wps:bodyPr>
                    </wps:wsp>
                  </a:graphicData>
                </a:graphic>
              </wp:anchor>
            </w:drawing>
          </mc:Choice>
          <mc:Fallback>
            <w:pict>
              <v:rect id="文本框 44" o:spid="_x0000_s1026" o:spt="1" style="position:absolute;left:0pt;margin-left:29.45pt;margin-top:316.55pt;height:94.75pt;width:125.65pt;z-index:251659264;mso-width-relative:page;mso-height-relative:page;" fillcolor="#FFFFFF" filled="t" stroked="t" coordsize="21600,21600" o:gfxdata="UEsDBAoAAAAAAIdO4kAAAAAAAAAAAAAAAAAEAAAAZHJzL1BLAwQUAAAACACHTuJASVFV1NgAAAAK&#10;AQAADwAAAGRycy9kb3ducmV2LnhtbE2Py07DMBBF90j8gzWV2FE7iYhCyKSCClasaJG6deJpEhqP&#10;o9h90K/HrGA5ukf3nqlWFzuKE81+cIyQLBUI4taZgTuEz+3bfQHCB81Gj44J4Zs8rOrbm0qXxp35&#10;g06b0IlYwr7UCH0IUymlb3uy2i/dRByzvZutDvGcO2lmfY7ldpSpUrm0euC40OuJ1j21h83RIriv&#10;l9fd8LxbT++zzOz1KkPT7hHvFol6AhHoEv5g+NWP6lBHp8Yd2XgxIjwUj5FEyLMsARGBLFEpiAah&#10;SNMcZF3J/y/UP1BLAwQUAAAACACHTuJAff0IhRwCAABEBAAADgAAAGRycy9lMm9Eb2MueG1srVPN&#10;jtMwEL4j8Q6W7zRJ2+yyUdMVoipCQrDSwgO4jt1Y8h+226Q8ALwBJy7cea4+B2MntN2Fwx7IIZnJ&#10;jL+Z75vx4rZXEu2Z88LoGheTHCOmqWmE3tb408f1i5cY+UB0Q6TRrMYH5vHt8vmzRWcrNjWtkQ1z&#10;CEC0rzpb4zYEW2WZpy1TxE+MZRqC3DhFArhumzWOdICuZDbN86usM66xzlDmPfxdDUE8IrqnABrO&#10;BWUrQ3eK6TCgOiZJAEq+FdbjZeqWc0bDB849C0jWGJiG9IYiYG/iO1suSLV1xLaCji2Qp7TwiJMi&#10;QkPRE9SKBIJ2TvwFpQR1xhseJtSobCCSFAEWRf5Im/uWWJa4gNTenkT3/w+Wvt/fOSQa2ISinGGk&#10;iYKZH79/O/74dfz5Fc3nUaLO+goy7+2dGz0PZuTbc6fiF5igPsl6OMnK+oAo/CzKm/K6LDGiECum&#10;+Ww2LSNqdj5unQ9vmFEoGjV2MLckJ9m/82FI/ZMSq3kjRbMWUibHbTevpUN7AjNep2dEf5AmNepq&#10;fDUrYfSUwOJyWBgwlQXyXm9TvQcn/CVwnp5/AcfGVsS3QwMJIaaRypmdbobmpQa6UcVBt2iFftND&#10;MJob0xxgCnApgXtr3BeMOlhJaOvzjjiGkXyrYeY3xXwedzg58/J6Co67jGwuI0RTgKrxIKQ2r3bB&#10;cJHEPNccu4LlSuMYL0Lc3ks/ZZ0v//I3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SVFV1NgAAAAK&#10;AQAADwAAAAAAAAABACAAAAAiAAAAZHJzL2Rvd25yZXYueG1sUEsBAhQAFAAAAAgAh07iQH39CIUc&#10;AgAARAQAAA4AAAAAAAAAAQAgAAAAJwEAAGRycy9lMm9Eb2MueG1sUEsFBgAAAAAGAAYAWQEAALUF&#10;AAAAAA==&#10;">
                <v:fill on="t" focussize="0,0"/>
                <v:stroke weight="0.5pt" color="#000000" joinstyle="round"/>
                <v:imagedata o:title=""/>
                <o:lock v:ext="edit" aspectratio="f"/>
                <v:textbox>
                  <w:txbxContent>
                    <w:p w14:paraId="1350E1A4">
                      <w:pPr>
                        <w:jc w:val="center"/>
                        <w:rPr>
                          <w:rFonts w:hint="eastAsia"/>
                          <w:b/>
                          <w:bCs/>
                          <w:lang w:val="en-US" w:eastAsia="zh-CN"/>
                        </w:rPr>
                      </w:pPr>
                      <w:r>
                        <w:rPr>
                          <w:rFonts w:hint="eastAsia"/>
                          <w:b/>
                          <w:bCs/>
                          <w:lang w:val="en-US" w:eastAsia="zh-CN"/>
                        </w:rPr>
                        <w:t>图例</w:t>
                      </w:r>
                    </w:p>
                    <w:p w14:paraId="1BA01098">
                      <w:pPr>
                        <w:rPr>
                          <w:rFonts w:hint="eastAsia"/>
                          <w:lang w:val="en-US" w:eastAsia="zh-CN"/>
                        </w:rPr>
                      </w:pPr>
                      <w:r>
                        <w:rPr>
                          <w:rFonts w:hint="eastAsia"/>
                          <w:lang w:val="en-US" w:eastAsia="zh-CN"/>
                        </w:rPr>
                        <w:t>项目红线</w:t>
                      </w:r>
                    </w:p>
                    <w:p w14:paraId="444B0292">
                      <w:pPr>
                        <w:rPr>
                          <w:rFonts w:hint="default"/>
                          <w:lang w:val="en-US" w:eastAsia="zh-CN"/>
                        </w:rPr>
                      </w:pPr>
                      <w:r>
                        <w:rPr>
                          <w:rFonts w:hint="eastAsia"/>
                          <w:lang w:val="en-US" w:eastAsia="zh-CN"/>
                        </w:rPr>
                        <w:t>大气补充监测点</w:t>
                      </w:r>
                    </w:p>
                  </w:txbxContent>
                </v:textbox>
              </v:rect>
            </w:pict>
          </mc:Fallback>
        </mc:AlternateContent>
      </w:r>
      <w:r>
        <w:rPr>
          <w:color w:val="auto"/>
          <w:sz w:val="32"/>
          <w:highlight w:val="none"/>
        </w:rPr>
        <mc:AlternateContent>
          <mc:Choice Requires="wps">
            <w:drawing>
              <wp:anchor distT="0" distB="0" distL="0" distR="0" simplePos="0" relativeHeight="251659264" behindDoc="0" locked="0" layoutInCell="1" allowOverlap="1">
                <wp:simplePos x="0" y="0"/>
                <wp:positionH relativeFrom="column">
                  <wp:posOffset>4065905</wp:posOffset>
                </wp:positionH>
                <wp:positionV relativeFrom="paragraph">
                  <wp:posOffset>2161540</wp:posOffset>
                </wp:positionV>
                <wp:extent cx="1009650" cy="609600"/>
                <wp:effectExtent l="0" t="0" r="0" b="0"/>
                <wp:wrapNone/>
                <wp:docPr id="1154" name="文本框 6"/>
                <wp:cNvGraphicFramePr/>
                <a:graphic xmlns:a="http://schemas.openxmlformats.org/drawingml/2006/main">
                  <a:graphicData uri="http://schemas.microsoft.com/office/word/2010/wordprocessingShape">
                    <wps:wsp>
                      <wps:cNvSpPr/>
                      <wps:spPr>
                        <a:xfrm>
                          <a:off x="0" y="0"/>
                          <a:ext cx="1009649" cy="609600"/>
                        </a:xfrm>
                        <a:prstGeom prst="rect">
                          <a:avLst/>
                        </a:prstGeom>
                        <a:ln>
                          <a:noFill/>
                        </a:ln>
                      </wps:spPr>
                      <wps:txbx>
                        <w:txbxContent>
                          <w:p w14:paraId="12C96A38">
                            <w:pPr>
                              <w:rPr>
                                <w:rFonts w:hint="default" w:eastAsia="宋体"/>
                                <w:color w:val="FFFF00"/>
                                <w:lang w:val="en-US" w:eastAsia="zh-CN"/>
                              </w:rPr>
                            </w:pPr>
                            <w:r>
                              <w:rPr>
                                <w:rFonts w:hint="eastAsia"/>
                                <w:color w:val="FFFF00"/>
                                <w:lang w:val="en-US" w:eastAsia="zh-CN"/>
                              </w:rPr>
                              <w:t>距离4700m</w:t>
                            </w:r>
                          </w:p>
                        </w:txbxContent>
                      </wps:txbx>
                      <wps:bodyPr vert="horz" wrap="square" lIns="91440" tIns="45720" rIns="91440" bIns="45720" anchor="t">
                        <a:noAutofit/>
                      </wps:bodyPr>
                    </wps:wsp>
                  </a:graphicData>
                </a:graphic>
              </wp:anchor>
            </w:drawing>
          </mc:Choice>
          <mc:Fallback>
            <w:pict>
              <v:rect id="文本框 6" o:spid="_x0000_s1026" o:spt="1" style="position:absolute;left:0pt;margin-left:320.15pt;margin-top:170.2pt;height:48pt;width:79.5pt;z-index:251659264;mso-width-relative:page;mso-height-relative:page;" filled="f" stroked="f" coordsize="21600,21600" o:gfxdata="UEsDBAoAAAAAAIdO4kAAAAAAAAAAAAAAAAAEAAAAZHJzL1BLAwQUAAAACACHTuJAi4DdNtwAAAAL&#10;AQAADwAAAGRycy9kb3ducmV2LnhtbE2PwU7DMAyG70i8Q2QkLoglo1HZSt0dJiEmhDTRsZ2zJrQV&#10;jdM1WTvennCCo+1Pv78/X11sx0Yz+NYRwnwmgBmqnG6pRvjYPd8vgPmgSKvOkUH4Nh5WxfVVrjLt&#10;Jno3YxlqFkPIZwqhCaHPOPdVY6zyM9cbirdPN1gV4jjUXA9qiuG24w9CpNyqluKHRvVm3Zjqqzxb&#10;hKnajofd2wvf3h02jk6b07rcvyLe3szFE7BgLuEPhl/9qA5FdDq6M2nPOoRUiiSiCIkUElgkHpfL&#10;uDkiyCSVwIuc/+9Q/ABQSwMEFAAAAAgAh07iQKONpWHZAQAAowMAAA4AAABkcnMvZTJvRG9jLnht&#10;bK1TS27bMBDdF+gdCO5rSYbi1oLlIICRokDRBkh7AJqiLAL8dUhbcg/Q3qCrbrrvuXyODCnVMdJN&#10;FtnQMxz6zXtvRqvrQStyEOClNTUtZjklwnDbSLOr6dcvt2/eUeIDMw1T1oiaHoWn1+vXr1a9q8Tc&#10;dlY1AgiCGF/1rqZdCK7KMs87oZmfWScMFlsLmgVMYZc1wHpE1yqb5/ki6y00DiwX3uPtZizSCRGe&#10;A2jbVnKxsXyvhQkjKgjFAkrynXSerhPbthU8fG5bLwJRNUWlIZ3YBONtPLP1ilU7YK6TfKLAnkPh&#10;iSbNpMGmZ6gNC4zsQf4HpSUH620bZtzqbBSSHEEVRf7Em/uOOZG0oNXenU33LwfLPx3ugMgGN6G4&#10;KikxTOPMT79+nn7/Pf35QRbRod75Ch/euzuYMo9hlDu0oOMvCiFDcvV4dlUMgXC8LPJ8uSiXlHCs&#10;LTDOk+3Z478d+PBeWE1iUFPAqSUz2eGjD9gRn/57EpspE09jb6VSYzXeZJHlyCtGYdgOE9mtbY4o&#10;EncewTsL3ynpceI19d/2DAQl6oNBS5dFWcYVSUl59XaOCVxWtpcVZjhC1XRkauzNPthWJrax/dhz&#10;YoWzSyKmPYvLcZmnV4/f1vo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i4DdNtwAAAALAQAADwAA&#10;AAAAAAABACAAAAAiAAAAZHJzL2Rvd25yZXYueG1sUEsBAhQAFAAAAAgAh07iQKONpWHZAQAAowMA&#10;AA4AAAAAAAAAAQAgAAAAKwEAAGRycy9lMm9Eb2MueG1sUEsFBgAAAAAGAAYAWQEAAHYFAAAAAA==&#10;">
                <v:fill on="f" focussize="0,0"/>
                <v:stroke on="f"/>
                <v:imagedata o:title=""/>
                <o:lock v:ext="edit" aspectratio="f"/>
                <v:textbox>
                  <w:txbxContent>
                    <w:p w14:paraId="12C96A38">
                      <w:pPr>
                        <w:rPr>
                          <w:rFonts w:hint="default" w:eastAsia="宋体"/>
                          <w:color w:val="FFFF00"/>
                          <w:lang w:val="en-US" w:eastAsia="zh-CN"/>
                        </w:rPr>
                      </w:pPr>
                      <w:r>
                        <w:rPr>
                          <w:rFonts w:hint="eastAsia"/>
                          <w:color w:val="FFFF00"/>
                          <w:lang w:val="en-US" w:eastAsia="zh-CN"/>
                        </w:rPr>
                        <w:t>距离4700m</w:t>
                      </w:r>
                    </w:p>
                  </w:txbxContent>
                </v:textbox>
              </v:rect>
            </w:pict>
          </mc:Fallback>
        </mc:AlternateContent>
      </w:r>
      <w:r>
        <w:rPr>
          <w:color w:val="auto"/>
          <w:highlight w:val="none"/>
        </w:rPr>
        <mc:AlternateContent>
          <mc:Choice Requires="wps">
            <w:drawing>
              <wp:anchor distT="0" distB="0" distL="0" distR="0" simplePos="0" relativeHeight="251659264" behindDoc="0" locked="0" layoutInCell="1" allowOverlap="1">
                <wp:simplePos x="0" y="0"/>
                <wp:positionH relativeFrom="column">
                  <wp:posOffset>4457700</wp:posOffset>
                </wp:positionH>
                <wp:positionV relativeFrom="paragraph">
                  <wp:posOffset>4770120</wp:posOffset>
                </wp:positionV>
                <wp:extent cx="107950" cy="107950"/>
                <wp:effectExtent l="6350" t="6350" r="19050" b="19050"/>
                <wp:wrapNone/>
                <wp:docPr id="1155" name="椭圆 263"/>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FF0000"/>
                        </a:solidFill>
                        <a:ln w="12700" cap="flat" cmpd="sng">
                          <a:solidFill>
                            <a:srgbClr val="2E75B5"/>
                          </a:solidFill>
                          <a:prstDash val="solid"/>
                          <a:miter/>
                        </a:ln>
                      </wps:spPr>
                      <wps:bodyPr/>
                    </wps:wsp>
                  </a:graphicData>
                </a:graphic>
              </wp:anchor>
            </w:drawing>
          </mc:Choice>
          <mc:Fallback>
            <w:pict>
              <v:shape id="椭圆 263" o:spid="_x0000_s1026" o:spt="3" type="#_x0000_t3" style="position:absolute;left:0pt;margin-left:351pt;margin-top:375.6pt;height:8.5pt;width:8.5pt;z-index:251659264;mso-width-relative:page;mso-height-relative:page;" fillcolor="#FF0000" filled="t" stroked="t" coordsize="21600,21600" o:gfxdata="UEsDBAoAAAAAAIdO4kAAAAAAAAAAAAAAAAAEAAAAZHJzL1BLAwQUAAAACACHTuJA6/XQg9sAAAAL&#10;AQAADwAAAGRycy9kb3ducmV2LnhtbE2PQU+DQBCF7yb+h82YeLMLJLaVsjSmhiZcTEQ99LZlR0DZ&#10;WcJuof33jid7ezPz8uZ72fZsezHh6DtHCuJFBAKpdqajRsHHe/GwBuGDJqN7R6jggh62+e1NplPj&#10;ZnrDqQqN4BDyqVbQhjCkUvq6Rav9wg1IfPtyo9WBx7GRZtQzh9teJlG0lFZ3xB9aPeCuxfqnOlkF&#10;02f3XJSXcreXL9X3azHbsj7slbq/i6MNiIDn8G+GP3xGh5yZju5ExotewSpKuEtg8RgnINixip94&#10;c2SxXCcg80xed8h/AVBLAwQUAAAACACHTuJA/vl5jdsBAADGAwAADgAAAGRycy9lMm9Eb2MueG1s&#10;rVPNjtMwEL4j8Q6W7zRpULYQNV0JSrkgWGnhAVzHTiz5Tx5v074AT8GRK48Fz8HYCd3fwx7IwZ4Z&#10;j7+Z7/NkfXk0mhxEAOVsS5eLkhJhueuU7Vv67evu1RtKIDLbMe2saOlJAL3cvHyxHn0jKjc43YlA&#10;EMRCM/qWDjH6piiAD8IwWDgvLB5KFwyL6Ia+6AIbEd3ooirLi2J0ofPBcQGA0e10SGfE8BxAJ6Xi&#10;Yuv4jRE2TqhBaBaREgzKA93kbqUUPH6REkQkuqXINOYVi6C9T2uxWbOmD8wPis8tsOe08ICTYcpi&#10;0TPUlkVGboJ6BGUUDw6cjAvuTDERyYogi2X5QJvrgXmRuaDU4M+iw/+D5Z8PV4GoDidhWdeUWGbw&#10;zf/8/PX7x3dSXbxOAo0eGsy79ldh9gDNxPYog0k78iDHLOrpLKo4RsIxuCxXb2uUm+PRbCNKcXvZ&#10;B4gfhTMkGS0VWuMLJtqsYYdPEKfsf1kpDE6rbqe0zk7o9+91IAeGT7zblfilprHAvTRtyYgNVCs8&#10;Jpzh4EocGDSNR/Jg+1zw3hW4i1x9WNXv6qeQU2dbBsPUQUZIaawxKoqkGLaiLW5Jx0m5ZO1dd8qC&#10;5jg+b06cRzHNz10/3779/TZ/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Ov10IPbAAAACwEAAA8A&#10;AAAAAAAAAQAgAAAAIgAAAGRycy9kb3ducmV2LnhtbFBLAQIUABQAAAAIAIdO4kD++XmN2wEAAMYD&#10;AAAOAAAAAAAAAAEAIAAAACoBAABkcnMvZTJvRG9jLnhtbFBLBQYAAAAABgAGAFkBAAB3BQAAAAA=&#10;">
                <v:fill on="t" focussize="0,0"/>
                <v:stroke weight="1pt" color="#2E75B5" joinstyle="miter"/>
                <v:imagedata o:title=""/>
                <o:lock v:ext="edit" aspectratio="f"/>
              </v:shape>
            </w:pict>
          </mc:Fallback>
        </mc:AlternateContent>
      </w:r>
      <w:r>
        <w:rPr>
          <w:color w:val="auto"/>
          <w:highlight w:val="none"/>
        </w:rPr>
        <mc:AlternateContent>
          <mc:Choice Requires="wps">
            <w:drawing>
              <wp:anchor distT="0" distB="0" distL="0" distR="0" simplePos="0" relativeHeight="251659264" behindDoc="0" locked="0" layoutInCell="1" allowOverlap="1">
                <wp:simplePos x="0" y="0"/>
                <wp:positionH relativeFrom="column">
                  <wp:posOffset>5083810</wp:posOffset>
                </wp:positionH>
                <wp:positionV relativeFrom="paragraph">
                  <wp:posOffset>4298315</wp:posOffset>
                </wp:positionV>
                <wp:extent cx="1437005" cy="450215"/>
                <wp:effectExtent l="547370" t="6350" r="15875" b="76835"/>
                <wp:wrapNone/>
                <wp:docPr id="1156" name="圆角矩形标注 23"/>
                <wp:cNvGraphicFramePr/>
                <a:graphic xmlns:a="http://schemas.openxmlformats.org/drawingml/2006/main">
                  <a:graphicData uri="http://schemas.microsoft.com/office/word/2010/wordprocessingShape">
                    <wps:wsp>
                      <wps:cNvSpPr/>
                      <wps:spPr>
                        <a:xfrm>
                          <a:off x="0" y="0"/>
                          <a:ext cx="1437005" cy="450215"/>
                        </a:xfrm>
                        <a:prstGeom prst="wedgeRoundRectCallout">
                          <a:avLst>
                            <a:gd name="adj1" fmla="val -84732"/>
                            <a:gd name="adj2" fmla="val 59308"/>
                            <a:gd name="adj3" fmla="val 16667"/>
                          </a:avLst>
                        </a:prstGeom>
                        <a:solidFill>
                          <a:srgbClr val="FFFFFF"/>
                        </a:solidFill>
                        <a:ln w="12700" cap="flat" cmpd="sng">
                          <a:solidFill>
                            <a:srgbClr val="000000"/>
                          </a:solidFill>
                          <a:prstDash val="solid"/>
                          <a:miter/>
                        </a:ln>
                      </wps:spPr>
                      <wps:txbx>
                        <w:txbxContent>
                          <w:p w14:paraId="6576D5A6">
                            <w:pPr>
                              <w:jc w:val="center"/>
                              <w:rPr>
                                <w:rFonts w:hint="default" w:eastAsia="宋体"/>
                                <w:b/>
                                <w:bCs/>
                                <w:sz w:val="22"/>
                                <w:szCs w:val="22"/>
                                <w:lang w:val="en-US" w:eastAsia="zh-CN"/>
                              </w:rPr>
                            </w:pPr>
                            <w:r>
                              <w:rPr>
                                <w:rFonts w:hint="eastAsia"/>
                                <w:b/>
                                <w:bCs/>
                                <w:sz w:val="22"/>
                                <w:szCs w:val="22"/>
                              </w:rPr>
                              <w:t>大气补充监测点</w:t>
                            </w:r>
                            <w:r>
                              <w:rPr>
                                <w:rFonts w:hint="eastAsia"/>
                                <w:b/>
                                <w:bCs/>
                                <w:sz w:val="22"/>
                                <w:szCs w:val="22"/>
                                <w:lang w:val="en-US" w:eastAsia="zh-CN"/>
                              </w:rPr>
                              <w:t>G1</w:t>
                            </w:r>
                          </w:p>
                        </w:txbxContent>
                      </wps:txbx>
                      <wps:bodyPr vert="horz" wrap="square" lIns="91440" tIns="45720" rIns="91440" bIns="45720" anchor="ctr">
                        <a:noAutofit/>
                      </wps:bodyPr>
                    </wps:wsp>
                  </a:graphicData>
                </a:graphic>
              </wp:anchor>
            </w:drawing>
          </mc:Choice>
          <mc:Fallback>
            <w:pict>
              <v:shape id="圆角矩形标注 23" o:spid="_x0000_s1026" o:spt="62" type="#_x0000_t62" style="position:absolute;left:0pt;margin-left:400.3pt;margin-top:338.45pt;height:35.45pt;width:113.15pt;z-index:251659264;v-text-anchor:middle;mso-width-relative:page;mso-height-relative:page;" fillcolor="#FFFFFF" filled="t" stroked="t" coordsize="21600,21600" o:gfxdata="UEsDBAoAAAAAAIdO4kAAAAAAAAAAAAAAAAAEAAAAZHJzL1BLAwQUAAAACACHTuJA5XJh4toAAAAM&#10;AQAADwAAAGRycy9kb3ducmV2LnhtbE2PwU7DMAyG70i8Q2QkLoglm1DblboTICEOiANl4pw1Jq3W&#10;JFWStePtSU/sZsu/Pn9/tTubgU3kQ+8swnolgJFtneqtRth/vd4XwEKUVsnBWUL4pQC7+vqqkqVy&#10;s/2kqYmaJYgNpUToYhxLzkPbkZFh5Uay6fbjvJExrV5z5eWc4GbgGyEybmRv04dOjvTSUXtsTgbB&#10;F/vjc5a/3fUfc/ietrNu3vUT4u3NWjwCi3SO/2FY9JM61Mnp4E5WBTYgFImeoghZnm2BLQmxWaYD&#10;Qv6QF8Dril+WqP8AUEsDBBQAAAAIAIdO4kD8QUOhaQIAANYEAAAOAAAAZHJzL2Uyb0RvYy54bWyt&#10;VMtu1DAU3SPxD5b3bR7zakfNVKijQUgIqhY+wOM4EyO/sD2TKR8A+66RQGyANWs+p4XP4NoJ07Rl&#10;0QVZJL7x9fE551776HgrBdow67hWBc72U4yYorrkalXg168WewcYOU9USYRWrMAXzOHj2eNHR42Z&#10;slzXWpTMIgBRbtqYAtfem2mSOFozSdy+NkzBZKWtJB5Cu0pKSxpAlyLJ03ScNNqWxmrKnIO/83YS&#10;d4j2IYC6qjhlc03XkinfolomiAdJrubG4VlkW1WM+pdV5ZhHosCg1Mc3bALjZXgnsyMyXVliak47&#10;CuQhFO5okoQr2HQHNSeeoLXl96Akp1Y7Xfl9qmXSComOgIosvePNeU0Mi1rAamd2prv/B0tfbE4t&#10;4iV0QjYaY6SIhJpffXz/++vlr0/fr35+uf784frHN5QPgleNcVNYcm5ObRc5GAbh28rK8AVJaBv9&#10;vdj5y7YeUfiZDQeTNB1hRGFuOErzbBRAk5vVxjr/lGmJwqDADStX7EyvVXkGlTwhQui1jz6TzXPn&#10;o+Flx5mUbzKMKimgfhsi0N7BcDLIuwL3kvJ+0uhwkB7czxn0c7LxeDzpeHbbAuO/TAMHpwUvF1yI&#10;GNjV8kRYBBwKvIhPt/hWmlCoAUdyMAT8IHCQKmhgGEoDxXBqFWXeWuL6yGl8/oUcmM2Jq1sGEaFV&#10;KLlntvVbKLA9FLMtXxj57XLb1XSpywvoCrgkoAa1tu8wauCIAK23a2IZRuKZgh48zIbDcKZiMBxN&#10;cghsf2bZnyGKAlSBqbdRmtJP1l5X3AdGgUC7axdAu8fG6I5mOE/9OGbdXEezP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OVyYeLaAAAADAEAAA8AAAAAAAAAAQAgAAAAIgAAAGRycy9kb3ducmV2Lnht&#10;bFBLAQIUABQAAAAIAIdO4kD8QUOhaQIAANYEAAAOAAAAAAAAAAEAIAAAACkBAABkcnMvZTJvRG9j&#10;LnhtbFBLBQYAAAAABgAGAFkBAAAEBgAAAAA=&#10;" adj="-7502,23611,14400">
                <v:fill on="t" focussize="0,0"/>
                <v:stroke weight="1pt" color="#000000" joinstyle="miter"/>
                <v:imagedata o:title=""/>
                <o:lock v:ext="edit" aspectratio="f"/>
                <v:textbox>
                  <w:txbxContent>
                    <w:p w14:paraId="6576D5A6">
                      <w:pPr>
                        <w:jc w:val="center"/>
                        <w:rPr>
                          <w:rFonts w:hint="default" w:eastAsia="宋体"/>
                          <w:b/>
                          <w:bCs/>
                          <w:sz w:val="22"/>
                          <w:szCs w:val="22"/>
                          <w:lang w:val="en-US" w:eastAsia="zh-CN"/>
                        </w:rPr>
                      </w:pPr>
                      <w:r>
                        <w:rPr>
                          <w:rFonts w:hint="eastAsia"/>
                          <w:b/>
                          <w:bCs/>
                          <w:sz w:val="22"/>
                          <w:szCs w:val="22"/>
                        </w:rPr>
                        <w:t>大气补充监测点</w:t>
                      </w:r>
                      <w:r>
                        <w:rPr>
                          <w:rFonts w:hint="eastAsia"/>
                          <w:b/>
                          <w:bCs/>
                          <w:sz w:val="22"/>
                          <w:szCs w:val="22"/>
                          <w:lang w:val="en-US" w:eastAsia="zh-CN"/>
                        </w:rPr>
                        <w:t>G1</w:t>
                      </w:r>
                    </w:p>
                  </w:txbxContent>
                </v:textbox>
              </v:shape>
            </w:pict>
          </mc:Fallback>
        </mc:AlternateContent>
      </w:r>
      <w:r>
        <w:rPr>
          <w:color w:val="auto"/>
          <w:sz w:val="32"/>
          <w:highlight w:val="none"/>
        </w:rPr>
        <mc:AlternateContent>
          <mc:Choice Requires="wps">
            <w:drawing>
              <wp:anchor distT="0" distB="0" distL="0" distR="0" simplePos="0" relativeHeight="251659264" behindDoc="0" locked="0" layoutInCell="1" allowOverlap="1">
                <wp:simplePos x="0" y="0"/>
                <wp:positionH relativeFrom="column">
                  <wp:posOffset>3900805</wp:posOffset>
                </wp:positionH>
                <wp:positionV relativeFrom="paragraph">
                  <wp:posOffset>884555</wp:posOffset>
                </wp:positionV>
                <wp:extent cx="596900" cy="3928110"/>
                <wp:effectExtent l="13970" t="1905" r="55880" b="13334"/>
                <wp:wrapNone/>
                <wp:docPr id="1157" name="直接箭头连接符 5"/>
                <wp:cNvGraphicFramePr/>
                <a:graphic xmlns:a="http://schemas.openxmlformats.org/drawingml/2006/main">
                  <a:graphicData uri="http://schemas.microsoft.com/office/word/2010/wordprocessingShape">
                    <wps:wsp>
                      <wps:cNvCnPr/>
                      <wps:spPr>
                        <a:xfrm>
                          <a:off x="0" y="0"/>
                          <a:ext cx="596900" cy="3928109"/>
                        </a:xfrm>
                        <a:prstGeom prst="straightConnector1">
                          <a:avLst/>
                        </a:prstGeom>
                        <a:ln w="28575" cap="flat" cmpd="sng">
                          <a:solidFill>
                            <a:srgbClr val="FFFF00"/>
                          </a:solidFill>
                          <a:prstDash val="lgDashDot"/>
                          <a:miter/>
                          <a:tailEnd type="arrow" w="med" len="med"/>
                        </a:ln>
                      </wps:spPr>
                      <wps:bodyPr/>
                    </wps:wsp>
                  </a:graphicData>
                </a:graphic>
              </wp:anchor>
            </w:drawing>
          </mc:Choice>
          <mc:Fallback>
            <w:pict>
              <v:shape id="直接箭头连接符 5" o:spid="_x0000_s1026" o:spt="32" type="#_x0000_t32" style="position:absolute;left:0pt;margin-left:307.15pt;margin-top:69.65pt;height:309.3pt;width:47pt;z-index:251659264;mso-width-relative:page;mso-height-relative:page;" filled="f" stroked="t" coordsize="21600,21600" o:gfxdata="UEsDBAoAAAAAAIdO4kAAAAAAAAAAAAAAAAAEAAAAZHJzL1BLAwQUAAAACACHTuJARNpoS9gAAAAL&#10;AQAADwAAAGRycy9kb3ducmV2LnhtbE2PwU7DMBBE70j8g7VI3KidNrRpiNMDgiMHUiTEzY2XJEq8&#10;DrHbtH/PcqK3Wc3T7EyxO7tBnHAKnScNyUKBQKq97ajR8LF/fchAhGjImsETarhggF15e1OY3PqZ&#10;3vFUxUZwCIXcaGhjHHMpQ92iM2HhRyT2vv3kTORzaqSdzMzhbpBLpdbSmY74Q2tGfG6x7quj07C0&#10;+95lQ3p5+6zS/uvnpemyedb6/i5RTyAinuM/DH/1uTqU3Ongj2SDGDSsk3TFKBurLQsmNipjcWDx&#10;uNmCLAt5vaH8BVBLAwQUAAAACACHTuJAVJ3IZAkCAADaAwAADgAAAGRycy9lMm9Eb2MueG1srVPN&#10;jtMwEL4j8Q6W7zRpUXe3UdM9tJQLgkrAA0wdJ7HkP429TfsSvAASJ+AEe9o7TwPLYzBOSheWyx7I&#10;wRn/fN/M93k8v9wbzXYSg3K25ONRzpm0wlXKNiV/+2b95IKzEMFWoJ2VJT/IwC8Xjx/NO1/IiWud&#10;riQyIrGh6HzJ2xh9kWVBtNJAGDkvLW3WDg1EmmKTVQgdsRudTfL8LOscVh6dkCHQ6mrY5EdGfAih&#10;q2sl5MqJKyNtHFhRaogkKbTKB77oq61rKeKrug4yMl1yUhr7kZJQvE1jtphD0SD4VoljCfCQEu5p&#10;MqAsJT1RrSACu0L1D5VRAl1wdRwJZ7JBSO8IqRjn97x53YKXvRayOviT6eH/0YqXuw0yVVEnjKfn&#10;nFkwdOe3729+vPt0e/31+8ebn98+pPjLZzZNbnU+FARa2g0eZ8FvMEnf12jSn0Sxfe/w4eSw3Ecm&#10;aHE6O5vl5L2graezycU4nyXS7A7tMcTn0hmWgpKHiKCaNi6dtXSZDse9zbB7EeIA/A1IqbVlXckn&#10;F9PzKeUA6s6auoJC40lhsE0PDk6raq20TpCAzXapke2AOmRNH5U3EP91LGVZQWiHc7pJ8crFdBQK&#10;o6JMbkARQelntmLx4MlGQHQdTyUZWXGmJT24FA382pLwZOdgYIq2rjr0vvbrdOW9Ncf2TD3157xH&#10;3z3JxS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E2mhL2AAAAAsBAAAPAAAAAAAAAAEAIAAAACIA&#10;AABkcnMvZG93bnJldi54bWxQSwECFAAUAAAACACHTuJAVJ3IZAkCAADaAwAADgAAAAAAAAABACAA&#10;AAAnAQAAZHJzL2Uyb0RvYy54bWxQSwUGAAAAAAYABgBZAQAAogUAAAAA&#10;">
                <v:fill on="f" focussize="0,0"/>
                <v:stroke weight="2.25pt" color="#FFFF00" joinstyle="miter" dashstyle="longDashDot" endarrow="open"/>
                <v:imagedata o:title=""/>
                <o:lock v:ext="edit" aspectratio="f"/>
              </v:shape>
            </w:pict>
          </mc:Fallback>
        </mc:AlternateContent>
      </w:r>
      <w:r>
        <w:rPr>
          <w:color w:val="auto"/>
          <w:highlight w:val="none"/>
        </w:rPr>
        <mc:AlternateContent>
          <mc:Choice Requires="wps">
            <w:drawing>
              <wp:anchor distT="0" distB="0" distL="0" distR="0" simplePos="0" relativeHeight="251659264" behindDoc="0" locked="0" layoutInCell="1" allowOverlap="1">
                <wp:simplePos x="0" y="0"/>
                <wp:positionH relativeFrom="column">
                  <wp:posOffset>1609725</wp:posOffset>
                </wp:positionH>
                <wp:positionV relativeFrom="paragraph">
                  <wp:posOffset>4803775</wp:posOffset>
                </wp:positionV>
                <wp:extent cx="107950" cy="107950"/>
                <wp:effectExtent l="6350" t="6350" r="19050" b="19050"/>
                <wp:wrapNone/>
                <wp:docPr id="1158" name="椭圆 263"/>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FF0000"/>
                        </a:solidFill>
                        <a:ln w="12700" cap="flat" cmpd="sng">
                          <a:solidFill>
                            <a:srgbClr val="2E75B5"/>
                          </a:solidFill>
                          <a:prstDash val="solid"/>
                          <a:miter/>
                        </a:ln>
                      </wps:spPr>
                      <wps:bodyPr/>
                    </wps:wsp>
                  </a:graphicData>
                </a:graphic>
              </wp:anchor>
            </w:drawing>
          </mc:Choice>
          <mc:Fallback>
            <w:pict>
              <v:shape id="椭圆 263" o:spid="_x0000_s1026" o:spt="3" type="#_x0000_t3" style="position:absolute;left:0pt;margin-left:126.75pt;margin-top:378.25pt;height:8.5pt;width:8.5pt;z-index:251659264;mso-width-relative:page;mso-height-relative:page;" fillcolor="#FF0000" filled="t" stroked="t" coordsize="21600,21600" o:gfxdata="UEsDBAoAAAAAAIdO4kAAAAAAAAAAAAAAAAAEAAAAZHJzL1BLAwQUAAAACACHTuJANNiVFtkAAAAL&#10;AQAADwAAAGRycy9kb3ducmV2LnhtbE2PQU+DQBCF7yb+h82YeLNLMRSDLI2poQkXE1EP3rbsCCg7&#10;S9gttP/e8WRvb+a9vPkm357sIGacfO9IwXoVgUBqnOmpVfD+Vt49gPBBk9GDI1RwRg/b4voq15lx&#10;C73iXIdWcAn5TCvoQhgzKX3TodV+5UYk9r7cZHXgcWqlmfTC5XaQcRRtpNU98YVOj7jrsPmpj1bB&#10;/NE/ldW52u3lc/39Ui62aj73St3erKNHEAFP4T8Mf/iMDgUzHdyRjBeDgji5TziqIE02LDgRpxGL&#10;A29StmSRy8sfil9QSwMEFAAAAAgAh07iQHHdzXDaAQAAxgMAAA4AAABkcnMvZTJvRG9jLnhtbK1T&#10;zY7TMBC+I/EOlu80aVG3EDVdCUq5IFhp4QGmjpNY8p883qZ9AZ6CI1ceC56DsRO6v4c9kIM9Y4+/&#10;me+byfryaDQ7yIDK2ZrPZyVn0grXKNvV/NvX3as3nGEE24B2Vtb8JJFfbl6+WA++kgvXO93IwAjE&#10;YjX4mvcx+qooUPTSAM6cl5YuWxcMRHJDVzQBBkI3uliU5UUxuND44IREpNPteMknxPAcQNe2Ssit&#10;EzdG2jiiBqkhEiXslUe+ydW2rRTxS9uijEzXnJjGvFISsvdpLTZrqLoAvldiKgGeU8IDTgaUpaRn&#10;qC1EYDdBPYIySgSHro0z4UwxEsmKEIt5+UCb6x68zFxIavRn0fH/wYrPh6vAVEOTMF9S5y0Y6vmf&#10;n79+//jOFhevk0CDx4rirv1VmDwkM7E9tsGknXiwYxb1dBZVHiMTdDgvV2+XJLegq8kmlOL2sQ8Y&#10;P0pnWDJqLrWmDibaUMHhE8Yx+l9UOkanVbNTWmcndPv3OrADUIt3u5K+VDQluBemLRuogMWKrpkA&#10;GtyWBoZM44k82i4nvPcE7yIvPqyW75ZPIafKtoD9WEFGSGFQGRVlUoxK0Za2pOOoXLL2rjllQfM5&#10;tTcHTqOY5ueun1/f/n6bv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DTYlRbZAAAACwEAAA8AAAAA&#10;AAAAAQAgAAAAIgAAAGRycy9kb3ducmV2LnhtbFBLAQIUABQAAAAIAIdO4kBx3c1w2gEAAMYDAAAO&#10;AAAAAAAAAAEAIAAAACgBAABkcnMvZTJvRG9jLnhtbFBLBQYAAAAABgAGAFkBAAB0BQAAAAA=&#10;">
                <v:fill on="t" focussize="0,0"/>
                <v:stroke weight="1pt" color="#2E75B5" joinstyle="miter"/>
                <v:imagedata o:title=""/>
                <o:lock v:ext="edit" aspectratio="f"/>
              </v:shape>
            </w:pict>
          </mc:Fallback>
        </mc:AlternateContent>
      </w:r>
      <w:r>
        <w:rPr>
          <w:color w:val="auto"/>
          <w:sz w:val="32"/>
          <w:highlight w:val="none"/>
        </w:rPr>
        <mc:AlternateContent>
          <mc:Choice Requires="wps">
            <w:drawing>
              <wp:anchor distT="0" distB="0" distL="0" distR="0" simplePos="0" relativeHeight="251659264" behindDoc="0" locked="0" layoutInCell="1" allowOverlap="1">
                <wp:simplePos x="0" y="0"/>
                <wp:positionH relativeFrom="column">
                  <wp:posOffset>1288415</wp:posOffset>
                </wp:positionH>
                <wp:positionV relativeFrom="paragraph">
                  <wp:posOffset>4481830</wp:posOffset>
                </wp:positionV>
                <wp:extent cx="369570" cy="202565"/>
                <wp:effectExtent l="6350" t="6350" r="24130" b="19685"/>
                <wp:wrapNone/>
                <wp:docPr id="1159" name="矩形 47"/>
                <wp:cNvGraphicFramePr/>
                <a:graphic xmlns:a="http://schemas.openxmlformats.org/drawingml/2006/main">
                  <a:graphicData uri="http://schemas.microsoft.com/office/word/2010/wordprocessingShape">
                    <wps:wsp>
                      <wps:cNvSpPr/>
                      <wps:spPr>
                        <a:xfrm>
                          <a:off x="0" y="0"/>
                          <a:ext cx="369569" cy="202565"/>
                        </a:xfrm>
                        <a:prstGeom prst="rect">
                          <a:avLst/>
                        </a:prstGeom>
                        <a:ln w="12700" cap="flat" cmpd="sng">
                          <a:solidFill>
                            <a:srgbClr val="FF0000"/>
                          </a:solidFill>
                          <a:prstDash val="solid"/>
                          <a:miter/>
                        </a:ln>
                      </wps:spPr>
                      <wps:bodyPr/>
                    </wps:wsp>
                  </a:graphicData>
                </a:graphic>
              </wp:anchor>
            </w:drawing>
          </mc:Choice>
          <mc:Fallback>
            <w:pict>
              <v:rect id="矩形 47" o:spid="_x0000_s1026" o:spt="1" style="position:absolute;left:0pt;margin-left:101.45pt;margin-top:352.9pt;height:15.95pt;width:29.1pt;z-index:251659264;mso-width-relative:page;mso-height-relative:page;" filled="f" stroked="t" coordsize="21600,21600" o:gfxdata="UEsDBAoAAAAAAIdO4kAAAAAAAAAAAAAAAAAEAAAAZHJzL1BLAwQUAAAACACHTuJA9fAGZNsAAAAL&#10;AQAADwAAAGRycy9kb3ducmV2LnhtbE2PTU/DMAyG70j8h8hI3FjSsrZQmu6ANCGEmGAgxjFrTFvR&#10;OFWTff17zAmOth+9ft5qcXSD2OMUek8akpkCgdR421Or4f1teXUDIkRD1gyeUMMJAyzq87PKlNYf&#10;6BX369gKDqFQGg1djGMpZWg6dCbM/IjEty8/ORN5nFppJ3PgcDfIVKlcOtMTf+jMiPcdNt/rndPw&#10;QjZ/DBu7/Nis5k/ZQzZvTs+fWl9eJOoORMRj/IPhV5/VoWanrd+RDWLQkKr0llENhcq4AxNpniQg&#10;try5LgqQdSX/d6h/AFBLAwQUAAAACACHTuJAs7l5fc4BAACOAwAADgAAAGRycy9lMm9Eb2MueG1s&#10;rVPNjtMwEL4j8Q6W7zRpoF02aroHqnJBsNIuD+A6TmLJf5rxNu3TIHHjIXgcxGswdkIXlsseyMEe&#10;2zPfzPfNZHNzsoYdFaD2ruHLRcmZctK32vUN/3y/f/WWM4zCtcJ4pxp+Vshvti9fbMZQq8oP3rQK&#10;GIE4rMfQ8CHGUBcFykFZgQsflKPHzoMVkY7QFy2IkdCtKaqyXBejhzaAlwqRbnfTI58R4TmAvuu0&#10;VDsvH6xycUIFZUQkSjjogHybq+06JeOnrkMVmWk4MY15pSRkH9JabDei7kGEQcu5BPGcEp5wskI7&#10;SnqB2oko2APof6CsluDRd3EhvS0mIlkRYrEsn2hzN4igMheSGsNFdPx/sPLj8RaYbmkSlqtrzpyw&#10;1POfX779+P6VvblK+owBa3K7C7cwn5DMRPbUgU070WCnrOn5oqk6RSbp8vX6erUmYElPVVmt1quE&#10;WTwGB8D4XnnLktFwoJZlJcXxA8bJ9bdLymUcG6nY6qqkFkpBA9hR48m0gUig63MweqPbvTYmhSD0&#10;h3cG2FHQEOz3JX1zDX+5pSw7gcPkl5+Sm6itjipRp6KNoy0JMkmQrINvz1mZfE9tyo7zSKU5+POc&#10;ox9/o+0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9fAGZNsAAAALAQAADwAAAAAAAAABACAAAAAi&#10;AAAAZHJzL2Rvd25yZXYueG1sUEsBAhQAFAAAAAgAh07iQLO5eX3OAQAAjgMAAA4AAAAAAAAAAQAg&#10;AAAAKgEAAGRycy9lMm9Eb2MueG1sUEsFBgAAAAAGAAYAWQEAAGoFAAAAAA==&#10;">
                <v:fill on="f" focussize="0,0"/>
                <v:stroke weight="1pt" color="#FF0000" joinstyle="miter"/>
                <v:imagedata o:title=""/>
                <o:lock v:ext="edit" aspectratio="f"/>
              </v:rect>
            </w:pict>
          </mc:Fallback>
        </mc:AlternateContent>
      </w:r>
      <w:r>
        <w:rPr>
          <w:color w:val="auto"/>
          <w:highlight w:val="none"/>
        </w:rPr>
        <w:drawing>
          <wp:anchor distT="0" distB="0" distL="0" distR="0" simplePos="0" relativeHeight="251659264" behindDoc="0" locked="0" layoutInCell="1" allowOverlap="1">
            <wp:simplePos x="0" y="0"/>
            <wp:positionH relativeFrom="column">
              <wp:posOffset>7962265</wp:posOffset>
            </wp:positionH>
            <wp:positionV relativeFrom="paragraph">
              <wp:posOffset>130810</wp:posOffset>
            </wp:positionV>
            <wp:extent cx="782320" cy="805815"/>
            <wp:effectExtent l="0" t="0" r="17780" b="13334"/>
            <wp:wrapNone/>
            <wp:docPr id="1160" name="图片 4"/>
            <wp:cNvGraphicFramePr/>
            <a:graphic xmlns:a="http://schemas.openxmlformats.org/drawingml/2006/main">
              <a:graphicData uri="http://schemas.openxmlformats.org/drawingml/2006/picture">
                <pic:pic xmlns:pic="http://schemas.openxmlformats.org/drawingml/2006/picture">
                  <pic:nvPicPr>
                    <pic:cNvPr id="1160" name="图片 4"/>
                    <pic:cNvPicPr/>
                  </pic:nvPicPr>
                  <pic:blipFill>
                    <a:blip r:embed="rId18" cstate="print"/>
                    <a:srcRect/>
                    <a:stretch>
                      <a:fillRect/>
                    </a:stretch>
                  </pic:blipFill>
                  <pic:spPr>
                    <a:xfrm>
                      <a:off x="0" y="0"/>
                      <a:ext cx="782319" cy="805815"/>
                    </a:xfrm>
                    <a:prstGeom prst="rect">
                      <a:avLst/>
                    </a:prstGeom>
                    <a:ln>
                      <a:noFill/>
                    </a:ln>
                  </pic:spPr>
                </pic:pic>
              </a:graphicData>
            </a:graphic>
          </wp:anchor>
        </w:drawing>
      </w:r>
      <w:r>
        <w:rPr>
          <w:color w:val="auto"/>
          <w:highlight w:val="none"/>
        </w:rPr>
        <w:drawing>
          <wp:inline distT="0" distB="0" distL="0" distR="0">
            <wp:extent cx="8056880" cy="5256530"/>
            <wp:effectExtent l="0" t="0" r="1270" b="1270"/>
            <wp:docPr id="1161" name="图片 4"/>
            <wp:cNvGraphicFramePr/>
            <a:graphic xmlns:a="http://schemas.openxmlformats.org/drawingml/2006/main">
              <a:graphicData uri="http://schemas.openxmlformats.org/drawingml/2006/picture">
                <pic:pic xmlns:pic="http://schemas.openxmlformats.org/drawingml/2006/picture">
                  <pic:nvPicPr>
                    <pic:cNvPr id="1161" name="图片 4"/>
                    <pic:cNvPicPr/>
                  </pic:nvPicPr>
                  <pic:blipFill>
                    <a:blip r:embed="rId51" cstate="print"/>
                    <a:srcRect/>
                    <a:stretch>
                      <a:fillRect/>
                    </a:stretch>
                  </pic:blipFill>
                  <pic:spPr>
                    <a:xfrm>
                      <a:off x="0" y="0"/>
                      <a:ext cx="8056880" cy="5256530"/>
                    </a:xfrm>
                    <a:prstGeom prst="rect">
                      <a:avLst/>
                    </a:prstGeom>
                    <a:ln>
                      <a:noFill/>
                    </a:ln>
                  </pic:spPr>
                </pic:pic>
              </a:graphicData>
            </a:graphic>
          </wp:inline>
        </w:drawing>
      </w:r>
    </w:p>
    <w:p w14:paraId="197C8FCB">
      <w:pPr>
        <w:jc w:val="center"/>
        <w:outlineLvl w:val="0"/>
        <w:rPr>
          <w:rFonts w:hint="default" w:ascii="Times New Roman" w:hAnsi="Times New Roman" w:cs="Times New Roman"/>
          <w:b/>
          <w:bCs/>
          <w:color w:val="auto"/>
          <w:highlight w:val="none"/>
          <w:lang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0" w:num="1"/>
          <w:docGrid w:type="lines" w:linePitch="334" w:charSpace="0"/>
        </w:sectPr>
      </w:pPr>
      <w:bookmarkStart w:id="196" w:name="_Toc5602"/>
      <w:bookmarkStart w:id="197" w:name="_Toc21615"/>
      <w:r>
        <w:rPr>
          <w:rFonts w:hint="eastAsia"/>
          <w:b/>
          <w:bCs/>
          <w:color w:val="auto"/>
          <w:highlight w:val="none"/>
        </w:rPr>
        <w:t>附图1</w:t>
      </w:r>
      <w:r>
        <w:rPr>
          <w:rFonts w:hint="eastAsia"/>
          <w:b/>
          <w:bCs/>
          <w:color w:val="auto"/>
          <w:highlight w:val="none"/>
          <w:lang w:val="en-US" w:eastAsia="zh-CN"/>
        </w:rPr>
        <w:t>4</w:t>
      </w:r>
      <w:r>
        <w:rPr>
          <w:rFonts w:hint="eastAsia"/>
          <w:b/>
          <w:bCs/>
          <w:color w:val="auto"/>
          <w:highlight w:val="none"/>
        </w:rPr>
        <w:t>项目与大气补充监测点位置图</w:t>
      </w:r>
      <w:bookmarkEnd w:id="196"/>
      <w:bookmarkStart w:id="198" w:name="_Toc20433"/>
      <w:r>
        <w:rPr>
          <w:color w:val="auto"/>
          <w:sz w:val="24"/>
          <w:highlight w:val="none"/>
        </w:rPr>
        <mc:AlternateContent>
          <mc:Choice Requires="wpg">
            <w:drawing>
              <wp:anchor distT="0" distB="0" distL="0" distR="0" simplePos="0" relativeHeight="251659264" behindDoc="0" locked="0" layoutInCell="1" allowOverlap="1">
                <wp:simplePos x="0" y="0"/>
                <wp:positionH relativeFrom="column">
                  <wp:posOffset>5234305</wp:posOffset>
                </wp:positionH>
                <wp:positionV relativeFrom="paragraph">
                  <wp:posOffset>-7997825</wp:posOffset>
                </wp:positionV>
                <wp:extent cx="342900" cy="681990"/>
                <wp:effectExtent l="0" t="0" r="0" b="23495"/>
                <wp:wrapNone/>
                <wp:docPr id="1162" name="组合 284"/>
                <wp:cNvGraphicFramePr/>
                <a:graphic xmlns:a="http://schemas.openxmlformats.org/drawingml/2006/main">
                  <a:graphicData uri="http://schemas.microsoft.com/office/word/2010/wordprocessingGroup">
                    <wpg:wgp>
                      <wpg:cNvGrpSpPr/>
                      <wpg:grpSpPr>
                        <a:xfrm rot="0">
                          <a:off x="0" y="0"/>
                          <a:ext cx="342900" cy="681990"/>
                          <a:chOff x="9052" y="1688126"/>
                          <a:chExt cx="540" cy="1074"/>
                        </a:xfrm>
                      </wpg:grpSpPr>
                      <wps:wsp>
                        <wps:cNvPr id="23" name="上箭头 23"/>
                        <wps:cNvSpPr/>
                        <wps:spPr>
                          <a:xfrm>
                            <a:off x="9113" y="1688590"/>
                            <a:ext cx="375" cy="611"/>
                          </a:xfrm>
                          <a:prstGeom prst="upArrow">
                            <a:avLst/>
                          </a:prstGeom>
                          <a:solidFill>
                            <a:srgbClr val="FF0000"/>
                          </a:solidFill>
                          <a:ln w="9525" cap="flat" cmpd="sng">
                            <a:solidFill>
                              <a:srgbClr val="000000"/>
                            </a:solidFill>
                            <a:prstDash val="solid"/>
                            <a:miter/>
                          </a:ln>
                        </wps:spPr>
                        <wps:bodyPr/>
                      </wps:wsp>
                      <wps:wsp>
                        <wps:cNvPr id="24" name="矩形 24"/>
                        <wps:cNvSpPr/>
                        <wps:spPr>
                          <a:xfrm>
                            <a:off x="9052" y="1688126"/>
                            <a:ext cx="540" cy="605"/>
                          </a:xfrm>
                          <a:prstGeom prst="rect">
                            <a:avLst/>
                          </a:prstGeom>
                          <a:ln>
                            <a:noFill/>
                          </a:ln>
                        </wps:spPr>
                        <wps:txbx>
                          <w:txbxContent>
                            <w:p w14:paraId="178A0392">
                              <w:pPr>
                                <w:rPr>
                                  <w:rFonts w:hint="eastAsia" w:eastAsia="宋体"/>
                                  <w:b/>
                                  <w:bCs/>
                                  <w:lang w:val="en-US" w:eastAsia="zh-CN"/>
                                </w:rPr>
                              </w:pPr>
                              <w:r>
                                <w:rPr>
                                  <w:rFonts w:hint="eastAsia"/>
                                  <w:b/>
                                  <w:bCs/>
                                  <w:lang w:val="en-US" w:eastAsia="zh-CN"/>
                                </w:rPr>
                                <w:t>N</w:t>
                              </w:r>
                            </w:p>
                          </w:txbxContent>
                        </wps:txbx>
                        <wps:bodyPr vert="horz" wrap="square" lIns="91440" tIns="45720" rIns="91440" bIns="45720" anchor="t">
                          <a:noAutofit/>
                        </wps:bodyPr>
                      </wps:wsp>
                    </wpg:wgp>
                  </a:graphicData>
                </a:graphic>
              </wp:anchor>
            </w:drawing>
          </mc:Choice>
          <mc:Fallback>
            <w:pict>
              <v:group id="组合 284" o:spid="_x0000_s1026" o:spt="203" style="position:absolute;left:0pt;margin-left:412.15pt;margin-top:-629.75pt;height:53.7pt;width:27pt;z-index:251659264;mso-width-relative:page;mso-height-relative:page;" coordorigin="9052,1688126" coordsize="540,1074" o:gfxdata="UEsDBAoAAAAAAIdO4kAAAAAAAAAAAAAAAAAEAAAAZHJzL1BLAwQUAAAACACHTuJAxS7Dpd0AAAAP&#10;AQAADwAAAGRycy9kb3ducmV2LnhtbE2PwU7DMAyG70i8Q2QkbluajkIpTSc0AadpEhsS4pa1Xlut&#10;caoma7e3xzvB0b8//f6cL8+2EyMOvnWkQc0jEEilq1qqNXzt3mcpCB8MVaZzhBou6GFZ3N7kJqvc&#10;RJ84bkMtuIR8ZjQ0IfSZlL5s0Bo/dz0S7w5usCbwONSyGszE5baTcRQ9Smta4guN6XHVYHncnqyG&#10;j8lMrwv1Nq6Ph9XlZ5dsvtcKtb6/U9ELiIDn8AfDVZ/VoWCnvTtR5UWnIY0fFoxqmKk4eU5AMJM+&#10;pZztr5lKYgWyyOX/P4pfUEsDBBQAAAAIAIdO4kAPl6gp2QIAAMkGAAAOAAAAZHJzL2Uyb0RvYy54&#10;bWy9VctuEzEU3SPxD5b3dB5N0mSUSVURUiEhqFT4AMfjeUgztrGdTMqaBWLFHyAhNixgxQIJ8TdU&#10;/Q2uPY+koVQVSGQRzfX1HJ97zr2e6fGmKtGaKV0IHuPgwMeIcSqSgmcxfvF88WCMkTaEJ6QUnMX4&#10;gml8PLt/b1rLiIUiF2XCFAIQrqNaxjg3Rkaep2nOKqIPhGQckqlQFTEQqsxLFKkBvSq90PdHXi1U&#10;IpWgTGtYnTdJ3CKquwCKNC0omwu6qhg3DapiJTFQks4LqfHMsU1TRs2zNNXMoDLGUKlx/3AIPC/t&#10;vzebkihTROYFbSmQu1DYq6kiBYdDe6g5MQStVPEbVFVQJbRIzQEVldcU4hSBKgJ/T5tTJVbS1ZJF&#10;dSZ70cGoPdX/GpY+XZ8pVCTQCcEoxIiTCjy/+v768t0bFI4HVqBaZhHsO1XyXJ6pdiFrIlvzJlUV&#10;UsJpa2OoCm2cxBe9xGxjEIXFw0E48UF8CqnROJhMWgtoDj7Ztyb+EGhANhiNx0E4ahyi+aMWYDho&#10;3w78I8fOawjMpp7l2dOqJbSn3mqm/02z85xI5qzQVotWs/CwU+znt7dXXz5ffvyKYM1J5Pb1gulI&#10;g3adWjsqTYIAQNp6h50cvVxHw1arILCwfbEkkkqbUyYqZB9ivJInSonaNSFZP9Gm2d3tsidqURbJ&#10;oihLF6hs+bBUaE1gMhYLH37tAde2lRzVYMowtDwIjHsKYwaPlYSW0Txz5117Q+8CW9ibgS2xOdF5&#10;Q8AhNFZXhWGqIV9y52qnnbV0KZIL14PgtjPYtuf/cHrQOX31/tPljw8obEfjrjbf2NadzX1Tj/zh&#10;7TYruNFu89hKRiIurM1/FNFslhtIbvW03wPooVyoVxjVcBuCty9XRDGMysccRmcSDOzcGRcMhkch&#10;BGo3s9zNEE4BKsYNUy5OVkakhevI7ZmttTCj7ejCDecavL2N7RW6G7td2y/Q7B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PBQAAW0NvbnRlbnRf&#10;VHlwZXNdLnhtbFBLAQIUAAoAAAAAAIdO4kAAAAAAAAAAAAAAAAAGAAAAAAAAAAAAEAAAADEEAABf&#10;cmVscy9QSwECFAAUAAAACACHTuJAihRmPNEAAACUAQAACwAAAAAAAAABACAAAABVBAAAX3JlbHMv&#10;LnJlbHNQSwECFAAKAAAAAACHTuJAAAAAAAAAAAAAAAAABAAAAAAAAAAAABAAAAAAAAAAZHJzL1BL&#10;AQIUABQAAAAIAIdO4kDFLsOl3QAAAA8BAAAPAAAAAAAAAAEAIAAAACIAAABkcnMvZG93bnJldi54&#10;bWxQSwECFAAUAAAACACHTuJAD5eoKdkCAADJBgAADgAAAAAAAAABACAAAAAsAQAAZHJzL2Uyb0Rv&#10;Yy54bWxQSwUGAAAAAAYABgBZAQAAdwYAAAAA&#10;">
                <o:lock v:ext="edit" aspectratio="f"/>
                <v:shape id="_x0000_s1026" o:spid="_x0000_s1026" o:spt="68" type="#_x0000_t68" style="position:absolute;left:9113;top:1688590;height:611;width:375;" fillcolor="#FF0000" filled="t" stroked="t" coordsize="21600,21600" o:gfxdata="UEsDBAoAAAAAAIdO4kAAAAAAAAAAAAAAAAAEAAAAZHJzL1BLAwQUAAAACACHTuJAzplH674AAADb&#10;AAAADwAAAGRycy9kb3ducmV2LnhtbEWPT2vCQBTE7wW/w/KE3upGLaVEVw+CtNZLagWvL9lnNph9&#10;G7Jr/nx7t1DocZiZ3zDr7WBr0VHrK8cK5rMEBHHhdMWlgvPP/uUdhA/IGmvHpGAkD9vN5GmNqXY9&#10;f1N3CqWIEPYpKjAhNKmUvjBk0c9cQxy9q2sthijbUuoW+wi3tVwkyZu0WHFcMNjQzlBxO92tgtcs&#10;u1TXIr/tuoO/m68xP36UuVLP03myAhFoCP/hv/anVrBYwu+X+APk5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plH674A&#10;AADbAAAADwAAAAAAAAABACAAAAAiAAAAZHJzL2Rvd25yZXYueG1sUEsBAhQAFAAAAAgAh07iQDMv&#10;BZ47AAAAOQAAABAAAAAAAAAAAQAgAAAADQEAAGRycy9zaGFwZXhtbC54bWxQSwUGAAAAAAYABgBb&#10;AQAAtwMAAAAA&#10;" adj="6628,5400">
                  <v:fill on="t" focussize="0,0"/>
                  <v:stroke color="#000000" joinstyle="miter"/>
                  <v:imagedata o:title=""/>
                  <o:lock v:ext="edit" aspectratio="f"/>
                </v:shape>
                <v:rect id="_x0000_s1026" o:spid="_x0000_s1026" o:spt="1" style="position:absolute;left:9052;top:1688126;height:605;width:540;" filled="f" stroked="f" coordsize="21600,21600" o:gfxdata="UEsDBAoAAAAAAIdO4kAAAAAAAAAAAAAAAAAEAAAAZHJzL1BLAwQUAAAACACHTuJAoWhorr0AAADb&#10;AAAADwAAAGRycy9kb3ducmV2LnhtbEWPQYvCMBSE7wv+h/CEvSyaKotINXoQxCILYqueH82zLTYv&#10;tYmt++83C4LHYWa+YZbrp6lFR62rLCuYjCMQxLnVFRcKTtl2NAfhPLLG2jIp+CUH69XgY4mxtj0f&#10;qUt9IQKEXYwKSu+bWEqXl2TQjW1DHLyrbQ36INtC6hb7ADe1nEbRTBqsOCyU2NCmpPyWPoyCPj90&#10;l+xnJw9fl8TyPblv0vNeqc/hJFqA8PT07/CrnWgF02/4/xJ+gFz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haGiu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178A0392">
                        <w:pPr>
                          <w:rPr>
                            <w:rFonts w:hint="eastAsia" w:eastAsia="宋体"/>
                            <w:b/>
                            <w:bCs/>
                            <w:lang w:val="en-US" w:eastAsia="zh-CN"/>
                          </w:rPr>
                        </w:pPr>
                        <w:r>
                          <w:rPr>
                            <w:rFonts w:hint="eastAsia"/>
                            <w:b/>
                            <w:bCs/>
                            <w:lang w:val="en-US" w:eastAsia="zh-CN"/>
                          </w:rPr>
                          <w:t>N</w:t>
                        </w:r>
                      </w:p>
                    </w:txbxContent>
                  </v:textbox>
                </v:rect>
              </v:group>
            </w:pict>
          </mc:Fallback>
        </mc:AlternateContent>
      </w:r>
      <w:bookmarkEnd w:id="197"/>
    </w:p>
    <w:p w14:paraId="74D429C3">
      <w:pPr>
        <w:pStyle w:val="46"/>
        <w:outlineLvl w:val="0"/>
        <w:rPr>
          <w:rFonts w:hint="default" w:ascii="Times New Roman" w:hAnsi="Times New Roman" w:eastAsia="宋体" w:cs="Times New Roman"/>
          <w:b/>
          <w:bCs/>
          <w:color w:val="auto"/>
          <w:highlight w:val="none"/>
          <w:lang w:val="en-US" w:eastAsia="zh-CN"/>
        </w:rPr>
      </w:pPr>
      <w:bookmarkStart w:id="199" w:name="_Toc13540"/>
      <w:r>
        <w:rPr>
          <w:rFonts w:hint="default" w:ascii="Times New Roman" w:hAnsi="Times New Roman" w:cs="Times New Roman"/>
          <w:b/>
          <w:bCs/>
          <w:color w:val="auto"/>
          <w:highlight w:val="none"/>
          <w:lang w:eastAsia="zh-CN"/>
        </w:rPr>
        <w:t>附图</w:t>
      </w:r>
      <w:r>
        <w:rPr>
          <w:rFonts w:hint="default" w:ascii="Times New Roman" w:hAnsi="Times New Roman" w:cs="Times New Roman"/>
          <w:b/>
          <w:bCs/>
          <w:color w:val="auto"/>
          <w:highlight w:val="none"/>
          <w:lang w:val="en-US" w:eastAsia="zh-CN"/>
        </w:rPr>
        <w:t>15 乐昌产业转移工业园管网分布图</w:t>
      </w:r>
      <w:bookmarkEnd w:id="198"/>
      <w:bookmarkEnd w:id="199"/>
    </w:p>
    <w:p w14:paraId="776D909D">
      <w:pPr>
        <w:pStyle w:val="46"/>
        <w:jc w:val="center"/>
        <w:rPr>
          <w:color w:val="auto"/>
          <w:highlight w:val="none"/>
        </w:rPr>
        <w:sectPr>
          <w:pgSz w:w="11906" w:h="16838"/>
          <w:pgMar w:top="1417" w:right="1134" w:bottom="1559" w:left="1417" w:header="851" w:footer="992" w:gutter="0"/>
          <w:pgBorders>
            <w:top w:val="none" w:sz="0" w:space="0"/>
            <w:left w:val="none" w:sz="0" w:space="0"/>
            <w:bottom w:val="none" w:sz="0" w:space="0"/>
            <w:right w:val="none" w:sz="0" w:space="0"/>
          </w:pgBorders>
          <w:pgNumType w:fmt="numberInDash"/>
          <w:cols w:space="0" w:num="1"/>
          <w:docGrid w:type="lines" w:linePitch="334" w:charSpace="0"/>
        </w:sectPr>
      </w:pPr>
      <w:r>
        <w:rPr>
          <w:color w:val="auto"/>
          <w:sz w:val="24"/>
          <w:highlight w:val="none"/>
        </w:rPr>
        <mc:AlternateContent>
          <mc:Choice Requires="wps">
            <w:drawing>
              <wp:anchor distT="0" distB="0" distL="114300" distR="114300" simplePos="0" relativeHeight="251665408" behindDoc="0" locked="0" layoutInCell="1" allowOverlap="1">
                <wp:simplePos x="0" y="0"/>
                <wp:positionH relativeFrom="column">
                  <wp:posOffset>2767330</wp:posOffset>
                </wp:positionH>
                <wp:positionV relativeFrom="paragraph">
                  <wp:posOffset>1603375</wp:posOffset>
                </wp:positionV>
                <wp:extent cx="791845" cy="147320"/>
                <wp:effectExtent l="635" t="4445" r="7620" b="19685"/>
                <wp:wrapNone/>
                <wp:docPr id="30" name="直接连接符 30"/>
                <wp:cNvGraphicFramePr/>
                <a:graphic xmlns:a="http://schemas.openxmlformats.org/drawingml/2006/main">
                  <a:graphicData uri="http://schemas.microsoft.com/office/word/2010/wordprocessingShape">
                    <wps:wsp>
                      <wps:cNvCnPr/>
                      <wps:spPr>
                        <a:xfrm>
                          <a:off x="3678555" y="2821305"/>
                          <a:ext cx="791845" cy="147320"/>
                        </a:xfrm>
                        <a:prstGeom prst="line">
                          <a:avLst/>
                        </a:prstGeom>
                        <a:ln w="9525">
                          <a:solidFill>
                            <a:srgbClr val="063ADE"/>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17.9pt;margin-top:126.25pt;height:11.6pt;width:62.35pt;z-index:251665408;mso-width-relative:page;mso-height-relative:page;" filled="f" stroked="t" coordsize="21600,21600" o:gfxdata="UEsDBAoAAAAAAIdO4kAAAAAAAAAAAAAAAAAEAAAAZHJzL1BLAwQUAAAACACHTuJArWWnENwAAAAL&#10;AQAADwAAAGRycy9kb3ducmV2LnhtbE2PwU7DMBBE70j8g7VI3KjdlKQoxKkEEhJB6qEBDtzceBtH&#10;xHYUO0n5e5ZTue3OjmbeFruz7dmMY+i8k7BeCWDoGq8710r4eH+5ewAWonJa9d6hhB8MsCuvrwqV&#10;a7+4A851bBmFuJArCSbGIec8NAatCis/oKPbyY9WRVrHlutRLRRue54IkXGrOkcNRg34bLD5ricr&#10;oRo+v/b7Oju8zXYy7WlTLa9PlZS3N2vxCCziOV7M8IdP6FAS09FPTgfWS7jfpIQeJSRpkgIjR5oJ&#10;Go6kbNMt8LLg/38ofwFQSwMEFAAAAAgAh07iQCkMMjzvAQAArAMAAA4AAABkcnMvZTJvRG9jLnht&#10;bK1TzW7UMBC+I/EOlu9sstnuT6PNVqihXBCsRPsAXsdJLPlPHnez+xK8ABI3OHHkzttQHoOxs7RQ&#10;Lj1wccaez9/M93myvjhoRfbCg7SmotNJTokw3DbSdBW9ub56saIEAjMNU9aIih4F0IvN82frwZWi&#10;sL1VjfAESQyUg6toH4Irswx4LzSDiXXCYLK1XrOAW99ljWcDsmuVFXm+yAbrG+ctFwB4Wo9JemL0&#10;TyG0bSu5qC2/1cKEkdULxQJKgl46oJvUbdsKHt61LYhAVEVRaUgrFsF4F9dss2Zl55nrJT+1wJ7S&#10;wiNNmkmDRe+pahYYufXyHyotubdg2zDhVmejkOQIqpjmj7x53zMnkha0Gty96fD/aPnb/dYT2VR0&#10;hpYYpvHF7z5++/Hh88/vn3C9+/qFYAZtGhyUiL40W3/agdv6qPnQeh2/qIYckGixXM3nc0qOFS1W&#10;xXSWz0ebxSEQjoDl+XR1hnmOgOnZclYk/uyByHkIr4XVJAYVVdJEF1jJ9m8gYHGE/obEY2OvpFLp&#10;JZUhQ0XP50WkZzidLU4FhtqhQjAdJUx1OPY8+MQIVskm3o484LvdpfJkz+KwLGYv61excaz2FyyW&#10;rhn0Iy6lTjBlEB19Gp2J0c42x2RYOsdHTHyngYtT8uc+3X74yTa/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K1lpxDcAAAACwEAAA8AAAAAAAAAAQAgAAAAIgAAAGRycy9kb3ducmV2LnhtbFBLAQIU&#10;ABQAAAAIAIdO4kApDDI87wEAAKwDAAAOAAAAAAAAAAEAIAAAACsBAABkcnMvZTJvRG9jLnhtbFBL&#10;BQYAAAAABgAGAFkBAACMBQAAAAA=&#10;">
                <v:fill on="f" focussize="0,0"/>
                <v:stroke color="#063ADE [3204]" joinstyle="round"/>
                <v:imagedata o:title=""/>
                <o:lock v:ext="edit" aspectratio="f"/>
              </v:line>
            </w:pict>
          </mc:Fallback>
        </mc:AlternateContent>
      </w:r>
      <w:r>
        <w:rPr>
          <w:color w:val="auto"/>
          <w:sz w:val="24"/>
          <w:highlight w:val="none"/>
        </w:rPr>
        <mc:AlternateContent>
          <mc:Choice Requires="wps">
            <w:drawing>
              <wp:anchor distT="0" distB="0" distL="114300" distR="114300" simplePos="0" relativeHeight="251663360" behindDoc="0" locked="0" layoutInCell="1" allowOverlap="1">
                <wp:simplePos x="0" y="0"/>
                <wp:positionH relativeFrom="column">
                  <wp:posOffset>2778760</wp:posOffset>
                </wp:positionH>
                <wp:positionV relativeFrom="paragraph">
                  <wp:posOffset>908050</wp:posOffset>
                </wp:positionV>
                <wp:extent cx="1270" cy="741045"/>
                <wp:effectExtent l="4445" t="0" r="13335" b="1905"/>
                <wp:wrapNone/>
                <wp:docPr id="29" name="直接连接符 29"/>
                <wp:cNvGraphicFramePr/>
                <a:graphic xmlns:a="http://schemas.openxmlformats.org/drawingml/2006/main">
                  <a:graphicData uri="http://schemas.microsoft.com/office/word/2010/wordprocessingShape">
                    <wps:wsp>
                      <wps:cNvCnPr>
                        <a:endCxn id="27" idx="3"/>
                      </wps:cNvCnPr>
                      <wps:spPr>
                        <a:xfrm>
                          <a:off x="3678555" y="2125980"/>
                          <a:ext cx="1270" cy="741045"/>
                        </a:xfrm>
                        <a:prstGeom prst="line">
                          <a:avLst/>
                        </a:prstGeom>
                        <a:ln w="9525">
                          <a:solidFill>
                            <a:srgbClr val="063ADE"/>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18.8pt;margin-top:71.5pt;height:58.35pt;width:0.1pt;z-index:251663360;mso-width-relative:page;mso-height-relative:page;" filled="f" stroked="t" coordsize="21600,21600" o:gfxdata="UEsDBAoAAAAAAIdO4kAAAAAAAAAAAAAAAAAEAAAAZHJzL1BLAwQUAAAACACHTuJAZqh8WtoAAAAL&#10;AQAADwAAAGRycy9kb3ducmV2LnhtbE2PQU+DQBCF7yb+h82YeLNLS6UVWZpoYiImPRTtwduWnQKR&#10;nSXsAvXfO570OO99efNetrvYTkw4+NaRguUiAoFUOdNSreDj/eVuC8IHTUZ3jlDBN3rY5ddXmU6N&#10;m+mAUxlqwSHkU62gCaFPpfRVg1b7heuR2Du7werA51BLM+iZw20nV1GUSKtb4g+N7vG5weqrHK2C&#10;oj9+7vdlcnib7NjU57iYX58KpW5vltEjiICX8AfDb32uDjl3OrmRjBedgnW8SRhlYx3zKCZY4TEn&#10;Bav7hw3IPJP/N+Q/UEsDBBQAAAAIAIdO4kB9DSf2/QEAANIDAAAOAAAAZHJzL2Uyb0RvYy54bWyt&#10;U0uO00AQ3SNxh1bviR3POB8rzgglDBsEkYADdNptu6X+qasnTi7BBZDYwYrl7LkNwzGotp2BGTaz&#10;YNO/evWq6lX16uqoFTkID9Kakk4nKSXCcFtJ05T044frFwtKIDBTMWWNKOlJAL1aP3+26lwhMtta&#10;VQlPkMRA0bmStiG4IkmAt0IzmFgnDBpr6zULePVNUnnWIbtWSZams6SzvnLecgGAr9vBSEdG/xRC&#10;W9eSi63lN1qYMLB6oVjAkqCVDui6z7auBQ/v6hpEIKqkWGnoVwyC531ck/WKFY1nrpV8TIE9JYVH&#10;NWkmDQa9p9qywMiNl/9Qacm9BVuHCbc6GQrpFcEqpukjbd63zIm+FpQa3L3o8P9o+dvDzhNZlTRb&#10;UmKYxo7ffb79+enrrx9fcL37/o2gBWXqHBSI3pidj4UKU22OZvCcU9yPJb2IuOQBMF7ADS7H2uvo&#10;ilWTiJ7NF3meU3LC4NMsXy7GdohjIBwB02yObeJonl9O08u8Z2fFmcZ5CK+F1SQeSqqkiVqxgh3e&#10;QIiJsOIMic/GXkul+n4rQ7qSLvMMg3OGM1zj7OBRO9QBTEMJUw1+Dh58zwhWySp6Rx7wzX6jPDmw&#10;OFKzi5fbV2NiD2Ax9JZBO+B60whTZhRp0CUqtLfVaefP4mGr++zHsYyz9Pe99/7zFde/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GaofFraAAAACwEAAA8AAAAAAAAAAQAgAAAAIgAAAGRycy9kb3du&#10;cmV2LnhtbFBLAQIUABQAAAAIAIdO4kB9DSf2/QEAANIDAAAOAAAAAAAAAAEAIAAAACkBAABkcnMv&#10;ZTJvRG9jLnhtbFBLBQYAAAAABgAGAFkBAACYBQAAAAA=&#10;">
                <v:fill on="f" focussize="0,0"/>
                <v:stroke color="#063ADE [3204]" joinstyle="round"/>
                <v:imagedata o:title=""/>
                <o:lock v:ext="edit" aspectratio="f"/>
              </v:line>
            </w:pict>
          </mc:Fallback>
        </mc:AlternateContent>
      </w:r>
      <w:r>
        <w:rPr>
          <w:color w:val="auto"/>
          <w:sz w:val="24"/>
          <w:highlight w:val="none"/>
        </w:rPr>
        <mc:AlternateContent>
          <mc:Choice Requires="wps">
            <w:drawing>
              <wp:anchor distT="0" distB="0" distL="114300" distR="114300" simplePos="0" relativeHeight="251662336" behindDoc="0" locked="0" layoutInCell="1" allowOverlap="1">
                <wp:simplePos x="0" y="0"/>
                <wp:positionH relativeFrom="column">
                  <wp:posOffset>3373755</wp:posOffset>
                </wp:positionH>
                <wp:positionV relativeFrom="paragraph">
                  <wp:posOffset>905510</wp:posOffset>
                </wp:positionV>
                <wp:extent cx="271780" cy="1371600"/>
                <wp:effectExtent l="8890" t="8890" r="24130" b="29210"/>
                <wp:wrapNone/>
                <wp:docPr id="28" name="任意多边形 28"/>
                <wp:cNvGraphicFramePr/>
                <a:graphic xmlns:a="http://schemas.openxmlformats.org/drawingml/2006/main">
                  <a:graphicData uri="http://schemas.microsoft.com/office/word/2010/wordprocessingShape">
                    <wps:wsp>
                      <wps:cNvSpPr/>
                      <wps:spPr>
                        <a:xfrm>
                          <a:off x="4273550" y="2123440"/>
                          <a:ext cx="271780" cy="1371600"/>
                        </a:xfrm>
                        <a:custGeom>
                          <a:avLst/>
                          <a:gdLst>
                            <a:gd name="connisteX0" fmla="*/ 0 w 271780"/>
                            <a:gd name="connsiteY0" fmla="*/ 0 h 1371600"/>
                            <a:gd name="connisteX1" fmla="*/ 271780 w 271780"/>
                            <a:gd name="connsiteY1" fmla="*/ 271145 h 1371600"/>
                            <a:gd name="connisteX2" fmla="*/ 157480 w 271780"/>
                            <a:gd name="connsiteY2" fmla="*/ 928370 h 1371600"/>
                            <a:gd name="connisteX3" fmla="*/ 62230 w 271780"/>
                            <a:gd name="connsiteY3" fmla="*/ 1366520 h 1371600"/>
                            <a:gd name="connisteX4" fmla="*/ 19050 w 271780"/>
                            <a:gd name="connsiteY4" fmla="*/ 1371600 h 137160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271780" h="1371600">
                              <a:moveTo>
                                <a:pt x="0" y="0"/>
                              </a:moveTo>
                              <a:lnTo>
                                <a:pt x="271780" y="271145"/>
                              </a:lnTo>
                              <a:lnTo>
                                <a:pt x="157480" y="928370"/>
                              </a:lnTo>
                              <a:lnTo>
                                <a:pt x="62230" y="1366520"/>
                              </a:lnTo>
                              <a:lnTo>
                                <a:pt x="19050" y="1371600"/>
                              </a:lnTo>
                            </a:path>
                          </a:pathLst>
                        </a:custGeom>
                        <a:noFill/>
                        <a:ln w="12700">
                          <a:solidFill>
                            <a:srgbClr val="063ADE"/>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65.65pt;margin-top:71.3pt;height:108pt;width:21.4pt;z-index:251662336;mso-width-relative:page;mso-height-relative:page;" filled="f" stroked="t" coordsize="271780,1371600" o:gfxdata="UEsDBAoAAAAAAIdO4kAAAAAAAAAAAAAAAAAEAAAAZHJzL1BLAwQUAAAACACHTuJAxZIkQNwAAAAL&#10;AQAADwAAAGRycy9kb3ducmV2LnhtbE2Py07DMBBF90j8gzVIbBB1UjehCnG6QKoqNqCWh1i6sUki&#10;7HFku2369wyrshzdo3vP1KvJWXY0IQ4eJeSzDJjB1usBOwnvb+v7JbCYFGplPRoJZxNh1Vxf1arS&#10;/oRbc9yljlEJxkpJ6FMaK85j2xun4syPBin79sGpRGfouA7qROXO8nmWldypAWmhV6N56k37szs4&#10;CdPrRog7G/jn8wa/hnX5sX0551Le3uTZI7BkpnSB4U+f1KEhp70/oI7MSihELgilYDEvgRFRPCxy&#10;YHsJoliWwJua//+h+QVQSwMEFAAAAAgAh07iQOAahyAPAwAAPggAAA4AAABkcnMvZTJvRG9jLnht&#10;bK1VzW4TMRC+I/EO1h6R6P4l2TRqUiFCuSCo1CLB0fF6syt5bct2k/TOnTvHipdAFTwNRTwGY6+T&#10;OK3UpBKXXe96vm9mvhmPT05XLUMLqnQj+DhKj5IIUU5E2fD5OPp4efZyGCFtMC8xE5yOo2uqo9PJ&#10;82cnSzmimagFK6lCQML1aCnHUW2MHMWxJjVtsT4SknLYrIRqsYFPNY9LhZfA3rI4S5JBvBSqlEoQ&#10;qjX8nXabkWdUhxCKqmoInQpy1VJuOlZFGTaQkq4bqaOJi7aqKDEfqkpTg9g4gkyNe4ITWM/sM56c&#10;4NFcYVk3xIeADwnhXk4tbjg43VBNscHoSjUPqNqGKKFFZY6IaOMuEacIZJEm97S5qLGkLheQWsuN&#10;6Pr/0ZL3i3OFmnIcZVB3jluo+O/b2z9fvt59//b314+7nzcIdkCmpdQjsL6Q58p/aVjanFeVau0b&#10;skGrcdTLirzfB4GvgTTN8l7Py0xXBhEwyIq0GMI+AYM0L9JB4gziLRO50uYtFY4VL95p05WphJUT&#10;ufSREsF5ow39BGxVy6ByL2KUoCXyLjwssNaNoZ93rWsUBAEVfECeBuQd8V4P9yBpr4/2uskCN2m/&#10;6A33JxJCjrNhXiT73eSBm0GW5fu9hIg0Hwz62QFueoGb9Djp73ezg+jaYjcbaJD5ugVwve4KsuK+&#10;LWCFsJ1iiTuKUmjbjmGPQMPZT98E0B1ACSjbU3vAUNAQnNoTcTAYyhSCsyeBQf0QnD8JDJqG4F4I&#10;7sL32imYlHZGMjcjTYRgRio3I2cWg0cSGyv5eomW23Ncb4+x3W7Fgl4KZ2hsAbpJsD7i213GQ6v1&#10;UIBwYQkHxoe6tlq/pePszodLruv7R61dmztj376PWrtu9dbhcOoiANWsFK76G02slMHI4uKsYczJ&#10;xrhVKs0KmHGIYLgvK7inYNlKmLmazyOE2RwuYmKU61otWFNauBVQq/nsNVNoge31NchfTd/40HfM&#10;pNJminXd2bmtTYYQqJ3c3ay2q5kor90Id//hWnGp+CvQ3lvht0Nvr/3JP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IQFAABbQ29udGVudF9UeXBl&#10;c10ueG1sUEsBAhQACgAAAAAAh07iQAAAAAAAAAAAAAAAAAYAAAAAAAAAAAAQAAAAZgQAAF9yZWxz&#10;L1BLAQIUABQAAAAIAIdO4kCKFGY80QAAAJQBAAALAAAAAAAAAAEAIAAAAIoEAABfcmVscy8ucmVs&#10;c1BLAQIUAAoAAAAAAIdO4kAAAAAAAAAAAAAAAAAEAAAAAAAAAAAAEAAAAAAAAABkcnMvUEsBAhQA&#10;FAAAAAgAh07iQMWSJEDcAAAACwEAAA8AAAAAAAAAAQAgAAAAIgAAAGRycy9kb3ducmV2LnhtbFBL&#10;AQIUABQAAAAIAIdO4kDgGocgDwMAAD4IAAAOAAAAAAAAAAEAIAAAACsBAABkcnMvZTJvRG9jLnht&#10;bFBLBQYAAAAABgAGAFkBAACsBgAAAAA=&#10;" path="m0,0l271780,271145,157480,928370,62230,1366520,19050,1371600e">
                <v:path o:connectlocs="0,0;271780,271145;157480,928370;62230,1366520;19050,1371600" o:connectangles="0,0,0,0,0"/>
                <v:fill on="f" focussize="0,0"/>
                <v:stroke weight="1pt" color="#063ADE [2404]" joinstyle="round"/>
                <v:imagedata o:title=""/>
                <o:lock v:ext="edit" aspectratio="f"/>
              </v:shape>
            </w:pict>
          </mc:Fallback>
        </mc:AlternateContent>
      </w:r>
      <w:r>
        <w:rPr>
          <w:color w:val="auto"/>
          <w:sz w:val="24"/>
          <w:highlight w:val="none"/>
        </w:rPr>
        <mc:AlternateContent>
          <mc:Choice Requires="wps">
            <w:drawing>
              <wp:anchor distT="0" distB="0" distL="114300" distR="114300" simplePos="0" relativeHeight="251661312" behindDoc="0" locked="0" layoutInCell="1" allowOverlap="1">
                <wp:simplePos x="0" y="0"/>
                <wp:positionH relativeFrom="column">
                  <wp:posOffset>2780030</wp:posOffset>
                </wp:positionH>
                <wp:positionV relativeFrom="paragraph">
                  <wp:posOffset>1649095</wp:posOffset>
                </wp:positionV>
                <wp:extent cx="31750" cy="861060"/>
                <wp:effectExtent l="6350" t="0" r="19050" b="15240"/>
                <wp:wrapNone/>
                <wp:docPr id="27" name="任意多边形 27"/>
                <wp:cNvGraphicFramePr/>
                <a:graphic xmlns:a="http://schemas.openxmlformats.org/drawingml/2006/main">
                  <a:graphicData uri="http://schemas.microsoft.com/office/word/2010/wordprocessingShape">
                    <wps:wsp>
                      <wps:cNvSpPr/>
                      <wps:spPr>
                        <a:xfrm>
                          <a:off x="3675380" y="2862580"/>
                          <a:ext cx="31750" cy="861060"/>
                        </a:xfrm>
                        <a:custGeom>
                          <a:avLst/>
                          <a:gdLst>
                            <a:gd name="connisteX0" fmla="*/ 31750 w 31750"/>
                            <a:gd name="connsiteY0" fmla="*/ 861060 h 861060"/>
                            <a:gd name="connisteX1" fmla="*/ 8890 w 31750"/>
                            <a:gd name="connsiteY1" fmla="*/ 720725 h 861060"/>
                            <a:gd name="connisteX2" fmla="*/ 0 w 31750"/>
                            <a:gd name="connsiteY2" fmla="*/ 616585 h 861060"/>
                            <a:gd name="connisteX3" fmla="*/ 0 w 31750"/>
                            <a:gd name="connsiteY3" fmla="*/ 0 h 861060"/>
                          </a:gdLst>
                          <a:ahLst/>
                          <a:cxnLst>
                            <a:cxn ang="0">
                              <a:pos x="connisteX0" y="connsiteY0"/>
                            </a:cxn>
                            <a:cxn ang="0">
                              <a:pos x="connisteX1" y="connsiteY1"/>
                            </a:cxn>
                            <a:cxn ang="0">
                              <a:pos x="connisteX2" y="connsiteY2"/>
                            </a:cxn>
                            <a:cxn ang="0">
                              <a:pos x="connisteX3" y="connsiteY3"/>
                            </a:cxn>
                          </a:cxnLst>
                          <a:rect l="l" t="t" r="r" b="b"/>
                          <a:pathLst>
                            <a:path w="31750" h="861060">
                              <a:moveTo>
                                <a:pt x="31750" y="861060"/>
                              </a:moveTo>
                              <a:lnTo>
                                <a:pt x="8890" y="720725"/>
                              </a:lnTo>
                              <a:lnTo>
                                <a:pt x="0" y="616585"/>
                              </a:lnTo>
                              <a:lnTo>
                                <a:pt x="0" y="0"/>
                              </a:lnTo>
                            </a:path>
                          </a:pathLst>
                        </a:custGeom>
                        <a:noFill/>
                        <a:ln w="12700">
                          <a:solidFill>
                            <a:srgbClr val="063ADE"/>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18.9pt;margin-top:129.85pt;height:67.8pt;width:2.5pt;z-index:251661312;mso-width-relative:page;mso-height-relative:page;" filled="f" stroked="t" coordsize="31750,861060" o:gfxdata="UEsDBAoAAAAAAIdO4kAAAAAAAAAAAAAAAAAEAAAAZHJzL1BLAwQUAAAACACHTuJAFU8lYNwAAAAL&#10;AQAADwAAAGRycy9kb3ducmV2LnhtbE2PS0/DMBCE70j8B2uRuFG7Sdo8yKYHHhIcKkTbA9xc2yQR&#10;sR1stwn/HnOC486OZr6pN7MeyFk531uDsFwwIMoIK3vTIhz2jzcFEB+4kXywRiF8Kw+b5vKi5pW0&#10;k3lV511oSQwxvuIIXQhjRakXndLcL+yoTPx9WKd5iKdrqXR8iuF6oAlja6p5b2JDx0d11ynxuTtp&#10;hIdpzYuv/GV2b9vpnZX3Qjw/FYjXV0t2CySoOfyZ4Rc/okMTmY72ZKQnA0KW5hE9ICSrMgcSHVmW&#10;ROWIkJarFGhT0/8bmh9QSwMEFAAAAAgAh07iQL1gBh/fAgAAUAcAAA4AAABkcnMvZTJvRG9jLnht&#10;bK1VzW4TMRC+I/EOlo9IdH+ibELUpEKEckFQqUWCo+P1/khe27LdbHrnzp0j4iVQBU9DEY/B2N4k&#10;bjkkSFx2Z3dmvvn5POPTs03H0Zpp00oxx9lJihETVJatqOf43dX50ylGxhJREi4Fm+MbZvDZ4vGj&#10;017NWC4byUumEYAIM+vVHDfWqlmSGNqwjpgTqZgAZSV1Ryx86jopNekBveNJnqZF0ktdKi0pMwb+&#10;LoMSD4j6GEBZVS1lS0mvOyZsQNWMEwslmaZVBi98tlXFqH1bVYZZxOcYKrX+CUFAXrlnsjgls1oT&#10;1bR0SIEck8KDmjrSCgi6g1oSS9C1bv+C6lqqpZGVPaGyS0IhviNQRZY+6M1lQxTztUCrjdo13fw/&#10;WPpmfaFRW85xPsFIkA4Y/3l7++vjp7uvn3//+Hb3/QsCDbSpV2YG1pfqQg9fBkRX86bSnXtDNWgz&#10;x6NiMh5NocE3ADot8jHIvs1sYxF1BtlkDGoK+mmRpYVXJ3scem3sKyY9Jlm/NjaQVILkW1wOeVIp&#10;RGssew9gVceBtycJ8uCoD++B3tjBtJZ9iB1CCqhB+1yAxtjFx8iiGNPps/RQiNh+kqeTfHwwRB6F&#10;OIgfGxdZMZ4exh/9C/5947g7wFS95YI0W3roRgz8gISIWyapnwgljTsVMVlAvPscqAB2ARK8HLkH&#10;nKGrsXPmCD7aGVoWO+f/5Az9iJ1HsXPIYChfw85x24b7bWMxgm2j/bZZheOoiHVdc9U6EfW7iWh2&#10;A+GUnVyzK+nNrJ+rMDaQxf6kQuS9GRexuTukPudw+oZ8tzbbt/LQwTAcoyMMtwMbQCAHV4cnYleb&#10;a0k0xkKet5z7OebCVZzlkxSiUgI3SAWbG8ROwRYyosaI8BquJmq1P0BG8rZ07q4VRterF1yjNXEL&#10;vRg9X74cEr5nprSxS2KaYOdVu7ogUbfLwvZy0kqWN36p+f+waH0pw6XgNnn87b33F+HiD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FQFAABbQ29u&#10;dGVudF9UeXBlc10ueG1sUEsBAhQACgAAAAAAh07iQAAAAAAAAAAAAAAAAAYAAAAAAAAAAAAQAAAA&#10;NgQAAF9yZWxzL1BLAQIUABQAAAAIAIdO4kCKFGY80QAAAJQBAAALAAAAAAAAAAEAIAAAAFoEAABf&#10;cmVscy8ucmVsc1BLAQIUAAoAAAAAAIdO4kAAAAAAAAAAAAAAAAAEAAAAAAAAAAAAEAAAAAAAAABk&#10;cnMvUEsBAhQAFAAAAAgAh07iQBVPJWDcAAAACwEAAA8AAAAAAAAAAQAgAAAAIgAAAGRycy9kb3du&#10;cmV2LnhtbFBLAQIUABQAAAAIAIdO4kC9YAYf3wIAAFAHAAAOAAAAAAAAAAEAIAAAACsBAABkcnMv&#10;ZTJvRG9jLnhtbFBLBQYAAAAABgAGAFkBAAB8BgAAAAA=&#10;" path="m31750,861060l8890,720725,0,616585,0,0e">
                <v:path o:connectlocs="31750,861060;8890,720725;0,616585;0,0" o:connectangles="0,0,0,0"/>
                <v:fill on="f" focussize="0,0"/>
                <v:stroke weight="1pt" color="#063ADE [2404]" joinstyle="round"/>
                <v:imagedata o:title=""/>
                <o:lock v:ext="edit" aspectratio="f"/>
              </v:shape>
            </w:pict>
          </mc:Fallback>
        </mc:AlternateContent>
      </w:r>
      <w:r>
        <w:rPr>
          <w:color w:val="auto"/>
          <w:sz w:val="24"/>
          <w:highlight w:val="none"/>
        </w:rPr>
        <mc:AlternateContent>
          <mc:Choice Requires="wps">
            <w:drawing>
              <wp:anchor distT="0" distB="0" distL="114300" distR="114300" simplePos="0" relativeHeight="251660288" behindDoc="0" locked="0" layoutInCell="1" allowOverlap="1">
                <wp:simplePos x="0" y="0"/>
                <wp:positionH relativeFrom="column">
                  <wp:posOffset>2540000</wp:posOffset>
                </wp:positionH>
                <wp:positionV relativeFrom="paragraph">
                  <wp:posOffset>2287270</wp:posOffset>
                </wp:positionV>
                <wp:extent cx="857250" cy="154940"/>
                <wp:effectExtent l="1270" t="6350" r="17780" b="10160"/>
                <wp:wrapNone/>
                <wp:docPr id="26" name="直接连接符 26"/>
                <wp:cNvGraphicFramePr/>
                <a:graphic xmlns:a="http://schemas.openxmlformats.org/drawingml/2006/main">
                  <a:graphicData uri="http://schemas.microsoft.com/office/word/2010/wordprocessingShape">
                    <wps:wsp>
                      <wps:cNvCnPr/>
                      <wps:spPr>
                        <a:xfrm flipV="1">
                          <a:off x="3439795" y="3505200"/>
                          <a:ext cx="857250" cy="154940"/>
                        </a:xfrm>
                        <a:prstGeom prst="line">
                          <a:avLst/>
                        </a:prstGeom>
                        <a:ln w="12700">
                          <a:solidFill>
                            <a:srgbClr val="063ADE"/>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200pt;margin-top:180.1pt;height:12.2pt;width:67.5pt;z-index:251660288;mso-width-relative:page;mso-height-relative:page;" filled="f" stroked="t" coordsize="21600,21600" o:gfxdata="UEsDBAoAAAAAAIdO4kAAAAAAAAAAAAAAAAAEAAAAZHJzL1BLAwQUAAAACACHTuJA68HtDdgAAAAL&#10;AQAADwAAAGRycy9kb3ducmV2LnhtbE2PzU7DMBCE70i8g7VI3KjdNI1KiFOhSr2CUnrg6MbbxBCv&#10;Q+z+8PYsJzju7Gjmm2p99YM44xRdIA3zmQKB1AbrqNOwf9s+rEDEZMiaIRBq+MYI6/r2pjKlDRdq&#10;8LxLneAQiqXR0Kc0llLGtkdv4iyMSPw7hsmbxOfUSTuZC4f7QWZKFdIbR9zQmxE3Pbafu5PXsMn3&#10;hcse2/DysXXx/fmreT12jdb3d3P1BCLhNf2Z4Ref0aFmpkM4kY1i0JArxVuShkWhMhDsWC6WrBxY&#10;WeUFyLqS/zfUP1BLAwQUAAAACACHTuJAqCkVfPYBAAC3AwAADgAAAGRycy9lMm9Eb2MueG1srVNL&#10;jhMxEN0jcQfLe9L5dTJppTNCE4YNgkh89o7b7rbkn1yedHIJLoDEDlYs2XMbhmNQdocBhs0s2Fhl&#10;1+tX9V5Vry+PRpODCKCcrelkNKZEWO4aZduavn1z/eSCEojMNkw7K2p6EkAvN48frXtfianrnG5E&#10;IEhioep9TbsYfVUUwDthGIycFxaT0gXDIl5DWzSB9chudDEdjxdF70Ljg+MCAF+3Q5KeGcNDCJ2U&#10;iout4zdG2DiwBqFZREnQKQ90k7uVUvD4SkoQkeiaotKYTyyC8T6dxWbNqjYw3yl+boE9pIV7mgxT&#10;FoveUW1ZZOQmqH+ojOLBgZNxxJ0pBiHZEVQxGd/z5nXHvMha0Grwd6bD/6PlLw+7QFRT0+mCEssM&#10;Tvz2w9fv7z/9+PYRz9svnwlm0KbeQ4XoK7sL5xv4XUiajzIYIrXy73CfsguoixxrOpvPVstVSckJ&#10;43Jc4vgHw8UxEo6Ai3I5LXEUHAGTcr6a53wxUCZqHyA+F86QFNRUK5v8YBU7vICIbSD0FyQ9W3et&#10;tM4z1Zb0SDpdYk3CGS6qxAXB0HgUC7alhOkW/wAeQ6YEp1WTPk9EENr9lQ7kwNLeLGZPt89S51ju&#10;L1iqvWXQDbicOsO0RXSybDApRXvXnLJ3+R3nmfnOu5cW5s97/vr3/7b5C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OvB7Q3YAAAACwEAAA8AAAAAAAAAAQAgAAAAIgAAAGRycy9kb3ducmV2LnhtbFBL&#10;AQIUABQAAAAIAIdO4kCoKRV89gEAALcDAAAOAAAAAAAAAAEAIAAAACcBAABkcnMvZTJvRG9jLnht&#10;bFBLBQYAAAAABgAGAFkBAACPBQAAAAA=&#10;">
                <v:fill on="f" focussize="0,0"/>
                <v:stroke weight="1pt" color="#063ADE [3204]" joinstyle="round"/>
                <v:imagedata o:title=""/>
                <o:lock v:ext="edit" aspectratio="f"/>
              </v:line>
            </w:pict>
          </mc:Fallback>
        </mc:AlternateContent>
      </w:r>
      <w:r>
        <w:rPr>
          <w:color w:val="auto"/>
          <w:sz w:val="24"/>
          <w:highlight w:val="none"/>
        </w:rPr>
        <mc:AlternateContent>
          <mc:Choice Requires="wps">
            <w:drawing>
              <wp:anchor distT="0" distB="0" distL="0" distR="0" simplePos="0" relativeHeight="251659264" behindDoc="0" locked="0" layoutInCell="1" allowOverlap="1">
                <wp:simplePos x="0" y="0"/>
                <wp:positionH relativeFrom="column">
                  <wp:posOffset>3002915</wp:posOffset>
                </wp:positionH>
                <wp:positionV relativeFrom="paragraph">
                  <wp:posOffset>1874520</wp:posOffset>
                </wp:positionV>
                <wp:extent cx="171450" cy="180975"/>
                <wp:effectExtent l="17780" t="22860" r="20320" b="24765"/>
                <wp:wrapNone/>
                <wp:docPr id="1165" name="五角星 22"/>
                <wp:cNvGraphicFramePr/>
                <a:graphic xmlns:a="http://schemas.openxmlformats.org/drawingml/2006/main">
                  <a:graphicData uri="http://schemas.microsoft.com/office/word/2010/wordprocessingShape">
                    <wps:wsp>
                      <wps:cNvSpPr/>
                      <wps:spPr>
                        <a:xfrm>
                          <a:off x="0" y="0"/>
                          <a:ext cx="171450" cy="180975"/>
                        </a:xfrm>
                        <a:prstGeom prst="star5">
                          <a:avLst/>
                        </a:prstGeom>
                        <a:solidFill>
                          <a:srgbClr val="FF0000"/>
                        </a:solidFill>
                        <a:ln w="12700" cap="flat" cmpd="sng">
                          <a:solidFill>
                            <a:srgbClr val="000000"/>
                          </a:solidFill>
                          <a:prstDash val="solid"/>
                          <a:miter/>
                        </a:ln>
                      </wps:spPr>
                      <wps:bodyPr/>
                    </wps:wsp>
                  </a:graphicData>
                </a:graphic>
              </wp:anchor>
            </w:drawing>
          </mc:Choice>
          <mc:Fallback>
            <w:pict>
              <v:shape id="五角星 22" o:spid="_x0000_s1026" style="position:absolute;left:0pt;margin-left:236.45pt;margin-top:147.6pt;height:14.25pt;width:13.5pt;z-index:251659264;mso-width-relative:page;mso-height-relative:page;" fillcolor="#FF0000" filled="t" stroked="t" coordsize="171450,180975" o:gfxdata="UEsDBAoAAAAAAIdO4kAAAAAAAAAAAAAAAAAEAAAAZHJzL1BLAwQUAAAACACHTuJAevlB7N0AAAAL&#10;AQAADwAAAGRycy9kb3ducmV2LnhtbE2Py07DMBBF90j8gzVI7KidtJAmZFKJR4XEBrUUiaUTmySq&#10;H1Hspi1fz7CC5cwc3Tm3XJ2sYZMeQ+8dQjITwLRrvOpdi7B7X98sgYUonZLGO41w1gFW1eVFKQvl&#10;j26jp21sGYW4UEiELsah4Dw0nbYyzPygHd2+/GhlpHFsuRrlkcKt4akQd9zK3tGHTg76sdPNfnuw&#10;CG/Poj6/bqbP/dPy+8GEj3W2e0kQr68ScQ8s6lP8g+FXn9ShIqfaH5wKzCAssjQnFCHNb1NgRCzy&#10;nDY1wjydZ8Crkv/vUP0AUEsDBBQAAAAIAIdO4kDNyzwL3QEAAMYDAAAOAAAAZHJzL2Uyb0RvYy54&#10;bWytU0uOEzEQ3SNxB8t70h+RydBKZxZEYYNgpIEDOG6725J/cnnSyTUQC3YsuQPnQYhjUHY3mQ8s&#10;ZkEv7CpX+VW95+r11dFochABlLMtrRYlJcJy1ynbt/Tjh92LS0ogMtsx7axo6UkAvdo8f7YefSNq&#10;NzjdiUAQxEIz+pYOMfqmKIAPwjBYOC8sBqULhkV0Q190gY2IbnRRl+VFMbrQ+eC4AMDT7RSkM2J4&#10;CqCTUnGxdfzWCBsn1CA0i0gJBuWBbnK3Ugoe30sJIhLdUmQa84pF0N6ntdisWdMH5gfF5xbYU1p4&#10;xMkwZbHoGWrLIiO3Qf0FZRQPDpyMC+5MMRHJiiCLqnykzc3AvMhcUGrwZ9Hh/8Hyd4frQFSHk1Bd&#10;LCmxzOCb//j++de3Tz+/fCV1nSQaPTSYeeOvw+wBmonvUQaTdmRCjlnW01lWcYyE42G1ql4uUXCO&#10;oeqyfLVaJszi7rIPEN8IZ0gyWorTF5ZZTXZ4C3HK/ZOTioHTqtsprbMT+v1rHciB4RPvdiV+M/yD&#10;NG3JiOXrFYYJZzi4EgcGTeORPNg+F3xwBe4jJ9x/I6fOtgyGqYOMkBpgjVFRJL2Qqba4JRUn3ZK1&#10;d90py5nP8Xlz4jyKaX7u+/n23e+3+Q1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B6+UHs3QAAAAsB&#10;AAAPAAAAAAAAAAEAIAAAACIAAABkcnMvZG93bnJldi54bWxQSwECFAAUAAAACACHTuJAzcs8C90B&#10;AADGAwAADgAAAAAAAAABACAAAAAsAQAAZHJzL2Uyb0RvYy54bWxQSwUGAAAAAAYABgBZAQAAewUA&#10;AAAA&#10;" path="m0,69126l65488,69126,85725,0,105961,69126,171449,69126,118468,111848,138705,180974,85725,138251,32744,180974,52981,111848xe">
                <v:path o:connectlocs="85725,0;0,69126;32744,180974;138705,180974;171449,69126" o:connectangles="247,164,82,82,0"/>
                <v:fill on="t" focussize="0,0"/>
                <v:stroke weight="1pt" color="#000000" joinstyle="miter"/>
                <v:imagedata o:title=""/>
                <o:lock v:ext="edit" aspectratio="f"/>
              </v:shape>
            </w:pict>
          </mc:Fallback>
        </mc:AlternateContent>
      </w:r>
      <w:r>
        <w:rPr>
          <w:color w:val="auto"/>
          <w:sz w:val="24"/>
          <w:highlight w:val="none"/>
        </w:rPr>
        <mc:AlternateContent>
          <mc:Choice Requires="wps">
            <w:drawing>
              <wp:anchor distT="0" distB="0" distL="0" distR="0" simplePos="0" relativeHeight="251664384" behindDoc="0" locked="0" layoutInCell="1" allowOverlap="1">
                <wp:simplePos x="0" y="0"/>
                <wp:positionH relativeFrom="column">
                  <wp:posOffset>1616075</wp:posOffset>
                </wp:positionH>
                <wp:positionV relativeFrom="paragraph">
                  <wp:posOffset>937260</wp:posOffset>
                </wp:positionV>
                <wp:extent cx="1038225" cy="448310"/>
                <wp:effectExtent l="6350" t="6350" r="422275" b="554990"/>
                <wp:wrapNone/>
                <wp:docPr id="1166" name="圆角矩形标注 26"/>
                <wp:cNvGraphicFramePr/>
                <a:graphic xmlns:a="http://schemas.openxmlformats.org/drawingml/2006/main">
                  <a:graphicData uri="http://schemas.microsoft.com/office/word/2010/wordprocessingShape">
                    <wps:wsp>
                      <wps:cNvSpPr/>
                      <wps:spPr>
                        <a:xfrm>
                          <a:off x="0" y="0"/>
                          <a:ext cx="1038224" cy="448309"/>
                        </a:xfrm>
                        <a:prstGeom prst="wedgeRoundRectCallout">
                          <a:avLst>
                            <a:gd name="adj1" fmla="val 86085"/>
                            <a:gd name="adj2" fmla="val 163031"/>
                            <a:gd name="adj3" fmla="val 16667"/>
                          </a:avLst>
                        </a:prstGeom>
                        <a:solidFill>
                          <a:srgbClr val="D8D8D8"/>
                        </a:solidFill>
                        <a:ln w="12700" cap="flat" cmpd="sng">
                          <a:solidFill>
                            <a:srgbClr val="000000"/>
                          </a:solidFill>
                          <a:prstDash val="solid"/>
                          <a:miter/>
                        </a:ln>
                      </wps:spPr>
                      <wps:txbx>
                        <w:txbxContent>
                          <w:p w14:paraId="53981DE3">
                            <w:pPr>
                              <w:jc w:val="center"/>
                              <w:rPr>
                                <w:rFonts w:hint="eastAsia" w:eastAsia="宋体"/>
                                <w:b/>
                                <w:bCs/>
                                <w:highlight w:val="none"/>
                                <w:lang w:eastAsia="zh-CN"/>
                              </w:rPr>
                            </w:pPr>
                            <w:r>
                              <w:rPr>
                                <w:rFonts w:hint="eastAsia"/>
                                <w:b/>
                                <w:bCs/>
                                <w:highlight w:val="none"/>
                                <w:lang w:eastAsia="zh-CN"/>
                              </w:rPr>
                              <w:t>项目位置</w:t>
                            </w:r>
                          </w:p>
                        </w:txbxContent>
                      </wps:txbx>
                      <wps:bodyPr vert="horz" wrap="square" lIns="91440" tIns="45720" rIns="91440" bIns="45720" anchor="ctr">
                        <a:noAutofit/>
                      </wps:bodyPr>
                    </wps:wsp>
                  </a:graphicData>
                </a:graphic>
              </wp:anchor>
            </w:drawing>
          </mc:Choice>
          <mc:Fallback>
            <w:pict>
              <v:shape id="圆角矩形标注 26" o:spid="_x0000_s1026" o:spt="62" type="#_x0000_t62" style="position:absolute;left:0pt;margin-left:127.25pt;margin-top:73.8pt;height:35.3pt;width:81.75pt;z-index:251664384;v-text-anchor:middle;mso-width-relative:page;mso-height-relative:page;" fillcolor="#D8D8D8" filled="t" stroked="t" coordsize="21600,21600" o:gfxdata="UEsDBAoAAAAAAIdO4kAAAAAAAAAAAAAAAAAEAAAAZHJzL1BLAwQUAAAACACHTuJAPOqi/tcAAAAL&#10;AQAADwAAAGRycy9kb3ducmV2LnhtbE2PwU7DMBBE70j8g7VI3KiTKCkhxKkAqXdaQL268RIH4nUU&#10;u0369ywnOK7mafZNvVncIM44hd6TgnSVgEBqvempU/D+tr0rQYSoyejBEyq4YIBNc31V68r4mXZ4&#10;3sdOcAmFSiuwMY6VlKG16HRY+RGJs08/OR35nDppJj1zuRtkliRr6XRP/MHqEV8stt/7k1NwWJ4P&#10;7eX148G183b56p683RVeqdubNHkEEXGJfzD86rM6NOx09CcyQQwKsiIvGOUgv1+DYCJPS1535Cgt&#10;M5BNLf9vaH4AUEsDBBQAAAAIAIdO4kAysRfcagIAANYEAAAOAAAAZHJzL2Uyb0RvYy54bWytVMtu&#10;1DAU3SPxD5b3NI+ZZtJRMxXqqAgJQdXCB3gcZ2LkF7ZnMsMHwJ41EogNsGbN57TwGVw7oZ22LLog&#10;kRLf+Pr4nHOvc3i0kQKtmXVcqwpneylGTFFdc7Ws8KuXJ49KjJwnqiZCK1bhLXP4aPbwwWFnpizX&#10;rRY1swhAlJt2psKt92aaJI62TBK3pw1TMNloK4mH0C6T2pIO0KVI8jQtkk7b2lhNmXPwdd5P4gHR&#10;3gdQNw2nbK7pSjLle1TLBPEgybXcODyLbJuGUf+iaRzzSFQYlPr4hE1gvAjPZHZIpktLTMvpQIHc&#10;h8ItTZJwBZteQc2JJ2hl+R0oyanVTjd+j2qZ9EKiI6AiS295c94Sw6IWsNqZK9Pd/4Olz9enFvEa&#10;OiErCowUkVDzi4/vfn/98OvT94ufXy4/v7/88Q3lRfCqM24KS87NqR0iB8MgfNNYGd4gCW2iv9sr&#10;f9nGIwofs3RU5vkYIwpz43E5Sg8CaHK92ljnnzAtURhUuGP1kp3plarPoJLHRAi98tFnsn7mfDS8&#10;HjiT+nWGUSMF1G9NBCqLtNwf6ruTk+/mZMUoHWV3k0Y3k4piMvActgXGf5kGDk4LXp9wIWJgl4tj&#10;YRFwqPC8DPew+EaaUKgDR/JJCq1ICRykBhoYhtJAMZxaRpk3lrhd5DRe/0IOzObEtT2DiNArlNwz&#10;2/stFNgeitmXL4z8ZrEZarrQ9Ra6An4SUINW27cYdXBEgNabFbEMI/FUQQ8eZONxOFMxGO9Pcgjs&#10;7sxid4YoClAVpt5GaUo/XnndcB8YBQL9rkMA7R4bYzia4TztxjHr+nc0+w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A86qL+1wAAAAsBAAAPAAAAAAAAAAEAIAAAACIAAABkcnMvZG93bnJldi54bWxQ&#10;SwECFAAUAAAACACHTuJAMrEX3GoCAADWBAAADgAAAAAAAAABACAAAAAmAQAAZHJzL2Uyb0RvYy54&#10;bWxQSwUGAAAAAAYABgBZAQAAAgYAAAAA&#10;" adj="29394,46015,14400">
                <v:fill on="t" focussize="0,0"/>
                <v:stroke weight="1pt" color="#000000" joinstyle="miter"/>
                <v:imagedata o:title=""/>
                <o:lock v:ext="edit" aspectratio="f"/>
                <v:textbox>
                  <w:txbxContent>
                    <w:p w14:paraId="53981DE3">
                      <w:pPr>
                        <w:jc w:val="center"/>
                        <w:rPr>
                          <w:rFonts w:hint="eastAsia" w:eastAsia="宋体"/>
                          <w:b/>
                          <w:bCs/>
                          <w:highlight w:val="none"/>
                          <w:lang w:eastAsia="zh-CN"/>
                        </w:rPr>
                      </w:pPr>
                      <w:r>
                        <w:rPr>
                          <w:rFonts w:hint="eastAsia"/>
                          <w:b/>
                          <w:bCs/>
                          <w:highlight w:val="none"/>
                          <w:lang w:eastAsia="zh-CN"/>
                        </w:rPr>
                        <w:t>项目位置</w:t>
                      </w:r>
                    </w:p>
                  </w:txbxContent>
                </v:textbox>
              </v:shape>
            </w:pict>
          </mc:Fallback>
        </mc:AlternateContent>
      </w:r>
      <w:r>
        <w:rPr>
          <w:color w:val="auto"/>
          <w:highlight w:val="none"/>
        </w:rPr>
        <w:drawing>
          <wp:inline distT="0" distB="0" distL="0" distR="0">
            <wp:extent cx="5361305" cy="7717790"/>
            <wp:effectExtent l="19050" t="19050" r="29845" b="35560"/>
            <wp:docPr id="1167" name="图片 3"/>
            <wp:cNvGraphicFramePr/>
            <a:graphic xmlns:a="http://schemas.openxmlformats.org/drawingml/2006/main">
              <a:graphicData uri="http://schemas.openxmlformats.org/drawingml/2006/picture">
                <pic:pic xmlns:pic="http://schemas.openxmlformats.org/drawingml/2006/picture">
                  <pic:nvPicPr>
                    <pic:cNvPr id="1167" name="图片 3"/>
                    <pic:cNvPicPr/>
                  </pic:nvPicPr>
                  <pic:blipFill>
                    <a:blip r:embed="rId52" cstate="print"/>
                    <a:srcRect/>
                    <a:stretch>
                      <a:fillRect/>
                    </a:stretch>
                  </pic:blipFill>
                  <pic:spPr>
                    <a:xfrm>
                      <a:off x="0" y="0"/>
                      <a:ext cx="5361305" cy="7717790"/>
                    </a:xfrm>
                    <a:prstGeom prst="rect">
                      <a:avLst/>
                    </a:prstGeom>
                    <a:ln w="19050" cap="flat" cmpd="sng">
                      <a:solidFill>
                        <a:srgbClr val="000000"/>
                      </a:solidFill>
                      <a:prstDash val="solid"/>
                      <a:round/>
                    </a:ln>
                  </pic:spPr>
                </pic:pic>
              </a:graphicData>
            </a:graphic>
          </wp:inline>
        </w:drawing>
      </w:r>
    </w:p>
    <w:p w14:paraId="6B8CDFF9">
      <w:pPr>
        <w:pStyle w:val="51"/>
        <w:ind w:left="0"/>
        <w:outlineLvl w:val="0"/>
        <w:rPr>
          <w:rFonts w:ascii="Times New Roman"/>
          <w:b/>
          <w:bCs/>
          <w:color w:val="auto"/>
          <w:highlight w:val="none"/>
        </w:rPr>
      </w:pPr>
      <w:bookmarkStart w:id="200" w:name="_Toc15290"/>
      <w:bookmarkStart w:id="201" w:name="_Toc22104"/>
      <w:bookmarkStart w:id="202" w:name="_Toc25890"/>
      <w:r>
        <w:rPr>
          <w:rFonts w:ascii="Times New Roman"/>
          <w:b/>
          <w:bCs/>
          <w:color w:val="auto"/>
          <w:sz w:val="24"/>
          <w:szCs w:val="24"/>
          <w:highlight w:val="none"/>
        </w:rPr>
        <w:t>附件1营业执照</w:t>
      </w:r>
      <w:bookmarkEnd w:id="200"/>
      <w:bookmarkEnd w:id="201"/>
      <w:bookmarkEnd w:id="202"/>
    </w:p>
    <w:p w14:paraId="4F276AC2">
      <w:pPr>
        <w:jc w:val="center"/>
        <w:rPr>
          <w:rFonts w:hint="eastAsia" w:eastAsia="宋体"/>
          <w:color w:val="auto"/>
          <w:highlight w:val="none"/>
          <w:lang w:eastAsia="zh-CN"/>
        </w:rPr>
      </w:pPr>
      <w:r>
        <w:rPr>
          <w:color w:val="auto"/>
          <w:highlight w:val="none"/>
        </w:rPr>
        <w:drawing>
          <wp:inline distT="0" distB="0" distL="0" distR="0">
            <wp:extent cx="7041515" cy="5058410"/>
            <wp:effectExtent l="0" t="0" r="6985" b="8890"/>
            <wp:docPr id="1168" name="图片 5"/>
            <wp:cNvGraphicFramePr/>
            <a:graphic xmlns:a="http://schemas.openxmlformats.org/drawingml/2006/main">
              <a:graphicData uri="http://schemas.openxmlformats.org/drawingml/2006/picture">
                <pic:pic xmlns:pic="http://schemas.openxmlformats.org/drawingml/2006/picture">
                  <pic:nvPicPr>
                    <pic:cNvPr id="1168" name="图片 5"/>
                    <pic:cNvPicPr/>
                  </pic:nvPicPr>
                  <pic:blipFill>
                    <a:blip r:embed="rId53" cstate="print"/>
                    <a:srcRect/>
                    <a:stretch>
                      <a:fillRect/>
                    </a:stretch>
                  </pic:blipFill>
                  <pic:spPr>
                    <a:xfrm>
                      <a:off x="0" y="0"/>
                      <a:ext cx="7041515" cy="5058410"/>
                    </a:xfrm>
                    <a:prstGeom prst="rect">
                      <a:avLst/>
                    </a:prstGeom>
                    <a:ln>
                      <a:noFill/>
                    </a:ln>
                  </pic:spPr>
                </pic:pic>
              </a:graphicData>
            </a:graphic>
          </wp:inline>
        </w:drawing>
      </w:r>
    </w:p>
    <w:p w14:paraId="3BD69244">
      <w:pPr>
        <w:pStyle w:val="4"/>
        <w:rPr>
          <w:color w:val="auto"/>
          <w:highlight w:val="none"/>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0" w:num="1"/>
          <w:docGrid w:type="lines" w:linePitch="334" w:charSpace="0"/>
        </w:sectPr>
      </w:pPr>
    </w:p>
    <w:p w14:paraId="03B0F00D">
      <w:pPr>
        <w:jc w:val="left"/>
        <w:outlineLvl w:val="0"/>
        <w:rPr>
          <w:b/>
          <w:bCs/>
          <w:color w:val="auto"/>
          <w:highlight w:val="none"/>
        </w:rPr>
      </w:pPr>
      <w:bookmarkStart w:id="203" w:name="_Toc18937"/>
      <w:bookmarkStart w:id="204" w:name="_Toc24134"/>
      <w:bookmarkStart w:id="205" w:name="_Toc4360"/>
      <w:bookmarkStart w:id="206" w:name="_Toc69"/>
      <w:bookmarkStart w:id="207" w:name="_Toc20998"/>
      <w:r>
        <w:rPr>
          <w:b/>
          <w:bCs/>
          <w:color w:val="auto"/>
          <w:highlight w:val="none"/>
        </w:rPr>
        <w:t>附件2 法人身份证复印件</w:t>
      </w:r>
      <w:bookmarkEnd w:id="203"/>
      <w:bookmarkEnd w:id="204"/>
      <w:bookmarkEnd w:id="205"/>
    </w:p>
    <w:p w14:paraId="1843D7BB">
      <w:pPr>
        <w:pStyle w:val="46"/>
        <w:rPr>
          <w:rFonts w:hint="eastAsia" w:eastAsia="宋体"/>
          <w:b/>
          <w:bCs/>
          <w:color w:val="auto"/>
          <w:highlight w:val="none"/>
          <w:lang w:eastAsia="zh-CN"/>
        </w:rPr>
      </w:pPr>
    </w:p>
    <w:p w14:paraId="7144BC5D">
      <w:pPr>
        <w:bidi w:val="0"/>
        <w:outlineLvl w:val="9"/>
        <w:rPr>
          <w:rFonts w:hint="eastAsia"/>
          <w:color w:val="auto"/>
          <w:highlight w:val="none"/>
          <w:lang w:eastAsia="zh-CN"/>
        </w:rPr>
        <w:sectPr>
          <w:pgSz w:w="11906" w:h="16838"/>
          <w:pgMar w:top="1417" w:right="1134" w:bottom="1559" w:left="1417" w:header="851" w:footer="992" w:gutter="0"/>
          <w:pgBorders>
            <w:top w:val="none" w:sz="0" w:space="0"/>
            <w:left w:val="none" w:sz="0" w:space="0"/>
            <w:bottom w:val="none" w:sz="0" w:space="0"/>
            <w:right w:val="none" w:sz="0" w:space="0"/>
          </w:pgBorders>
          <w:pgNumType w:fmt="numberInDash"/>
          <w:cols w:space="0" w:num="1"/>
          <w:docGrid w:type="lines" w:linePitch="334" w:charSpace="0"/>
        </w:sectPr>
      </w:pPr>
      <w:r>
        <w:rPr>
          <w:color w:val="auto"/>
          <w:highlight w:val="none"/>
        </w:rPr>
        <w:drawing>
          <wp:inline distT="0" distB="0" distL="114300" distR="114300">
            <wp:extent cx="5438775" cy="7219950"/>
            <wp:effectExtent l="0" t="0" r="9525" b="0"/>
            <wp:docPr id="2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5"/>
                    <pic:cNvPicPr>
                      <a:picLocks noChangeAspect="1"/>
                    </pic:cNvPicPr>
                  </pic:nvPicPr>
                  <pic:blipFill>
                    <a:blip r:embed="rId54"/>
                    <a:stretch>
                      <a:fillRect/>
                    </a:stretch>
                  </pic:blipFill>
                  <pic:spPr>
                    <a:xfrm>
                      <a:off x="0" y="0"/>
                      <a:ext cx="5438775" cy="7219950"/>
                    </a:xfrm>
                    <a:prstGeom prst="rect">
                      <a:avLst/>
                    </a:prstGeom>
                    <a:noFill/>
                    <a:ln>
                      <a:noFill/>
                    </a:ln>
                  </pic:spPr>
                </pic:pic>
              </a:graphicData>
            </a:graphic>
          </wp:inline>
        </w:drawing>
      </w:r>
    </w:p>
    <w:p w14:paraId="06D482F1">
      <w:pPr>
        <w:outlineLvl w:val="0"/>
        <w:rPr>
          <w:rFonts w:hint="eastAsia"/>
          <w:b/>
          <w:bCs/>
          <w:color w:val="auto"/>
          <w:highlight w:val="none"/>
          <w:lang w:val="en-US" w:eastAsia="zh-CN"/>
        </w:rPr>
      </w:pPr>
      <w:bookmarkStart w:id="208" w:name="_Toc27746"/>
      <w:r>
        <w:rPr>
          <w:b/>
          <w:bCs/>
          <w:color w:val="auto"/>
          <w:highlight w:val="none"/>
        </w:rPr>
        <w:t>附件3</w:t>
      </w:r>
      <w:r>
        <w:rPr>
          <w:b/>
          <w:bCs/>
          <w:color w:val="auto"/>
          <w:sz w:val="28"/>
          <w:szCs w:val="28"/>
          <w:highlight w:val="none"/>
        </w:rPr>
        <w:t xml:space="preserve"> </w:t>
      </w:r>
      <w:bookmarkEnd w:id="206"/>
      <w:bookmarkEnd w:id="207"/>
      <w:r>
        <w:rPr>
          <w:rFonts w:hint="eastAsia"/>
          <w:b/>
          <w:bCs/>
          <w:color w:val="auto"/>
          <w:highlight w:val="none"/>
          <w:lang w:eastAsia="zh-CN"/>
        </w:rPr>
        <w:t>建设用地</w:t>
      </w:r>
      <w:r>
        <w:rPr>
          <w:rFonts w:hint="eastAsia"/>
          <w:b/>
          <w:bCs/>
          <w:color w:val="auto"/>
          <w:highlight w:val="none"/>
          <w:lang w:val="en-US" w:eastAsia="zh-CN"/>
        </w:rPr>
        <w:t>不动产权证</w:t>
      </w:r>
      <w:bookmarkEnd w:id="208"/>
    </w:p>
    <w:p w14:paraId="1EEAC354">
      <w:pPr>
        <w:outlineLvl w:val="9"/>
        <w:rPr>
          <w:rFonts w:hint="eastAsia"/>
          <w:b/>
          <w:bCs/>
          <w:color w:val="auto"/>
          <w:highlight w:val="none"/>
          <w:lang w:val="en-US" w:eastAsia="zh-CN"/>
        </w:rPr>
      </w:pPr>
      <w:r>
        <w:rPr>
          <w:color w:val="auto"/>
          <w:highlight w:val="none"/>
        </w:rPr>
        <w:drawing>
          <wp:anchor distT="0" distB="0" distL="0" distR="0" simplePos="0" relativeHeight="251666432" behindDoc="0" locked="0" layoutInCell="1" allowOverlap="1">
            <wp:simplePos x="0" y="0"/>
            <wp:positionH relativeFrom="column">
              <wp:posOffset>0</wp:posOffset>
            </wp:positionH>
            <wp:positionV relativeFrom="paragraph">
              <wp:posOffset>90170</wp:posOffset>
            </wp:positionV>
            <wp:extent cx="4254500" cy="5318125"/>
            <wp:effectExtent l="0" t="0" r="12700" b="15875"/>
            <wp:wrapNone/>
            <wp:docPr id="1169" name="图片 4"/>
            <wp:cNvGraphicFramePr/>
            <a:graphic xmlns:a="http://schemas.openxmlformats.org/drawingml/2006/main">
              <a:graphicData uri="http://schemas.openxmlformats.org/drawingml/2006/picture">
                <pic:pic xmlns:pic="http://schemas.openxmlformats.org/drawingml/2006/picture">
                  <pic:nvPicPr>
                    <pic:cNvPr id="1169" name="图片 4"/>
                    <pic:cNvPicPr/>
                  </pic:nvPicPr>
                  <pic:blipFill>
                    <a:blip r:embed="rId55" cstate="print"/>
                    <a:srcRect/>
                    <a:stretch>
                      <a:fillRect/>
                    </a:stretch>
                  </pic:blipFill>
                  <pic:spPr>
                    <a:xfrm>
                      <a:off x="0" y="0"/>
                      <a:ext cx="4254500" cy="5318125"/>
                    </a:xfrm>
                    <a:prstGeom prst="rect">
                      <a:avLst/>
                    </a:prstGeom>
                    <a:ln>
                      <a:noFill/>
                    </a:ln>
                  </pic:spPr>
                </pic:pic>
              </a:graphicData>
            </a:graphic>
          </wp:anchor>
        </w:drawing>
      </w:r>
    </w:p>
    <w:p w14:paraId="63F4EE97">
      <w:pPr>
        <w:pStyle w:val="46"/>
        <w:spacing w:line="240" w:lineRule="auto"/>
        <w:jc w:val="both"/>
        <w:rPr>
          <w:color w:val="auto"/>
          <w:highlight w:val="none"/>
        </w:rPr>
      </w:pPr>
      <w:r>
        <w:rPr>
          <w:color w:val="auto"/>
          <w:highlight w:val="none"/>
        </w:rPr>
        <w:drawing>
          <wp:inline distT="0" distB="0" distL="0" distR="0">
            <wp:extent cx="8800465" cy="5544185"/>
            <wp:effectExtent l="0" t="0" r="635" b="18415"/>
            <wp:docPr id="1170" name="图片 3"/>
            <wp:cNvGraphicFramePr/>
            <a:graphic xmlns:a="http://schemas.openxmlformats.org/drawingml/2006/main">
              <a:graphicData uri="http://schemas.openxmlformats.org/drawingml/2006/picture">
                <pic:pic xmlns:pic="http://schemas.openxmlformats.org/drawingml/2006/picture">
                  <pic:nvPicPr>
                    <pic:cNvPr id="1170" name="图片 3"/>
                    <pic:cNvPicPr/>
                  </pic:nvPicPr>
                  <pic:blipFill>
                    <a:blip r:embed="rId56" cstate="print"/>
                    <a:srcRect/>
                    <a:stretch>
                      <a:fillRect/>
                    </a:stretch>
                  </pic:blipFill>
                  <pic:spPr>
                    <a:xfrm>
                      <a:off x="0" y="0"/>
                      <a:ext cx="8800465" cy="5544185"/>
                    </a:xfrm>
                    <a:prstGeom prst="rect">
                      <a:avLst/>
                    </a:prstGeom>
                    <a:ln>
                      <a:noFill/>
                    </a:ln>
                  </pic:spPr>
                </pic:pic>
              </a:graphicData>
            </a:graphic>
          </wp:inline>
        </w:drawing>
      </w:r>
      <w:r>
        <w:rPr>
          <w:color w:val="auto"/>
          <w:highlight w:val="none"/>
        </w:rPr>
        <w:drawing>
          <wp:inline distT="0" distB="0" distL="0" distR="0">
            <wp:extent cx="8801100" cy="4927600"/>
            <wp:effectExtent l="0" t="0" r="0" b="6350"/>
            <wp:docPr id="1171" name="图片 2"/>
            <wp:cNvGraphicFramePr/>
            <a:graphic xmlns:a="http://schemas.openxmlformats.org/drawingml/2006/main">
              <a:graphicData uri="http://schemas.openxmlformats.org/drawingml/2006/picture">
                <pic:pic xmlns:pic="http://schemas.openxmlformats.org/drawingml/2006/picture">
                  <pic:nvPicPr>
                    <pic:cNvPr id="1171" name="图片 2"/>
                    <pic:cNvPicPr/>
                  </pic:nvPicPr>
                  <pic:blipFill>
                    <a:blip r:embed="rId57" cstate="print"/>
                    <a:srcRect/>
                    <a:stretch>
                      <a:fillRect/>
                    </a:stretch>
                  </pic:blipFill>
                  <pic:spPr>
                    <a:xfrm>
                      <a:off x="0" y="0"/>
                      <a:ext cx="8801100" cy="4927600"/>
                    </a:xfrm>
                    <a:prstGeom prst="rect">
                      <a:avLst/>
                    </a:prstGeom>
                    <a:ln>
                      <a:noFill/>
                    </a:ln>
                  </pic:spPr>
                </pic:pic>
              </a:graphicData>
            </a:graphic>
          </wp:inline>
        </w:drawing>
      </w:r>
    </w:p>
    <w:p w14:paraId="04F2209E">
      <w:pPr>
        <w:rPr>
          <w:color w:val="auto"/>
          <w:highlight w:val="none"/>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0" w:num="1"/>
          <w:rtlGutter w:val="0"/>
          <w:docGrid w:type="lines" w:linePitch="334" w:charSpace="0"/>
        </w:sectPr>
      </w:pPr>
    </w:p>
    <w:p w14:paraId="48947E64">
      <w:pPr>
        <w:pStyle w:val="51"/>
        <w:outlineLvl w:val="0"/>
        <w:rPr>
          <w:rFonts w:hint="default" w:ascii="Times New Roman" w:hAnsi="Times New Roman" w:cs="Times New Roman"/>
          <w:color w:val="auto"/>
          <w:sz w:val="24"/>
          <w:szCs w:val="24"/>
          <w:highlight w:val="none"/>
          <w:lang w:val="en-US" w:eastAsia="zh-CN"/>
        </w:rPr>
      </w:pPr>
      <w:bookmarkStart w:id="209" w:name="_Toc2034"/>
      <w:bookmarkStart w:id="210" w:name="_Toc15989"/>
      <w:r>
        <w:rPr>
          <w:rFonts w:hint="default" w:ascii="Times New Roman" w:hAnsi="Times New Roman" w:cs="Times New Roman"/>
          <w:color w:val="auto"/>
          <w:sz w:val="24"/>
          <w:szCs w:val="24"/>
          <w:highlight w:val="none"/>
          <w:lang w:eastAsia="zh-CN"/>
        </w:rPr>
        <w:t>附件</w:t>
      </w:r>
      <w:r>
        <w:rPr>
          <w:rFonts w:hint="default" w:ascii="Times New Roman" w:hAnsi="Times New Roman" w:cs="Times New Roman"/>
          <w:color w:val="auto"/>
          <w:sz w:val="24"/>
          <w:szCs w:val="24"/>
          <w:highlight w:val="none"/>
          <w:lang w:val="en-US" w:eastAsia="zh-CN"/>
        </w:rPr>
        <w:t>4 备案证</w:t>
      </w:r>
      <w:bookmarkEnd w:id="209"/>
      <w:bookmarkEnd w:id="210"/>
    </w:p>
    <w:p w14:paraId="46B9F97D">
      <w:pPr>
        <w:jc w:val="center"/>
        <w:rPr>
          <w:rFonts w:hint="eastAsia"/>
          <w:color w:val="auto"/>
          <w:highlight w:val="none"/>
          <w:lang w:val="en-US" w:eastAsia="zh-CN"/>
        </w:rPr>
      </w:pPr>
      <w:r>
        <w:rPr>
          <w:color w:val="auto"/>
          <w:highlight w:val="none"/>
        </w:rPr>
        <w:drawing>
          <wp:inline distT="0" distB="0" distL="0" distR="0">
            <wp:extent cx="7011035" cy="4856480"/>
            <wp:effectExtent l="0" t="0" r="17780" b="1270"/>
            <wp:docPr id="1172" name="图片 1"/>
            <wp:cNvGraphicFramePr/>
            <a:graphic xmlns:a="http://schemas.openxmlformats.org/drawingml/2006/main">
              <a:graphicData uri="http://schemas.openxmlformats.org/drawingml/2006/picture">
                <pic:pic xmlns:pic="http://schemas.openxmlformats.org/drawingml/2006/picture">
                  <pic:nvPicPr>
                    <pic:cNvPr id="1172" name="图片 1"/>
                    <pic:cNvPicPr/>
                  </pic:nvPicPr>
                  <pic:blipFill>
                    <a:blip r:embed="rId58" cstate="print"/>
                    <a:srcRect/>
                    <a:stretch>
                      <a:fillRect/>
                    </a:stretch>
                  </pic:blipFill>
                  <pic:spPr>
                    <a:xfrm>
                      <a:off x="0" y="0"/>
                      <a:ext cx="7011669" cy="4856480"/>
                    </a:xfrm>
                    <a:prstGeom prst="rect">
                      <a:avLst/>
                    </a:prstGeom>
                    <a:ln>
                      <a:noFill/>
                    </a:ln>
                  </pic:spPr>
                </pic:pic>
              </a:graphicData>
            </a:graphic>
          </wp:inline>
        </w:drawing>
      </w:r>
    </w:p>
    <w:p w14:paraId="6EED3AEE">
      <w:pPr>
        <w:pStyle w:val="46"/>
        <w:jc w:val="center"/>
        <w:rPr>
          <w:rFonts w:hint="default"/>
          <w:color w:val="auto"/>
          <w:highlight w:val="none"/>
          <w:lang w:val="en-US"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0" w:num="1"/>
          <w:docGrid w:type="lines" w:linePitch="334" w:charSpace="0"/>
        </w:sectPr>
      </w:pPr>
    </w:p>
    <w:p w14:paraId="3E04D2CA">
      <w:pPr>
        <w:pStyle w:val="75"/>
        <w:jc w:val="left"/>
        <w:outlineLvl w:val="0"/>
        <w:rPr>
          <w:rFonts w:hint="default" w:eastAsia="宋体"/>
          <w:b/>
          <w:bCs/>
          <w:color w:val="auto"/>
          <w:highlight w:val="none"/>
          <w:lang w:val="en-US" w:eastAsia="zh-CN"/>
        </w:rPr>
      </w:pPr>
      <w:bookmarkStart w:id="211" w:name="_Toc31238"/>
      <w:bookmarkStart w:id="212" w:name="_Toc3481"/>
      <w:r>
        <w:rPr>
          <w:rFonts w:hint="eastAsia"/>
          <w:b/>
          <w:bCs/>
          <w:color w:val="auto"/>
          <w:highlight w:val="none"/>
          <w:lang w:eastAsia="zh-CN"/>
        </w:rPr>
        <w:t>附件</w:t>
      </w:r>
      <w:r>
        <w:rPr>
          <w:rFonts w:hint="eastAsia"/>
          <w:b/>
          <w:bCs/>
          <w:color w:val="auto"/>
          <w:highlight w:val="none"/>
          <w:lang w:val="en-US" w:eastAsia="zh-CN"/>
        </w:rPr>
        <w:t>5 环境质量现状监测报告（摘录部分）</w:t>
      </w:r>
      <w:bookmarkEnd w:id="211"/>
      <w:bookmarkEnd w:id="212"/>
    </w:p>
    <w:p w14:paraId="3598AB4F">
      <w:pPr>
        <w:pStyle w:val="51"/>
        <w:jc w:val="left"/>
        <w:rPr>
          <w:color w:val="auto"/>
          <w:highlight w:val="none"/>
        </w:rPr>
      </w:pPr>
      <w:r>
        <w:rPr>
          <w:color w:val="auto"/>
          <w:highlight w:val="none"/>
        </w:rPr>
        <w:drawing>
          <wp:inline distT="0" distB="0" distL="0" distR="0">
            <wp:extent cx="5038725" cy="7124700"/>
            <wp:effectExtent l="0" t="0" r="9525" b="0"/>
            <wp:docPr id="1173" name="图片 6"/>
            <wp:cNvGraphicFramePr/>
            <a:graphic xmlns:a="http://schemas.openxmlformats.org/drawingml/2006/main">
              <a:graphicData uri="http://schemas.openxmlformats.org/drawingml/2006/picture">
                <pic:pic xmlns:pic="http://schemas.openxmlformats.org/drawingml/2006/picture">
                  <pic:nvPicPr>
                    <pic:cNvPr id="1173" name="图片 6"/>
                    <pic:cNvPicPr/>
                  </pic:nvPicPr>
                  <pic:blipFill>
                    <a:blip r:embed="rId59" cstate="print"/>
                    <a:srcRect/>
                    <a:stretch>
                      <a:fillRect/>
                    </a:stretch>
                  </pic:blipFill>
                  <pic:spPr>
                    <a:xfrm>
                      <a:off x="0" y="0"/>
                      <a:ext cx="5038725" cy="7124700"/>
                    </a:xfrm>
                    <a:prstGeom prst="rect">
                      <a:avLst/>
                    </a:prstGeom>
                    <a:ln>
                      <a:noFill/>
                    </a:ln>
                  </pic:spPr>
                </pic:pic>
              </a:graphicData>
            </a:graphic>
          </wp:inline>
        </w:drawing>
      </w:r>
      <w:r>
        <w:rPr>
          <w:color w:val="auto"/>
          <w:highlight w:val="none"/>
        </w:rPr>
        <w:drawing>
          <wp:inline distT="0" distB="0" distL="0" distR="0">
            <wp:extent cx="4933950" cy="7077075"/>
            <wp:effectExtent l="0" t="0" r="0" b="9525"/>
            <wp:docPr id="1174" name="图片 7"/>
            <wp:cNvGraphicFramePr/>
            <a:graphic xmlns:a="http://schemas.openxmlformats.org/drawingml/2006/main">
              <a:graphicData uri="http://schemas.openxmlformats.org/drawingml/2006/picture">
                <pic:pic xmlns:pic="http://schemas.openxmlformats.org/drawingml/2006/picture">
                  <pic:nvPicPr>
                    <pic:cNvPr id="1174" name="图片 7"/>
                    <pic:cNvPicPr/>
                  </pic:nvPicPr>
                  <pic:blipFill>
                    <a:blip r:embed="rId60" cstate="print"/>
                    <a:srcRect/>
                    <a:stretch>
                      <a:fillRect/>
                    </a:stretch>
                  </pic:blipFill>
                  <pic:spPr>
                    <a:xfrm>
                      <a:off x="0" y="0"/>
                      <a:ext cx="4933950" cy="7077075"/>
                    </a:xfrm>
                    <a:prstGeom prst="rect">
                      <a:avLst/>
                    </a:prstGeom>
                    <a:ln>
                      <a:noFill/>
                    </a:ln>
                  </pic:spPr>
                </pic:pic>
              </a:graphicData>
            </a:graphic>
          </wp:inline>
        </w:drawing>
      </w:r>
      <w:r>
        <w:rPr>
          <w:color w:val="auto"/>
          <w:highlight w:val="none"/>
        </w:rPr>
        <w:drawing>
          <wp:inline distT="0" distB="0" distL="0" distR="0">
            <wp:extent cx="5629275" cy="7886700"/>
            <wp:effectExtent l="0" t="0" r="9525" b="0"/>
            <wp:docPr id="1175" name="图片 4"/>
            <wp:cNvGraphicFramePr/>
            <a:graphic xmlns:a="http://schemas.openxmlformats.org/drawingml/2006/main">
              <a:graphicData uri="http://schemas.openxmlformats.org/drawingml/2006/picture">
                <pic:pic xmlns:pic="http://schemas.openxmlformats.org/drawingml/2006/picture">
                  <pic:nvPicPr>
                    <pic:cNvPr id="1175" name="图片 4"/>
                    <pic:cNvPicPr/>
                  </pic:nvPicPr>
                  <pic:blipFill>
                    <a:blip r:embed="rId61" cstate="print"/>
                    <a:srcRect/>
                    <a:stretch>
                      <a:fillRect/>
                    </a:stretch>
                  </pic:blipFill>
                  <pic:spPr>
                    <a:xfrm>
                      <a:off x="0" y="0"/>
                      <a:ext cx="5629275" cy="7886700"/>
                    </a:xfrm>
                    <a:prstGeom prst="rect">
                      <a:avLst/>
                    </a:prstGeom>
                    <a:ln>
                      <a:noFill/>
                    </a:ln>
                  </pic:spPr>
                </pic:pic>
              </a:graphicData>
            </a:graphic>
          </wp:inline>
        </w:drawing>
      </w:r>
      <w:r>
        <w:rPr>
          <w:color w:val="auto"/>
          <w:highlight w:val="none"/>
        </w:rPr>
        <w:drawing>
          <wp:inline distT="0" distB="0" distL="0" distR="0">
            <wp:extent cx="5572125" cy="7905115"/>
            <wp:effectExtent l="0" t="0" r="9525" b="0"/>
            <wp:docPr id="1176" name="图片 5"/>
            <wp:cNvGraphicFramePr/>
            <a:graphic xmlns:a="http://schemas.openxmlformats.org/drawingml/2006/main">
              <a:graphicData uri="http://schemas.openxmlformats.org/drawingml/2006/picture">
                <pic:pic xmlns:pic="http://schemas.openxmlformats.org/drawingml/2006/picture">
                  <pic:nvPicPr>
                    <pic:cNvPr id="1176" name="图片 5"/>
                    <pic:cNvPicPr/>
                  </pic:nvPicPr>
                  <pic:blipFill>
                    <a:blip r:embed="rId62" cstate="print"/>
                    <a:srcRect/>
                    <a:stretch>
                      <a:fillRect/>
                    </a:stretch>
                  </pic:blipFill>
                  <pic:spPr>
                    <a:xfrm>
                      <a:off x="0" y="0"/>
                      <a:ext cx="5572125" cy="7905749"/>
                    </a:xfrm>
                    <a:prstGeom prst="rect">
                      <a:avLst/>
                    </a:prstGeom>
                    <a:ln>
                      <a:noFill/>
                    </a:ln>
                  </pic:spPr>
                </pic:pic>
              </a:graphicData>
            </a:graphic>
          </wp:inline>
        </w:drawing>
      </w:r>
    </w:p>
    <w:p w14:paraId="1426896E">
      <w:pPr>
        <w:rPr>
          <w:color w:val="auto"/>
          <w:highlight w:val="none"/>
        </w:rPr>
      </w:pPr>
      <w:r>
        <w:rPr>
          <w:color w:val="auto"/>
          <w:highlight w:val="none"/>
        </w:rPr>
        <w:br w:type="page"/>
      </w:r>
    </w:p>
    <w:p w14:paraId="7D352652">
      <w:pPr>
        <w:pStyle w:val="46"/>
        <w:rPr>
          <w:rFonts w:hint="default"/>
          <w:color w:val="auto"/>
          <w:highlight w:val="none"/>
          <w:lang w:val="en-US" w:eastAsia="zh-CN"/>
        </w:rPr>
        <w:sectPr>
          <w:pgSz w:w="11906" w:h="16838"/>
          <w:pgMar w:top="1440" w:right="1417" w:bottom="1440" w:left="1417" w:header="851" w:footer="680" w:gutter="0"/>
          <w:pgBorders>
            <w:top w:val="none" w:sz="0" w:space="0"/>
            <w:left w:val="none" w:sz="0" w:space="0"/>
            <w:bottom w:val="none" w:sz="0" w:space="0"/>
            <w:right w:val="none" w:sz="0" w:space="0"/>
          </w:pgBorders>
          <w:pgNumType w:fmt="numberInDash"/>
          <w:cols w:space="720" w:num="1"/>
          <w:docGrid w:type="linesAndChars" w:linePitch="312" w:charSpace="0"/>
        </w:sectPr>
      </w:pPr>
      <w:bookmarkStart w:id="213" w:name="_Toc7215"/>
    </w:p>
    <w:bookmarkEnd w:id="213"/>
    <w:p w14:paraId="0CF37C6A">
      <w:pPr>
        <w:jc w:val="center"/>
        <w:outlineLvl w:val="0"/>
        <w:rPr>
          <w:rFonts w:eastAsia="黑体"/>
          <w:b/>
          <w:bCs/>
          <w:color w:val="auto"/>
          <w:sz w:val="40"/>
          <w:szCs w:val="40"/>
          <w:highlight w:val="none"/>
        </w:rPr>
      </w:pPr>
      <w:bookmarkStart w:id="214" w:name="_Toc22372"/>
      <w:bookmarkStart w:id="215" w:name="_Toc19831"/>
      <w:bookmarkStart w:id="216" w:name="_Toc12194"/>
      <w:r>
        <w:rPr>
          <w:rFonts w:eastAsia="黑体"/>
          <w:b/>
          <w:bCs/>
          <w:color w:val="auto"/>
          <w:sz w:val="40"/>
          <w:szCs w:val="40"/>
          <w:highlight w:val="none"/>
        </w:rPr>
        <w:t>建设项目污染物排放量汇总表</w:t>
      </w:r>
      <w:bookmarkEnd w:id="214"/>
      <w:bookmarkEnd w:id="215"/>
      <w:bookmarkEnd w:id="216"/>
    </w:p>
    <w:tbl>
      <w:tblPr>
        <w:tblStyle w:val="4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6"/>
        <w:gridCol w:w="2203"/>
        <w:gridCol w:w="1386"/>
        <w:gridCol w:w="1562"/>
        <w:gridCol w:w="1479"/>
        <w:gridCol w:w="1651"/>
        <w:gridCol w:w="1564"/>
        <w:gridCol w:w="1720"/>
        <w:gridCol w:w="1407"/>
      </w:tblGrid>
      <w:tr w14:paraId="550063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tcBorders>
              <w:tl2br w:val="single" w:color="auto" w:sz="4" w:space="0"/>
            </w:tcBorders>
            <w:vAlign w:val="center"/>
          </w:tcPr>
          <w:p w14:paraId="2A0D69AE">
            <w:pPr>
              <w:keepNext w:val="0"/>
              <w:keepLines w:val="0"/>
              <w:suppressLineNumbers w:val="0"/>
              <w:spacing w:before="0" w:beforeAutospacing="0" w:after="0" w:afterAutospacing="0" w:line="240" w:lineRule="auto"/>
              <w:ind w:left="0" w:right="0"/>
              <w:jc w:val="right"/>
              <w:rPr>
                <w:rFonts w:hint="default" w:ascii="Times New Roman" w:hAnsi="Times New Roman" w:eastAsia="黑体" w:cs="Times New Roman"/>
                <w:b/>
                <w:bCs/>
                <w:color w:val="auto"/>
                <w:sz w:val="21"/>
                <w:szCs w:val="21"/>
                <w:highlight w:val="none"/>
              </w:rPr>
            </w:pPr>
            <w:r>
              <w:rPr>
                <w:rFonts w:hint="default" w:ascii="Times New Roman" w:hAnsi="Times New Roman" w:eastAsia="黑体" w:cs="Times New Roman"/>
                <w:b/>
                <w:bCs/>
                <w:color w:val="auto"/>
                <w:sz w:val="21"/>
                <w:szCs w:val="21"/>
                <w:highlight w:val="none"/>
              </w:rPr>
              <w:t>项目</w:t>
            </w:r>
          </w:p>
          <w:p w14:paraId="3B4796FE">
            <w:pPr>
              <w:keepNext w:val="0"/>
              <w:keepLines w:val="0"/>
              <w:suppressLineNumbers w:val="0"/>
              <w:spacing w:before="0" w:beforeAutospacing="0" w:after="0" w:afterAutospacing="0" w:line="240" w:lineRule="auto"/>
              <w:ind w:left="0" w:right="0"/>
              <w:rPr>
                <w:rFonts w:hint="default" w:ascii="Times New Roman" w:hAnsi="Times New Roman" w:cs="Times New Roman"/>
                <w:b/>
                <w:bCs/>
                <w:color w:val="auto"/>
                <w:sz w:val="21"/>
                <w:szCs w:val="21"/>
                <w:highlight w:val="none"/>
              </w:rPr>
            </w:pPr>
            <w:r>
              <w:rPr>
                <w:rFonts w:hint="default" w:ascii="Times New Roman" w:hAnsi="Times New Roman" w:eastAsia="黑体" w:cs="Times New Roman"/>
                <w:b/>
                <w:bCs/>
                <w:color w:val="auto"/>
                <w:sz w:val="21"/>
                <w:szCs w:val="21"/>
                <w:highlight w:val="none"/>
              </w:rPr>
              <w:t>分类</w:t>
            </w:r>
          </w:p>
        </w:tc>
        <w:tc>
          <w:tcPr>
            <w:tcW w:w="2203" w:type="dxa"/>
            <w:vAlign w:val="center"/>
          </w:tcPr>
          <w:p w14:paraId="6423A7E3">
            <w:pPr>
              <w:keepNext w:val="0"/>
              <w:keepLines w:val="0"/>
              <w:suppressLineNumbers w:val="0"/>
              <w:spacing w:before="0" w:beforeAutospacing="0" w:after="0" w:afterAutospacing="0" w:line="240" w:lineRule="auto"/>
              <w:ind w:left="0" w:right="0"/>
              <w:jc w:val="center"/>
              <w:rPr>
                <w:rFonts w:hint="default" w:ascii="Times New Roman" w:hAnsi="Times New Roman" w:eastAsia="黑体" w:cs="Times New Roman"/>
                <w:b/>
                <w:bCs/>
                <w:color w:val="auto"/>
                <w:sz w:val="21"/>
                <w:szCs w:val="21"/>
                <w:highlight w:val="none"/>
              </w:rPr>
            </w:pPr>
            <w:r>
              <w:rPr>
                <w:rFonts w:hint="default" w:ascii="Times New Roman" w:hAnsi="Times New Roman" w:eastAsia="黑体" w:cs="Times New Roman"/>
                <w:b/>
                <w:bCs/>
                <w:color w:val="auto"/>
                <w:sz w:val="21"/>
                <w:szCs w:val="21"/>
                <w:highlight w:val="none"/>
              </w:rPr>
              <w:t>污染物名称</w:t>
            </w:r>
          </w:p>
        </w:tc>
        <w:tc>
          <w:tcPr>
            <w:tcW w:w="1386" w:type="dxa"/>
            <w:vAlign w:val="center"/>
          </w:tcPr>
          <w:p w14:paraId="425D6DDE">
            <w:pPr>
              <w:keepNext w:val="0"/>
              <w:keepLines w:val="0"/>
              <w:suppressLineNumbers w:val="0"/>
              <w:spacing w:before="0" w:beforeAutospacing="0" w:after="0" w:afterAutospacing="0" w:line="240" w:lineRule="auto"/>
              <w:ind w:left="0" w:right="0"/>
              <w:jc w:val="center"/>
              <w:rPr>
                <w:rFonts w:hint="default" w:ascii="Times New Roman" w:hAnsi="Times New Roman" w:eastAsia="黑体" w:cs="Times New Roman"/>
                <w:b/>
                <w:bCs/>
                <w:color w:val="auto"/>
                <w:sz w:val="21"/>
                <w:szCs w:val="21"/>
                <w:highlight w:val="none"/>
              </w:rPr>
            </w:pPr>
            <w:r>
              <w:rPr>
                <w:rFonts w:hint="default" w:ascii="Times New Roman" w:hAnsi="Times New Roman" w:eastAsia="黑体" w:cs="Times New Roman"/>
                <w:b/>
                <w:bCs/>
                <w:color w:val="auto"/>
                <w:sz w:val="21"/>
                <w:szCs w:val="21"/>
                <w:highlight w:val="none"/>
              </w:rPr>
              <w:t>现有工程排放量（固体废物产生量）①</w:t>
            </w:r>
          </w:p>
        </w:tc>
        <w:tc>
          <w:tcPr>
            <w:tcW w:w="1562" w:type="dxa"/>
            <w:vAlign w:val="center"/>
          </w:tcPr>
          <w:p w14:paraId="0B9F3B58">
            <w:pPr>
              <w:keepNext w:val="0"/>
              <w:keepLines w:val="0"/>
              <w:suppressLineNumbers w:val="0"/>
              <w:spacing w:before="0" w:beforeAutospacing="0" w:after="0" w:afterAutospacing="0" w:line="240" w:lineRule="auto"/>
              <w:ind w:left="0" w:right="0"/>
              <w:jc w:val="center"/>
              <w:rPr>
                <w:rFonts w:hint="default" w:ascii="Times New Roman" w:hAnsi="Times New Roman" w:eastAsia="黑体" w:cs="Times New Roman"/>
                <w:b/>
                <w:bCs/>
                <w:color w:val="auto"/>
                <w:sz w:val="21"/>
                <w:szCs w:val="21"/>
                <w:highlight w:val="none"/>
              </w:rPr>
            </w:pPr>
            <w:r>
              <w:rPr>
                <w:rFonts w:hint="default" w:ascii="Times New Roman" w:hAnsi="Times New Roman" w:eastAsia="黑体" w:cs="Times New Roman"/>
                <w:b/>
                <w:bCs/>
                <w:color w:val="auto"/>
                <w:sz w:val="21"/>
                <w:szCs w:val="21"/>
                <w:highlight w:val="none"/>
              </w:rPr>
              <w:t>现有工程排污许可排放量②</w:t>
            </w:r>
          </w:p>
        </w:tc>
        <w:tc>
          <w:tcPr>
            <w:tcW w:w="1479" w:type="dxa"/>
            <w:vAlign w:val="center"/>
          </w:tcPr>
          <w:p w14:paraId="1F3901ED">
            <w:pPr>
              <w:keepNext w:val="0"/>
              <w:keepLines w:val="0"/>
              <w:suppressLineNumbers w:val="0"/>
              <w:spacing w:before="0" w:beforeAutospacing="0" w:after="0" w:afterAutospacing="0" w:line="240" w:lineRule="auto"/>
              <w:ind w:left="0" w:right="0"/>
              <w:jc w:val="center"/>
              <w:rPr>
                <w:rFonts w:hint="default" w:ascii="Times New Roman" w:hAnsi="Times New Roman" w:eastAsia="黑体" w:cs="Times New Roman"/>
                <w:b/>
                <w:bCs/>
                <w:color w:val="auto"/>
                <w:sz w:val="21"/>
                <w:szCs w:val="21"/>
                <w:highlight w:val="none"/>
              </w:rPr>
            </w:pPr>
            <w:r>
              <w:rPr>
                <w:rFonts w:hint="default" w:ascii="Times New Roman" w:hAnsi="Times New Roman" w:eastAsia="黑体" w:cs="Times New Roman"/>
                <w:b/>
                <w:bCs/>
                <w:color w:val="auto"/>
                <w:sz w:val="21"/>
                <w:szCs w:val="21"/>
                <w:highlight w:val="none"/>
              </w:rPr>
              <w:t>在建工程排放量（固体废物产生量）③</w:t>
            </w:r>
          </w:p>
        </w:tc>
        <w:tc>
          <w:tcPr>
            <w:tcW w:w="1651" w:type="dxa"/>
            <w:vAlign w:val="center"/>
          </w:tcPr>
          <w:p w14:paraId="010EC833">
            <w:pPr>
              <w:keepNext w:val="0"/>
              <w:keepLines w:val="0"/>
              <w:suppressLineNumbers w:val="0"/>
              <w:spacing w:before="0" w:beforeAutospacing="0" w:after="0" w:afterAutospacing="0" w:line="240" w:lineRule="auto"/>
              <w:ind w:left="0" w:right="0"/>
              <w:jc w:val="center"/>
              <w:rPr>
                <w:rFonts w:hint="default" w:ascii="Times New Roman" w:hAnsi="Times New Roman" w:eastAsia="黑体" w:cs="Times New Roman"/>
                <w:b/>
                <w:bCs/>
                <w:color w:val="auto"/>
                <w:sz w:val="21"/>
                <w:szCs w:val="21"/>
                <w:highlight w:val="none"/>
              </w:rPr>
            </w:pPr>
            <w:r>
              <w:rPr>
                <w:rFonts w:hint="default" w:ascii="Times New Roman" w:hAnsi="Times New Roman" w:eastAsia="黑体" w:cs="Times New Roman"/>
                <w:b/>
                <w:bCs/>
                <w:color w:val="auto"/>
                <w:sz w:val="21"/>
                <w:szCs w:val="21"/>
                <w:highlight w:val="none"/>
              </w:rPr>
              <w:t>本项目排放量（固体废物产生量）④</w:t>
            </w:r>
          </w:p>
        </w:tc>
        <w:tc>
          <w:tcPr>
            <w:tcW w:w="1564" w:type="dxa"/>
            <w:vAlign w:val="center"/>
          </w:tcPr>
          <w:p w14:paraId="0460A84F">
            <w:pPr>
              <w:keepNext w:val="0"/>
              <w:keepLines w:val="0"/>
              <w:suppressLineNumbers w:val="0"/>
              <w:spacing w:before="0" w:beforeAutospacing="0" w:after="0" w:afterAutospacing="0" w:line="240" w:lineRule="auto"/>
              <w:ind w:left="0" w:right="0"/>
              <w:jc w:val="center"/>
              <w:rPr>
                <w:rFonts w:hint="default" w:ascii="Times New Roman" w:hAnsi="Times New Roman" w:eastAsia="黑体" w:cs="Times New Roman"/>
                <w:b/>
                <w:bCs/>
                <w:color w:val="auto"/>
                <w:sz w:val="21"/>
                <w:szCs w:val="21"/>
                <w:highlight w:val="none"/>
              </w:rPr>
            </w:pPr>
            <w:r>
              <w:rPr>
                <w:rFonts w:hint="default" w:ascii="Times New Roman" w:hAnsi="Times New Roman" w:eastAsia="黑体" w:cs="Times New Roman"/>
                <w:b/>
                <w:bCs/>
                <w:color w:val="auto"/>
                <w:sz w:val="21"/>
                <w:szCs w:val="21"/>
                <w:highlight w:val="none"/>
              </w:rPr>
              <w:t>以新带老削减量（新建项目不填）⑤</w:t>
            </w:r>
          </w:p>
        </w:tc>
        <w:tc>
          <w:tcPr>
            <w:tcW w:w="1720" w:type="dxa"/>
            <w:vAlign w:val="center"/>
          </w:tcPr>
          <w:p w14:paraId="0303B524">
            <w:pPr>
              <w:keepNext w:val="0"/>
              <w:keepLines w:val="0"/>
              <w:suppressLineNumbers w:val="0"/>
              <w:spacing w:before="0" w:beforeAutospacing="0" w:after="0" w:afterAutospacing="0" w:line="240" w:lineRule="auto"/>
              <w:ind w:left="0" w:right="0"/>
              <w:jc w:val="center"/>
              <w:rPr>
                <w:rFonts w:hint="default" w:ascii="Times New Roman" w:hAnsi="Times New Roman" w:eastAsia="黑体" w:cs="Times New Roman"/>
                <w:b/>
                <w:bCs/>
                <w:color w:val="auto"/>
                <w:sz w:val="21"/>
                <w:szCs w:val="21"/>
                <w:highlight w:val="none"/>
              </w:rPr>
            </w:pPr>
            <w:r>
              <w:rPr>
                <w:rFonts w:hint="default" w:ascii="Times New Roman" w:hAnsi="Times New Roman" w:eastAsia="黑体" w:cs="Times New Roman"/>
                <w:b/>
                <w:bCs/>
                <w:color w:val="auto"/>
                <w:sz w:val="21"/>
                <w:szCs w:val="21"/>
                <w:highlight w:val="none"/>
              </w:rPr>
              <w:t>本项目建成后全厂排放量（固体废物产生量）⑥</w:t>
            </w:r>
          </w:p>
        </w:tc>
        <w:tc>
          <w:tcPr>
            <w:tcW w:w="1407" w:type="dxa"/>
            <w:vAlign w:val="center"/>
          </w:tcPr>
          <w:p w14:paraId="207794A6">
            <w:pPr>
              <w:keepNext w:val="0"/>
              <w:keepLines w:val="0"/>
              <w:suppressLineNumbers w:val="0"/>
              <w:spacing w:before="0" w:beforeAutospacing="0" w:after="0" w:afterAutospacing="0" w:line="240" w:lineRule="auto"/>
              <w:ind w:left="0" w:right="0"/>
              <w:jc w:val="center"/>
              <w:rPr>
                <w:rFonts w:hint="default" w:ascii="Times New Roman" w:hAnsi="Times New Roman" w:eastAsia="黑体" w:cs="Times New Roman"/>
                <w:b/>
                <w:bCs/>
                <w:color w:val="auto"/>
                <w:sz w:val="21"/>
                <w:szCs w:val="21"/>
                <w:highlight w:val="none"/>
              </w:rPr>
            </w:pPr>
            <w:r>
              <w:rPr>
                <w:rFonts w:hint="default" w:ascii="Times New Roman" w:hAnsi="Times New Roman" w:eastAsia="黑体" w:cs="Times New Roman"/>
                <w:b/>
                <w:bCs/>
                <w:color w:val="auto"/>
                <w:sz w:val="21"/>
                <w:szCs w:val="21"/>
                <w:highlight w:val="none"/>
              </w:rPr>
              <w:t>变化量⑦</w:t>
            </w:r>
          </w:p>
        </w:tc>
      </w:tr>
      <w:tr w14:paraId="3E44F6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trPr>
        <w:tc>
          <w:tcPr>
            <w:tcW w:w="1106" w:type="dxa"/>
            <w:vMerge w:val="restart"/>
            <w:vAlign w:val="center"/>
          </w:tcPr>
          <w:p w14:paraId="52D0162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废水</w:t>
            </w:r>
          </w:p>
        </w:tc>
        <w:tc>
          <w:tcPr>
            <w:tcW w:w="2203" w:type="dxa"/>
            <w:vAlign w:val="center"/>
          </w:tcPr>
          <w:p w14:paraId="0F9823F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废水量</w:t>
            </w:r>
            <w:r>
              <w:rPr>
                <w:rFonts w:hint="default" w:ascii="Times New Roman" w:hAnsi="Times New Roman" w:cs="Times New Roman"/>
                <w:color w:val="auto"/>
                <w:kern w:val="0"/>
                <w:sz w:val="21"/>
                <w:szCs w:val="21"/>
                <w:highlight w:val="none"/>
              </w:rPr>
              <w:t>（万t/a）</w:t>
            </w:r>
          </w:p>
        </w:tc>
        <w:tc>
          <w:tcPr>
            <w:tcW w:w="1386" w:type="dxa"/>
            <w:vAlign w:val="center"/>
          </w:tcPr>
          <w:p w14:paraId="30892305">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562" w:type="dxa"/>
            <w:vAlign w:val="center"/>
          </w:tcPr>
          <w:p w14:paraId="2732D9F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479" w:type="dxa"/>
            <w:vAlign w:val="center"/>
          </w:tcPr>
          <w:p w14:paraId="40798CC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651" w:type="dxa"/>
            <w:vAlign w:val="center"/>
          </w:tcPr>
          <w:p w14:paraId="7B6F2B49">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lang w:val="en-US"/>
              </w:rPr>
            </w:pPr>
            <w:r>
              <w:rPr>
                <w:rFonts w:hint="eastAsia" w:cs="Times New Roman"/>
                <w:i w:val="0"/>
                <w:iCs w:val="0"/>
                <w:color w:val="auto"/>
                <w:kern w:val="0"/>
                <w:sz w:val="21"/>
                <w:szCs w:val="21"/>
                <w:highlight w:val="none"/>
                <w:u w:val="none"/>
                <w:lang w:val="en-US" w:eastAsia="zh-CN"/>
              </w:rPr>
              <w:t>0.64</w:t>
            </w:r>
          </w:p>
        </w:tc>
        <w:tc>
          <w:tcPr>
            <w:tcW w:w="1564" w:type="dxa"/>
            <w:vAlign w:val="center"/>
          </w:tcPr>
          <w:p w14:paraId="4C865E24">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720" w:type="dxa"/>
            <w:vAlign w:val="center"/>
          </w:tcPr>
          <w:p w14:paraId="06EFDF7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kern w:val="2"/>
                <w:sz w:val="21"/>
                <w:szCs w:val="21"/>
                <w:highlight w:val="none"/>
              </w:rPr>
            </w:pPr>
            <w:r>
              <w:rPr>
                <w:rFonts w:hint="eastAsia" w:cs="Times New Roman"/>
                <w:i w:val="0"/>
                <w:iCs w:val="0"/>
                <w:color w:val="auto"/>
                <w:kern w:val="0"/>
                <w:sz w:val="21"/>
                <w:szCs w:val="21"/>
                <w:highlight w:val="none"/>
                <w:u w:val="none"/>
                <w:lang w:val="en-US" w:eastAsia="zh-CN"/>
              </w:rPr>
              <w:t>0.64</w:t>
            </w:r>
          </w:p>
        </w:tc>
        <w:tc>
          <w:tcPr>
            <w:tcW w:w="1407" w:type="dxa"/>
            <w:shd w:val="clear" w:color="auto" w:fill="auto"/>
            <w:vAlign w:val="center"/>
          </w:tcPr>
          <w:p w14:paraId="46F0854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i w:val="0"/>
                <w:iCs w:val="0"/>
                <w:color w:val="auto"/>
                <w:kern w:val="0"/>
                <w:sz w:val="21"/>
                <w:szCs w:val="21"/>
                <w:highlight w:val="none"/>
                <w:u w:val="none"/>
                <w:lang w:val="en-US" w:eastAsia="zh-CN"/>
              </w:rPr>
              <w:t>+0.64</w:t>
            </w:r>
          </w:p>
        </w:tc>
      </w:tr>
      <w:tr w14:paraId="74DD11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12AEEBC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2203" w:type="dxa"/>
            <w:vAlign w:val="center"/>
          </w:tcPr>
          <w:p w14:paraId="3FE3979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COD</w:t>
            </w:r>
            <w:r>
              <w:rPr>
                <w:rFonts w:hint="default" w:ascii="Times New Roman" w:hAnsi="Times New Roman" w:cs="Times New Roman"/>
                <w:color w:val="auto"/>
                <w:kern w:val="0"/>
                <w:sz w:val="21"/>
                <w:szCs w:val="21"/>
                <w:highlight w:val="none"/>
                <w:vertAlign w:val="subscript"/>
              </w:rPr>
              <w:t>Cr</w:t>
            </w:r>
            <w:r>
              <w:rPr>
                <w:rFonts w:hint="default" w:ascii="Times New Roman" w:hAnsi="Times New Roman" w:cs="Times New Roman"/>
                <w:color w:val="auto"/>
                <w:kern w:val="0"/>
                <w:sz w:val="21"/>
                <w:szCs w:val="21"/>
                <w:highlight w:val="none"/>
              </w:rPr>
              <w:t>（t/a）</w:t>
            </w:r>
          </w:p>
        </w:tc>
        <w:tc>
          <w:tcPr>
            <w:tcW w:w="1386" w:type="dxa"/>
            <w:vAlign w:val="center"/>
          </w:tcPr>
          <w:p w14:paraId="683A20A1">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562" w:type="dxa"/>
            <w:vAlign w:val="center"/>
          </w:tcPr>
          <w:p w14:paraId="242B4AD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479" w:type="dxa"/>
            <w:vAlign w:val="center"/>
          </w:tcPr>
          <w:p w14:paraId="017E16D0">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651" w:type="dxa"/>
            <w:vAlign w:val="center"/>
          </w:tcPr>
          <w:p w14:paraId="42FC548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 xml:space="preserve">0.778 </w:t>
            </w:r>
          </w:p>
        </w:tc>
        <w:tc>
          <w:tcPr>
            <w:tcW w:w="1564" w:type="dxa"/>
            <w:vAlign w:val="center"/>
          </w:tcPr>
          <w:p w14:paraId="609B898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720" w:type="dxa"/>
            <w:vAlign w:val="center"/>
          </w:tcPr>
          <w:p w14:paraId="6D011A7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 xml:space="preserve">0.778 </w:t>
            </w:r>
          </w:p>
        </w:tc>
        <w:tc>
          <w:tcPr>
            <w:tcW w:w="1407" w:type="dxa"/>
            <w:shd w:val="clear" w:color="auto" w:fill="auto"/>
            <w:vAlign w:val="center"/>
          </w:tcPr>
          <w:p w14:paraId="1DBB6D5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ascii="Times New Roman" w:hAnsi="Times New Roman" w:eastAsia="宋体" w:cs="Times New Roman"/>
                <w:i w:val="0"/>
                <w:iCs w:val="0"/>
                <w:color w:val="auto"/>
                <w:kern w:val="0"/>
                <w:sz w:val="21"/>
                <w:szCs w:val="21"/>
                <w:highlight w:val="none"/>
                <w:u w:val="none"/>
                <w:lang w:val="en-US" w:eastAsia="zh-CN"/>
              </w:rPr>
              <w:t>+</w:t>
            </w:r>
            <w:r>
              <w:rPr>
                <w:rFonts w:hint="default" w:ascii="Times New Roman" w:hAnsi="Times New Roman" w:eastAsia="宋体" w:cs="Times New Roman"/>
                <w:i w:val="0"/>
                <w:iCs w:val="0"/>
                <w:color w:val="auto"/>
                <w:kern w:val="0"/>
                <w:sz w:val="21"/>
                <w:szCs w:val="21"/>
                <w:highlight w:val="none"/>
                <w:u w:val="none"/>
                <w:lang w:val="en-US" w:eastAsia="zh-CN"/>
              </w:rPr>
              <w:t xml:space="preserve">0.778 </w:t>
            </w:r>
          </w:p>
        </w:tc>
      </w:tr>
      <w:tr w14:paraId="362BE2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139EE1A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2203" w:type="dxa"/>
            <w:vAlign w:val="center"/>
          </w:tcPr>
          <w:p w14:paraId="7E7AC53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BOD</w:t>
            </w:r>
            <w:r>
              <w:rPr>
                <w:rFonts w:hint="default" w:ascii="Times New Roman" w:hAnsi="Times New Roman" w:cs="Times New Roman"/>
                <w:color w:val="auto"/>
                <w:kern w:val="0"/>
                <w:sz w:val="21"/>
                <w:szCs w:val="21"/>
                <w:highlight w:val="none"/>
                <w:vertAlign w:val="subscript"/>
              </w:rPr>
              <w:t>5</w:t>
            </w:r>
            <w:r>
              <w:rPr>
                <w:rFonts w:hint="default" w:ascii="Times New Roman" w:hAnsi="Times New Roman" w:cs="Times New Roman"/>
                <w:color w:val="auto"/>
                <w:kern w:val="0"/>
                <w:sz w:val="21"/>
                <w:szCs w:val="21"/>
                <w:highlight w:val="none"/>
              </w:rPr>
              <w:t>（t/a）</w:t>
            </w:r>
          </w:p>
        </w:tc>
        <w:tc>
          <w:tcPr>
            <w:tcW w:w="1386" w:type="dxa"/>
            <w:vAlign w:val="center"/>
          </w:tcPr>
          <w:p w14:paraId="062A2FB6">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562" w:type="dxa"/>
            <w:vAlign w:val="center"/>
          </w:tcPr>
          <w:p w14:paraId="6310ECD1">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479" w:type="dxa"/>
            <w:vAlign w:val="center"/>
          </w:tcPr>
          <w:p w14:paraId="01B3324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651" w:type="dxa"/>
            <w:vAlign w:val="center"/>
          </w:tcPr>
          <w:p w14:paraId="68A299F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 xml:space="preserve">0.487 </w:t>
            </w:r>
          </w:p>
        </w:tc>
        <w:tc>
          <w:tcPr>
            <w:tcW w:w="1564" w:type="dxa"/>
            <w:vAlign w:val="center"/>
          </w:tcPr>
          <w:p w14:paraId="7EAD44BB">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720" w:type="dxa"/>
            <w:vAlign w:val="center"/>
          </w:tcPr>
          <w:p w14:paraId="66F78A0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 xml:space="preserve">0.487 </w:t>
            </w:r>
          </w:p>
        </w:tc>
        <w:tc>
          <w:tcPr>
            <w:tcW w:w="1407" w:type="dxa"/>
            <w:shd w:val="clear" w:color="auto" w:fill="auto"/>
            <w:vAlign w:val="center"/>
          </w:tcPr>
          <w:p w14:paraId="531E686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ascii="Times New Roman" w:hAnsi="Times New Roman" w:eastAsia="宋体" w:cs="Times New Roman"/>
                <w:i w:val="0"/>
                <w:iCs w:val="0"/>
                <w:color w:val="auto"/>
                <w:kern w:val="0"/>
                <w:sz w:val="21"/>
                <w:szCs w:val="21"/>
                <w:highlight w:val="none"/>
                <w:u w:val="none"/>
                <w:lang w:val="en-US" w:eastAsia="zh-CN"/>
              </w:rPr>
              <w:t>+</w:t>
            </w:r>
            <w:r>
              <w:rPr>
                <w:rFonts w:hint="default" w:ascii="Times New Roman" w:hAnsi="Times New Roman" w:eastAsia="宋体" w:cs="Times New Roman"/>
                <w:i w:val="0"/>
                <w:iCs w:val="0"/>
                <w:color w:val="auto"/>
                <w:kern w:val="0"/>
                <w:sz w:val="21"/>
                <w:szCs w:val="21"/>
                <w:highlight w:val="none"/>
                <w:u w:val="none"/>
                <w:lang w:val="en-US" w:eastAsia="zh-CN"/>
              </w:rPr>
              <w:t xml:space="preserve">0.487 </w:t>
            </w:r>
          </w:p>
        </w:tc>
      </w:tr>
      <w:tr w14:paraId="35A913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577007E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2203" w:type="dxa"/>
            <w:shd w:val="clear" w:color="auto" w:fill="auto"/>
            <w:vAlign w:val="center"/>
          </w:tcPr>
          <w:p w14:paraId="45FDD89E">
            <w:pPr>
              <w:keepNext w:val="0"/>
              <w:keepLines w:val="0"/>
              <w:widowControl/>
              <w:suppressLineNumbers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0"/>
                <w:sz w:val="21"/>
                <w:szCs w:val="21"/>
                <w:highlight w:val="none"/>
              </w:rPr>
              <w:t>氨氮（t/a）</w:t>
            </w:r>
          </w:p>
        </w:tc>
        <w:tc>
          <w:tcPr>
            <w:tcW w:w="1386" w:type="dxa"/>
            <w:vAlign w:val="center"/>
          </w:tcPr>
          <w:p w14:paraId="49B8C5B4">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562" w:type="dxa"/>
            <w:vAlign w:val="center"/>
          </w:tcPr>
          <w:p w14:paraId="11017EDD">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479" w:type="dxa"/>
            <w:vAlign w:val="center"/>
          </w:tcPr>
          <w:p w14:paraId="307583B5">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651" w:type="dxa"/>
            <w:vAlign w:val="center"/>
          </w:tcPr>
          <w:p w14:paraId="31FAD75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 xml:space="preserve">0.113 </w:t>
            </w:r>
          </w:p>
        </w:tc>
        <w:tc>
          <w:tcPr>
            <w:tcW w:w="1564" w:type="dxa"/>
            <w:vAlign w:val="center"/>
          </w:tcPr>
          <w:p w14:paraId="4CCF9719">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720" w:type="dxa"/>
            <w:vAlign w:val="center"/>
          </w:tcPr>
          <w:p w14:paraId="40B7CED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 xml:space="preserve">0.113 </w:t>
            </w:r>
          </w:p>
        </w:tc>
        <w:tc>
          <w:tcPr>
            <w:tcW w:w="1407" w:type="dxa"/>
            <w:shd w:val="clear" w:color="auto" w:fill="auto"/>
            <w:vAlign w:val="center"/>
          </w:tcPr>
          <w:p w14:paraId="0145B9F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ascii="Times New Roman" w:hAnsi="Times New Roman" w:eastAsia="宋体" w:cs="Times New Roman"/>
                <w:i w:val="0"/>
                <w:iCs w:val="0"/>
                <w:color w:val="auto"/>
                <w:kern w:val="0"/>
                <w:sz w:val="21"/>
                <w:szCs w:val="21"/>
                <w:highlight w:val="none"/>
                <w:u w:val="none"/>
                <w:lang w:val="en-US" w:eastAsia="zh-CN"/>
              </w:rPr>
              <w:t>+</w:t>
            </w:r>
            <w:r>
              <w:rPr>
                <w:rFonts w:hint="default" w:ascii="Times New Roman" w:hAnsi="Times New Roman" w:eastAsia="宋体" w:cs="Times New Roman"/>
                <w:i w:val="0"/>
                <w:iCs w:val="0"/>
                <w:color w:val="auto"/>
                <w:kern w:val="0"/>
                <w:sz w:val="21"/>
                <w:szCs w:val="21"/>
                <w:highlight w:val="none"/>
                <w:u w:val="none"/>
                <w:lang w:val="en-US" w:eastAsia="zh-CN"/>
              </w:rPr>
              <w:t xml:space="preserve">0.113 </w:t>
            </w:r>
          </w:p>
        </w:tc>
      </w:tr>
      <w:tr w14:paraId="2F2B30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1106" w:type="dxa"/>
            <w:vMerge w:val="continue"/>
            <w:vAlign w:val="center"/>
          </w:tcPr>
          <w:p w14:paraId="0432E77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2203" w:type="dxa"/>
            <w:shd w:val="clear" w:color="auto" w:fill="auto"/>
            <w:vAlign w:val="center"/>
          </w:tcPr>
          <w:p w14:paraId="0ADEB2CD">
            <w:pPr>
              <w:keepNext w:val="0"/>
              <w:keepLines w:val="0"/>
              <w:widowControl/>
              <w:suppressLineNumbers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总磷</w:t>
            </w:r>
            <w:r>
              <w:rPr>
                <w:rFonts w:hint="default" w:ascii="Times New Roman" w:hAnsi="Times New Roman" w:cs="Times New Roman"/>
                <w:color w:val="auto"/>
                <w:kern w:val="0"/>
                <w:sz w:val="21"/>
                <w:szCs w:val="21"/>
                <w:highlight w:val="none"/>
              </w:rPr>
              <w:t>（t/a）</w:t>
            </w:r>
          </w:p>
        </w:tc>
        <w:tc>
          <w:tcPr>
            <w:tcW w:w="1386" w:type="dxa"/>
            <w:vAlign w:val="center"/>
          </w:tcPr>
          <w:p w14:paraId="59E21758">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562" w:type="dxa"/>
            <w:vAlign w:val="center"/>
          </w:tcPr>
          <w:p w14:paraId="314399B3">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479" w:type="dxa"/>
            <w:vAlign w:val="center"/>
          </w:tcPr>
          <w:p w14:paraId="57D00311">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651" w:type="dxa"/>
            <w:vAlign w:val="center"/>
          </w:tcPr>
          <w:p w14:paraId="53EDE48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 xml:space="preserve">0.015 </w:t>
            </w:r>
          </w:p>
        </w:tc>
        <w:tc>
          <w:tcPr>
            <w:tcW w:w="1564" w:type="dxa"/>
            <w:vAlign w:val="center"/>
          </w:tcPr>
          <w:p w14:paraId="6B003116">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720" w:type="dxa"/>
            <w:vAlign w:val="center"/>
          </w:tcPr>
          <w:p w14:paraId="6302AF1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 xml:space="preserve">0.015 </w:t>
            </w:r>
          </w:p>
        </w:tc>
        <w:tc>
          <w:tcPr>
            <w:tcW w:w="1407" w:type="dxa"/>
            <w:shd w:val="clear" w:color="auto" w:fill="auto"/>
            <w:vAlign w:val="center"/>
          </w:tcPr>
          <w:p w14:paraId="52EAC5B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kern w:val="0"/>
                <w:sz w:val="21"/>
                <w:szCs w:val="21"/>
                <w:highlight w:val="none"/>
                <w:u w:val="none"/>
                <w:lang w:val="en-US" w:eastAsia="zh-CN"/>
              </w:rPr>
              <w:t>+</w:t>
            </w:r>
            <w:r>
              <w:rPr>
                <w:rFonts w:hint="default" w:ascii="Times New Roman" w:hAnsi="Times New Roman" w:eastAsia="宋体" w:cs="Times New Roman"/>
                <w:i w:val="0"/>
                <w:iCs w:val="0"/>
                <w:color w:val="auto"/>
                <w:kern w:val="0"/>
                <w:sz w:val="21"/>
                <w:szCs w:val="21"/>
                <w:highlight w:val="none"/>
                <w:u w:val="none"/>
                <w:lang w:val="en-US" w:eastAsia="zh-CN"/>
              </w:rPr>
              <w:t xml:space="preserve">0.015 </w:t>
            </w:r>
          </w:p>
        </w:tc>
      </w:tr>
      <w:tr w14:paraId="6652BC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2FFDB1F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2203" w:type="dxa"/>
            <w:shd w:val="clear" w:color="auto" w:fill="auto"/>
            <w:vAlign w:val="center"/>
          </w:tcPr>
          <w:p w14:paraId="183EFE1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动植物油（t/a)</w:t>
            </w:r>
          </w:p>
        </w:tc>
        <w:tc>
          <w:tcPr>
            <w:tcW w:w="1386" w:type="dxa"/>
            <w:vAlign w:val="center"/>
          </w:tcPr>
          <w:p w14:paraId="2702B85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562" w:type="dxa"/>
            <w:vAlign w:val="center"/>
          </w:tcPr>
          <w:p w14:paraId="39C979D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479" w:type="dxa"/>
            <w:vAlign w:val="center"/>
          </w:tcPr>
          <w:p w14:paraId="0EC25B3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651" w:type="dxa"/>
            <w:vAlign w:val="center"/>
          </w:tcPr>
          <w:p w14:paraId="2140AD4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 xml:space="preserve">0.068 </w:t>
            </w:r>
          </w:p>
        </w:tc>
        <w:tc>
          <w:tcPr>
            <w:tcW w:w="1564" w:type="dxa"/>
            <w:vAlign w:val="center"/>
          </w:tcPr>
          <w:p w14:paraId="56BC9B5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720" w:type="dxa"/>
            <w:vAlign w:val="center"/>
          </w:tcPr>
          <w:p w14:paraId="4FBE9CB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 xml:space="preserve">0.068 </w:t>
            </w:r>
          </w:p>
        </w:tc>
        <w:tc>
          <w:tcPr>
            <w:tcW w:w="1407" w:type="dxa"/>
            <w:shd w:val="clear" w:color="auto" w:fill="auto"/>
            <w:vAlign w:val="center"/>
          </w:tcPr>
          <w:p w14:paraId="616793B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kern w:val="0"/>
                <w:sz w:val="21"/>
                <w:szCs w:val="21"/>
                <w:highlight w:val="none"/>
                <w:u w:val="none"/>
                <w:lang w:val="en-US" w:eastAsia="zh-CN"/>
              </w:rPr>
              <w:t>+</w:t>
            </w:r>
            <w:r>
              <w:rPr>
                <w:rFonts w:hint="default" w:ascii="Times New Roman" w:hAnsi="Times New Roman" w:eastAsia="宋体" w:cs="Times New Roman"/>
                <w:i w:val="0"/>
                <w:iCs w:val="0"/>
                <w:color w:val="auto"/>
                <w:kern w:val="0"/>
                <w:sz w:val="21"/>
                <w:szCs w:val="21"/>
                <w:highlight w:val="none"/>
                <w:u w:val="none"/>
                <w:lang w:val="en-US" w:eastAsia="zh-CN"/>
              </w:rPr>
              <w:t xml:space="preserve">0.068 </w:t>
            </w:r>
          </w:p>
        </w:tc>
      </w:tr>
      <w:tr w14:paraId="20235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14D4C12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2203" w:type="dxa"/>
            <w:vAlign w:val="center"/>
          </w:tcPr>
          <w:p w14:paraId="25C15C6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石油类</w:t>
            </w:r>
          </w:p>
        </w:tc>
        <w:tc>
          <w:tcPr>
            <w:tcW w:w="1386" w:type="dxa"/>
            <w:shd w:val="clear" w:color="auto" w:fill="auto"/>
            <w:vAlign w:val="center"/>
          </w:tcPr>
          <w:p w14:paraId="19EC53F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562" w:type="dxa"/>
            <w:shd w:val="clear" w:color="auto" w:fill="auto"/>
            <w:vAlign w:val="center"/>
          </w:tcPr>
          <w:p w14:paraId="097B1C4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479" w:type="dxa"/>
            <w:shd w:val="clear" w:color="auto" w:fill="auto"/>
            <w:vAlign w:val="center"/>
          </w:tcPr>
          <w:p w14:paraId="45448B5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651" w:type="dxa"/>
            <w:vAlign w:val="center"/>
          </w:tcPr>
          <w:p w14:paraId="7A25AC4E">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0.00</w:t>
            </w:r>
            <w:r>
              <w:rPr>
                <w:rFonts w:hint="eastAsia" w:cs="Times New Roman"/>
                <w:i w:val="0"/>
                <w:iCs w:val="0"/>
                <w:color w:val="auto"/>
                <w:kern w:val="0"/>
                <w:sz w:val="21"/>
                <w:szCs w:val="21"/>
                <w:highlight w:val="none"/>
                <w:u w:val="none"/>
                <w:lang w:val="en-US" w:eastAsia="zh-CN"/>
              </w:rPr>
              <w:t>3</w:t>
            </w:r>
            <w:r>
              <w:rPr>
                <w:rFonts w:hint="default" w:ascii="Times New Roman" w:hAnsi="Times New Roman" w:eastAsia="宋体" w:cs="Times New Roman"/>
                <w:i w:val="0"/>
                <w:iCs w:val="0"/>
                <w:color w:val="auto"/>
                <w:kern w:val="0"/>
                <w:sz w:val="21"/>
                <w:szCs w:val="21"/>
                <w:highlight w:val="none"/>
                <w:u w:val="none"/>
                <w:lang w:val="en-US" w:eastAsia="zh-CN"/>
              </w:rPr>
              <w:t xml:space="preserve"> </w:t>
            </w:r>
          </w:p>
        </w:tc>
        <w:tc>
          <w:tcPr>
            <w:tcW w:w="1564" w:type="dxa"/>
            <w:vAlign w:val="center"/>
          </w:tcPr>
          <w:p w14:paraId="650F8FA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0</w:t>
            </w:r>
          </w:p>
        </w:tc>
        <w:tc>
          <w:tcPr>
            <w:tcW w:w="1720" w:type="dxa"/>
            <w:vAlign w:val="center"/>
          </w:tcPr>
          <w:p w14:paraId="33E540DF">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0.00</w:t>
            </w:r>
            <w:r>
              <w:rPr>
                <w:rFonts w:hint="eastAsia" w:cs="Times New Roman"/>
                <w:i w:val="0"/>
                <w:iCs w:val="0"/>
                <w:color w:val="auto"/>
                <w:kern w:val="0"/>
                <w:sz w:val="21"/>
                <w:szCs w:val="21"/>
                <w:highlight w:val="none"/>
                <w:u w:val="none"/>
                <w:lang w:val="en-US" w:eastAsia="zh-CN"/>
              </w:rPr>
              <w:t>3</w:t>
            </w:r>
            <w:r>
              <w:rPr>
                <w:rFonts w:hint="default" w:ascii="Times New Roman" w:hAnsi="Times New Roman" w:eastAsia="宋体" w:cs="Times New Roman"/>
                <w:i w:val="0"/>
                <w:iCs w:val="0"/>
                <w:color w:val="auto"/>
                <w:kern w:val="0"/>
                <w:sz w:val="21"/>
                <w:szCs w:val="21"/>
                <w:highlight w:val="none"/>
                <w:u w:val="none"/>
                <w:lang w:val="en-US" w:eastAsia="zh-CN"/>
              </w:rPr>
              <w:t xml:space="preserve"> </w:t>
            </w:r>
          </w:p>
        </w:tc>
        <w:tc>
          <w:tcPr>
            <w:tcW w:w="1407" w:type="dxa"/>
            <w:shd w:val="clear" w:color="auto" w:fill="auto"/>
            <w:vAlign w:val="center"/>
          </w:tcPr>
          <w:p w14:paraId="46025F8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kern w:val="0"/>
                <w:sz w:val="21"/>
                <w:szCs w:val="21"/>
                <w:highlight w:val="none"/>
                <w:u w:val="none"/>
                <w:lang w:val="en-US" w:eastAsia="zh-CN"/>
              </w:rPr>
              <w:t>+</w:t>
            </w:r>
            <w:r>
              <w:rPr>
                <w:rFonts w:hint="default" w:ascii="Times New Roman" w:hAnsi="Times New Roman" w:eastAsia="宋体" w:cs="Times New Roman"/>
                <w:i w:val="0"/>
                <w:iCs w:val="0"/>
                <w:color w:val="auto"/>
                <w:kern w:val="0"/>
                <w:sz w:val="21"/>
                <w:szCs w:val="21"/>
                <w:highlight w:val="none"/>
                <w:u w:val="none"/>
                <w:lang w:val="en-US" w:eastAsia="zh-CN"/>
              </w:rPr>
              <w:t>0.00</w:t>
            </w:r>
            <w:r>
              <w:rPr>
                <w:rFonts w:hint="eastAsia" w:cs="Times New Roman"/>
                <w:i w:val="0"/>
                <w:iCs w:val="0"/>
                <w:color w:val="auto"/>
                <w:kern w:val="0"/>
                <w:sz w:val="21"/>
                <w:szCs w:val="21"/>
                <w:highlight w:val="none"/>
                <w:u w:val="none"/>
                <w:lang w:val="en-US" w:eastAsia="zh-CN"/>
              </w:rPr>
              <w:t>3</w:t>
            </w:r>
            <w:r>
              <w:rPr>
                <w:rFonts w:hint="default" w:ascii="Times New Roman" w:hAnsi="Times New Roman" w:eastAsia="宋体" w:cs="Times New Roman"/>
                <w:i w:val="0"/>
                <w:iCs w:val="0"/>
                <w:color w:val="auto"/>
                <w:kern w:val="0"/>
                <w:sz w:val="21"/>
                <w:szCs w:val="21"/>
                <w:highlight w:val="none"/>
                <w:u w:val="none"/>
                <w:lang w:val="en-US" w:eastAsia="zh-CN"/>
              </w:rPr>
              <w:t xml:space="preserve"> </w:t>
            </w:r>
          </w:p>
        </w:tc>
      </w:tr>
      <w:tr w14:paraId="79A81C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76F2528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2203" w:type="dxa"/>
            <w:vAlign w:val="center"/>
          </w:tcPr>
          <w:p w14:paraId="41D2D434">
            <w:pPr>
              <w:keepNext w:val="0"/>
              <w:keepLines w:val="0"/>
              <w:widowControl/>
              <w:suppressLineNumbers w:val="0"/>
              <w:spacing w:before="0" w:beforeAutospacing="0" w:after="0" w:afterAutospacing="0"/>
              <w:ind w:left="0" w:right="0"/>
              <w:jc w:val="center"/>
              <w:textAlignment w:val="center"/>
              <w:rPr>
                <w:rFonts w:hint="default"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rPr>
              <w:t>SS（t/a）</w:t>
            </w:r>
          </w:p>
        </w:tc>
        <w:tc>
          <w:tcPr>
            <w:tcW w:w="1386" w:type="dxa"/>
            <w:shd w:val="clear" w:color="auto" w:fill="auto"/>
            <w:vAlign w:val="center"/>
          </w:tcPr>
          <w:p w14:paraId="36EA535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0</w:t>
            </w:r>
          </w:p>
        </w:tc>
        <w:tc>
          <w:tcPr>
            <w:tcW w:w="1562" w:type="dxa"/>
            <w:shd w:val="clear" w:color="auto" w:fill="auto"/>
            <w:vAlign w:val="center"/>
          </w:tcPr>
          <w:p w14:paraId="75C874C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0</w:t>
            </w:r>
          </w:p>
        </w:tc>
        <w:tc>
          <w:tcPr>
            <w:tcW w:w="1479" w:type="dxa"/>
            <w:shd w:val="clear" w:color="auto" w:fill="auto"/>
            <w:vAlign w:val="center"/>
          </w:tcPr>
          <w:p w14:paraId="12B1757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0</w:t>
            </w:r>
          </w:p>
        </w:tc>
        <w:tc>
          <w:tcPr>
            <w:tcW w:w="1651" w:type="dxa"/>
            <w:vAlign w:val="center"/>
          </w:tcPr>
          <w:p w14:paraId="2185414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 xml:space="preserve">0.359 </w:t>
            </w:r>
          </w:p>
        </w:tc>
        <w:tc>
          <w:tcPr>
            <w:tcW w:w="1564" w:type="dxa"/>
            <w:vAlign w:val="center"/>
          </w:tcPr>
          <w:p w14:paraId="7495C14F">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0</w:t>
            </w:r>
          </w:p>
        </w:tc>
        <w:tc>
          <w:tcPr>
            <w:tcW w:w="1720" w:type="dxa"/>
            <w:vAlign w:val="center"/>
          </w:tcPr>
          <w:p w14:paraId="63EBB82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 xml:space="preserve">0.359 </w:t>
            </w:r>
          </w:p>
        </w:tc>
        <w:tc>
          <w:tcPr>
            <w:tcW w:w="1407" w:type="dxa"/>
            <w:shd w:val="clear" w:color="auto" w:fill="auto"/>
            <w:vAlign w:val="center"/>
          </w:tcPr>
          <w:p w14:paraId="4DD0CA53">
            <w:pPr>
              <w:keepNext w:val="0"/>
              <w:keepLines w:val="0"/>
              <w:widowControl/>
              <w:suppressLineNumbers w:val="0"/>
              <w:spacing w:before="0" w:beforeAutospacing="0" w:after="0" w:afterAutospacing="0"/>
              <w:ind w:left="0" w:right="0"/>
              <w:jc w:val="center"/>
              <w:textAlignment w:val="center"/>
              <w:rPr>
                <w:rFonts w:hint="eastAsia" w:cs="Times New Roman"/>
                <w:i w:val="0"/>
                <w:iCs w:val="0"/>
                <w:color w:val="auto"/>
                <w:kern w:val="0"/>
                <w:sz w:val="21"/>
                <w:szCs w:val="21"/>
                <w:highlight w:val="none"/>
                <w:u w:val="none"/>
                <w:lang w:val="en-US" w:eastAsia="zh-CN"/>
              </w:rPr>
            </w:pPr>
            <w:r>
              <w:rPr>
                <w:rFonts w:hint="eastAsia" w:ascii="Times New Roman" w:hAnsi="Times New Roman" w:eastAsia="宋体" w:cs="Times New Roman"/>
                <w:i w:val="0"/>
                <w:iCs w:val="0"/>
                <w:color w:val="auto"/>
                <w:kern w:val="0"/>
                <w:sz w:val="21"/>
                <w:szCs w:val="21"/>
                <w:highlight w:val="none"/>
                <w:u w:val="none"/>
                <w:lang w:val="en-US" w:eastAsia="zh-CN"/>
              </w:rPr>
              <w:t>+</w:t>
            </w:r>
            <w:r>
              <w:rPr>
                <w:rFonts w:hint="default" w:ascii="Times New Roman" w:hAnsi="Times New Roman" w:eastAsia="宋体" w:cs="Times New Roman"/>
                <w:i w:val="0"/>
                <w:iCs w:val="0"/>
                <w:color w:val="auto"/>
                <w:kern w:val="0"/>
                <w:sz w:val="21"/>
                <w:szCs w:val="21"/>
                <w:highlight w:val="none"/>
                <w:u w:val="none"/>
                <w:lang w:val="en-US" w:eastAsia="zh-CN"/>
              </w:rPr>
              <w:t xml:space="preserve">0.359 </w:t>
            </w:r>
          </w:p>
        </w:tc>
      </w:tr>
      <w:tr w14:paraId="58D046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restart"/>
            <w:vAlign w:val="center"/>
          </w:tcPr>
          <w:p w14:paraId="40105E0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废气</w:t>
            </w:r>
          </w:p>
        </w:tc>
        <w:tc>
          <w:tcPr>
            <w:tcW w:w="2203" w:type="dxa"/>
            <w:vAlign w:val="center"/>
          </w:tcPr>
          <w:p w14:paraId="5272214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废气量（万m</w:t>
            </w:r>
            <w:r>
              <w:rPr>
                <w:rFonts w:hint="default" w:ascii="Times New Roman" w:hAnsi="Times New Roman" w:cs="Times New Roman"/>
                <w:color w:val="auto"/>
                <w:kern w:val="0"/>
                <w:sz w:val="21"/>
                <w:szCs w:val="21"/>
                <w:highlight w:val="none"/>
                <w:vertAlign w:val="superscript"/>
              </w:rPr>
              <w:t>3</w:t>
            </w:r>
            <w:r>
              <w:rPr>
                <w:rFonts w:hint="default" w:ascii="Times New Roman" w:hAnsi="Times New Roman" w:cs="Times New Roman"/>
                <w:color w:val="auto"/>
                <w:kern w:val="0"/>
                <w:sz w:val="21"/>
                <w:szCs w:val="21"/>
                <w:highlight w:val="none"/>
              </w:rPr>
              <w:t>/a）</w:t>
            </w:r>
          </w:p>
        </w:tc>
        <w:tc>
          <w:tcPr>
            <w:tcW w:w="1386" w:type="dxa"/>
            <w:vAlign w:val="center"/>
          </w:tcPr>
          <w:p w14:paraId="791FDA30">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562" w:type="dxa"/>
            <w:vAlign w:val="center"/>
          </w:tcPr>
          <w:p w14:paraId="739EDE9F">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479" w:type="dxa"/>
            <w:vAlign w:val="center"/>
          </w:tcPr>
          <w:p w14:paraId="50E947ED">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651" w:type="dxa"/>
            <w:vAlign w:val="center"/>
          </w:tcPr>
          <w:p w14:paraId="1B604878">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lang w:val="en-US"/>
              </w:rPr>
            </w:pPr>
            <w:r>
              <w:rPr>
                <w:rFonts w:hint="eastAsia" w:cs="Times New Roman"/>
                <w:i w:val="0"/>
                <w:iCs w:val="0"/>
                <w:color w:val="auto"/>
                <w:kern w:val="0"/>
                <w:sz w:val="21"/>
                <w:szCs w:val="21"/>
                <w:highlight w:val="none"/>
                <w:u w:val="none"/>
                <w:lang w:val="en-US" w:eastAsia="zh-CN"/>
              </w:rPr>
              <w:t>6336</w:t>
            </w:r>
          </w:p>
        </w:tc>
        <w:tc>
          <w:tcPr>
            <w:tcW w:w="1564" w:type="dxa"/>
            <w:vAlign w:val="center"/>
          </w:tcPr>
          <w:p w14:paraId="3345C6B6">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720" w:type="dxa"/>
            <w:vAlign w:val="center"/>
          </w:tcPr>
          <w:p w14:paraId="5C4CD65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kern w:val="2"/>
                <w:sz w:val="21"/>
                <w:szCs w:val="21"/>
                <w:highlight w:val="none"/>
                <w:lang w:val="en-US"/>
              </w:rPr>
            </w:pPr>
            <w:r>
              <w:rPr>
                <w:rFonts w:hint="eastAsia" w:cs="Times New Roman"/>
                <w:i w:val="0"/>
                <w:iCs w:val="0"/>
                <w:color w:val="auto"/>
                <w:kern w:val="0"/>
                <w:sz w:val="21"/>
                <w:szCs w:val="21"/>
                <w:highlight w:val="none"/>
                <w:u w:val="none"/>
                <w:lang w:val="en-US" w:eastAsia="zh-CN"/>
              </w:rPr>
              <w:t>6336</w:t>
            </w:r>
          </w:p>
        </w:tc>
        <w:tc>
          <w:tcPr>
            <w:tcW w:w="1407" w:type="dxa"/>
            <w:shd w:val="clear" w:color="auto" w:fill="auto"/>
            <w:vAlign w:val="center"/>
          </w:tcPr>
          <w:p w14:paraId="1B7B8CF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i w:val="0"/>
                <w:iCs w:val="0"/>
                <w:color w:val="auto"/>
                <w:kern w:val="0"/>
                <w:sz w:val="21"/>
                <w:szCs w:val="21"/>
                <w:highlight w:val="none"/>
                <w:u w:val="none"/>
                <w:lang w:val="en-US" w:eastAsia="zh-CN"/>
              </w:rPr>
              <w:t>+</w:t>
            </w:r>
            <w:r>
              <w:rPr>
                <w:rFonts w:hint="eastAsia" w:cs="Times New Roman"/>
                <w:i w:val="0"/>
                <w:iCs w:val="0"/>
                <w:color w:val="auto"/>
                <w:kern w:val="0"/>
                <w:sz w:val="21"/>
                <w:szCs w:val="21"/>
                <w:highlight w:val="none"/>
                <w:u w:val="none"/>
                <w:lang w:val="en-US" w:eastAsia="zh-CN"/>
              </w:rPr>
              <w:t>6336</w:t>
            </w:r>
          </w:p>
        </w:tc>
      </w:tr>
      <w:tr w14:paraId="1E306A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3351862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2203" w:type="dxa"/>
            <w:vAlign w:val="center"/>
          </w:tcPr>
          <w:p w14:paraId="2CF6881F">
            <w:pPr>
              <w:keepNext w:val="0"/>
              <w:keepLines w:val="0"/>
              <w:widowControl/>
              <w:suppressLineNumbers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bookmarkStart w:id="217" w:name="OLE_LINK58" w:colFirst="1" w:colLast="4"/>
            <w:r>
              <w:rPr>
                <w:rFonts w:hint="default" w:ascii="Times New Roman" w:hAnsi="Times New Roman" w:cs="Times New Roman"/>
                <w:color w:val="auto"/>
                <w:sz w:val="21"/>
                <w:szCs w:val="21"/>
                <w:highlight w:val="none"/>
              </w:rPr>
              <w:t>颗粒物（t/a）</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有组织</w:t>
            </w:r>
            <w:r>
              <w:rPr>
                <w:rFonts w:hint="default" w:ascii="Times New Roman" w:hAnsi="Times New Roman" w:cs="Times New Roman"/>
                <w:color w:val="auto"/>
                <w:sz w:val="21"/>
                <w:szCs w:val="21"/>
                <w:highlight w:val="none"/>
                <w:lang w:eastAsia="zh-CN"/>
              </w:rPr>
              <w:t>）</w:t>
            </w:r>
          </w:p>
        </w:tc>
        <w:tc>
          <w:tcPr>
            <w:tcW w:w="1386" w:type="dxa"/>
            <w:vAlign w:val="center"/>
          </w:tcPr>
          <w:p w14:paraId="4666AC8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562" w:type="dxa"/>
            <w:vAlign w:val="center"/>
          </w:tcPr>
          <w:p w14:paraId="1929BC0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479" w:type="dxa"/>
            <w:vAlign w:val="center"/>
          </w:tcPr>
          <w:p w14:paraId="540A522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w:t>
            </w:r>
          </w:p>
          <w:bookmarkEnd w:id="217"/>
        </w:tc>
        <w:tc>
          <w:tcPr>
            <w:tcW w:w="1651" w:type="dxa"/>
            <w:vAlign w:val="center"/>
          </w:tcPr>
          <w:p w14:paraId="25AC810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i w:val="0"/>
                <w:iCs w:val="0"/>
                <w:color w:val="auto"/>
                <w:kern w:val="0"/>
                <w:sz w:val="21"/>
                <w:szCs w:val="21"/>
                <w:highlight w:val="none"/>
                <w:u w:val="none"/>
                <w:lang w:val="en-US" w:eastAsia="zh-CN"/>
              </w:rPr>
              <w:t>0.0</w:t>
            </w:r>
            <w:r>
              <w:rPr>
                <w:rFonts w:hint="default" w:cs="Times New Roman"/>
                <w:i w:val="0"/>
                <w:iCs w:val="0"/>
                <w:color w:val="auto"/>
                <w:kern w:val="0"/>
                <w:sz w:val="21"/>
                <w:szCs w:val="21"/>
                <w:highlight w:val="none"/>
                <w:u w:val="none"/>
                <w:lang w:val="en-US" w:eastAsia="zh-CN"/>
              </w:rPr>
              <w:t>58</w:t>
            </w:r>
          </w:p>
        </w:tc>
        <w:tc>
          <w:tcPr>
            <w:tcW w:w="1564" w:type="dxa"/>
            <w:vAlign w:val="center"/>
          </w:tcPr>
          <w:p w14:paraId="3DA0E88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720" w:type="dxa"/>
            <w:vAlign w:val="center"/>
          </w:tcPr>
          <w:p w14:paraId="391FDAF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i w:val="0"/>
                <w:iCs w:val="0"/>
                <w:color w:val="auto"/>
                <w:kern w:val="0"/>
                <w:sz w:val="21"/>
                <w:szCs w:val="21"/>
                <w:highlight w:val="none"/>
                <w:u w:val="none"/>
                <w:lang w:val="en-US" w:eastAsia="zh-CN"/>
              </w:rPr>
              <w:t>0.0</w:t>
            </w:r>
            <w:r>
              <w:rPr>
                <w:rFonts w:hint="default" w:cs="Times New Roman"/>
                <w:i w:val="0"/>
                <w:iCs w:val="0"/>
                <w:color w:val="auto"/>
                <w:kern w:val="0"/>
                <w:sz w:val="21"/>
                <w:szCs w:val="21"/>
                <w:highlight w:val="none"/>
                <w:u w:val="none"/>
                <w:lang w:val="en-US" w:eastAsia="zh-CN"/>
              </w:rPr>
              <w:t>58</w:t>
            </w:r>
          </w:p>
        </w:tc>
        <w:tc>
          <w:tcPr>
            <w:tcW w:w="1407" w:type="dxa"/>
            <w:vAlign w:val="center"/>
          </w:tcPr>
          <w:p w14:paraId="3D46B2B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i w:val="0"/>
                <w:iCs w:val="0"/>
                <w:color w:val="auto"/>
                <w:kern w:val="0"/>
                <w:sz w:val="21"/>
                <w:szCs w:val="21"/>
                <w:highlight w:val="none"/>
                <w:u w:val="none"/>
                <w:lang w:val="en-US" w:eastAsia="zh-CN"/>
              </w:rPr>
              <w:t>+0.0</w:t>
            </w:r>
            <w:r>
              <w:rPr>
                <w:rFonts w:hint="default" w:cs="Times New Roman"/>
                <w:i w:val="0"/>
                <w:iCs w:val="0"/>
                <w:color w:val="auto"/>
                <w:kern w:val="0"/>
                <w:sz w:val="21"/>
                <w:szCs w:val="21"/>
                <w:highlight w:val="none"/>
                <w:u w:val="none"/>
                <w:lang w:val="en-US" w:eastAsia="zh-CN"/>
              </w:rPr>
              <w:t>58</w:t>
            </w:r>
          </w:p>
        </w:tc>
      </w:tr>
      <w:tr w14:paraId="464A7F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6F7CFE7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2203" w:type="dxa"/>
            <w:vAlign w:val="center"/>
          </w:tcPr>
          <w:p w14:paraId="4CD8CABD">
            <w:pPr>
              <w:keepNext w:val="0"/>
              <w:keepLines w:val="0"/>
              <w:widowControl/>
              <w:suppressLineNumbers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颗粒物（t/a）</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无组织</w:t>
            </w:r>
            <w:r>
              <w:rPr>
                <w:rFonts w:hint="default" w:ascii="Times New Roman" w:hAnsi="Times New Roman" w:cs="Times New Roman"/>
                <w:color w:val="auto"/>
                <w:sz w:val="21"/>
                <w:szCs w:val="21"/>
                <w:highlight w:val="none"/>
                <w:lang w:eastAsia="zh-CN"/>
              </w:rPr>
              <w:t>）</w:t>
            </w:r>
          </w:p>
        </w:tc>
        <w:tc>
          <w:tcPr>
            <w:tcW w:w="1386" w:type="dxa"/>
            <w:vAlign w:val="center"/>
          </w:tcPr>
          <w:p w14:paraId="57CC5AC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562" w:type="dxa"/>
            <w:vAlign w:val="center"/>
          </w:tcPr>
          <w:p w14:paraId="5858D5E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479" w:type="dxa"/>
            <w:vAlign w:val="center"/>
          </w:tcPr>
          <w:p w14:paraId="4EB4ED9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651" w:type="dxa"/>
            <w:vAlign w:val="center"/>
          </w:tcPr>
          <w:p w14:paraId="37B3B23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1.731</w:t>
            </w:r>
          </w:p>
        </w:tc>
        <w:tc>
          <w:tcPr>
            <w:tcW w:w="1564" w:type="dxa"/>
            <w:vAlign w:val="center"/>
          </w:tcPr>
          <w:p w14:paraId="7FFF5FB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0</w:t>
            </w:r>
          </w:p>
        </w:tc>
        <w:tc>
          <w:tcPr>
            <w:tcW w:w="1720" w:type="dxa"/>
            <w:vAlign w:val="center"/>
          </w:tcPr>
          <w:p w14:paraId="5CC4679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kern w:val="2"/>
                <w:sz w:val="21"/>
                <w:szCs w:val="21"/>
                <w:highlight w:val="none"/>
                <w:lang w:val="en-US"/>
              </w:rPr>
            </w:pPr>
            <w:r>
              <w:rPr>
                <w:rFonts w:hint="eastAsia" w:cs="Times New Roman"/>
                <w:color w:val="auto"/>
                <w:kern w:val="2"/>
                <w:sz w:val="21"/>
                <w:szCs w:val="21"/>
                <w:highlight w:val="none"/>
                <w:lang w:val="en-US" w:eastAsia="zh-CN"/>
              </w:rPr>
              <w:t>1.731</w:t>
            </w:r>
          </w:p>
        </w:tc>
        <w:tc>
          <w:tcPr>
            <w:tcW w:w="1407" w:type="dxa"/>
            <w:vAlign w:val="center"/>
          </w:tcPr>
          <w:p w14:paraId="45F5DAC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+1.731</w:t>
            </w:r>
          </w:p>
        </w:tc>
      </w:tr>
      <w:tr w14:paraId="2279BF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restart"/>
            <w:vAlign w:val="center"/>
          </w:tcPr>
          <w:p w14:paraId="0C1B4F0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一般工业固体废物（t/a）</w:t>
            </w:r>
          </w:p>
        </w:tc>
        <w:tc>
          <w:tcPr>
            <w:tcW w:w="2203" w:type="dxa"/>
            <w:vAlign w:val="center"/>
          </w:tcPr>
          <w:p w14:paraId="67C00130">
            <w:pPr>
              <w:pStyle w:val="60"/>
              <w:keepNext w:val="0"/>
              <w:keepLines w:val="0"/>
              <w:widowControl/>
              <w:suppressLineNumbers w:val="0"/>
              <w:snapToGrid w:val="0"/>
              <w:spacing w:before="0" w:beforeAutospacing="0" w:after="0" w:afterAutospacing="0"/>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eastAsia" w:cs="Times New Roman"/>
                <w:color w:val="auto"/>
                <w:kern w:val="2"/>
                <w:sz w:val="21"/>
                <w:szCs w:val="21"/>
                <w:highlight w:val="none"/>
                <w:lang w:val="en-US" w:eastAsia="zh-CN"/>
              </w:rPr>
              <w:t>废木屑杂物</w:t>
            </w:r>
          </w:p>
        </w:tc>
        <w:tc>
          <w:tcPr>
            <w:tcW w:w="1386" w:type="dxa"/>
            <w:vAlign w:val="center"/>
          </w:tcPr>
          <w:p w14:paraId="0BFFA24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562" w:type="dxa"/>
            <w:vAlign w:val="center"/>
          </w:tcPr>
          <w:p w14:paraId="632CE1F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479" w:type="dxa"/>
            <w:vAlign w:val="center"/>
          </w:tcPr>
          <w:p w14:paraId="4E6ECC8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651" w:type="dxa"/>
            <w:vAlign w:val="center"/>
          </w:tcPr>
          <w:p w14:paraId="1CAE57A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position w:val="-10"/>
                <w:sz w:val="21"/>
                <w:szCs w:val="21"/>
                <w:highlight w:val="none"/>
                <w:lang w:val="en-US" w:eastAsia="zh-CN" w:bidi="ar-SA"/>
              </w:rPr>
            </w:pPr>
            <w:r>
              <w:rPr>
                <w:rFonts w:hint="eastAsia" w:cs="Times New Roman"/>
                <w:i w:val="0"/>
                <w:iCs w:val="0"/>
                <w:color w:val="auto"/>
                <w:kern w:val="0"/>
                <w:sz w:val="21"/>
                <w:szCs w:val="21"/>
                <w:highlight w:val="none"/>
                <w:u w:val="none"/>
                <w:lang w:val="en-US" w:eastAsia="zh-CN"/>
              </w:rPr>
              <w:t>0.71</w:t>
            </w:r>
          </w:p>
        </w:tc>
        <w:tc>
          <w:tcPr>
            <w:tcW w:w="1564" w:type="dxa"/>
            <w:vAlign w:val="center"/>
          </w:tcPr>
          <w:p w14:paraId="7ECC867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720" w:type="dxa"/>
            <w:vAlign w:val="center"/>
          </w:tcPr>
          <w:p w14:paraId="457BD73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position w:val="-10"/>
                <w:sz w:val="21"/>
                <w:szCs w:val="21"/>
                <w:highlight w:val="none"/>
                <w:lang w:val="en-US" w:eastAsia="zh-CN" w:bidi="ar-SA"/>
              </w:rPr>
            </w:pPr>
            <w:r>
              <w:rPr>
                <w:rFonts w:hint="eastAsia" w:cs="Times New Roman"/>
                <w:i w:val="0"/>
                <w:iCs w:val="0"/>
                <w:color w:val="auto"/>
                <w:kern w:val="0"/>
                <w:sz w:val="21"/>
                <w:szCs w:val="21"/>
                <w:highlight w:val="none"/>
                <w:u w:val="none"/>
                <w:lang w:val="en-US" w:eastAsia="zh-CN"/>
              </w:rPr>
              <w:t>0.71</w:t>
            </w:r>
          </w:p>
        </w:tc>
        <w:tc>
          <w:tcPr>
            <w:tcW w:w="1407" w:type="dxa"/>
            <w:vAlign w:val="center"/>
          </w:tcPr>
          <w:p w14:paraId="10429BF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position w:val="-10"/>
                <w:sz w:val="21"/>
                <w:szCs w:val="21"/>
                <w:highlight w:val="none"/>
                <w:lang w:val="en-US" w:eastAsia="zh-CN" w:bidi="ar-SA"/>
              </w:rPr>
            </w:pPr>
            <w:r>
              <w:rPr>
                <w:rFonts w:hint="eastAsia" w:ascii="Times New Roman" w:hAnsi="Times New Roman" w:cs="Times New Roman"/>
                <w:color w:val="auto"/>
                <w:kern w:val="2"/>
                <w:position w:val="-10"/>
                <w:sz w:val="21"/>
                <w:szCs w:val="21"/>
                <w:highlight w:val="none"/>
                <w:lang w:val="en-US" w:eastAsia="zh-CN" w:bidi="ar-SA"/>
              </w:rPr>
              <w:t>+</w:t>
            </w:r>
            <w:r>
              <w:rPr>
                <w:rFonts w:hint="eastAsia" w:cs="Times New Roman"/>
                <w:color w:val="auto"/>
                <w:kern w:val="2"/>
                <w:position w:val="-10"/>
                <w:sz w:val="21"/>
                <w:szCs w:val="21"/>
                <w:highlight w:val="none"/>
                <w:lang w:val="en-US" w:eastAsia="zh-CN" w:bidi="ar-SA"/>
              </w:rPr>
              <w:t>0.71</w:t>
            </w:r>
          </w:p>
        </w:tc>
      </w:tr>
      <w:tr w14:paraId="089660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686B1B2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2203" w:type="dxa"/>
            <w:vAlign w:val="center"/>
          </w:tcPr>
          <w:p w14:paraId="4972F733">
            <w:pPr>
              <w:pStyle w:val="60"/>
              <w:keepNext w:val="0"/>
              <w:keepLines w:val="0"/>
              <w:widowControl/>
              <w:suppressLineNumbers w:val="0"/>
              <w:snapToGrid w:val="0"/>
              <w:spacing w:before="0" w:beforeAutospacing="0" w:after="0" w:afterAutospacing="0"/>
              <w:ind w:left="0" w:right="0"/>
              <w:rPr>
                <w:rFonts w:hint="eastAsia" w:ascii="Times New Roman" w:hAnsi="Times New Roman" w:eastAsia="宋体" w:cs="Times New Roman"/>
                <w:b/>
                <w:bCs/>
                <w:color w:val="auto"/>
                <w:kern w:val="2"/>
                <w:sz w:val="21"/>
                <w:szCs w:val="21"/>
                <w:highlight w:val="none"/>
                <w:lang w:val="en-US" w:eastAsia="zh-CN"/>
              </w:rPr>
            </w:pPr>
            <w:r>
              <w:rPr>
                <w:rFonts w:hint="default" w:ascii="Times New Roman" w:hAnsi="Times New Roman" w:cs="Times New Roman"/>
                <w:color w:val="auto"/>
                <w:kern w:val="2"/>
                <w:sz w:val="21"/>
                <w:szCs w:val="21"/>
                <w:highlight w:val="none"/>
              </w:rPr>
              <w:t>废</w:t>
            </w:r>
            <w:r>
              <w:rPr>
                <w:rFonts w:hint="eastAsia" w:cs="Times New Roman"/>
                <w:color w:val="auto"/>
                <w:kern w:val="2"/>
                <w:sz w:val="21"/>
                <w:szCs w:val="21"/>
                <w:highlight w:val="none"/>
                <w:lang w:val="en-US" w:eastAsia="zh-CN"/>
              </w:rPr>
              <w:t>橡胶</w:t>
            </w:r>
          </w:p>
        </w:tc>
        <w:tc>
          <w:tcPr>
            <w:tcW w:w="1386" w:type="dxa"/>
            <w:vAlign w:val="center"/>
          </w:tcPr>
          <w:p w14:paraId="62269DD3">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562" w:type="dxa"/>
            <w:vAlign w:val="center"/>
          </w:tcPr>
          <w:p w14:paraId="4282A146">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479" w:type="dxa"/>
            <w:vAlign w:val="center"/>
          </w:tcPr>
          <w:p w14:paraId="638F86A7">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651" w:type="dxa"/>
            <w:vAlign w:val="center"/>
          </w:tcPr>
          <w:p w14:paraId="7DD28A03">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lang w:val="en-US"/>
              </w:rPr>
            </w:pPr>
            <w:r>
              <w:rPr>
                <w:rFonts w:hint="eastAsia" w:cs="Times New Roman"/>
                <w:i w:val="0"/>
                <w:iCs w:val="0"/>
                <w:color w:val="auto"/>
                <w:kern w:val="0"/>
                <w:sz w:val="21"/>
                <w:szCs w:val="21"/>
                <w:highlight w:val="none"/>
                <w:u w:val="none"/>
                <w:lang w:val="en-US" w:eastAsia="zh-CN"/>
              </w:rPr>
              <w:t>249.38</w:t>
            </w:r>
          </w:p>
        </w:tc>
        <w:tc>
          <w:tcPr>
            <w:tcW w:w="1564" w:type="dxa"/>
            <w:vAlign w:val="center"/>
          </w:tcPr>
          <w:p w14:paraId="701C8237">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720" w:type="dxa"/>
            <w:vAlign w:val="center"/>
          </w:tcPr>
          <w:p w14:paraId="1811D98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kern w:val="2"/>
                <w:sz w:val="21"/>
                <w:szCs w:val="21"/>
                <w:highlight w:val="none"/>
              </w:rPr>
            </w:pPr>
            <w:r>
              <w:rPr>
                <w:rFonts w:hint="eastAsia" w:cs="Times New Roman"/>
                <w:i w:val="0"/>
                <w:iCs w:val="0"/>
                <w:color w:val="auto"/>
                <w:kern w:val="0"/>
                <w:sz w:val="21"/>
                <w:szCs w:val="21"/>
                <w:highlight w:val="none"/>
                <w:u w:val="none"/>
                <w:lang w:val="en-US" w:eastAsia="zh-CN"/>
              </w:rPr>
              <w:t>249.38</w:t>
            </w:r>
          </w:p>
        </w:tc>
        <w:tc>
          <w:tcPr>
            <w:tcW w:w="1407" w:type="dxa"/>
            <w:vAlign w:val="center"/>
          </w:tcPr>
          <w:p w14:paraId="6F218A6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cs="Times New Roman"/>
                <w:i w:val="0"/>
                <w:iCs w:val="0"/>
                <w:color w:val="auto"/>
                <w:kern w:val="0"/>
                <w:sz w:val="21"/>
                <w:szCs w:val="21"/>
                <w:highlight w:val="none"/>
                <w:u w:val="none"/>
                <w:lang w:val="en-US" w:eastAsia="zh-CN"/>
              </w:rPr>
              <w:t>+249.38</w:t>
            </w:r>
          </w:p>
        </w:tc>
      </w:tr>
      <w:tr w14:paraId="6DEB3C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103AA3B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2203" w:type="dxa"/>
            <w:vAlign w:val="center"/>
          </w:tcPr>
          <w:p w14:paraId="5F276C2E">
            <w:pPr>
              <w:pStyle w:val="60"/>
              <w:keepNext w:val="0"/>
              <w:keepLines w:val="0"/>
              <w:widowControl/>
              <w:suppressLineNumbers w:val="0"/>
              <w:snapToGrid w:val="0"/>
              <w:spacing w:before="0" w:beforeAutospacing="0" w:after="0" w:afterAutospacing="0"/>
              <w:ind w:left="0" w:right="0"/>
              <w:rPr>
                <w:rFonts w:hint="default" w:ascii="Times New Roman" w:hAnsi="Times New Roman" w:eastAsia="宋体" w:cs="Times New Roman"/>
                <w:color w:val="auto"/>
                <w:kern w:val="2"/>
                <w:position w:val="0"/>
                <w:sz w:val="21"/>
                <w:szCs w:val="21"/>
                <w:highlight w:val="none"/>
                <w:lang w:val="en-US" w:eastAsia="zh-CN"/>
              </w:rPr>
            </w:pPr>
            <w:r>
              <w:rPr>
                <w:rFonts w:hint="eastAsia" w:cs="Times New Roman"/>
                <w:color w:val="auto"/>
                <w:kern w:val="2"/>
                <w:position w:val="0"/>
                <w:sz w:val="21"/>
                <w:szCs w:val="21"/>
                <w:highlight w:val="none"/>
                <w:lang w:val="en-US" w:eastAsia="zh-CN"/>
              </w:rPr>
              <w:t>废布袋</w:t>
            </w:r>
          </w:p>
        </w:tc>
        <w:tc>
          <w:tcPr>
            <w:tcW w:w="1386" w:type="dxa"/>
            <w:vAlign w:val="center"/>
          </w:tcPr>
          <w:p w14:paraId="2029CCE8">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562" w:type="dxa"/>
            <w:vAlign w:val="center"/>
          </w:tcPr>
          <w:p w14:paraId="68849AA5">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479" w:type="dxa"/>
            <w:vAlign w:val="center"/>
          </w:tcPr>
          <w:p w14:paraId="5FCC5934">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651" w:type="dxa"/>
            <w:vAlign w:val="center"/>
          </w:tcPr>
          <w:p w14:paraId="6C95C95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position w:val="0"/>
                <w:sz w:val="21"/>
                <w:szCs w:val="21"/>
                <w:highlight w:val="none"/>
                <w:lang w:val="en-US"/>
              </w:rPr>
            </w:pPr>
            <w:r>
              <w:rPr>
                <w:rFonts w:hint="eastAsia" w:cs="Times New Roman"/>
                <w:i w:val="0"/>
                <w:iCs w:val="0"/>
                <w:color w:val="auto"/>
                <w:kern w:val="0"/>
                <w:sz w:val="21"/>
                <w:szCs w:val="21"/>
                <w:highlight w:val="none"/>
                <w:u w:val="none"/>
                <w:lang w:val="en-US" w:eastAsia="zh-CN"/>
              </w:rPr>
              <w:t>0.05</w:t>
            </w:r>
          </w:p>
        </w:tc>
        <w:tc>
          <w:tcPr>
            <w:tcW w:w="1564" w:type="dxa"/>
            <w:vAlign w:val="center"/>
          </w:tcPr>
          <w:p w14:paraId="13746C5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720" w:type="dxa"/>
            <w:vAlign w:val="center"/>
          </w:tcPr>
          <w:p w14:paraId="3B04D83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kern w:val="2"/>
                <w:position w:val="0"/>
                <w:sz w:val="21"/>
                <w:szCs w:val="21"/>
                <w:highlight w:val="none"/>
              </w:rPr>
            </w:pPr>
            <w:r>
              <w:rPr>
                <w:rFonts w:hint="eastAsia" w:cs="Times New Roman"/>
                <w:i w:val="0"/>
                <w:iCs w:val="0"/>
                <w:color w:val="auto"/>
                <w:kern w:val="0"/>
                <w:sz w:val="21"/>
                <w:szCs w:val="21"/>
                <w:highlight w:val="none"/>
                <w:u w:val="none"/>
                <w:lang w:val="en-US" w:eastAsia="zh-CN"/>
              </w:rPr>
              <w:t>0.05</w:t>
            </w:r>
          </w:p>
        </w:tc>
        <w:tc>
          <w:tcPr>
            <w:tcW w:w="1407" w:type="dxa"/>
            <w:vAlign w:val="center"/>
          </w:tcPr>
          <w:p w14:paraId="3CE53CB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position w:val="0"/>
                <w:sz w:val="21"/>
                <w:szCs w:val="21"/>
                <w:highlight w:val="none"/>
                <w:lang w:val="en-US" w:eastAsia="zh-CN"/>
              </w:rPr>
            </w:pPr>
            <w:r>
              <w:rPr>
                <w:rFonts w:hint="eastAsia" w:cs="Times New Roman"/>
                <w:i w:val="0"/>
                <w:iCs w:val="0"/>
                <w:color w:val="auto"/>
                <w:kern w:val="0"/>
                <w:sz w:val="21"/>
                <w:szCs w:val="21"/>
                <w:highlight w:val="none"/>
                <w:u w:val="none"/>
                <w:lang w:val="en-US" w:eastAsia="zh-CN"/>
              </w:rPr>
              <w:t>+0.05</w:t>
            </w:r>
          </w:p>
        </w:tc>
      </w:tr>
      <w:tr w14:paraId="1865BE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5FA8687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2203" w:type="dxa"/>
            <w:shd w:val="clear" w:color="auto" w:fill="auto"/>
            <w:vAlign w:val="center"/>
          </w:tcPr>
          <w:p w14:paraId="54ED441C">
            <w:pPr>
              <w:pStyle w:val="60"/>
              <w:keepNext w:val="0"/>
              <w:keepLines w:val="0"/>
              <w:widowControl/>
              <w:suppressLineNumbers w:val="0"/>
              <w:snapToGrid w:val="0"/>
              <w:spacing w:before="0" w:beforeAutospacing="0" w:after="0" w:afterAutospacing="0"/>
              <w:ind w:left="0" w:leftChars="0" w:right="0" w:rightChars="0"/>
              <w:rPr>
                <w:rFonts w:hint="eastAsia"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rPr>
              <w:t>除尘器收集粉尘</w:t>
            </w:r>
          </w:p>
        </w:tc>
        <w:tc>
          <w:tcPr>
            <w:tcW w:w="1386" w:type="dxa"/>
            <w:shd w:val="clear" w:color="auto" w:fill="auto"/>
            <w:vAlign w:val="center"/>
          </w:tcPr>
          <w:p w14:paraId="22153A0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562" w:type="dxa"/>
            <w:shd w:val="clear" w:color="auto" w:fill="auto"/>
            <w:vAlign w:val="center"/>
          </w:tcPr>
          <w:p w14:paraId="1CDB26D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479" w:type="dxa"/>
            <w:shd w:val="clear" w:color="auto" w:fill="auto"/>
            <w:vAlign w:val="center"/>
          </w:tcPr>
          <w:p w14:paraId="3CA5D2C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651" w:type="dxa"/>
            <w:shd w:val="clear" w:color="auto" w:fill="auto"/>
            <w:vAlign w:val="center"/>
          </w:tcPr>
          <w:p w14:paraId="73B3475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1.1</w:t>
            </w:r>
          </w:p>
        </w:tc>
        <w:tc>
          <w:tcPr>
            <w:tcW w:w="1564" w:type="dxa"/>
            <w:shd w:val="clear" w:color="auto" w:fill="auto"/>
            <w:vAlign w:val="center"/>
          </w:tcPr>
          <w:p w14:paraId="04AB6E7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cs="Times New Roman"/>
                <w:i w:val="0"/>
                <w:iCs w:val="0"/>
                <w:color w:val="auto"/>
                <w:kern w:val="0"/>
                <w:sz w:val="21"/>
                <w:szCs w:val="21"/>
                <w:highlight w:val="none"/>
                <w:u w:val="none"/>
                <w:lang w:val="en-US" w:eastAsia="zh-CN"/>
              </w:rPr>
              <w:t>0</w:t>
            </w:r>
          </w:p>
        </w:tc>
        <w:tc>
          <w:tcPr>
            <w:tcW w:w="1720" w:type="dxa"/>
            <w:shd w:val="clear" w:color="auto" w:fill="auto"/>
            <w:vAlign w:val="center"/>
          </w:tcPr>
          <w:p w14:paraId="4AC6822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1.1</w:t>
            </w:r>
          </w:p>
        </w:tc>
        <w:tc>
          <w:tcPr>
            <w:tcW w:w="1407" w:type="dxa"/>
            <w:shd w:val="clear" w:color="auto" w:fill="auto"/>
            <w:vAlign w:val="center"/>
          </w:tcPr>
          <w:p w14:paraId="021E9D17">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+1.1</w:t>
            </w:r>
          </w:p>
        </w:tc>
      </w:tr>
      <w:tr w14:paraId="72DD3A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3EAD9A9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2203" w:type="dxa"/>
            <w:shd w:val="clear" w:color="auto" w:fill="auto"/>
            <w:vAlign w:val="center"/>
          </w:tcPr>
          <w:p w14:paraId="7C8CB8E3">
            <w:pPr>
              <w:pStyle w:val="60"/>
              <w:keepNext w:val="0"/>
              <w:keepLines w:val="0"/>
              <w:widowControl/>
              <w:suppressLineNumbers w:val="0"/>
              <w:snapToGrid w:val="0"/>
              <w:spacing w:before="0" w:beforeAutospacing="0" w:after="0" w:afterAutospacing="0"/>
              <w:ind w:left="0" w:leftChars="0" w:right="0" w:rightChars="0"/>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rPr>
              <w:t>污泥</w:t>
            </w:r>
          </w:p>
        </w:tc>
        <w:tc>
          <w:tcPr>
            <w:tcW w:w="1386" w:type="dxa"/>
            <w:shd w:val="clear" w:color="auto" w:fill="auto"/>
            <w:vAlign w:val="center"/>
          </w:tcPr>
          <w:p w14:paraId="465AFFF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0</w:t>
            </w:r>
          </w:p>
        </w:tc>
        <w:tc>
          <w:tcPr>
            <w:tcW w:w="1562" w:type="dxa"/>
            <w:shd w:val="clear" w:color="auto" w:fill="auto"/>
            <w:vAlign w:val="center"/>
          </w:tcPr>
          <w:p w14:paraId="52142CA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0</w:t>
            </w:r>
          </w:p>
        </w:tc>
        <w:tc>
          <w:tcPr>
            <w:tcW w:w="1479" w:type="dxa"/>
            <w:shd w:val="clear" w:color="auto" w:fill="auto"/>
            <w:vAlign w:val="center"/>
          </w:tcPr>
          <w:p w14:paraId="39517EA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0</w:t>
            </w:r>
          </w:p>
        </w:tc>
        <w:tc>
          <w:tcPr>
            <w:tcW w:w="1651" w:type="dxa"/>
            <w:shd w:val="clear" w:color="auto" w:fill="auto"/>
            <w:vAlign w:val="center"/>
          </w:tcPr>
          <w:p w14:paraId="4FE08600">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113.01</w:t>
            </w:r>
          </w:p>
        </w:tc>
        <w:tc>
          <w:tcPr>
            <w:tcW w:w="1564" w:type="dxa"/>
            <w:shd w:val="clear" w:color="auto" w:fill="auto"/>
            <w:vAlign w:val="center"/>
          </w:tcPr>
          <w:p w14:paraId="0573907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0</w:t>
            </w:r>
          </w:p>
        </w:tc>
        <w:tc>
          <w:tcPr>
            <w:tcW w:w="1720" w:type="dxa"/>
            <w:shd w:val="clear" w:color="auto" w:fill="auto"/>
            <w:vAlign w:val="center"/>
          </w:tcPr>
          <w:p w14:paraId="1ADBC92F">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113.01</w:t>
            </w:r>
          </w:p>
        </w:tc>
        <w:tc>
          <w:tcPr>
            <w:tcW w:w="1407" w:type="dxa"/>
            <w:shd w:val="clear" w:color="auto" w:fill="auto"/>
            <w:vAlign w:val="center"/>
          </w:tcPr>
          <w:p w14:paraId="00F4A02D">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+113.01</w:t>
            </w:r>
          </w:p>
        </w:tc>
      </w:tr>
      <w:tr w14:paraId="5C05CA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24337FD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2203" w:type="dxa"/>
            <w:vAlign w:val="center"/>
          </w:tcPr>
          <w:p w14:paraId="58CC4E6F">
            <w:pPr>
              <w:pStyle w:val="60"/>
              <w:keepNext w:val="0"/>
              <w:keepLines w:val="0"/>
              <w:widowControl/>
              <w:suppressLineNumbers w:val="0"/>
              <w:snapToGrid w:val="0"/>
              <w:spacing w:before="0" w:beforeAutospacing="0" w:after="0" w:afterAutospacing="0"/>
              <w:ind w:left="0" w:leftChars="0" w:right="0" w:rightChars="0"/>
              <w:rPr>
                <w:rFonts w:hint="default" w:ascii="Times New Roman" w:hAnsi="Times New Roman" w:eastAsia="宋体" w:cs="Times New Roman"/>
                <w:color w:val="auto"/>
                <w:kern w:val="2"/>
                <w:position w:val="0"/>
                <w:sz w:val="21"/>
                <w:szCs w:val="21"/>
                <w:highlight w:val="none"/>
                <w:lang w:val="en-US" w:eastAsia="zh-CN"/>
              </w:rPr>
            </w:pPr>
            <w:r>
              <w:rPr>
                <w:rFonts w:hint="eastAsia" w:cs="Times New Roman"/>
                <w:color w:val="auto"/>
                <w:kern w:val="2"/>
                <w:position w:val="0"/>
                <w:sz w:val="21"/>
                <w:szCs w:val="21"/>
                <w:highlight w:val="none"/>
                <w:lang w:val="en-US" w:eastAsia="zh-CN"/>
              </w:rPr>
              <w:t>包装废料</w:t>
            </w:r>
          </w:p>
        </w:tc>
        <w:tc>
          <w:tcPr>
            <w:tcW w:w="1386" w:type="dxa"/>
            <w:vAlign w:val="center"/>
          </w:tcPr>
          <w:p w14:paraId="03FB121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0</w:t>
            </w:r>
          </w:p>
        </w:tc>
        <w:tc>
          <w:tcPr>
            <w:tcW w:w="1562" w:type="dxa"/>
            <w:vAlign w:val="center"/>
          </w:tcPr>
          <w:p w14:paraId="5FB38FA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0</w:t>
            </w:r>
          </w:p>
        </w:tc>
        <w:tc>
          <w:tcPr>
            <w:tcW w:w="1479" w:type="dxa"/>
            <w:vAlign w:val="center"/>
          </w:tcPr>
          <w:p w14:paraId="3FE2AF7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0</w:t>
            </w:r>
          </w:p>
        </w:tc>
        <w:tc>
          <w:tcPr>
            <w:tcW w:w="1651" w:type="dxa"/>
            <w:vAlign w:val="center"/>
          </w:tcPr>
          <w:p w14:paraId="0A29F02C">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2</w:t>
            </w:r>
          </w:p>
        </w:tc>
        <w:tc>
          <w:tcPr>
            <w:tcW w:w="1564" w:type="dxa"/>
            <w:vAlign w:val="center"/>
          </w:tcPr>
          <w:p w14:paraId="674E2B0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0</w:t>
            </w:r>
          </w:p>
        </w:tc>
        <w:tc>
          <w:tcPr>
            <w:tcW w:w="1720" w:type="dxa"/>
            <w:vAlign w:val="center"/>
          </w:tcPr>
          <w:p w14:paraId="7A94053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2</w:t>
            </w:r>
          </w:p>
        </w:tc>
        <w:tc>
          <w:tcPr>
            <w:tcW w:w="1407" w:type="dxa"/>
            <w:vAlign w:val="center"/>
          </w:tcPr>
          <w:p w14:paraId="307F170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+2</w:t>
            </w:r>
          </w:p>
        </w:tc>
      </w:tr>
      <w:tr w14:paraId="4B4DD6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restart"/>
            <w:vAlign w:val="center"/>
          </w:tcPr>
          <w:p w14:paraId="61EEED9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危险废物（t/a）</w:t>
            </w:r>
          </w:p>
        </w:tc>
        <w:tc>
          <w:tcPr>
            <w:tcW w:w="2203" w:type="dxa"/>
            <w:shd w:val="clear" w:color="auto" w:fill="auto"/>
            <w:vAlign w:val="center"/>
          </w:tcPr>
          <w:p w14:paraId="663C3643">
            <w:pPr>
              <w:pStyle w:val="60"/>
              <w:keepNext w:val="0"/>
              <w:keepLines w:val="0"/>
              <w:widowControl/>
              <w:suppressLineNumbers w:val="0"/>
              <w:snapToGrid w:val="0"/>
              <w:spacing w:before="0" w:beforeAutospacing="0" w:after="0" w:afterAutospacing="0"/>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rPr>
              <w:t>pH调整剂包装桶</w:t>
            </w:r>
          </w:p>
        </w:tc>
        <w:tc>
          <w:tcPr>
            <w:tcW w:w="1386" w:type="dxa"/>
            <w:shd w:val="clear" w:color="auto" w:fill="auto"/>
            <w:vAlign w:val="center"/>
          </w:tcPr>
          <w:p w14:paraId="33318B4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562" w:type="dxa"/>
            <w:shd w:val="clear" w:color="auto" w:fill="auto"/>
            <w:vAlign w:val="center"/>
          </w:tcPr>
          <w:p w14:paraId="2DA20F3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479" w:type="dxa"/>
            <w:shd w:val="clear" w:color="auto" w:fill="auto"/>
            <w:vAlign w:val="center"/>
          </w:tcPr>
          <w:p w14:paraId="1A9A62E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651" w:type="dxa"/>
            <w:shd w:val="clear" w:color="auto" w:fill="auto"/>
            <w:vAlign w:val="center"/>
          </w:tcPr>
          <w:p w14:paraId="2670036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i w:val="0"/>
                <w:iCs w:val="0"/>
                <w:color w:val="auto"/>
                <w:kern w:val="0"/>
                <w:sz w:val="21"/>
                <w:szCs w:val="21"/>
                <w:highlight w:val="none"/>
                <w:u w:val="none"/>
                <w:lang w:val="en-US" w:eastAsia="zh-CN"/>
              </w:rPr>
              <w:t>0.112</w:t>
            </w:r>
          </w:p>
        </w:tc>
        <w:tc>
          <w:tcPr>
            <w:tcW w:w="1564" w:type="dxa"/>
            <w:shd w:val="clear" w:color="auto" w:fill="auto"/>
            <w:vAlign w:val="center"/>
          </w:tcPr>
          <w:p w14:paraId="0CFF1DF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720" w:type="dxa"/>
            <w:shd w:val="clear" w:color="auto" w:fill="auto"/>
            <w:vAlign w:val="center"/>
          </w:tcPr>
          <w:p w14:paraId="5DCAC85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i w:val="0"/>
                <w:iCs w:val="0"/>
                <w:color w:val="auto"/>
                <w:kern w:val="0"/>
                <w:sz w:val="21"/>
                <w:szCs w:val="21"/>
                <w:highlight w:val="none"/>
                <w:u w:val="none"/>
                <w:lang w:val="en-US" w:eastAsia="zh-CN"/>
              </w:rPr>
              <w:t>0.112</w:t>
            </w:r>
          </w:p>
        </w:tc>
        <w:tc>
          <w:tcPr>
            <w:tcW w:w="1407" w:type="dxa"/>
            <w:shd w:val="clear" w:color="auto" w:fill="auto"/>
            <w:vAlign w:val="center"/>
          </w:tcPr>
          <w:p w14:paraId="47D4EDA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rPr>
              <w:t>+</w:t>
            </w:r>
            <w:r>
              <w:rPr>
                <w:rFonts w:hint="eastAsia" w:cs="Times New Roman"/>
                <w:color w:val="auto"/>
                <w:kern w:val="2"/>
                <w:sz w:val="21"/>
                <w:szCs w:val="21"/>
                <w:highlight w:val="none"/>
                <w:lang w:val="en-US" w:eastAsia="zh-CN"/>
              </w:rPr>
              <w:t>0.112</w:t>
            </w:r>
          </w:p>
        </w:tc>
      </w:tr>
      <w:tr w14:paraId="41808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78245BD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2203" w:type="dxa"/>
            <w:shd w:val="clear" w:color="auto" w:fill="auto"/>
            <w:vAlign w:val="center"/>
          </w:tcPr>
          <w:p w14:paraId="0CED4CB5">
            <w:pPr>
              <w:pStyle w:val="60"/>
              <w:keepNext w:val="0"/>
              <w:keepLines w:val="0"/>
              <w:widowControl/>
              <w:suppressLineNumbers w:val="0"/>
              <w:snapToGrid w:val="0"/>
              <w:spacing w:before="0" w:beforeAutospacing="0" w:after="0" w:afterAutospacing="0"/>
              <w:ind w:left="0" w:leftChars="0" w:right="0" w:rightChars="0"/>
              <w:rPr>
                <w:rFonts w:hint="default" w:ascii="Times New Roman" w:hAnsi="Times New Roman" w:eastAsia="宋体" w:cs="Times New Roman"/>
                <w:b/>
                <w:bCs/>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rPr>
              <w:t>废机油桶</w:t>
            </w:r>
          </w:p>
        </w:tc>
        <w:tc>
          <w:tcPr>
            <w:tcW w:w="1386" w:type="dxa"/>
            <w:shd w:val="clear" w:color="auto" w:fill="auto"/>
            <w:vAlign w:val="center"/>
          </w:tcPr>
          <w:p w14:paraId="4E0D5F6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562" w:type="dxa"/>
            <w:shd w:val="clear" w:color="auto" w:fill="auto"/>
            <w:vAlign w:val="center"/>
          </w:tcPr>
          <w:p w14:paraId="269D5B9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479" w:type="dxa"/>
            <w:shd w:val="clear" w:color="auto" w:fill="auto"/>
            <w:vAlign w:val="center"/>
          </w:tcPr>
          <w:p w14:paraId="53DDC23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651" w:type="dxa"/>
            <w:shd w:val="clear" w:color="auto" w:fill="auto"/>
            <w:vAlign w:val="center"/>
          </w:tcPr>
          <w:p w14:paraId="3D328C9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0.02</w:t>
            </w:r>
            <w:r>
              <w:rPr>
                <w:rFonts w:hint="default" w:ascii="Times New Roman" w:hAnsi="Times New Roman" w:cs="Times New Roman"/>
                <w:i w:val="0"/>
                <w:iCs w:val="0"/>
                <w:color w:val="auto"/>
                <w:kern w:val="0"/>
                <w:sz w:val="21"/>
                <w:szCs w:val="21"/>
                <w:highlight w:val="none"/>
                <w:u w:val="none"/>
                <w:lang w:val="en-US" w:eastAsia="zh-CN"/>
              </w:rPr>
              <w:t>5</w:t>
            </w:r>
          </w:p>
        </w:tc>
        <w:tc>
          <w:tcPr>
            <w:tcW w:w="1564" w:type="dxa"/>
            <w:shd w:val="clear" w:color="auto" w:fill="auto"/>
            <w:vAlign w:val="center"/>
          </w:tcPr>
          <w:p w14:paraId="08032D6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720" w:type="dxa"/>
            <w:shd w:val="clear" w:color="auto" w:fill="auto"/>
            <w:vAlign w:val="center"/>
          </w:tcPr>
          <w:p w14:paraId="6EDA8EC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0.02</w:t>
            </w:r>
            <w:r>
              <w:rPr>
                <w:rFonts w:hint="default" w:ascii="Times New Roman" w:hAnsi="Times New Roman" w:cs="Times New Roman"/>
                <w:i w:val="0"/>
                <w:iCs w:val="0"/>
                <w:color w:val="auto"/>
                <w:kern w:val="0"/>
                <w:sz w:val="21"/>
                <w:szCs w:val="21"/>
                <w:highlight w:val="none"/>
                <w:u w:val="none"/>
                <w:lang w:val="en-US" w:eastAsia="zh-CN"/>
              </w:rPr>
              <w:t>5</w:t>
            </w:r>
          </w:p>
        </w:tc>
        <w:tc>
          <w:tcPr>
            <w:tcW w:w="1407" w:type="dxa"/>
            <w:shd w:val="clear" w:color="auto" w:fill="auto"/>
            <w:vAlign w:val="center"/>
          </w:tcPr>
          <w:p w14:paraId="7FD23A5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i w:val="0"/>
                <w:iCs w:val="0"/>
                <w:color w:val="auto"/>
                <w:kern w:val="0"/>
                <w:sz w:val="21"/>
                <w:szCs w:val="21"/>
                <w:highlight w:val="none"/>
                <w:u w:val="none"/>
                <w:lang w:val="en-US" w:eastAsia="zh-CN"/>
              </w:rPr>
              <w:t>+</w:t>
            </w:r>
            <w:r>
              <w:rPr>
                <w:rFonts w:hint="default" w:ascii="Times New Roman" w:hAnsi="Times New Roman" w:eastAsia="宋体" w:cs="Times New Roman"/>
                <w:i w:val="0"/>
                <w:iCs w:val="0"/>
                <w:color w:val="auto"/>
                <w:kern w:val="0"/>
                <w:sz w:val="21"/>
                <w:szCs w:val="21"/>
                <w:highlight w:val="none"/>
                <w:u w:val="none"/>
                <w:lang w:val="en-US" w:eastAsia="zh-CN"/>
              </w:rPr>
              <w:t>0.02</w:t>
            </w:r>
            <w:r>
              <w:rPr>
                <w:rFonts w:hint="default" w:ascii="Times New Roman" w:hAnsi="Times New Roman" w:cs="Times New Roman"/>
                <w:i w:val="0"/>
                <w:iCs w:val="0"/>
                <w:color w:val="auto"/>
                <w:kern w:val="0"/>
                <w:sz w:val="21"/>
                <w:szCs w:val="21"/>
                <w:highlight w:val="none"/>
                <w:u w:val="none"/>
                <w:lang w:val="en-US" w:eastAsia="zh-CN"/>
              </w:rPr>
              <w:t>5</w:t>
            </w:r>
          </w:p>
        </w:tc>
      </w:tr>
      <w:tr w14:paraId="08796D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05C68D3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2203" w:type="dxa"/>
            <w:shd w:val="clear" w:color="auto" w:fill="auto"/>
            <w:vAlign w:val="center"/>
          </w:tcPr>
          <w:p w14:paraId="7033D8A7">
            <w:pPr>
              <w:pStyle w:val="60"/>
              <w:keepNext w:val="0"/>
              <w:keepLines w:val="0"/>
              <w:widowControl/>
              <w:suppressLineNumbers w:val="0"/>
              <w:snapToGrid w:val="0"/>
              <w:spacing w:before="0" w:beforeAutospacing="0" w:after="0" w:afterAutospacing="0"/>
              <w:ind w:left="0" w:leftChars="0" w:right="0" w:rightChars="0"/>
              <w:rPr>
                <w:rFonts w:hint="default" w:ascii="Times New Roman" w:hAnsi="Times New Roman" w:eastAsia="宋体" w:cs="Times New Roman"/>
                <w:b/>
                <w:bCs/>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rPr>
              <w:t>废机油</w:t>
            </w:r>
          </w:p>
        </w:tc>
        <w:tc>
          <w:tcPr>
            <w:tcW w:w="1386" w:type="dxa"/>
            <w:shd w:val="clear" w:color="auto" w:fill="auto"/>
            <w:vAlign w:val="center"/>
          </w:tcPr>
          <w:p w14:paraId="725EE17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562" w:type="dxa"/>
            <w:shd w:val="clear" w:color="auto" w:fill="auto"/>
            <w:vAlign w:val="center"/>
          </w:tcPr>
          <w:p w14:paraId="5DE956D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479" w:type="dxa"/>
            <w:shd w:val="clear" w:color="auto" w:fill="auto"/>
            <w:vAlign w:val="center"/>
          </w:tcPr>
          <w:p w14:paraId="3475D52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651" w:type="dxa"/>
            <w:shd w:val="clear" w:color="auto" w:fill="auto"/>
            <w:vAlign w:val="center"/>
          </w:tcPr>
          <w:p w14:paraId="2515ED6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w:t>
            </w:r>
            <w:r>
              <w:rPr>
                <w:rFonts w:hint="default" w:ascii="Times New Roman" w:hAnsi="Times New Roman" w:cs="Times New Roman"/>
                <w:i w:val="0"/>
                <w:iCs w:val="0"/>
                <w:color w:val="auto"/>
                <w:kern w:val="0"/>
                <w:sz w:val="21"/>
                <w:szCs w:val="21"/>
                <w:highlight w:val="none"/>
                <w:u w:val="none"/>
                <w:lang w:val="en-US" w:eastAsia="zh-CN"/>
              </w:rPr>
              <w:t>9</w:t>
            </w: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564" w:type="dxa"/>
            <w:shd w:val="clear" w:color="auto" w:fill="auto"/>
            <w:vAlign w:val="center"/>
          </w:tcPr>
          <w:p w14:paraId="3E4523C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720" w:type="dxa"/>
            <w:shd w:val="clear" w:color="auto" w:fill="auto"/>
            <w:vAlign w:val="center"/>
          </w:tcPr>
          <w:p w14:paraId="017F9EB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w:t>
            </w:r>
            <w:r>
              <w:rPr>
                <w:rFonts w:hint="default" w:ascii="Times New Roman" w:hAnsi="Times New Roman" w:cs="Times New Roman"/>
                <w:i w:val="0"/>
                <w:iCs w:val="0"/>
                <w:color w:val="auto"/>
                <w:kern w:val="0"/>
                <w:sz w:val="21"/>
                <w:szCs w:val="21"/>
                <w:highlight w:val="none"/>
                <w:u w:val="none"/>
                <w:lang w:val="en-US" w:eastAsia="zh-CN"/>
              </w:rPr>
              <w:t>9</w:t>
            </w: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407" w:type="dxa"/>
            <w:shd w:val="clear" w:color="auto" w:fill="auto"/>
            <w:vAlign w:val="center"/>
          </w:tcPr>
          <w:p w14:paraId="0ACCC70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i w:val="0"/>
                <w:iCs w:val="0"/>
                <w:color w:val="auto"/>
                <w:kern w:val="0"/>
                <w:sz w:val="21"/>
                <w:szCs w:val="21"/>
                <w:highlight w:val="none"/>
                <w:u w:val="none"/>
                <w:lang w:val="en-US" w:eastAsia="zh-CN"/>
              </w:rPr>
              <w:t>+</w:t>
            </w:r>
            <w:r>
              <w:rPr>
                <w:rFonts w:hint="default" w:ascii="Times New Roman" w:hAnsi="Times New Roman" w:eastAsia="宋体" w:cs="Times New Roman"/>
                <w:i w:val="0"/>
                <w:iCs w:val="0"/>
                <w:color w:val="auto"/>
                <w:kern w:val="0"/>
                <w:sz w:val="21"/>
                <w:szCs w:val="21"/>
                <w:highlight w:val="none"/>
                <w:u w:val="none"/>
                <w:lang w:val="en-US" w:eastAsia="zh-CN"/>
              </w:rPr>
              <w:t>0.</w:t>
            </w:r>
            <w:r>
              <w:rPr>
                <w:rFonts w:hint="default" w:ascii="Times New Roman" w:hAnsi="Times New Roman" w:cs="Times New Roman"/>
                <w:i w:val="0"/>
                <w:iCs w:val="0"/>
                <w:color w:val="auto"/>
                <w:kern w:val="0"/>
                <w:sz w:val="21"/>
                <w:szCs w:val="21"/>
                <w:highlight w:val="none"/>
                <w:u w:val="none"/>
                <w:lang w:val="en-US" w:eastAsia="zh-CN"/>
              </w:rPr>
              <w:t>9</w:t>
            </w:r>
            <w:r>
              <w:rPr>
                <w:rFonts w:hint="default" w:ascii="Times New Roman" w:hAnsi="Times New Roman" w:eastAsia="宋体" w:cs="Times New Roman"/>
                <w:i w:val="0"/>
                <w:iCs w:val="0"/>
                <w:color w:val="auto"/>
                <w:kern w:val="0"/>
                <w:sz w:val="21"/>
                <w:szCs w:val="21"/>
                <w:highlight w:val="none"/>
                <w:u w:val="none"/>
                <w:lang w:val="en-US" w:eastAsia="zh-CN"/>
              </w:rPr>
              <w:t>0</w:t>
            </w:r>
          </w:p>
        </w:tc>
      </w:tr>
      <w:tr w14:paraId="046233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069B1D7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2203" w:type="dxa"/>
            <w:shd w:val="clear" w:color="auto" w:fill="auto"/>
            <w:vAlign w:val="center"/>
          </w:tcPr>
          <w:p w14:paraId="0F83F8C2">
            <w:pPr>
              <w:pStyle w:val="60"/>
              <w:keepNext w:val="0"/>
              <w:keepLines w:val="0"/>
              <w:widowControl/>
              <w:suppressLineNumbers w:val="0"/>
              <w:snapToGrid w:val="0"/>
              <w:spacing w:before="0" w:beforeAutospacing="0" w:after="0" w:afterAutospacing="0"/>
              <w:ind w:left="0" w:leftChars="0" w:right="0" w:rightChars="0"/>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rPr>
              <w:t>含油废抹布</w:t>
            </w:r>
          </w:p>
        </w:tc>
        <w:tc>
          <w:tcPr>
            <w:tcW w:w="1386" w:type="dxa"/>
            <w:shd w:val="clear" w:color="auto" w:fill="auto"/>
            <w:vAlign w:val="center"/>
          </w:tcPr>
          <w:p w14:paraId="360CF4A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562" w:type="dxa"/>
            <w:shd w:val="clear" w:color="auto" w:fill="auto"/>
            <w:vAlign w:val="center"/>
          </w:tcPr>
          <w:p w14:paraId="7E20CB1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479" w:type="dxa"/>
            <w:shd w:val="clear" w:color="auto" w:fill="auto"/>
            <w:vAlign w:val="center"/>
          </w:tcPr>
          <w:p w14:paraId="0E3292E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651" w:type="dxa"/>
            <w:shd w:val="clear" w:color="auto" w:fill="auto"/>
            <w:vAlign w:val="center"/>
          </w:tcPr>
          <w:p w14:paraId="49EA3F6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0.05</w:t>
            </w:r>
          </w:p>
        </w:tc>
        <w:tc>
          <w:tcPr>
            <w:tcW w:w="1564" w:type="dxa"/>
            <w:shd w:val="clear" w:color="auto" w:fill="auto"/>
            <w:vAlign w:val="center"/>
          </w:tcPr>
          <w:p w14:paraId="6DAC928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720" w:type="dxa"/>
            <w:shd w:val="clear" w:color="auto" w:fill="auto"/>
            <w:vAlign w:val="center"/>
          </w:tcPr>
          <w:p w14:paraId="3ED94C6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0.05</w:t>
            </w:r>
          </w:p>
        </w:tc>
        <w:tc>
          <w:tcPr>
            <w:tcW w:w="1407" w:type="dxa"/>
            <w:shd w:val="clear" w:color="auto" w:fill="auto"/>
            <w:vAlign w:val="center"/>
          </w:tcPr>
          <w:p w14:paraId="1E3C907F">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+0.05</w:t>
            </w:r>
          </w:p>
        </w:tc>
      </w:tr>
      <w:tr w14:paraId="407608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4241DFA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2203" w:type="dxa"/>
            <w:shd w:val="clear" w:color="auto" w:fill="auto"/>
            <w:vAlign w:val="center"/>
          </w:tcPr>
          <w:p w14:paraId="4172E01A">
            <w:pPr>
              <w:pStyle w:val="60"/>
              <w:keepNext w:val="0"/>
              <w:keepLines w:val="0"/>
              <w:widowControl/>
              <w:suppressLineNumbers w:val="0"/>
              <w:snapToGrid w:val="0"/>
              <w:spacing w:before="0" w:beforeAutospacing="0" w:after="0" w:afterAutospacing="0"/>
              <w:ind w:left="0" w:leftChars="0" w:right="0" w:rightChars="0"/>
              <w:rPr>
                <w:rFonts w:hint="eastAsia" w:cs="Times New Roman"/>
                <w:color w:val="auto"/>
                <w:kern w:val="2"/>
                <w:position w:val="0"/>
                <w:sz w:val="21"/>
                <w:szCs w:val="21"/>
                <w:highlight w:val="none"/>
                <w:lang w:val="en-US" w:eastAsia="zh-CN"/>
              </w:rPr>
            </w:pPr>
            <w:r>
              <w:rPr>
                <w:rFonts w:hint="eastAsia" w:cs="Times New Roman"/>
                <w:color w:val="auto"/>
                <w:kern w:val="2"/>
                <w:position w:val="0"/>
                <w:sz w:val="21"/>
                <w:szCs w:val="21"/>
                <w:highlight w:val="none"/>
                <w:lang w:val="en-US" w:eastAsia="zh-CN"/>
              </w:rPr>
              <w:t>废烧碱包装袋</w:t>
            </w:r>
          </w:p>
        </w:tc>
        <w:tc>
          <w:tcPr>
            <w:tcW w:w="1386" w:type="dxa"/>
            <w:shd w:val="clear" w:color="auto" w:fill="auto"/>
            <w:vAlign w:val="center"/>
          </w:tcPr>
          <w:p w14:paraId="346A0270">
            <w:pPr>
              <w:pStyle w:val="60"/>
              <w:keepNext w:val="0"/>
              <w:keepLines w:val="0"/>
              <w:widowControl/>
              <w:suppressLineNumbers w:val="0"/>
              <w:snapToGrid w:val="0"/>
              <w:spacing w:before="0" w:beforeAutospacing="0" w:after="0" w:afterAutospacing="0"/>
              <w:ind w:left="0" w:leftChars="0" w:right="0" w:rightChars="0"/>
              <w:rPr>
                <w:rFonts w:hint="default" w:cs="Times New Roman"/>
                <w:color w:val="auto"/>
                <w:kern w:val="2"/>
                <w:position w:val="0"/>
                <w:sz w:val="21"/>
                <w:szCs w:val="21"/>
                <w:highlight w:val="none"/>
                <w:lang w:val="en-US" w:eastAsia="zh-CN"/>
              </w:rPr>
            </w:pPr>
            <w:r>
              <w:rPr>
                <w:rFonts w:hint="default" w:cs="Times New Roman"/>
                <w:color w:val="auto"/>
                <w:kern w:val="2"/>
                <w:position w:val="0"/>
                <w:sz w:val="21"/>
                <w:szCs w:val="21"/>
                <w:highlight w:val="none"/>
                <w:lang w:val="en-US" w:eastAsia="zh-CN"/>
              </w:rPr>
              <w:t>0</w:t>
            </w:r>
          </w:p>
        </w:tc>
        <w:tc>
          <w:tcPr>
            <w:tcW w:w="1562" w:type="dxa"/>
            <w:shd w:val="clear" w:color="auto" w:fill="auto"/>
            <w:vAlign w:val="center"/>
          </w:tcPr>
          <w:p w14:paraId="3F2EDC6E">
            <w:pPr>
              <w:pStyle w:val="60"/>
              <w:keepNext w:val="0"/>
              <w:keepLines w:val="0"/>
              <w:widowControl/>
              <w:suppressLineNumbers w:val="0"/>
              <w:snapToGrid w:val="0"/>
              <w:spacing w:before="0" w:beforeAutospacing="0" w:after="0" w:afterAutospacing="0"/>
              <w:ind w:left="0" w:leftChars="0" w:right="0" w:rightChars="0"/>
              <w:rPr>
                <w:rFonts w:hint="default" w:cs="Times New Roman"/>
                <w:color w:val="auto"/>
                <w:kern w:val="2"/>
                <w:position w:val="0"/>
                <w:sz w:val="21"/>
                <w:szCs w:val="21"/>
                <w:highlight w:val="none"/>
                <w:lang w:val="en-US" w:eastAsia="zh-CN"/>
              </w:rPr>
            </w:pPr>
            <w:r>
              <w:rPr>
                <w:rFonts w:hint="default" w:cs="Times New Roman"/>
                <w:color w:val="auto"/>
                <w:kern w:val="2"/>
                <w:position w:val="0"/>
                <w:sz w:val="21"/>
                <w:szCs w:val="21"/>
                <w:highlight w:val="none"/>
                <w:lang w:val="en-US" w:eastAsia="zh-CN"/>
              </w:rPr>
              <w:t>0</w:t>
            </w:r>
          </w:p>
        </w:tc>
        <w:tc>
          <w:tcPr>
            <w:tcW w:w="1479" w:type="dxa"/>
            <w:shd w:val="clear" w:color="auto" w:fill="auto"/>
            <w:vAlign w:val="center"/>
          </w:tcPr>
          <w:p w14:paraId="6636A018">
            <w:pPr>
              <w:pStyle w:val="60"/>
              <w:keepNext w:val="0"/>
              <w:keepLines w:val="0"/>
              <w:widowControl/>
              <w:suppressLineNumbers w:val="0"/>
              <w:snapToGrid w:val="0"/>
              <w:spacing w:before="0" w:beforeAutospacing="0" w:after="0" w:afterAutospacing="0"/>
              <w:ind w:left="0" w:leftChars="0" w:right="0" w:rightChars="0"/>
              <w:rPr>
                <w:rFonts w:hint="default" w:cs="Times New Roman"/>
                <w:color w:val="auto"/>
                <w:kern w:val="2"/>
                <w:position w:val="0"/>
                <w:sz w:val="21"/>
                <w:szCs w:val="21"/>
                <w:highlight w:val="none"/>
                <w:lang w:val="en-US" w:eastAsia="zh-CN"/>
              </w:rPr>
            </w:pPr>
            <w:r>
              <w:rPr>
                <w:rFonts w:hint="default" w:cs="Times New Roman"/>
                <w:color w:val="auto"/>
                <w:kern w:val="2"/>
                <w:position w:val="0"/>
                <w:sz w:val="21"/>
                <w:szCs w:val="21"/>
                <w:highlight w:val="none"/>
                <w:lang w:val="en-US" w:eastAsia="zh-CN"/>
              </w:rPr>
              <w:t>0</w:t>
            </w:r>
          </w:p>
        </w:tc>
        <w:tc>
          <w:tcPr>
            <w:tcW w:w="1651" w:type="dxa"/>
            <w:shd w:val="clear" w:color="auto" w:fill="auto"/>
            <w:vAlign w:val="center"/>
          </w:tcPr>
          <w:p w14:paraId="2958AC30">
            <w:pPr>
              <w:pStyle w:val="60"/>
              <w:keepNext w:val="0"/>
              <w:keepLines w:val="0"/>
              <w:widowControl/>
              <w:suppressLineNumbers w:val="0"/>
              <w:snapToGrid w:val="0"/>
              <w:spacing w:before="0" w:beforeAutospacing="0" w:after="0" w:afterAutospacing="0"/>
              <w:ind w:left="0" w:leftChars="0" w:right="0" w:rightChars="0"/>
              <w:rPr>
                <w:rFonts w:hint="eastAsia" w:cs="Times New Roman"/>
                <w:color w:val="auto"/>
                <w:kern w:val="2"/>
                <w:position w:val="0"/>
                <w:sz w:val="21"/>
                <w:szCs w:val="21"/>
                <w:highlight w:val="none"/>
                <w:lang w:val="en-US" w:eastAsia="zh-CN"/>
              </w:rPr>
            </w:pPr>
            <w:r>
              <w:rPr>
                <w:rFonts w:hint="eastAsia" w:cs="Times New Roman"/>
                <w:color w:val="auto"/>
                <w:kern w:val="2"/>
                <w:position w:val="0"/>
                <w:sz w:val="21"/>
                <w:szCs w:val="21"/>
                <w:highlight w:val="none"/>
                <w:lang w:val="en-US" w:eastAsia="zh-CN"/>
              </w:rPr>
              <w:t>0.15</w:t>
            </w:r>
          </w:p>
        </w:tc>
        <w:tc>
          <w:tcPr>
            <w:tcW w:w="1564" w:type="dxa"/>
            <w:shd w:val="clear" w:color="auto" w:fill="auto"/>
            <w:vAlign w:val="center"/>
          </w:tcPr>
          <w:p w14:paraId="71CFC748">
            <w:pPr>
              <w:pStyle w:val="60"/>
              <w:keepNext w:val="0"/>
              <w:keepLines w:val="0"/>
              <w:widowControl/>
              <w:suppressLineNumbers w:val="0"/>
              <w:snapToGrid w:val="0"/>
              <w:spacing w:before="0" w:beforeAutospacing="0" w:after="0" w:afterAutospacing="0"/>
              <w:ind w:left="0" w:leftChars="0" w:right="0" w:rightChars="0"/>
              <w:rPr>
                <w:rFonts w:hint="default" w:cs="Times New Roman"/>
                <w:color w:val="auto"/>
                <w:kern w:val="2"/>
                <w:position w:val="0"/>
                <w:sz w:val="21"/>
                <w:szCs w:val="21"/>
                <w:highlight w:val="none"/>
                <w:lang w:val="en-US" w:eastAsia="zh-CN"/>
              </w:rPr>
            </w:pPr>
            <w:r>
              <w:rPr>
                <w:rFonts w:hint="default" w:cs="Times New Roman"/>
                <w:color w:val="auto"/>
                <w:kern w:val="2"/>
                <w:position w:val="0"/>
                <w:sz w:val="21"/>
                <w:szCs w:val="21"/>
                <w:highlight w:val="none"/>
                <w:lang w:val="en-US" w:eastAsia="zh-CN"/>
              </w:rPr>
              <w:t>0</w:t>
            </w:r>
          </w:p>
        </w:tc>
        <w:tc>
          <w:tcPr>
            <w:tcW w:w="1720" w:type="dxa"/>
            <w:shd w:val="clear" w:color="auto" w:fill="auto"/>
            <w:vAlign w:val="center"/>
          </w:tcPr>
          <w:p w14:paraId="4310689F">
            <w:pPr>
              <w:pStyle w:val="60"/>
              <w:keepNext w:val="0"/>
              <w:keepLines w:val="0"/>
              <w:widowControl/>
              <w:suppressLineNumbers w:val="0"/>
              <w:snapToGrid w:val="0"/>
              <w:spacing w:before="0" w:beforeAutospacing="0" w:after="0" w:afterAutospacing="0"/>
              <w:ind w:left="0" w:leftChars="0" w:right="0" w:rightChars="0"/>
              <w:rPr>
                <w:rFonts w:hint="eastAsia" w:cs="Times New Roman"/>
                <w:color w:val="auto"/>
                <w:kern w:val="2"/>
                <w:position w:val="0"/>
                <w:sz w:val="21"/>
                <w:szCs w:val="21"/>
                <w:highlight w:val="none"/>
                <w:lang w:val="en-US" w:eastAsia="zh-CN"/>
              </w:rPr>
            </w:pPr>
            <w:r>
              <w:rPr>
                <w:rFonts w:hint="eastAsia" w:cs="Times New Roman"/>
                <w:color w:val="auto"/>
                <w:kern w:val="2"/>
                <w:position w:val="0"/>
                <w:sz w:val="21"/>
                <w:szCs w:val="21"/>
                <w:highlight w:val="none"/>
                <w:lang w:val="en-US" w:eastAsia="zh-CN"/>
              </w:rPr>
              <w:t>0.15</w:t>
            </w:r>
          </w:p>
        </w:tc>
        <w:tc>
          <w:tcPr>
            <w:tcW w:w="1407" w:type="dxa"/>
            <w:shd w:val="clear" w:color="auto" w:fill="auto"/>
            <w:vAlign w:val="center"/>
          </w:tcPr>
          <w:p w14:paraId="5590215D">
            <w:pPr>
              <w:pStyle w:val="60"/>
              <w:keepNext w:val="0"/>
              <w:keepLines w:val="0"/>
              <w:widowControl/>
              <w:suppressLineNumbers w:val="0"/>
              <w:snapToGrid w:val="0"/>
              <w:spacing w:before="0" w:beforeAutospacing="0" w:after="0" w:afterAutospacing="0"/>
              <w:ind w:left="0" w:leftChars="0" w:right="0" w:rightChars="0"/>
              <w:rPr>
                <w:rFonts w:hint="eastAsia" w:cs="Times New Roman"/>
                <w:color w:val="auto"/>
                <w:kern w:val="2"/>
                <w:position w:val="0"/>
                <w:sz w:val="21"/>
                <w:szCs w:val="21"/>
                <w:highlight w:val="none"/>
                <w:lang w:val="en-US" w:eastAsia="zh-CN"/>
              </w:rPr>
            </w:pPr>
            <w:r>
              <w:rPr>
                <w:rFonts w:hint="eastAsia" w:cs="Times New Roman"/>
                <w:color w:val="auto"/>
                <w:kern w:val="2"/>
                <w:position w:val="0"/>
                <w:sz w:val="21"/>
                <w:szCs w:val="21"/>
                <w:highlight w:val="none"/>
                <w:lang w:val="en-US" w:eastAsia="zh-CN"/>
              </w:rPr>
              <w:t>+0.15</w:t>
            </w:r>
          </w:p>
        </w:tc>
      </w:tr>
      <w:tr w14:paraId="733E5A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68E6CE9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2203" w:type="dxa"/>
            <w:shd w:val="clear" w:color="auto" w:fill="auto"/>
            <w:vAlign w:val="center"/>
          </w:tcPr>
          <w:p w14:paraId="4159E66F">
            <w:pPr>
              <w:pStyle w:val="60"/>
              <w:keepNext w:val="0"/>
              <w:keepLines w:val="0"/>
              <w:widowControl/>
              <w:suppressLineNumbers w:val="0"/>
              <w:snapToGrid w:val="0"/>
              <w:spacing w:before="0" w:beforeAutospacing="0" w:after="0" w:afterAutospacing="0"/>
              <w:ind w:left="0" w:leftChars="0" w:right="0" w:rightChars="0"/>
              <w:rPr>
                <w:rFonts w:hint="default" w:cs="Times New Roman"/>
                <w:color w:val="auto"/>
                <w:kern w:val="2"/>
                <w:position w:val="0"/>
                <w:sz w:val="21"/>
                <w:szCs w:val="21"/>
                <w:highlight w:val="none"/>
                <w:lang w:val="en-US" w:eastAsia="zh-CN"/>
              </w:rPr>
            </w:pPr>
            <w:r>
              <w:rPr>
                <w:rFonts w:hint="eastAsia" w:cs="Times New Roman"/>
                <w:color w:val="auto"/>
                <w:kern w:val="2"/>
                <w:position w:val="0"/>
                <w:sz w:val="21"/>
                <w:szCs w:val="21"/>
                <w:highlight w:val="none"/>
                <w:lang w:val="en-US" w:eastAsia="zh-CN"/>
              </w:rPr>
              <w:t>废柴油桶</w:t>
            </w:r>
          </w:p>
        </w:tc>
        <w:tc>
          <w:tcPr>
            <w:tcW w:w="1386" w:type="dxa"/>
            <w:shd w:val="clear" w:color="auto" w:fill="auto"/>
            <w:vAlign w:val="center"/>
          </w:tcPr>
          <w:p w14:paraId="59FD263E">
            <w:pPr>
              <w:pStyle w:val="60"/>
              <w:keepNext w:val="0"/>
              <w:keepLines w:val="0"/>
              <w:widowControl/>
              <w:suppressLineNumbers w:val="0"/>
              <w:snapToGrid w:val="0"/>
              <w:spacing w:before="0" w:beforeAutospacing="0" w:after="0" w:afterAutospacing="0"/>
              <w:ind w:left="0" w:leftChars="0" w:right="0" w:rightChars="0"/>
              <w:rPr>
                <w:rFonts w:hint="default" w:cs="Times New Roman"/>
                <w:color w:val="auto"/>
                <w:kern w:val="2"/>
                <w:position w:val="0"/>
                <w:sz w:val="21"/>
                <w:szCs w:val="21"/>
                <w:highlight w:val="none"/>
                <w:lang w:val="en-US" w:eastAsia="zh-CN"/>
              </w:rPr>
            </w:pPr>
            <w:r>
              <w:rPr>
                <w:rFonts w:hint="default" w:cs="Times New Roman"/>
                <w:color w:val="auto"/>
                <w:kern w:val="2"/>
                <w:position w:val="0"/>
                <w:sz w:val="21"/>
                <w:szCs w:val="21"/>
                <w:highlight w:val="none"/>
                <w:lang w:val="en-US" w:eastAsia="zh-CN"/>
              </w:rPr>
              <w:t>0</w:t>
            </w:r>
          </w:p>
        </w:tc>
        <w:tc>
          <w:tcPr>
            <w:tcW w:w="1562" w:type="dxa"/>
            <w:shd w:val="clear" w:color="auto" w:fill="auto"/>
            <w:vAlign w:val="center"/>
          </w:tcPr>
          <w:p w14:paraId="782857CE">
            <w:pPr>
              <w:pStyle w:val="60"/>
              <w:keepNext w:val="0"/>
              <w:keepLines w:val="0"/>
              <w:widowControl/>
              <w:suppressLineNumbers w:val="0"/>
              <w:snapToGrid w:val="0"/>
              <w:spacing w:before="0" w:beforeAutospacing="0" w:after="0" w:afterAutospacing="0"/>
              <w:ind w:left="0" w:leftChars="0" w:right="0" w:rightChars="0"/>
              <w:rPr>
                <w:rFonts w:hint="default" w:cs="Times New Roman"/>
                <w:color w:val="auto"/>
                <w:kern w:val="2"/>
                <w:position w:val="0"/>
                <w:sz w:val="21"/>
                <w:szCs w:val="21"/>
                <w:highlight w:val="none"/>
                <w:lang w:val="en-US" w:eastAsia="zh-CN"/>
              </w:rPr>
            </w:pPr>
            <w:r>
              <w:rPr>
                <w:rFonts w:hint="default" w:cs="Times New Roman"/>
                <w:color w:val="auto"/>
                <w:kern w:val="2"/>
                <w:position w:val="0"/>
                <w:sz w:val="21"/>
                <w:szCs w:val="21"/>
                <w:highlight w:val="none"/>
                <w:lang w:val="en-US" w:eastAsia="zh-CN"/>
              </w:rPr>
              <w:t>0</w:t>
            </w:r>
          </w:p>
        </w:tc>
        <w:tc>
          <w:tcPr>
            <w:tcW w:w="1479" w:type="dxa"/>
            <w:shd w:val="clear" w:color="auto" w:fill="auto"/>
            <w:vAlign w:val="center"/>
          </w:tcPr>
          <w:p w14:paraId="7CABE624">
            <w:pPr>
              <w:pStyle w:val="60"/>
              <w:keepNext w:val="0"/>
              <w:keepLines w:val="0"/>
              <w:widowControl/>
              <w:suppressLineNumbers w:val="0"/>
              <w:snapToGrid w:val="0"/>
              <w:spacing w:before="0" w:beforeAutospacing="0" w:after="0" w:afterAutospacing="0"/>
              <w:ind w:left="0" w:leftChars="0" w:right="0" w:rightChars="0"/>
              <w:rPr>
                <w:rFonts w:hint="default" w:cs="Times New Roman"/>
                <w:color w:val="auto"/>
                <w:kern w:val="2"/>
                <w:position w:val="0"/>
                <w:sz w:val="21"/>
                <w:szCs w:val="21"/>
                <w:highlight w:val="none"/>
                <w:lang w:val="en-US" w:eastAsia="zh-CN"/>
              </w:rPr>
            </w:pPr>
            <w:r>
              <w:rPr>
                <w:rFonts w:hint="default" w:cs="Times New Roman"/>
                <w:color w:val="auto"/>
                <w:kern w:val="2"/>
                <w:position w:val="0"/>
                <w:sz w:val="21"/>
                <w:szCs w:val="21"/>
                <w:highlight w:val="none"/>
                <w:lang w:val="en-US" w:eastAsia="zh-CN"/>
              </w:rPr>
              <w:t>0</w:t>
            </w:r>
          </w:p>
        </w:tc>
        <w:tc>
          <w:tcPr>
            <w:tcW w:w="1651" w:type="dxa"/>
            <w:shd w:val="clear" w:color="auto" w:fill="auto"/>
            <w:vAlign w:val="center"/>
          </w:tcPr>
          <w:p w14:paraId="46592E26">
            <w:pPr>
              <w:pStyle w:val="60"/>
              <w:keepNext w:val="0"/>
              <w:keepLines w:val="0"/>
              <w:widowControl/>
              <w:suppressLineNumbers w:val="0"/>
              <w:snapToGrid w:val="0"/>
              <w:spacing w:before="0" w:beforeAutospacing="0" w:after="0" w:afterAutospacing="0"/>
              <w:ind w:left="0" w:leftChars="0" w:right="0" w:rightChars="0"/>
              <w:rPr>
                <w:rFonts w:hint="default" w:cs="Times New Roman"/>
                <w:color w:val="auto"/>
                <w:kern w:val="2"/>
                <w:position w:val="0"/>
                <w:sz w:val="21"/>
                <w:szCs w:val="21"/>
                <w:highlight w:val="none"/>
                <w:lang w:val="en-US" w:eastAsia="zh-CN"/>
              </w:rPr>
            </w:pPr>
            <w:r>
              <w:rPr>
                <w:rFonts w:hint="eastAsia" w:cs="Times New Roman"/>
                <w:color w:val="auto"/>
                <w:kern w:val="2"/>
                <w:position w:val="0"/>
                <w:sz w:val="21"/>
                <w:szCs w:val="21"/>
                <w:highlight w:val="none"/>
                <w:lang w:val="en-US" w:eastAsia="zh-CN"/>
              </w:rPr>
              <w:t>0.125</w:t>
            </w:r>
          </w:p>
        </w:tc>
        <w:tc>
          <w:tcPr>
            <w:tcW w:w="1564" w:type="dxa"/>
            <w:shd w:val="clear" w:color="auto" w:fill="auto"/>
            <w:vAlign w:val="center"/>
          </w:tcPr>
          <w:p w14:paraId="078E95FF">
            <w:pPr>
              <w:pStyle w:val="60"/>
              <w:keepNext w:val="0"/>
              <w:keepLines w:val="0"/>
              <w:widowControl/>
              <w:suppressLineNumbers w:val="0"/>
              <w:snapToGrid w:val="0"/>
              <w:spacing w:before="0" w:beforeAutospacing="0" w:after="0" w:afterAutospacing="0"/>
              <w:ind w:left="0" w:leftChars="0" w:right="0" w:rightChars="0"/>
              <w:rPr>
                <w:rFonts w:hint="default" w:cs="Times New Roman"/>
                <w:color w:val="auto"/>
                <w:kern w:val="2"/>
                <w:position w:val="0"/>
                <w:sz w:val="21"/>
                <w:szCs w:val="21"/>
                <w:highlight w:val="none"/>
                <w:lang w:val="en-US" w:eastAsia="zh-CN"/>
              </w:rPr>
            </w:pPr>
            <w:r>
              <w:rPr>
                <w:rFonts w:hint="default" w:cs="Times New Roman"/>
                <w:color w:val="auto"/>
                <w:kern w:val="2"/>
                <w:position w:val="0"/>
                <w:sz w:val="21"/>
                <w:szCs w:val="21"/>
                <w:highlight w:val="none"/>
                <w:lang w:val="en-US" w:eastAsia="zh-CN"/>
              </w:rPr>
              <w:t>0</w:t>
            </w:r>
          </w:p>
        </w:tc>
        <w:tc>
          <w:tcPr>
            <w:tcW w:w="1720" w:type="dxa"/>
            <w:shd w:val="clear" w:color="auto" w:fill="auto"/>
            <w:vAlign w:val="center"/>
          </w:tcPr>
          <w:p w14:paraId="2050408D">
            <w:pPr>
              <w:pStyle w:val="60"/>
              <w:keepNext w:val="0"/>
              <w:keepLines w:val="0"/>
              <w:widowControl/>
              <w:suppressLineNumbers w:val="0"/>
              <w:snapToGrid w:val="0"/>
              <w:spacing w:before="0" w:beforeAutospacing="0" w:after="0" w:afterAutospacing="0"/>
              <w:ind w:left="0" w:leftChars="0" w:right="0" w:rightChars="0"/>
              <w:rPr>
                <w:rFonts w:hint="default" w:cs="Times New Roman"/>
                <w:color w:val="auto"/>
                <w:kern w:val="2"/>
                <w:position w:val="0"/>
                <w:sz w:val="21"/>
                <w:szCs w:val="21"/>
                <w:highlight w:val="none"/>
                <w:lang w:val="en-US" w:eastAsia="zh-CN"/>
              </w:rPr>
            </w:pPr>
            <w:r>
              <w:rPr>
                <w:rFonts w:hint="eastAsia" w:cs="Times New Roman"/>
                <w:color w:val="auto"/>
                <w:kern w:val="2"/>
                <w:position w:val="0"/>
                <w:sz w:val="21"/>
                <w:szCs w:val="21"/>
                <w:highlight w:val="none"/>
                <w:lang w:val="en-US" w:eastAsia="zh-CN"/>
              </w:rPr>
              <w:t>0.125</w:t>
            </w:r>
          </w:p>
        </w:tc>
        <w:tc>
          <w:tcPr>
            <w:tcW w:w="1407" w:type="dxa"/>
            <w:shd w:val="clear" w:color="auto" w:fill="auto"/>
            <w:vAlign w:val="center"/>
          </w:tcPr>
          <w:p w14:paraId="26148334">
            <w:pPr>
              <w:pStyle w:val="60"/>
              <w:keepNext w:val="0"/>
              <w:keepLines w:val="0"/>
              <w:widowControl/>
              <w:suppressLineNumbers w:val="0"/>
              <w:snapToGrid w:val="0"/>
              <w:spacing w:before="0" w:beforeAutospacing="0" w:after="0" w:afterAutospacing="0"/>
              <w:ind w:left="0" w:leftChars="0" w:right="0" w:rightChars="0"/>
              <w:rPr>
                <w:rFonts w:hint="default" w:cs="Times New Roman"/>
                <w:color w:val="auto"/>
                <w:kern w:val="2"/>
                <w:position w:val="0"/>
                <w:sz w:val="21"/>
                <w:szCs w:val="21"/>
                <w:highlight w:val="none"/>
                <w:lang w:val="en-US" w:eastAsia="zh-CN"/>
              </w:rPr>
            </w:pPr>
            <w:r>
              <w:rPr>
                <w:rFonts w:hint="eastAsia" w:cs="Times New Roman"/>
                <w:color w:val="auto"/>
                <w:kern w:val="2"/>
                <w:position w:val="0"/>
                <w:sz w:val="21"/>
                <w:szCs w:val="21"/>
                <w:highlight w:val="none"/>
                <w:lang w:val="en-US" w:eastAsia="zh-CN"/>
              </w:rPr>
              <w:t>+0.125</w:t>
            </w:r>
          </w:p>
        </w:tc>
      </w:tr>
    </w:tbl>
    <w:p w14:paraId="1D0A6205">
      <w:pPr>
        <w:spacing w:line="240" w:lineRule="auto"/>
        <w:jc w:val="left"/>
        <w:rPr>
          <w:color w:val="auto"/>
          <w:highlight w:val="none"/>
        </w:rPr>
      </w:pPr>
      <w:r>
        <w:rPr>
          <w:rFonts w:eastAsia="黑体"/>
          <w:color w:val="auto"/>
          <w:sz w:val="21"/>
          <w:szCs w:val="21"/>
          <w:highlight w:val="none"/>
        </w:rPr>
        <w:t>注：⑥=①+③+④-⑤；⑦=⑥-①。</w:t>
      </w:r>
    </w:p>
    <w:p w14:paraId="7007F152">
      <w:pPr>
        <w:rPr>
          <w:color w:val="auto"/>
          <w:highlight w:val="none"/>
        </w:rPr>
      </w:pPr>
    </w:p>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0" w:num="1"/>
      <w:docGrid w:type="lines" w:linePitch="334"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2"/>
    <w:family w:val="auto"/>
    <w:pitch w:val="default"/>
    <w:sig w:usb0="E0002EFF" w:usb1="C000785B" w:usb2="00000009" w:usb3="00000000" w:csb0="400001FF" w:csb1="FFFF0000"/>
  </w:font>
  <w:font w:name="宋体">
    <w:panose1 w:val="02010600030101010101"/>
    <w:charset w:val="8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35C75B63-0664-4EC1-9749-CBA7FF5CBEE1}"/>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2" w:fontKey="{05B4B334-D448-463E-8060-FE478EF3BDFC}"/>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embedRegular r:id="rId3" w:fontKey="{77585013-CC5B-448E-919B-54EBE5A3DCD1}"/>
  </w:font>
  <w:font w:name="楷体_GB2312">
    <w:panose1 w:val="02010609030101010101"/>
    <w:charset w:val="86"/>
    <w:family w:val="modern"/>
    <w:pitch w:val="default"/>
    <w:sig w:usb0="00000001" w:usb1="080E0000" w:usb2="00000000" w:usb3="00000000" w:csb0="00040000" w:csb1="00000000"/>
    <w:embedRegular r:id="rId4" w:fontKey="{9B1B7676-6206-4420-A983-D83593DFDB82}"/>
  </w:font>
  <w:font w:name="MS Mincho">
    <w:altName w:val="Yu Gothic UI"/>
    <w:panose1 w:val="02020609040002080304"/>
    <w:charset w:val="80"/>
    <w:family w:val="roman"/>
    <w:pitch w:val="default"/>
    <w:sig w:usb0="00000000" w:usb1="00000000" w:usb2="00000012" w:usb3="00000000" w:csb0="4002009F" w:csb1="DFD70000"/>
  </w:font>
  <w:font w:name="Yu Gothic UI">
    <w:panose1 w:val="020B0500000000000000"/>
    <w:charset w:val="80"/>
    <w:family w:val="auto"/>
    <w:pitch w:val="default"/>
    <w:sig w:usb0="E00002FF" w:usb1="2AC7FDFF" w:usb2="00000016" w:usb3="00000000" w:csb0="2002009F" w:csb1="00000000"/>
  </w:font>
  <w:font w:name="方正仿宋_GBK">
    <w:altName w:val="微软雅黑"/>
    <w:panose1 w:val="03000509000000000000"/>
    <w:charset w:val="86"/>
    <w:family w:val="script"/>
    <w:pitch w:val="default"/>
    <w:sig w:usb0="00000000" w:usb1="0000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新宋体">
    <w:panose1 w:val="02010609030101010101"/>
    <w:charset w:val="86"/>
    <w:family w:val="modern"/>
    <w:pitch w:val="default"/>
    <w:sig w:usb0="00000203" w:usb1="288F0000" w:usb2="00000006" w:usb3="00000000" w:csb0="00040001" w:csb1="00000000"/>
  </w:font>
  <w:font w:name="仿宋">
    <w:panose1 w:val="02010609060101010101"/>
    <w:charset w:val="86"/>
    <w:family w:val="auto"/>
    <w:pitch w:val="default"/>
    <w:sig w:usb0="800002BF" w:usb1="38CF7CFA" w:usb2="00000016" w:usb3="00000000" w:csb0="00040001" w:csb1="00000000"/>
    <w:embedRegular r:id="rId5" w:fontKey="{129E2CD5-8AD9-43F6-8303-06367C218EA0}"/>
  </w:font>
  <w:font w:name="方正小标宋_GBK">
    <w:panose1 w:val="03000509000000000000"/>
    <w:charset w:val="86"/>
    <w:family w:val="script"/>
    <w:pitch w:val="default"/>
    <w:sig w:usb0="00000001" w:usb1="080E0000" w:usb2="00000000" w:usb3="00000000" w:csb0="00040000" w:csb1="00000000"/>
    <w:embedRegular r:id="rId6" w:fontKey="{C2FCC32B-A80B-4716-B8A2-CDC8C0787F8F}"/>
  </w:font>
  <w:font w:name="仿宋_GB2312">
    <w:panose1 w:val="02010609030101010101"/>
    <w:charset w:val="86"/>
    <w:family w:val="modern"/>
    <w:pitch w:val="default"/>
    <w:sig w:usb0="00000001" w:usb1="080E0000" w:usb2="00000000" w:usb3="00000000" w:csb0="00040000" w:csb1="00000000"/>
    <w:embedRegular r:id="rId7" w:fontKey="{4C32366A-CD81-4E68-822D-9F5A9E4341E5}"/>
  </w:font>
  <w:font w:name="Wingdings 2">
    <w:panose1 w:val="05020102010507070707"/>
    <w:charset w:val="02"/>
    <w:family w:val="roman"/>
    <w:pitch w:val="default"/>
    <w:sig w:usb0="00000000" w:usb1="00000000" w:usb2="00000000" w:usb3="00000000" w:csb0="80000000" w:csb1="00000000"/>
    <w:embedRegular r:id="rId8" w:fontKey="{19A1FC52-4637-4409-BE6F-1DBB942E5499}"/>
  </w:font>
  <w:font w:name="Cambria Math">
    <w:panose1 w:val="02040503050406030204"/>
    <w:charset w:val="00"/>
    <w:family w:val="auto"/>
    <w:pitch w:val="default"/>
    <w:sig w:usb0="E00006FF" w:usb1="420024FF" w:usb2="02000000" w:usb3="00000000" w:csb0="2000019F" w:csb1="00000000"/>
    <w:embedRegular r:id="rId9" w:fontKey="{F4D78289-BED5-4DE3-9E60-B5244ADBFE35}"/>
  </w:font>
  <w:font w:name="WPSEMBED2">
    <w:panose1 w:val="03000509000000000000"/>
    <w:charset w:val="86"/>
    <w:family w:val="auto"/>
    <w:pitch w:val="default"/>
    <w:sig w:usb0="00000001" w:usb1="080E0000" w:usb2="00000000" w:usb3="00000000" w:csb0="00040000" w:csb1="00000000"/>
  </w:font>
  <w:font w:name="WPSEMBED1">
    <w:panose1 w:val="02010609030101010101"/>
    <w:charset w:val="86"/>
    <w:family w:val="auto"/>
    <w:pitch w:val="default"/>
    <w:sig w:usb0="00000001" w:usb1="080E0000" w:usb2="00000000" w:usb3="00000000" w:csb0="00040000" w:csb1="00000000"/>
  </w:font>
  <w:font w:name="WPSEMBED3">
    <w:panose1 w:val="0201060903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66A592">
    <w:pPr>
      <w:pStyle w:val="29"/>
    </w:pPr>
    <w:r>
      <w:rPr>
        <w:sz w:val="18"/>
      </w:rPr>
      <mc:AlternateContent>
        <mc:Choice Requires="wps">
          <w:drawing>
            <wp:anchor distT="0" distB="0" distL="0" distR="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097" name="文本框 1"/>
              <wp:cNvGraphicFramePr/>
              <a:graphic xmlns:a="http://schemas.openxmlformats.org/drawingml/2006/main">
                <a:graphicData uri="http://schemas.microsoft.com/office/word/2010/wordprocessingShape">
                  <wps:wsp>
                    <wps:cNvSpPr/>
                    <wps:spPr>
                      <a:xfrm>
                        <a:off x="0" y="0"/>
                        <a:ext cx="1828800" cy="1828800"/>
                      </a:xfrm>
                      <a:prstGeom prst="rect">
                        <a:avLst/>
                      </a:prstGeom>
                      <a:ln>
                        <a:noFill/>
                      </a:ln>
                    </wps:spPr>
                    <wps:txbx>
                      <w:txbxContent>
                        <w:p w14:paraId="0E7EB215">
                          <w:pPr>
                            <w:pStyle w:val="29"/>
                          </w:pPr>
                          <w:r>
                            <w:fldChar w:fldCharType="begin"/>
                          </w:r>
                          <w:r>
                            <w:instrText xml:space="preserve"> PAGE  \* MERGEFORMAT </w:instrText>
                          </w:r>
                          <w:r>
                            <w:fldChar w:fldCharType="separate"/>
                          </w:r>
                          <w:r>
                            <w:t>1</w:t>
                          </w:r>
                          <w:r>
                            <w:fldChar w:fldCharType="end"/>
                          </w:r>
                        </w:p>
                      </w:txbxContent>
                    </wps:txbx>
                    <wps:bodyPr vert="horz" wrap="none" lIns="0" tIns="0" rIns="0" bIns="0" anchor="t" upright="0">
                      <a:spAutoFit/>
                    </wps:bodyPr>
                  </wps:wsp>
                </a:graphicData>
              </a:graphic>
            </wp:anchor>
          </w:drawing>
        </mc:Choice>
        <mc:Fallback>
          <w:pict>
            <v:rect id="文本框 1" o:spid="_x0000_s1026" o:spt="1"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EySV/7SAQAAngMAAA4AAABkcnMvZTJvRG9jLnhtbK1TzY7TMBC+I/EO&#10;lu80aYWgRE1XSNUiJAQrLTyA6ziNJf9pxm1SHgDegBMX7jxXn4Oxk3TRctkDF2fGY3/zfZ8nm5vB&#10;GnZSgNq7mi8XJWfKSd9od6j5l8+3L9acYRSuEcY7VfOzQn6zff5s04dKrXznTaOAEYjDqg8172IM&#10;VVGg7JQVuPBBOSq2HqyIlMKhaED0hG5NsSrLV0XvoQngpUKk3d1Y5BMiPAXQt62Waufl0SoXR1RQ&#10;RkSShJ0OyLeZbdsqGT+1LarITM1JacwrNaF4n9ZiuxHVAUTotJwoiKdQeKTJCu2o6RVqJ6JgR9D/&#10;QFktwaNv40J6W4xCsiOkYlk+8ua+E0FlLWQ1hqvp+P9g5cfTHTDd1Pxl+eY1Z05YevPLj++Xn78v&#10;v76xZXKoD1jRwftwB1OGFCa5Qws2fUkIG7Kr56uraohM0uZyvVqvSzJcUm1OCKd4uB4A4zvlLUtB&#10;zYGeLbspTh8wjkfnI6mbcWl1/lYbM1bTTpFojsRSFIf9MLHd++ZMKmnoCbzz8JWznp685o4mnDPz&#10;3pGjaTrmAOZgPwfCSbpY88jZMYA+dHmSEg0Mb4+RqGSeqfHYbeJDz5aVTiOW5uLvPJ96+K22f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C5dblS0AAAAAUBAAAPAAAAAAAAAAEAIAAAACIAAABkcnMv&#10;ZG93bnJldi54bWxQSwECFAAUAAAACACHTuJATJJX/tIBAACeAwAADgAAAAAAAAABACAAAAAfAQAA&#10;ZHJzL2Uyb0RvYy54bWxQSwUGAAAAAAYABgBZAQAAYwUAAAAA&#10;">
              <v:fill on="f" focussize="0,0"/>
              <v:stroke on="f"/>
              <v:imagedata o:title=""/>
              <o:lock v:ext="edit" aspectratio="f"/>
              <v:textbox inset="0mm,0mm,0mm,0mm" style="mso-fit-shape-to-text:t;">
                <w:txbxContent>
                  <w:p w14:paraId="0E7EB215">
                    <w:pPr>
                      <w:pStyle w:val="29"/>
                    </w:pPr>
                    <w:r>
                      <w:fldChar w:fldCharType="begin"/>
                    </w:r>
                    <w:r>
                      <w:instrText xml:space="preserve"> PAGE  \* MERGEFORMAT </w:instrText>
                    </w:r>
                    <w:r>
                      <w:fldChar w:fldCharType="separate"/>
                    </w:r>
                    <w:r>
                      <w:t>1</w:t>
                    </w:r>
                    <w:r>
                      <w:fldChar w:fldCharType="end"/>
                    </w:r>
                  </w:p>
                </w:txbxContent>
              </v:textbox>
            </v:rect>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F75817">
    <w:pPr>
      <w:tabs>
        <w:tab w:val="center" w:pos="4153"/>
        <w:tab w:val="right" w:pos="8306"/>
      </w:tabs>
    </w:pPr>
    <w:r>
      <w:rPr>
        <w:sz w:val="24"/>
      </w:rPr>
      <mc:AlternateContent>
        <mc:Choice Requires="wps">
          <w:drawing>
            <wp:anchor distT="0" distB="0" distL="0" distR="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098" name="文本框 2"/>
              <wp:cNvGraphicFramePr/>
              <a:graphic xmlns:a="http://schemas.openxmlformats.org/drawingml/2006/main">
                <a:graphicData uri="http://schemas.microsoft.com/office/word/2010/wordprocessingShape">
                  <wps:wsp>
                    <wps:cNvSpPr/>
                    <wps:spPr>
                      <a:xfrm>
                        <a:off x="0" y="0"/>
                        <a:ext cx="1828800" cy="1828800"/>
                      </a:xfrm>
                      <a:prstGeom prst="rect">
                        <a:avLst/>
                      </a:prstGeom>
                      <a:ln>
                        <a:noFill/>
                      </a:ln>
                    </wps:spPr>
                    <wps:txbx>
                      <w:txbxContent>
                        <w:p w14:paraId="7378F746">
                          <w:pPr>
                            <w:pStyle w:val="29"/>
                          </w:pPr>
                          <w:r>
                            <w:fldChar w:fldCharType="begin"/>
                          </w:r>
                          <w:r>
                            <w:instrText xml:space="preserve"> PAGE  \* MERGEFORMAT </w:instrText>
                          </w:r>
                          <w:r>
                            <w:fldChar w:fldCharType="separate"/>
                          </w:r>
                          <w:r>
                            <w:t>1</w:t>
                          </w:r>
                          <w:r>
                            <w:fldChar w:fldCharType="end"/>
                          </w:r>
                        </w:p>
                      </w:txbxContent>
                    </wps:txbx>
                    <wps:bodyPr vert="horz" wrap="none" lIns="0" tIns="0" rIns="0" bIns="0" anchor="t" upright="0">
                      <a:spAutoFit/>
                    </wps:bodyPr>
                  </wps:wsp>
                </a:graphicData>
              </a:graphic>
            </wp:anchor>
          </w:drawing>
        </mc:Choice>
        <mc:Fallback>
          <w:pict>
            <v:rect id="文本框 2" o:spid="_x0000_s1026" o:spt="1"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FjlU1nRAQAAngMAAA4AAABkcnMvZTJvRG9jLnhtbK1TS47TQBDdI3GH&#10;Vu+JnQihYMUZIUWDkBCMNHCATrsdt9Q/VXVihwPADVixYc+5cg6q23ZmNGxmwaZd1Z9X770qb24G&#10;a9hJAWrvar5clJwpJ32j3aHmX7/cvlpzhlG4RhjvVM3PCvnN9uWLTR8qtfKdN40CRiAOqz7UvIsx&#10;VEWBslNW4MIH5eiw9WBFpBQORQOiJ3RrilVZvil6D00ALxUi7e7GQz4hwnMAfdtqqXZeHq1ycUQF&#10;ZUQkSdjpgHyb2batkvFz26KKzNSclMa8UhGK92ktthtRHUCETsuJgngOhSearNCOil6hdiIKdgT9&#10;D5TVEjz6Ni6kt8UoJDtCKpblE2/uOxFU1kJWY7iajv8PVn463QHTTc1fl2+p805Y6vnl54/Lrz+X&#10;39/ZKjnUB6zo4n24gylDCpPcoQWbviSEDdnV89VVNUQmaXO5Xq3XJRku6WxOCKd4eB4A43vlLUtB&#10;zYHalt0Up48Yx6vzlVTNuLQ6f6uNGU/TTpFojsRSFIf9MLHd++ZMKmnoCbzz8I2znlpec0cTzpn5&#10;4MjRNB1zAHOwnwPhJD2seeTsGEAfujxJiQaGd8dIVDLPVHisNvGhtmWl04iluXic51sPv9X2L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Ll1uVLQAAAABQEAAA8AAAAAAAAAAQAgAAAAIgAAAGRycy9k&#10;b3ducmV2LnhtbFBLAQIUABQAAAAIAIdO4kBY5VNZ0QEAAJ4DAAAOAAAAAAAAAAEAIAAAAB8BAABk&#10;cnMvZTJvRG9jLnhtbFBLBQYAAAAABgAGAFkBAABiBQAAAAA=&#10;">
              <v:fill on="f" focussize="0,0"/>
              <v:stroke on="f"/>
              <v:imagedata o:title=""/>
              <o:lock v:ext="edit" aspectratio="f"/>
              <v:textbox inset="0mm,0mm,0mm,0mm" style="mso-fit-shape-to-text:t;">
                <w:txbxContent>
                  <w:p w14:paraId="7378F746">
                    <w:pPr>
                      <w:pStyle w:val="29"/>
                    </w:pPr>
                    <w:r>
                      <w:fldChar w:fldCharType="begin"/>
                    </w:r>
                    <w:r>
                      <w:instrText xml:space="preserve"> PAGE  \* MERGEFORMAT </w:instrText>
                    </w:r>
                    <w:r>
                      <w:fldChar w:fldCharType="separate"/>
                    </w:r>
                    <w:r>
                      <w:t>1</w:t>
                    </w:r>
                    <w:r>
                      <w:fldChar w:fldCharType="end"/>
                    </w:r>
                  </w:p>
                </w:txbxContent>
              </v:textbox>
            </v:rect>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14B870">
    <w:pPr>
      <w:pStyle w:val="3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0"/>
    <w:multiLevelType w:val="singleLevel"/>
    <w:tmpl w:val="00000000"/>
    <w:lvl w:ilvl="0" w:tentative="0">
      <w:start w:val="1"/>
      <w:numFmt w:val="decimal"/>
      <w:pStyle w:val="107"/>
      <w:suff w:val="space"/>
      <w:lvlText w:val="表2-%1"/>
      <w:lvlJc w:val="center"/>
      <w:pPr>
        <w:tabs>
          <w:tab w:val="left" w:pos="0"/>
        </w:tabs>
        <w:ind w:left="0" w:leftChars="0" w:firstLine="0" w:firstLineChars="0"/>
      </w:pPr>
      <w:rPr>
        <w:rFonts w:hint="default" w:ascii="Times New Roman" w:hAnsi="Times New Roman"/>
        <w:b/>
        <w:bCs/>
        <w:snapToGrid w:val="0"/>
        <w:color w:val="000000"/>
        <w:sz w:val="21"/>
        <w:szCs w:val="21"/>
      </w:rPr>
    </w:lvl>
  </w:abstractNum>
  <w:abstractNum w:abstractNumId="1">
    <w:nsid w:val="00000001"/>
    <w:multiLevelType w:val="singleLevel"/>
    <w:tmpl w:val="00000001"/>
    <w:lvl w:ilvl="0" w:tentative="0">
      <w:start w:val="1"/>
      <w:numFmt w:val="chineseCounting"/>
      <w:suff w:val="nothing"/>
      <w:lvlText w:val="%1、"/>
      <w:lvlJc w:val="left"/>
      <w:rPr>
        <w:rFonts w:hint="eastAsia"/>
      </w:rPr>
    </w:lvl>
  </w:abstractNum>
  <w:abstractNum w:abstractNumId="2">
    <w:nsid w:val="00000002"/>
    <w:multiLevelType w:val="singleLevel"/>
    <w:tmpl w:val="00000002"/>
    <w:lvl w:ilvl="0" w:tentative="0">
      <w:start w:val="1"/>
      <w:numFmt w:val="bullet"/>
      <w:pStyle w:val="15"/>
      <w:lvlText w:val=""/>
      <w:lvlJc w:val="left"/>
      <w:pPr>
        <w:tabs>
          <w:tab w:val="left" w:pos="780"/>
        </w:tabs>
        <w:ind w:left="840" w:hanging="360"/>
      </w:pPr>
      <w:rPr>
        <w:rFonts w:hint="default" w:ascii="Wingdings" w:hAnsi="Wingdings"/>
      </w:rPr>
    </w:lvl>
  </w:abstractNum>
  <w:abstractNum w:abstractNumId="3">
    <w:nsid w:val="00000003"/>
    <w:multiLevelType w:val="multilevel"/>
    <w:tmpl w:val="00000003"/>
    <w:lvl w:ilvl="0" w:tentative="0">
      <w:start w:val="1"/>
      <w:numFmt w:val="decimal"/>
      <w:pStyle w:val="104"/>
      <w:suff w:val="space"/>
      <w:lvlText w:val="%1."/>
      <w:lvlJc w:val="left"/>
      <w:pPr>
        <w:tabs>
          <w:tab w:val="left" w:pos="0"/>
        </w:tabs>
        <w:ind w:left="0" w:firstLine="482"/>
      </w:pPr>
      <w:rPr>
        <w:rFonts w:hint="default"/>
        <w:b/>
        <w:bCs/>
        <w:color w:val="000000"/>
        <w:sz w:val="24"/>
        <w:szCs w:val="24"/>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4">
    <w:nsid w:val="00000004"/>
    <w:multiLevelType w:val="singleLevel"/>
    <w:tmpl w:val="00000004"/>
    <w:lvl w:ilvl="0" w:tentative="0">
      <w:start w:val="6"/>
      <w:numFmt w:val="upperLetter"/>
      <w:lvlText w:val="%1."/>
      <w:lvlJc w:val="left"/>
      <w:pPr>
        <w:tabs>
          <w:tab w:val="left" w:pos="312"/>
        </w:tabs>
      </w:pPr>
    </w:lvl>
  </w:abstractNum>
  <w:abstractNum w:abstractNumId="5">
    <w:nsid w:val="00000005"/>
    <w:multiLevelType w:val="singleLevel"/>
    <w:tmpl w:val="00000005"/>
    <w:lvl w:ilvl="0" w:tentative="0">
      <w:start w:val="1"/>
      <w:numFmt w:val="bullet"/>
      <w:pStyle w:val="13"/>
      <w:lvlText w:val=""/>
      <w:lvlJc w:val="left"/>
      <w:pPr>
        <w:tabs>
          <w:tab w:val="left" w:pos="2040"/>
        </w:tabs>
        <w:ind w:left="2040" w:hanging="360"/>
      </w:pPr>
      <w:rPr>
        <w:rFonts w:hint="default" w:ascii="Wingdings" w:hAnsi="Wingdings"/>
      </w:rPr>
    </w:lvl>
  </w:abstractNum>
  <w:abstractNum w:abstractNumId="6">
    <w:nsid w:val="00000006"/>
    <w:multiLevelType w:val="multilevel"/>
    <w:tmpl w:val="00000006"/>
    <w:lvl w:ilvl="0" w:tentative="0">
      <w:start w:val="1"/>
      <w:numFmt w:val="decimal"/>
      <w:lvlText w:val="%1"/>
      <w:lvlJc w:val="left"/>
      <w:pPr>
        <w:ind w:left="432" w:hanging="432"/>
      </w:pPr>
      <w:rPr>
        <w:rFonts w:hint="eastAsia"/>
      </w:rPr>
    </w:lvl>
    <w:lvl w:ilvl="1" w:tentative="0">
      <w:start w:val="1"/>
      <w:numFmt w:val="none"/>
      <w:pStyle w:val="3"/>
      <w:suff w:val="nothing"/>
      <w:lvlText w:val=""/>
      <w:lvlJc w:val="left"/>
      <w:pPr>
        <w:tabs>
          <w:tab w:val="left" w:pos="0"/>
        </w:tabs>
        <w:ind w:left="0" w:firstLine="0"/>
      </w:pPr>
      <w:rPr>
        <w:rFonts w:hint="eastAsia" w:ascii="宋体" w:hAnsi="宋体" w:eastAsia="宋体" w:cs="宋体"/>
      </w:rPr>
    </w:lvl>
    <w:lvl w:ilvl="2" w:tentative="0">
      <w:start w:val="1"/>
      <w:numFmt w:val="chineseCounting"/>
      <w:pStyle w:val="4"/>
      <w:suff w:val="nothing"/>
      <w:lvlText w:val="%3、"/>
      <w:lvlJc w:val="left"/>
      <w:pPr>
        <w:tabs>
          <w:tab w:val="left" w:pos="0"/>
        </w:tabs>
        <w:ind w:left="-2" w:firstLine="0"/>
      </w:pPr>
      <w:rPr>
        <w:rFonts w:hint="eastAsia" w:ascii="宋体" w:hAnsi="宋体" w:eastAsia="宋体" w:cs="宋体"/>
        <w:b/>
        <w:bCs/>
        <w:sz w:val="24"/>
        <w:szCs w:val="24"/>
      </w:rPr>
    </w:lvl>
    <w:lvl w:ilvl="3" w:tentative="0">
      <w:start w:val="1"/>
      <w:numFmt w:val="decimal"/>
      <w:pStyle w:val="5"/>
      <w:suff w:val="nothing"/>
      <w:lvlText w:val="%4、"/>
      <w:lvlJc w:val="left"/>
      <w:pPr>
        <w:tabs>
          <w:tab w:val="left" w:pos="0"/>
        </w:tabs>
        <w:ind w:left="-96" w:hanging="864"/>
      </w:pPr>
      <w:rPr>
        <w:rFonts w:hint="eastAsia" w:ascii="Times New Roman" w:hAnsi="Times New Roman" w:eastAsia="宋体" w:cs="宋体"/>
        <w:b/>
        <w:bCs/>
        <w:sz w:val="24"/>
        <w:szCs w:val="24"/>
      </w:rPr>
    </w:lvl>
    <w:lvl w:ilvl="4" w:tentative="0">
      <w:start w:val="1"/>
      <w:numFmt w:val="decimal"/>
      <w:pStyle w:val="6"/>
      <w:suff w:val="nothing"/>
      <w:lvlText w:val="（%5）"/>
      <w:lvlJc w:val="left"/>
      <w:pPr>
        <w:tabs>
          <w:tab w:val="left" w:pos="0"/>
        </w:tabs>
        <w:ind w:left="-960" w:firstLine="0"/>
      </w:pPr>
      <w:rPr>
        <w:rFonts w:hint="eastAsia" w:ascii="Times New Roman" w:hAnsi="Times New Roman" w:eastAsia="宋体" w:cs="宋体"/>
      </w:rPr>
    </w:lvl>
    <w:lvl w:ilvl="5" w:tentative="0">
      <w:start w:val="1"/>
      <w:numFmt w:val="decimalEnclosedCircleChinese"/>
      <w:pStyle w:val="7"/>
      <w:suff w:val="nothing"/>
      <w:lvlText w:val="%6"/>
      <w:lvlJc w:val="left"/>
      <w:pPr>
        <w:tabs>
          <w:tab w:val="left" w:pos="0"/>
        </w:tabs>
        <w:ind w:left="0" w:firstLine="0"/>
      </w:pPr>
      <w:rPr>
        <w:rFonts w:hint="eastAsia" w:ascii="宋体" w:hAnsi="宋体" w:eastAsia="宋体" w:cs="宋体"/>
        <w:sz w:val="21"/>
        <w:szCs w:val="21"/>
      </w:rPr>
    </w:lvl>
    <w:lvl w:ilvl="6" w:tentative="0">
      <w:start w:val="1"/>
      <w:numFmt w:val="decimal"/>
      <w:lvlText w:val="%1.%2.%3.%4.%5.%6.%7"/>
      <w:lvlJc w:val="left"/>
      <w:pPr>
        <w:ind w:left="1296" w:hanging="1296"/>
      </w:pPr>
      <w:rPr>
        <w:rFonts w:hint="eastAsia"/>
      </w:rPr>
    </w:lvl>
    <w:lvl w:ilvl="7" w:tentative="0">
      <w:start w:val="1"/>
      <w:numFmt w:val="decimal"/>
      <w:lvlText w:val="%1.%2.%3.%4.%5.%6.%7.%8"/>
      <w:lvlJc w:val="left"/>
      <w:pPr>
        <w:ind w:left="1440" w:hanging="1440"/>
      </w:pPr>
      <w:rPr>
        <w:rFonts w:hint="eastAsia"/>
      </w:rPr>
    </w:lvl>
    <w:lvl w:ilvl="8" w:tentative="0">
      <w:start w:val="1"/>
      <w:numFmt w:val="decimal"/>
      <w:lvlText w:val="%1.%2.%3.%4.%5.%6.%7.%8.%9"/>
      <w:lvlJc w:val="left"/>
      <w:pPr>
        <w:ind w:left="1584" w:hanging="1584"/>
      </w:pPr>
      <w:rPr>
        <w:rFonts w:hint="eastAsia"/>
      </w:rPr>
    </w:lvl>
  </w:abstractNum>
  <w:abstractNum w:abstractNumId="7">
    <w:nsid w:val="00000007"/>
    <w:multiLevelType w:val="singleLevel"/>
    <w:tmpl w:val="00000007"/>
    <w:lvl w:ilvl="0" w:tentative="0">
      <w:start w:val="1"/>
      <w:numFmt w:val="chineseCounting"/>
      <w:pStyle w:val="2"/>
      <w:suff w:val="nothing"/>
      <w:lvlText w:val="%1、"/>
      <w:lvlJc w:val="left"/>
      <w:pPr>
        <w:tabs>
          <w:tab w:val="left" w:pos="0"/>
        </w:tabs>
        <w:ind w:left="0" w:firstLine="0"/>
      </w:pPr>
      <w:rPr>
        <w:rFonts w:hint="eastAsia" w:ascii="黑体" w:hAnsi="黑体" w:eastAsia="黑体" w:cs="黑体"/>
        <w:sz w:val="30"/>
        <w:szCs w:val="30"/>
      </w:rPr>
    </w:lvl>
  </w:abstractNum>
  <w:abstractNum w:abstractNumId="8">
    <w:nsid w:val="00000008"/>
    <w:multiLevelType w:val="multilevel"/>
    <w:tmpl w:val="00000008"/>
    <w:lvl w:ilvl="0" w:tentative="0">
      <w:start w:val="1"/>
      <w:numFmt w:val="decimal"/>
      <w:lvlText w:val="%1"/>
      <w:lvlJc w:val="center"/>
      <w:pPr>
        <w:tabs>
          <w:tab w:val="left" w:pos="0"/>
        </w:tabs>
        <w:ind w:left="0" w:leftChars="0" w:firstLine="0" w:firstLineChars="0"/>
      </w:pPr>
      <w:rPr>
        <w:rFonts w:hint="default"/>
      </w:rPr>
    </w:lvl>
    <w:lvl w:ilvl="1" w:tentative="0">
      <w:start w:val="1"/>
      <w:numFmt w:val="decimal"/>
      <w:lvlText w:val="(%2)"/>
      <w:lvlJc w:val="center"/>
      <w:pPr>
        <w:tabs>
          <w:tab w:val="left" w:pos="840"/>
        </w:tabs>
        <w:ind w:left="840" w:leftChars="0" w:hanging="420" w:firstLineChars="0"/>
      </w:pPr>
      <w:rPr>
        <w:rFonts w:hint="default"/>
      </w:rPr>
    </w:lvl>
    <w:lvl w:ilvl="2" w:tentative="0">
      <w:start w:val="1"/>
      <w:numFmt w:val="decimalEnclosedCircleChinese"/>
      <w:lvlText w:val="%3"/>
      <w:lvlJc w:val="center"/>
      <w:pPr>
        <w:tabs>
          <w:tab w:val="left" w:pos="1260"/>
        </w:tabs>
        <w:ind w:left="1260" w:leftChars="0" w:hanging="420" w:firstLineChars="0"/>
      </w:pPr>
      <w:rPr>
        <w:rFonts w:hint="default"/>
      </w:rPr>
    </w:lvl>
    <w:lvl w:ilvl="3" w:tentative="0">
      <w:start w:val="1"/>
      <w:numFmt w:val="decimal"/>
      <w:lvlText w:val="%4)"/>
      <w:lvlJc w:val="center"/>
      <w:pPr>
        <w:tabs>
          <w:tab w:val="left" w:pos="1680"/>
        </w:tabs>
        <w:ind w:left="1680" w:leftChars="0" w:hanging="420" w:firstLineChars="0"/>
      </w:pPr>
      <w:rPr>
        <w:rFonts w:hint="default"/>
      </w:rPr>
    </w:lvl>
    <w:lvl w:ilvl="4" w:tentative="0">
      <w:start w:val="1"/>
      <w:numFmt w:val="lowerLetter"/>
      <w:lvlText w:val="%5."/>
      <w:lvlJc w:val="center"/>
      <w:pPr>
        <w:tabs>
          <w:tab w:val="left" w:pos="2100"/>
        </w:tabs>
        <w:ind w:left="2100" w:leftChars="0" w:hanging="420" w:firstLineChars="0"/>
      </w:pPr>
      <w:rPr>
        <w:rFonts w:hint="default"/>
      </w:rPr>
    </w:lvl>
    <w:lvl w:ilvl="5" w:tentative="0">
      <w:start w:val="1"/>
      <w:numFmt w:val="lowerLetter"/>
      <w:lvlText w:val="%6)"/>
      <w:lvlJc w:val="center"/>
      <w:pPr>
        <w:tabs>
          <w:tab w:val="left" w:pos="2520"/>
        </w:tabs>
        <w:ind w:left="2520" w:leftChars="0" w:hanging="420" w:firstLineChars="0"/>
      </w:pPr>
      <w:rPr>
        <w:rFonts w:hint="default"/>
      </w:rPr>
    </w:lvl>
    <w:lvl w:ilvl="6" w:tentative="0">
      <w:start w:val="1"/>
      <w:numFmt w:val="lowerRoman"/>
      <w:lvlText w:val="%7."/>
      <w:lvlJc w:val="center"/>
      <w:pPr>
        <w:tabs>
          <w:tab w:val="left" w:pos="2940"/>
        </w:tabs>
        <w:ind w:left="2940" w:leftChars="0" w:hanging="420" w:firstLineChars="0"/>
      </w:pPr>
      <w:rPr>
        <w:rFonts w:hint="default"/>
      </w:rPr>
    </w:lvl>
    <w:lvl w:ilvl="7" w:tentative="0">
      <w:start w:val="1"/>
      <w:numFmt w:val="lowerRoman"/>
      <w:lvlText w:val="%8)"/>
      <w:lvlJc w:val="center"/>
      <w:pPr>
        <w:tabs>
          <w:tab w:val="left" w:pos="3360"/>
        </w:tabs>
        <w:ind w:left="3360" w:leftChars="0" w:hanging="420" w:firstLineChars="0"/>
      </w:pPr>
      <w:rPr>
        <w:rFonts w:hint="default"/>
      </w:rPr>
    </w:lvl>
    <w:lvl w:ilvl="8" w:tentative="0">
      <w:start w:val="1"/>
      <w:numFmt w:val="lowerLetter"/>
      <w:lvlText w:val="%9."/>
      <w:lvlJc w:val="center"/>
      <w:pPr>
        <w:tabs>
          <w:tab w:val="left" w:pos="3780"/>
        </w:tabs>
        <w:ind w:left="3780" w:leftChars="0" w:hanging="420" w:firstLineChars="0"/>
      </w:pPr>
      <w:rPr>
        <w:rFonts w:hint="default"/>
      </w:rPr>
    </w:lvl>
  </w:abstractNum>
  <w:abstractNum w:abstractNumId="9">
    <w:nsid w:val="00000009"/>
    <w:multiLevelType w:val="singleLevel"/>
    <w:tmpl w:val="00000009"/>
    <w:lvl w:ilvl="0" w:tentative="0">
      <w:start w:val="1"/>
      <w:numFmt w:val="decimal"/>
      <w:suff w:val="space"/>
      <w:lvlText w:val="图4-%1"/>
      <w:lvlJc w:val="left"/>
      <w:pPr>
        <w:tabs>
          <w:tab w:val="left" w:pos="0"/>
        </w:tabs>
        <w:ind w:left="0" w:firstLine="0"/>
      </w:pPr>
      <w:rPr>
        <w:rFonts w:hint="default"/>
        <w:b/>
        <w:sz w:val="21"/>
        <w:szCs w:val="21"/>
      </w:rPr>
    </w:lvl>
  </w:abstractNum>
  <w:abstractNum w:abstractNumId="10">
    <w:nsid w:val="0000000A"/>
    <w:multiLevelType w:val="singleLevel"/>
    <w:tmpl w:val="0000000A"/>
    <w:lvl w:ilvl="0" w:tentative="0">
      <w:start w:val="1"/>
      <w:numFmt w:val="decimal"/>
      <w:pStyle w:val="102"/>
      <w:suff w:val="space"/>
      <w:lvlText w:val="表1-%1"/>
      <w:lvlJc w:val="center"/>
      <w:pPr>
        <w:tabs>
          <w:tab w:val="left" w:pos="0"/>
        </w:tabs>
        <w:ind w:left="0" w:leftChars="0" w:firstLine="0" w:firstLineChars="0"/>
      </w:pPr>
      <w:rPr>
        <w:rFonts w:hint="default" w:ascii="Times New Roman" w:hAnsi="Times New Roman"/>
        <w:b/>
        <w:bCs/>
        <w:sz w:val="21"/>
        <w:szCs w:val="21"/>
      </w:rPr>
    </w:lvl>
  </w:abstractNum>
  <w:num w:numId="1">
    <w:abstractNumId w:val="7"/>
  </w:num>
  <w:num w:numId="2">
    <w:abstractNumId w:val="6"/>
  </w:num>
  <w:num w:numId="3">
    <w:abstractNumId w:val="5"/>
  </w:num>
  <w:num w:numId="4">
    <w:abstractNumId w:val="2"/>
  </w:num>
  <w:num w:numId="5">
    <w:abstractNumId w:val="10"/>
  </w:num>
  <w:num w:numId="6">
    <w:abstractNumId w:val="3"/>
  </w:num>
  <w:num w:numId="7">
    <w:abstractNumId w:val="0"/>
  </w:num>
  <w:num w:numId="8">
    <w:abstractNumId w:val="8"/>
  </w:num>
  <w:num w:numId="9">
    <w:abstractNumId w:val="1"/>
  </w:num>
  <w:num w:numId="10">
    <w:abstractNumId w:val="4"/>
  </w:num>
  <w:num w:numId="1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saveSubsetFonts/>
  <w:bordersDoNotSurroundHeader w:val="0"/>
  <w:bordersDoNotSurroundFooter w:val="0"/>
  <w:hideSpellingErrors/>
  <w:documentProtection w:enforcement="0"/>
  <w:defaultTabStop w:val="420"/>
  <w:drawingGridVerticalSpacing w:val="167"/>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10A7002"/>
    <w:rsid w:val="04E72B55"/>
    <w:rsid w:val="0766313B"/>
    <w:rsid w:val="0A5F1209"/>
    <w:rsid w:val="10F90377"/>
    <w:rsid w:val="144E4536"/>
    <w:rsid w:val="17A9308F"/>
    <w:rsid w:val="18595A12"/>
    <w:rsid w:val="18E11150"/>
    <w:rsid w:val="1C8D286B"/>
    <w:rsid w:val="2150313D"/>
    <w:rsid w:val="21BF7A5A"/>
    <w:rsid w:val="22FE58EF"/>
    <w:rsid w:val="238B51F3"/>
    <w:rsid w:val="24ED56A6"/>
    <w:rsid w:val="27395107"/>
    <w:rsid w:val="359202CF"/>
    <w:rsid w:val="35D272C2"/>
    <w:rsid w:val="37FC139F"/>
    <w:rsid w:val="3A810D66"/>
    <w:rsid w:val="3AA4044D"/>
    <w:rsid w:val="41046C8C"/>
    <w:rsid w:val="412A3AB2"/>
    <w:rsid w:val="435754F7"/>
    <w:rsid w:val="439A01A5"/>
    <w:rsid w:val="46362A48"/>
    <w:rsid w:val="47155126"/>
    <w:rsid w:val="4776683D"/>
    <w:rsid w:val="4B31282D"/>
    <w:rsid w:val="4C157BC4"/>
    <w:rsid w:val="521B6ECB"/>
    <w:rsid w:val="52D152BE"/>
    <w:rsid w:val="536B16E9"/>
    <w:rsid w:val="59E611F1"/>
    <w:rsid w:val="5A6B2032"/>
    <w:rsid w:val="5DD921C5"/>
    <w:rsid w:val="5E734892"/>
    <w:rsid w:val="5F372A53"/>
    <w:rsid w:val="5F407C12"/>
    <w:rsid w:val="60BA538E"/>
    <w:rsid w:val="63852E48"/>
    <w:rsid w:val="67EB7247"/>
    <w:rsid w:val="6866313B"/>
    <w:rsid w:val="68CC5CCD"/>
    <w:rsid w:val="6CDA3D2E"/>
    <w:rsid w:val="6CEB6BE5"/>
    <w:rsid w:val="6D3C0057"/>
    <w:rsid w:val="76793371"/>
    <w:rsid w:val="7DC8441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qFormat="1" w:unhideWhenUsed="0" w:uiPriority="0" w:semiHidden="0" w:name="List 2"/>
    <w:lsdException w:qFormat="1" w:unhideWhenUsed="0" w:uiPriority="0" w:semiHidden="0" w:name="List 3"/>
    <w:lsdException w:unhideWhenUsed="0" w:uiPriority="0" w:semiHidden="0" w:name="List 4"/>
    <w:lsdException w:unhideWhenUsed="0" w:uiPriority="0" w:semiHidden="0" w:name="List 5"/>
    <w:lsdException w:qFormat="1"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1"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qFormat="1" w:unhideWhenUsed="0" w:uiPriority="99"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qFormat="1"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99" w:semiHidden="0"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jc w:val="both"/>
    </w:pPr>
    <w:rPr>
      <w:rFonts w:ascii="Times New Roman" w:hAnsi="Times New Roman" w:eastAsia="宋体" w:cs="Times New Roman"/>
      <w:kern w:val="2"/>
      <w:sz w:val="24"/>
      <w:szCs w:val="24"/>
      <w:lang w:val="en-US" w:eastAsia="zh-CN" w:bidi="ar-SA"/>
    </w:rPr>
  </w:style>
  <w:style w:type="paragraph" w:styleId="2">
    <w:name w:val="heading 1"/>
    <w:basedOn w:val="1"/>
    <w:next w:val="1"/>
    <w:qFormat/>
    <w:uiPriority w:val="0"/>
    <w:pPr>
      <w:keepNext/>
      <w:keepLines/>
      <w:numPr>
        <w:ilvl w:val="0"/>
        <w:numId w:val="1"/>
      </w:numPr>
      <w:jc w:val="center"/>
      <w:outlineLvl w:val="0"/>
    </w:pPr>
    <w:rPr>
      <w:rFonts w:eastAsia="黑体" w:cs="宋体"/>
      <w:color w:val="000000"/>
      <w:kern w:val="44"/>
      <w:sz w:val="30"/>
      <w:szCs w:val="30"/>
    </w:rPr>
  </w:style>
  <w:style w:type="paragraph" w:styleId="3">
    <w:name w:val="heading 2"/>
    <w:next w:val="1"/>
    <w:qFormat/>
    <w:uiPriority w:val="0"/>
    <w:pPr>
      <w:keepNext/>
      <w:numPr>
        <w:ilvl w:val="1"/>
        <w:numId w:val="2"/>
      </w:numPr>
      <w:tabs>
        <w:tab w:val="clear" w:pos="0"/>
      </w:tabs>
      <w:jc w:val="center"/>
      <w:outlineLvl w:val="1"/>
    </w:pPr>
    <w:rPr>
      <w:rFonts w:ascii="Times New Roman" w:hAnsi="Times New Roman" w:eastAsia="宋体" w:cs="Times New Roman"/>
      <w:color w:val="000000"/>
      <w:sz w:val="24"/>
      <w:szCs w:val="24"/>
      <w:lang w:val="en-US" w:eastAsia="zh-CN" w:bidi="ar-SA"/>
    </w:rPr>
  </w:style>
  <w:style w:type="paragraph" w:styleId="4">
    <w:name w:val="heading 3"/>
    <w:basedOn w:val="1"/>
    <w:next w:val="1"/>
    <w:qFormat/>
    <w:uiPriority w:val="0"/>
    <w:pPr>
      <w:keepNext/>
      <w:keepLines/>
      <w:numPr>
        <w:ilvl w:val="2"/>
        <w:numId w:val="2"/>
      </w:numPr>
      <w:tabs>
        <w:tab w:val="clear" w:pos="0"/>
      </w:tabs>
      <w:ind w:firstLine="1440" w:firstLineChars="200"/>
      <w:outlineLvl w:val="2"/>
    </w:pPr>
    <w:rPr>
      <w:b/>
      <w:bCs/>
      <w:color w:val="000000"/>
    </w:rPr>
  </w:style>
  <w:style w:type="paragraph" w:styleId="5">
    <w:name w:val="heading 4"/>
    <w:basedOn w:val="1"/>
    <w:next w:val="1"/>
    <w:qFormat/>
    <w:uiPriority w:val="0"/>
    <w:pPr>
      <w:keepNext/>
      <w:keepLines/>
      <w:numPr>
        <w:ilvl w:val="3"/>
        <w:numId w:val="2"/>
      </w:numPr>
      <w:tabs>
        <w:tab w:val="clear" w:pos="0"/>
      </w:tabs>
      <w:ind w:left="0" w:firstLine="1440" w:firstLineChars="200"/>
      <w:outlineLvl w:val="3"/>
    </w:pPr>
    <w:rPr>
      <w:b/>
      <w:bCs/>
      <w:color w:val="000000"/>
      <w:szCs w:val="28"/>
    </w:rPr>
  </w:style>
  <w:style w:type="paragraph" w:styleId="6">
    <w:name w:val="heading 5"/>
    <w:next w:val="1"/>
    <w:qFormat/>
    <w:uiPriority w:val="0"/>
    <w:pPr>
      <w:keepNext/>
      <w:keepLines/>
      <w:numPr>
        <w:ilvl w:val="4"/>
        <w:numId w:val="2"/>
      </w:numPr>
      <w:spacing w:line="360" w:lineRule="auto"/>
      <w:ind w:firstLine="1440" w:firstLineChars="200"/>
      <w:outlineLvl w:val="4"/>
    </w:pPr>
    <w:rPr>
      <w:rFonts w:ascii="Times New Roman" w:hAnsi="Times New Roman" w:eastAsia="宋体" w:cs="Times New Roman"/>
      <w:b/>
      <w:bCs/>
      <w:sz w:val="24"/>
      <w:szCs w:val="24"/>
      <w:lang w:val="en-US" w:eastAsia="zh-CN" w:bidi="ar-SA"/>
    </w:rPr>
  </w:style>
  <w:style w:type="paragraph" w:styleId="7">
    <w:name w:val="heading 6"/>
    <w:basedOn w:val="1"/>
    <w:next w:val="1"/>
    <w:qFormat/>
    <w:uiPriority w:val="0"/>
    <w:pPr>
      <w:keepNext/>
      <w:keepLines/>
      <w:numPr>
        <w:ilvl w:val="5"/>
        <w:numId w:val="2"/>
      </w:numPr>
      <w:ind w:firstLine="1440" w:firstLineChars="200"/>
      <w:outlineLvl w:val="5"/>
    </w:pPr>
    <w:rPr>
      <w:szCs w:val="21"/>
    </w:rPr>
  </w:style>
  <w:style w:type="character" w:default="1" w:styleId="41">
    <w:name w:val="Default Paragraph Font"/>
    <w:qFormat/>
    <w:uiPriority w:val="1"/>
  </w:style>
  <w:style w:type="table" w:default="1" w:styleId="39">
    <w:name w:val="Normal Table"/>
    <w:qFormat/>
    <w:uiPriority w:val="99"/>
    <w:pPr>
      <w:keepNext w:val="0"/>
      <w:keepLines w:val="0"/>
      <w:widowControl/>
      <w:suppressLineNumbers w:val="0"/>
      <w:spacing w:before="0" w:beforeAutospacing="0" w:after="0" w:afterAutospacing="0"/>
      <w:ind w:left="0" w:right="0"/>
    </w:pPr>
    <w:rPr>
      <w:rFonts w:hint="eastAsia" w:ascii="等线" w:hAnsi="等线" w:eastAsia="等线" w:cs="等线"/>
      <w:kern w:val="2"/>
      <w:sz w:val="21"/>
      <w:szCs w:val="21"/>
    </w:rPr>
    <w:tblPr>
      <w:tblCellMar>
        <w:top w:w="0" w:type="dxa"/>
        <w:left w:w="108" w:type="dxa"/>
        <w:bottom w:w="0" w:type="dxa"/>
        <w:right w:w="108" w:type="dxa"/>
      </w:tblCellMar>
    </w:tblPr>
  </w:style>
  <w:style w:type="paragraph" w:styleId="8">
    <w:name w:val="List 3"/>
    <w:basedOn w:val="1"/>
    <w:next w:val="1"/>
    <w:qFormat/>
    <w:uiPriority w:val="0"/>
    <w:pPr>
      <w:autoSpaceDE w:val="0"/>
      <w:autoSpaceDN w:val="0"/>
      <w:adjustRightInd w:val="0"/>
      <w:spacing w:line="288" w:lineRule="auto"/>
      <w:ind w:left="1260" w:hanging="420"/>
      <w:jc w:val="left"/>
      <w:textAlignment w:val="baseline"/>
    </w:pPr>
    <w:rPr>
      <w:kern w:val="0"/>
      <w:szCs w:val="20"/>
    </w:rPr>
  </w:style>
  <w:style w:type="paragraph" w:styleId="9">
    <w:name w:val="E-mail Signature"/>
    <w:basedOn w:val="1"/>
    <w:next w:val="10"/>
    <w:qFormat/>
    <w:uiPriority w:val="0"/>
    <w:pPr>
      <w:spacing w:line="460" w:lineRule="exact"/>
      <w:ind w:firstLine="200"/>
    </w:pPr>
  </w:style>
  <w:style w:type="paragraph" w:customStyle="1" w:styleId="10">
    <w:name w:val="文章"/>
    <w:basedOn w:val="11"/>
    <w:next w:val="14"/>
    <w:qFormat/>
    <w:uiPriority w:val="0"/>
    <w:pPr>
      <w:widowControl/>
      <w:ind w:firstLine="480"/>
      <w:jc w:val="center"/>
    </w:pPr>
    <w:rPr>
      <w:sz w:val="26"/>
    </w:rPr>
  </w:style>
  <w:style w:type="paragraph" w:styleId="11">
    <w:name w:val="Body Text Indent"/>
    <w:basedOn w:val="1"/>
    <w:next w:val="12"/>
    <w:qFormat/>
    <w:uiPriority w:val="0"/>
    <w:pPr>
      <w:adjustRightInd w:val="0"/>
      <w:spacing w:after="120"/>
      <w:ind w:left="420" w:leftChars="200"/>
      <w:textAlignment w:val="baseline"/>
    </w:pPr>
    <w:rPr>
      <w:sz w:val="21"/>
      <w:szCs w:val="21"/>
    </w:rPr>
  </w:style>
  <w:style w:type="paragraph" w:styleId="12">
    <w:name w:val="Body Text"/>
    <w:basedOn w:val="1"/>
    <w:next w:val="13"/>
    <w:qFormat/>
    <w:uiPriority w:val="0"/>
    <w:pPr>
      <w:wordWrap w:val="0"/>
      <w:ind w:firstLine="1440" w:firstLineChars="200"/>
    </w:pPr>
    <w:rPr>
      <w:color w:val="000000"/>
    </w:rPr>
  </w:style>
  <w:style w:type="paragraph" w:styleId="13">
    <w:name w:val="List Bullet 5"/>
    <w:basedOn w:val="1"/>
    <w:qFormat/>
    <w:uiPriority w:val="0"/>
    <w:pPr>
      <w:numPr>
        <w:ilvl w:val="0"/>
        <w:numId w:val="3"/>
      </w:numPr>
    </w:pPr>
  </w:style>
  <w:style w:type="paragraph" w:styleId="14">
    <w:name w:val="List"/>
    <w:basedOn w:val="1"/>
    <w:next w:val="15"/>
    <w:qFormat/>
    <w:uiPriority w:val="0"/>
    <w:pPr>
      <w:ind w:left="200" w:hanging="200" w:hangingChars="200"/>
      <w:contextualSpacing/>
    </w:pPr>
  </w:style>
  <w:style w:type="paragraph" w:styleId="15">
    <w:name w:val="List Bullet 2"/>
    <w:basedOn w:val="1"/>
    <w:next w:val="16"/>
    <w:qFormat/>
    <w:uiPriority w:val="0"/>
    <w:pPr>
      <w:numPr>
        <w:ilvl w:val="0"/>
        <w:numId w:val="4"/>
      </w:numPr>
    </w:pPr>
  </w:style>
  <w:style w:type="paragraph" w:customStyle="1" w:styleId="16">
    <w:name w:val="xl70"/>
    <w:basedOn w:val="1"/>
    <w:next w:val="17"/>
    <w:qFormat/>
    <w:uiPriority w:val="0"/>
    <w:pPr>
      <w:widowControl/>
      <w:spacing w:before="280" w:after="280" w:line="240" w:lineRule="auto"/>
    </w:pPr>
    <w:rPr>
      <w:rFonts w:ascii="宋体"/>
    </w:rPr>
  </w:style>
  <w:style w:type="paragraph" w:customStyle="1" w:styleId="17">
    <w:name w:val="正文缩进1"/>
    <w:basedOn w:val="1"/>
    <w:next w:val="18"/>
    <w:qFormat/>
    <w:uiPriority w:val="0"/>
    <w:pPr>
      <w:spacing w:line="312" w:lineRule="atLeast"/>
      <w:textAlignment w:val="baseline"/>
    </w:pPr>
    <w:rPr>
      <w:kern w:val="0"/>
      <w:sz w:val="28"/>
      <w:szCs w:val="20"/>
    </w:rPr>
  </w:style>
  <w:style w:type="paragraph" w:customStyle="1" w:styleId="18">
    <w:name w:val="td1"/>
    <w:basedOn w:val="1"/>
    <w:next w:val="1"/>
    <w:qFormat/>
    <w:uiPriority w:val="0"/>
    <w:pPr>
      <w:widowControl/>
      <w:spacing w:before="280" w:after="280" w:line="300" w:lineRule="atLeast"/>
      <w:ind w:firstLine="200"/>
    </w:pPr>
    <w:rPr>
      <w:color w:val="000000"/>
      <w:sz w:val="18"/>
    </w:rPr>
  </w:style>
  <w:style w:type="paragraph" w:styleId="19">
    <w:name w:val="Normal Indent"/>
    <w:basedOn w:val="1"/>
    <w:next w:val="1"/>
    <w:qFormat/>
    <w:uiPriority w:val="0"/>
    <w:pPr>
      <w:ind w:firstLine="200" w:firstLineChars="200"/>
    </w:pPr>
    <w:rPr>
      <w:sz w:val="21"/>
    </w:rPr>
  </w:style>
  <w:style w:type="paragraph" w:styleId="20">
    <w:name w:val="caption"/>
    <w:basedOn w:val="21"/>
    <w:next w:val="23"/>
    <w:link w:val="61"/>
    <w:qFormat/>
    <w:uiPriority w:val="0"/>
    <w:pPr>
      <w:tabs>
        <w:tab w:val="left" w:pos="628"/>
        <w:tab w:val="left" w:pos="993"/>
        <w:tab w:val="left" w:pos="1884"/>
      </w:tabs>
      <w:jc w:val="center"/>
    </w:pPr>
    <w:rPr>
      <w:color w:val="000000"/>
      <w:sz w:val="21"/>
      <w:szCs w:val="21"/>
    </w:rPr>
  </w:style>
  <w:style w:type="paragraph" w:customStyle="1" w:styleId="21">
    <w:name w:val="图表名称"/>
    <w:basedOn w:val="22"/>
    <w:next w:val="23"/>
    <w:qFormat/>
    <w:uiPriority w:val="0"/>
    <w:pPr>
      <w:tabs>
        <w:tab w:val="left" w:pos="628"/>
        <w:tab w:val="left" w:pos="993"/>
        <w:tab w:val="left" w:pos="1884"/>
      </w:tabs>
      <w:spacing w:after="10" w:line="360" w:lineRule="auto"/>
      <w:jc w:val="center"/>
    </w:pPr>
    <w:rPr>
      <w:rFonts w:ascii="Times New Roman" w:hAnsi="Times New Roman" w:eastAsia="宋体" w:cs="Times New Roman"/>
      <w:b/>
      <w:bCs/>
      <w:kern w:val="2"/>
      <w:sz w:val="21"/>
      <w:szCs w:val="28"/>
      <w:lang w:val="en-US" w:bidi="ar-SA"/>
    </w:rPr>
  </w:style>
  <w:style w:type="paragraph" w:styleId="22">
    <w:name w:val="Body Text First Indent"/>
    <w:basedOn w:val="12"/>
    <w:next w:val="1"/>
    <w:qFormat/>
    <w:uiPriority w:val="0"/>
    <w:pPr>
      <w:spacing w:after="120"/>
      <w:ind w:firstLine="420" w:firstLineChars="100"/>
      <w:jc w:val="both"/>
    </w:pPr>
    <w:rPr>
      <w:rFonts w:ascii="Times New Roman" w:hAnsi="Times New Roman" w:eastAsia="宋体" w:cs="Times New Roman"/>
    </w:rPr>
  </w:style>
  <w:style w:type="paragraph" w:customStyle="1" w:styleId="23">
    <w:name w:val="报告正文"/>
    <w:basedOn w:val="1"/>
    <w:qFormat/>
    <w:uiPriority w:val="0"/>
    <w:pPr>
      <w:ind w:firstLine="480" w:firstLineChars="200"/>
    </w:pPr>
  </w:style>
  <w:style w:type="paragraph" w:styleId="24">
    <w:name w:val="annotation text"/>
    <w:basedOn w:val="1"/>
    <w:next w:val="1"/>
    <w:link w:val="87"/>
    <w:qFormat/>
    <w:uiPriority w:val="0"/>
    <w:pPr>
      <w:jc w:val="left"/>
    </w:pPr>
    <w:rPr>
      <w:kern w:val="0"/>
      <w:szCs w:val="20"/>
    </w:rPr>
  </w:style>
  <w:style w:type="paragraph" w:styleId="25">
    <w:name w:val="List 2"/>
    <w:basedOn w:val="1"/>
    <w:qFormat/>
    <w:uiPriority w:val="0"/>
    <w:rPr>
      <w:rFonts w:ascii="楷体_GB2312" w:hAnsi="宋体" w:eastAsia="楷体_GB2312"/>
      <w:color w:val="000000"/>
      <w:szCs w:val="28"/>
    </w:rPr>
  </w:style>
  <w:style w:type="paragraph" w:styleId="26">
    <w:name w:val="Plain Text"/>
    <w:basedOn w:val="1"/>
    <w:qFormat/>
    <w:uiPriority w:val="0"/>
    <w:rPr>
      <w:rFonts w:ascii="宋体" w:hAnsi="Courier New"/>
      <w:sz w:val="20"/>
      <w:szCs w:val="20"/>
    </w:rPr>
  </w:style>
  <w:style w:type="paragraph" w:styleId="27">
    <w:name w:val="Body Text Indent 2"/>
    <w:basedOn w:val="1"/>
    <w:qFormat/>
    <w:uiPriority w:val="0"/>
    <w:pPr>
      <w:spacing w:after="120" w:line="480" w:lineRule="auto"/>
      <w:ind w:left="420" w:leftChars="200"/>
    </w:pPr>
  </w:style>
  <w:style w:type="paragraph" w:styleId="28">
    <w:name w:val="Balloon Text"/>
    <w:basedOn w:val="1"/>
    <w:qFormat/>
    <w:uiPriority w:val="0"/>
    <w:rPr>
      <w:kern w:val="0"/>
      <w:sz w:val="18"/>
      <w:szCs w:val="20"/>
    </w:rPr>
  </w:style>
  <w:style w:type="paragraph" w:styleId="29">
    <w:name w:val="footer"/>
    <w:basedOn w:val="1"/>
    <w:qFormat/>
    <w:uiPriority w:val="0"/>
    <w:pPr>
      <w:tabs>
        <w:tab w:val="center" w:pos="4153"/>
        <w:tab w:val="right" w:pos="8306"/>
      </w:tabs>
      <w:snapToGrid w:val="0"/>
      <w:jc w:val="left"/>
    </w:pPr>
    <w:rPr>
      <w:sz w:val="18"/>
    </w:rPr>
  </w:style>
  <w:style w:type="paragraph" w:styleId="30">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pPr>
    <w:rPr>
      <w:sz w:val="18"/>
    </w:rPr>
  </w:style>
  <w:style w:type="paragraph" w:styleId="31">
    <w:name w:val="toc 1"/>
    <w:basedOn w:val="1"/>
    <w:next w:val="1"/>
    <w:qFormat/>
    <w:uiPriority w:val="0"/>
  </w:style>
  <w:style w:type="paragraph" w:styleId="32">
    <w:name w:val="Subtitle"/>
    <w:basedOn w:val="1"/>
    <w:next w:val="1"/>
    <w:qFormat/>
    <w:uiPriority w:val="0"/>
    <w:pPr>
      <w:ind w:firstLine="200" w:firstLineChars="200"/>
      <w:outlineLvl w:val="1"/>
    </w:pPr>
    <w:rPr>
      <w:bCs/>
      <w:kern w:val="28"/>
      <w:szCs w:val="32"/>
    </w:rPr>
  </w:style>
  <w:style w:type="paragraph" w:styleId="33">
    <w:name w:val="Body Text Indent 3"/>
    <w:basedOn w:val="1"/>
    <w:qFormat/>
    <w:uiPriority w:val="99"/>
    <w:pPr>
      <w:snapToGrid w:val="0"/>
      <w:spacing w:line="480" w:lineRule="exact"/>
      <w:ind w:firstLine="535" w:firstLineChars="191"/>
    </w:pPr>
    <w:rPr>
      <w:sz w:val="28"/>
    </w:rPr>
  </w:style>
  <w:style w:type="paragraph" w:styleId="34">
    <w:name w:val="table of figures"/>
    <w:basedOn w:val="1"/>
    <w:next w:val="1"/>
    <w:qFormat/>
    <w:uiPriority w:val="0"/>
    <w:pPr>
      <w:ind w:left="200" w:leftChars="200" w:hanging="200" w:hangingChars="200"/>
    </w:pPr>
  </w:style>
  <w:style w:type="paragraph" w:styleId="35">
    <w:name w:val="toc 2"/>
    <w:basedOn w:val="1"/>
    <w:next w:val="9"/>
    <w:qFormat/>
    <w:uiPriority w:val="0"/>
    <w:pPr>
      <w:ind w:left="420" w:leftChars="200"/>
    </w:pPr>
  </w:style>
  <w:style w:type="paragraph" w:styleId="36">
    <w:name w:val="Normal (Web)"/>
    <w:basedOn w:val="1"/>
    <w:qFormat/>
    <w:uiPriority w:val="0"/>
    <w:pPr>
      <w:spacing w:before="100" w:beforeAutospacing="1" w:after="100" w:afterAutospacing="1"/>
      <w:jc w:val="left"/>
    </w:pPr>
    <w:rPr>
      <w:kern w:val="0"/>
    </w:rPr>
  </w:style>
  <w:style w:type="paragraph" w:styleId="37">
    <w:name w:val="annotation subject"/>
    <w:basedOn w:val="24"/>
    <w:next w:val="24"/>
    <w:link w:val="88"/>
    <w:qFormat/>
    <w:uiPriority w:val="0"/>
    <w:rPr>
      <w:b/>
      <w:bCs/>
      <w:kern w:val="2"/>
      <w:szCs w:val="24"/>
    </w:rPr>
  </w:style>
  <w:style w:type="paragraph" w:styleId="38">
    <w:name w:val="Body Text First Indent 2"/>
    <w:basedOn w:val="1"/>
    <w:next w:val="22"/>
    <w:qFormat/>
    <w:uiPriority w:val="0"/>
    <w:pPr>
      <w:widowControl/>
      <w:adjustRightInd/>
      <w:ind w:firstLine="420"/>
      <w:jc w:val="left"/>
      <w:textAlignment w:val="auto"/>
    </w:pPr>
    <w:rPr>
      <w:kern w:val="0"/>
      <w:sz w:val="28"/>
      <w:szCs w:val="20"/>
    </w:rPr>
  </w:style>
  <w:style w:type="table" w:styleId="40">
    <w:name w:val="Table Grid"/>
    <w:basedOn w:val="39"/>
    <w:qFormat/>
    <w:uiPriority w:val="0"/>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styleId="42">
    <w:name w:val="Strong"/>
    <w:basedOn w:val="41"/>
    <w:qFormat/>
    <w:uiPriority w:val="0"/>
    <w:rPr>
      <w:b/>
    </w:rPr>
  </w:style>
  <w:style w:type="character" w:styleId="43">
    <w:name w:val="page number"/>
    <w:basedOn w:val="41"/>
    <w:qFormat/>
    <w:uiPriority w:val="0"/>
  </w:style>
  <w:style w:type="character" w:styleId="44">
    <w:name w:val="Hyperlink"/>
    <w:basedOn w:val="41"/>
    <w:qFormat/>
    <w:uiPriority w:val="0"/>
    <w:rPr>
      <w:color w:val="0000FF"/>
      <w:u w:val="single"/>
    </w:rPr>
  </w:style>
  <w:style w:type="character" w:styleId="45">
    <w:name w:val="annotation reference"/>
    <w:basedOn w:val="41"/>
    <w:qFormat/>
    <w:uiPriority w:val="0"/>
    <w:rPr>
      <w:sz w:val="21"/>
      <w:szCs w:val="21"/>
    </w:rPr>
  </w:style>
  <w:style w:type="paragraph" w:customStyle="1" w:styleId="46">
    <w:name w:val="Default"/>
    <w:basedOn w:val="47"/>
    <w:next w:val="48"/>
    <w:qFormat/>
    <w:uiPriority w:val="0"/>
    <w:pPr>
      <w:autoSpaceDE w:val="0"/>
      <w:autoSpaceDN w:val="0"/>
    </w:pPr>
    <w:rPr>
      <w:rFonts w:hAnsi="Times New Roman" w:cs="宋体"/>
      <w:color w:val="000000"/>
    </w:rPr>
  </w:style>
  <w:style w:type="paragraph" w:customStyle="1" w:styleId="47">
    <w:name w:val="纯文本1"/>
    <w:basedOn w:val="1"/>
    <w:next w:val="26"/>
    <w:qFormat/>
    <w:uiPriority w:val="0"/>
    <w:pPr>
      <w:adjustRightInd w:val="0"/>
    </w:pPr>
    <w:rPr>
      <w:rFonts w:ascii="宋体" w:hAnsi="Courier New"/>
    </w:rPr>
  </w:style>
  <w:style w:type="paragraph" w:customStyle="1" w:styleId="48">
    <w:name w:val="样式35"/>
    <w:basedOn w:val="49"/>
    <w:next w:val="50"/>
    <w:qFormat/>
    <w:uiPriority w:val="0"/>
    <w:pPr>
      <w:tabs>
        <w:tab w:val="left" w:pos="0"/>
        <w:tab w:val="left" w:pos="360"/>
        <w:tab w:val="left" w:pos="540"/>
        <w:tab w:val="left" w:pos="567"/>
      </w:tabs>
      <w:spacing w:line="312" w:lineRule="auto"/>
      <w:ind w:firstLine="567"/>
    </w:pPr>
  </w:style>
  <w:style w:type="paragraph" w:customStyle="1" w:styleId="49">
    <w:name w:val="表 内容"/>
    <w:basedOn w:val="1"/>
    <w:qFormat/>
    <w:uiPriority w:val="0"/>
    <w:pPr>
      <w:adjustRightInd w:val="0"/>
      <w:snapToGrid w:val="0"/>
      <w:spacing w:beforeLines="15"/>
      <w:jc w:val="center"/>
    </w:pPr>
    <w:rPr>
      <w:kern w:val="0"/>
      <w:sz w:val="20"/>
      <w:szCs w:val="21"/>
    </w:rPr>
  </w:style>
  <w:style w:type="paragraph" w:customStyle="1" w:styleId="50">
    <w:name w:val="font6"/>
    <w:basedOn w:val="1"/>
    <w:next w:val="35"/>
    <w:qFormat/>
    <w:uiPriority w:val="0"/>
    <w:pPr>
      <w:widowControl/>
      <w:spacing w:before="280" w:after="280"/>
    </w:pPr>
    <w:rPr>
      <w:sz w:val="21"/>
    </w:rPr>
  </w:style>
  <w:style w:type="paragraph" w:customStyle="1" w:styleId="51">
    <w:name w:val="正文文字 6"/>
    <w:basedOn w:val="52"/>
    <w:next w:val="1"/>
    <w:qFormat/>
    <w:uiPriority w:val="0"/>
    <w:pPr>
      <w:widowControl w:val="0"/>
      <w:ind w:left="240"/>
      <w:jc w:val="both"/>
    </w:pPr>
    <w:rPr>
      <w:rFonts w:ascii="宋体"/>
      <w:bCs/>
      <w:sz w:val="32"/>
      <w:szCs w:val="32"/>
    </w:rPr>
  </w:style>
  <w:style w:type="paragraph" w:customStyle="1" w:styleId="52">
    <w:name w:val="TT标题"/>
    <w:basedOn w:val="1"/>
    <w:qFormat/>
    <w:uiPriority w:val="0"/>
    <w:pPr>
      <w:jc w:val="center"/>
    </w:pPr>
    <w:rPr>
      <w:rFonts w:cs="宋体"/>
      <w:b/>
      <w:szCs w:val="20"/>
    </w:rPr>
  </w:style>
  <w:style w:type="paragraph" w:customStyle="1" w:styleId="53">
    <w:name w:val="6-正文"/>
    <w:basedOn w:val="1"/>
    <w:link w:val="91"/>
    <w:qFormat/>
    <w:uiPriority w:val="0"/>
    <w:rPr>
      <w:szCs w:val="28"/>
    </w:rPr>
  </w:style>
  <w:style w:type="paragraph" w:customStyle="1" w:styleId="54">
    <w:name w:val="图位置"/>
    <w:next w:val="55"/>
    <w:qFormat/>
    <w:uiPriority w:val="0"/>
    <w:pPr>
      <w:jc w:val="center"/>
    </w:pPr>
    <w:rPr>
      <w:rFonts w:ascii="Times New Roman" w:hAnsi="Times New Roman" w:eastAsia="宋体" w:cs="Times New Roman"/>
      <w:kern w:val="2"/>
      <w:sz w:val="24"/>
      <w:szCs w:val="21"/>
      <w:lang w:val="en-US" w:eastAsia="zh-CN" w:bidi="ar-SA"/>
    </w:rPr>
  </w:style>
  <w:style w:type="paragraph" w:customStyle="1" w:styleId="55">
    <w:name w:val="图题"/>
    <w:basedOn w:val="1"/>
    <w:next w:val="1"/>
    <w:qFormat/>
    <w:uiPriority w:val="0"/>
    <w:pPr>
      <w:jc w:val="center"/>
    </w:pPr>
    <w:rPr>
      <w:rFonts w:ascii="宋体" w:hAnsi="宋体" w:eastAsia="黑体"/>
      <w:b/>
    </w:rPr>
  </w:style>
  <w:style w:type="paragraph" w:customStyle="1" w:styleId="56">
    <w:name w:val="样式26"/>
    <w:basedOn w:val="57"/>
    <w:qFormat/>
    <w:uiPriority w:val="0"/>
    <w:pPr>
      <w:tabs>
        <w:tab w:val="left" w:pos="0"/>
        <w:tab w:val="left" w:pos="360"/>
        <w:tab w:val="left" w:pos="540"/>
        <w:tab w:val="left" w:pos="567"/>
      </w:tabs>
    </w:pPr>
  </w:style>
  <w:style w:type="paragraph" w:customStyle="1" w:styleId="57">
    <w:name w:val="样式21"/>
    <w:basedOn w:val="58"/>
    <w:qFormat/>
    <w:uiPriority w:val="0"/>
    <w:pPr>
      <w:tabs>
        <w:tab w:val="left" w:pos="360"/>
        <w:tab w:val="left" w:pos="567"/>
      </w:tabs>
      <w:ind w:hanging="992"/>
    </w:pPr>
  </w:style>
  <w:style w:type="paragraph" w:customStyle="1" w:styleId="58">
    <w:name w:val="样式5"/>
    <w:basedOn w:val="59"/>
    <w:qFormat/>
    <w:uiPriority w:val="0"/>
    <w:pPr>
      <w:tabs>
        <w:tab w:val="left" w:pos="360"/>
      </w:tabs>
      <w:ind w:right="-105" w:rightChars="-50"/>
      <w:jc w:val="center"/>
    </w:pPr>
    <w:rPr>
      <w:rFonts w:ascii="宋体"/>
      <w:sz w:val="21"/>
    </w:rPr>
  </w:style>
  <w:style w:type="paragraph" w:customStyle="1" w:styleId="59">
    <w:name w:val="样式12"/>
    <w:basedOn w:val="1"/>
    <w:qFormat/>
    <w:uiPriority w:val="0"/>
    <w:pPr>
      <w:keepNext/>
      <w:keepLines/>
      <w:tabs>
        <w:tab w:val="left" w:pos="360"/>
      </w:tabs>
      <w:spacing w:beforeLines="50" w:afterLines="50"/>
      <w:ind w:left="567" w:hanging="567"/>
      <w:outlineLvl w:val="1"/>
    </w:pPr>
    <w:rPr>
      <w:rFonts w:eastAsia="MS Mincho"/>
      <w:kern w:val="0"/>
      <w:sz w:val="28"/>
      <w:szCs w:val="28"/>
    </w:rPr>
  </w:style>
  <w:style w:type="paragraph" w:customStyle="1" w:styleId="60">
    <w:name w:val="表格文字"/>
    <w:qFormat/>
    <w:uiPriority w:val="0"/>
    <w:pPr>
      <w:tabs>
        <w:tab w:val="left" w:pos="-2848"/>
      </w:tabs>
      <w:wordWrap w:val="0"/>
      <w:autoSpaceDE w:val="0"/>
      <w:autoSpaceDN w:val="0"/>
      <w:jc w:val="center"/>
      <w:textAlignment w:val="center"/>
    </w:pPr>
    <w:rPr>
      <w:rFonts w:ascii="Times New Roman" w:hAnsi="Times New Roman" w:eastAsia="宋体" w:cs="Times New Roman"/>
      <w:position w:val="-10"/>
      <w:sz w:val="21"/>
      <w:szCs w:val="21"/>
      <w:lang w:val="en-US" w:eastAsia="zh-CN" w:bidi="ar-SA"/>
    </w:rPr>
  </w:style>
  <w:style w:type="character" w:customStyle="1" w:styleId="61">
    <w:name w:val="题注 字符"/>
    <w:link w:val="20"/>
    <w:qFormat/>
    <w:uiPriority w:val="0"/>
    <w:rPr>
      <w:rFonts w:ascii="Times New Roman" w:hAnsi="Times New Roman"/>
      <w:b/>
      <w:bCs/>
      <w:color w:val="000000"/>
      <w:sz w:val="21"/>
      <w:szCs w:val="21"/>
    </w:rPr>
  </w:style>
  <w:style w:type="paragraph" w:customStyle="1" w:styleId="62">
    <w:name w:val="括号标题"/>
    <w:basedOn w:val="47"/>
    <w:next w:val="51"/>
    <w:qFormat/>
    <w:uiPriority w:val="0"/>
    <w:pPr>
      <w:autoSpaceDE w:val="0"/>
      <w:autoSpaceDN w:val="0"/>
    </w:pPr>
    <w:rPr>
      <w:rFonts w:hAnsi="宋体"/>
      <w:color w:val="000000"/>
    </w:rPr>
  </w:style>
  <w:style w:type="paragraph" w:customStyle="1" w:styleId="63">
    <w:name w:val="J-表格内容（5号+居中）"/>
    <w:basedOn w:val="1"/>
    <w:qFormat/>
    <w:uiPriority w:val="0"/>
    <w:pPr>
      <w:spacing w:line="240" w:lineRule="auto"/>
      <w:jc w:val="center"/>
    </w:pPr>
    <w:rPr>
      <w:sz w:val="21"/>
      <w:szCs w:val="21"/>
    </w:rPr>
  </w:style>
  <w:style w:type="paragraph" w:customStyle="1" w:styleId="64">
    <w:name w:val="表内字"/>
    <w:basedOn w:val="65"/>
    <w:qFormat/>
    <w:uiPriority w:val="0"/>
    <w:pPr>
      <w:autoSpaceDE w:val="0"/>
      <w:autoSpaceDN w:val="0"/>
      <w:spacing w:line="320" w:lineRule="exact"/>
    </w:pPr>
    <w:rPr>
      <w:rFonts w:hAnsi="宋体"/>
      <w:kern w:val="2"/>
      <w:sz w:val="21"/>
      <w:szCs w:val="21"/>
    </w:rPr>
  </w:style>
  <w:style w:type="paragraph" w:customStyle="1" w:styleId="65">
    <w:name w:val="表格"/>
    <w:basedOn w:val="1"/>
    <w:qFormat/>
    <w:uiPriority w:val="0"/>
    <w:pPr>
      <w:adjustRightInd w:val="0"/>
      <w:snapToGrid w:val="0"/>
      <w:spacing w:before="31" w:beforeLines="10" w:after="31" w:afterLines="10" w:line="259" w:lineRule="auto"/>
      <w:jc w:val="center"/>
    </w:pPr>
    <w:rPr>
      <w:rFonts w:ascii="宋体"/>
      <w:kern w:val="0"/>
      <w:szCs w:val="20"/>
    </w:rPr>
  </w:style>
  <w:style w:type="paragraph" w:customStyle="1" w:styleId="66">
    <w:name w:val="表内字1"/>
    <w:basedOn w:val="1"/>
    <w:qFormat/>
    <w:uiPriority w:val="0"/>
    <w:pPr>
      <w:adjustRightInd w:val="0"/>
      <w:snapToGrid w:val="0"/>
      <w:spacing w:line="300" w:lineRule="exact"/>
      <w:jc w:val="center"/>
    </w:pPr>
    <w:rPr>
      <w:rFonts w:ascii="Calibri" w:hAnsi="Calibri"/>
      <w:color w:val="000000"/>
      <w:sz w:val="22"/>
      <w:szCs w:val="21"/>
    </w:rPr>
  </w:style>
  <w:style w:type="paragraph" w:customStyle="1" w:styleId="67">
    <w:name w:val="表格内容居中"/>
    <w:qFormat/>
    <w:uiPriority w:val="0"/>
    <w:pPr>
      <w:adjustRightInd w:val="0"/>
      <w:snapToGrid w:val="0"/>
      <w:jc w:val="center"/>
    </w:pPr>
    <w:rPr>
      <w:rFonts w:ascii="Times New Roman" w:hAnsi="Times New Roman" w:eastAsia="宋体" w:cs="Times New Roman"/>
      <w:snapToGrid w:val="0"/>
      <w:sz w:val="21"/>
      <w:szCs w:val="21"/>
      <w:lang w:val="en-US" w:eastAsia="zh-CN" w:bidi="ar-SA"/>
    </w:rPr>
  </w:style>
  <w:style w:type="paragraph" w:customStyle="1" w:styleId="68">
    <w:name w:val="无间隔1"/>
    <w:qFormat/>
    <w:uiPriority w:val="99"/>
    <w:pPr>
      <w:widowControl w:val="0"/>
      <w:jc w:val="both"/>
    </w:pPr>
    <w:rPr>
      <w:rFonts w:ascii="Times New Roman" w:hAnsi="Times New Roman" w:eastAsia="宋体" w:cs="Times New Roman"/>
      <w:kern w:val="2"/>
      <w:sz w:val="24"/>
      <w:szCs w:val="24"/>
      <w:lang w:val="en-US" w:eastAsia="zh-CN" w:bidi="ar-SA"/>
    </w:rPr>
  </w:style>
  <w:style w:type="character" w:customStyle="1" w:styleId="69">
    <w:name w:val="font61"/>
    <w:basedOn w:val="41"/>
    <w:qFormat/>
    <w:uiPriority w:val="0"/>
    <w:rPr>
      <w:rFonts w:hint="default" w:ascii="Times New Roman" w:hAnsi="Times New Roman" w:cs="Times New Roman"/>
      <w:b/>
      <w:color w:val="000000"/>
      <w:sz w:val="18"/>
      <w:szCs w:val="18"/>
      <w:u w:val="none"/>
    </w:rPr>
  </w:style>
  <w:style w:type="character" w:customStyle="1" w:styleId="70">
    <w:name w:val="font81"/>
    <w:basedOn w:val="41"/>
    <w:qFormat/>
    <w:uiPriority w:val="0"/>
    <w:rPr>
      <w:rFonts w:hint="default" w:ascii="Times New Roman" w:hAnsi="Times New Roman" w:cs="Times New Roman"/>
      <w:b/>
      <w:color w:val="000000"/>
      <w:sz w:val="18"/>
      <w:szCs w:val="18"/>
      <w:u w:val="none"/>
    </w:rPr>
  </w:style>
  <w:style w:type="character" w:customStyle="1" w:styleId="71">
    <w:name w:val="font51"/>
    <w:basedOn w:val="41"/>
    <w:qFormat/>
    <w:uiPriority w:val="0"/>
    <w:rPr>
      <w:rFonts w:hint="eastAsia" w:ascii="宋体" w:hAnsi="宋体" w:eastAsia="宋体" w:cs="宋体"/>
      <w:b/>
      <w:color w:val="000000"/>
      <w:sz w:val="18"/>
      <w:szCs w:val="18"/>
      <w:u w:val="none"/>
    </w:rPr>
  </w:style>
  <w:style w:type="character" w:customStyle="1" w:styleId="72">
    <w:name w:val="font91"/>
    <w:basedOn w:val="41"/>
    <w:qFormat/>
    <w:uiPriority w:val="0"/>
    <w:rPr>
      <w:rFonts w:ascii="Calibri" w:hAnsi="Calibri" w:cs="Calibri"/>
      <w:color w:val="auto"/>
      <w:sz w:val="21"/>
      <w:szCs w:val="21"/>
      <w:u w:val="none"/>
    </w:rPr>
  </w:style>
  <w:style w:type="character" w:customStyle="1" w:styleId="73">
    <w:name w:val="font111"/>
    <w:basedOn w:val="41"/>
    <w:qFormat/>
    <w:uiPriority w:val="0"/>
    <w:rPr>
      <w:rFonts w:hint="default" w:ascii="Times New Roman" w:hAnsi="Times New Roman" w:cs="Times New Roman"/>
      <w:b/>
      <w:color w:val="000000"/>
      <w:sz w:val="18"/>
      <w:szCs w:val="18"/>
      <w:u w:val="none"/>
    </w:rPr>
  </w:style>
  <w:style w:type="character" w:customStyle="1" w:styleId="74">
    <w:name w:val="font101"/>
    <w:basedOn w:val="41"/>
    <w:qFormat/>
    <w:uiPriority w:val="0"/>
    <w:rPr>
      <w:rFonts w:hint="eastAsia" w:ascii="宋体" w:hAnsi="宋体" w:eastAsia="宋体" w:cs="宋体"/>
      <w:b/>
      <w:color w:val="000000"/>
      <w:sz w:val="18"/>
      <w:szCs w:val="18"/>
      <w:u w:val="none"/>
    </w:rPr>
  </w:style>
  <w:style w:type="paragraph" w:customStyle="1" w:styleId="75">
    <w:name w:val="附图附件"/>
    <w:basedOn w:val="1"/>
    <w:qFormat/>
    <w:uiPriority w:val="0"/>
    <w:pPr>
      <w:spacing w:line="240" w:lineRule="auto"/>
      <w:jc w:val="center"/>
      <w:outlineLvl w:val="0"/>
    </w:pPr>
  </w:style>
  <w:style w:type="paragraph" w:customStyle="1" w:styleId="76">
    <w:name w:val="J-表格标题+图片标题（5号+居中）"/>
    <w:basedOn w:val="1"/>
    <w:qFormat/>
    <w:uiPriority w:val="0"/>
    <w:pPr>
      <w:spacing w:line="240" w:lineRule="auto"/>
      <w:jc w:val="center"/>
    </w:pPr>
    <w:rPr>
      <w:b/>
      <w:sz w:val="21"/>
      <w:szCs w:val="21"/>
    </w:rPr>
  </w:style>
  <w:style w:type="paragraph" w:customStyle="1" w:styleId="77">
    <w:name w:val="报告表小标题"/>
    <w:basedOn w:val="1"/>
    <w:qFormat/>
    <w:uiPriority w:val="0"/>
    <w:pPr>
      <w:spacing w:before="100" w:beforeAutospacing="1"/>
    </w:pPr>
    <w:rPr>
      <w:b/>
    </w:rPr>
  </w:style>
  <w:style w:type="character" w:customStyle="1" w:styleId="78">
    <w:name w:val="font21"/>
    <w:basedOn w:val="41"/>
    <w:qFormat/>
    <w:uiPriority w:val="0"/>
    <w:rPr>
      <w:rFonts w:hint="eastAsia" w:ascii="宋体" w:hAnsi="宋体" w:eastAsia="宋体" w:cs="宋体"/>
      <w:b/>
      <w:bCs/>
      <w:color w:val="000000"/>
      <w:sz w:val="21"/>
      <w:szCs w:val="21"/>
      <w:u w:val="none"/>
    </w:rPr>
  </w:style>
  <w:style w:type="character" w:customStyle="1" w:styleId="79">
    <w:name w:val="font11"/>
    <w:basedOn w:val="41"/>
    <w:qFormat/>
    <w:uiPriority w:val="0"/>
    <w:rPr>
      <w:rFonts w:hint="eastAsia" w:ascii="宋体" w:hAnsi="宋体" w:eastAsia="宋体" w:cs="宋体"/>
      <w:color w:val="000000"/>
      <w:sz w:val="21"/>
      <w:szCs w:val="21"/>
      <w:u w:val="none"/>
    </w:rPr>
  </w:style>
  <w:style w:type="character" w:customStyle="1" w:styleId="80">
    <w:name w:val="font41"/>
    <w:basedOn w:val="41"/>
    <w:qFormat/>
    <w:uiPriority w:val="0"/>
    <w:rPr>
      <w:rFonts w:hint="eastAsia" w:ascii="宋体" w:hAnsi="宋体" w:eastAsia="宋体" w:cs="宋体"/>
      <w:color w:val="000000"/>
      <w:sz w:val="21"/>
      <w:szCs w:val="21"/>
      <w:u w:val="none"/>
    </w:rPr>
  </w:style>
  <w:style w:type="paragraph" w:customStyle="1" w:styleId="81">
    <w:name w:val="样式 方正仿宋_GBK 三号 行距: 固定值 28 磅"/>
    <w:basedOn w:val="1"/>
    <w:qFormat/>
    <w:uiPriority w:val="0"/>
    <w:pPr>
      <w:ind w:firstLine="200" w:firstLineChars="200"/>
      <w:jc w:val="left"/>
    </w:pPr>
    <w:rPr>
      <w:rFonts w:ascii="方正仿宋_GBK" w:hAnsi="方正仿宋_GBK" w:cs="宋体"/>
      <w:sz w:val="28"/>
      <w:szCs w:val="20"/>
    </w:rPr>
  </w:style>
  <w:style w:type="paragraph" w:styleId="82">
    <w:name w:val="List Paragraph"/>
    <w:basedOn w:val="1"/>
    <w:qFormat/>
    <w:uiPriority w:val="99"/>
    <w:pPr>
      <w:ind w:firstLine="420" w:firstLineChars="200"/>
    </w:pPr>
  </w:style>
  <w:style w:type="character" w:customStyle="1" w:styleId="83">
    <w:name w:val="fontstyle01"/>
    <w:basedOn w:val="41"/>
    <w:qFormat/>
    <w:uiPriority w:val="0"/>
    <w:rPr>
      <w:rFonts w:hint="eastAsia" w:ascii="宋体" w:hAnsi="宋体" w:eastAsia="宋体"/>
      <w:color w:val="000000"/>
      <w:sz w:val="24"/>
      <w:szCs w:val="24"/>
    </w:rPr>
  </w:style>
  <w:style w:type="paragraph" w:customStyle="1" w:styleId="84">
    <w:name w:val="HJ-正文"/>
    <w:basedOn w:val="1"/>
    <w:qFormat/>
    <w:uiPriority w:val="0"/>
    <w:pPr>
      <w:ind w:firstLine="480" w:firstLineChars="200"/>
    </w:pPr>
  </w:style>
  <w:style w:type="paragraph" w:customStyle="1" w:styleId="85">
    <w:name w:val="WPSOffice手动目录 1"/>
    <w:qFormat/>
    <w:uiPriority w:val="0"/>
    <w:rPr>
      <w:rFonts w:ascii="Times New Roman" w:hAnsi="Times New Roman" w:eastAsia="宋体" w:cs="Times New Roman"/>
      <w:lang w:val="en-US" w:eastAsia="zh-CN" w:bidi="ar-SA"/>
    </w:rPr>
  </w:style>
  <w:style w:type="paragraph" w:customStyle="1" w:styleId="86">
    <w:name w:val="WPSOffice手动目录 2"/>
    <w:qFormat/>
    <w:uiPriority w:val="0"/>
    <w:pPr>
      <w:ind w:left="200" w:leftChars="200"/>
    </w:pPr>
    <w:rPr>
      <w:rFonts w:ascii="Times New Roman" w:hAnsi="Times New Roman" w:eastAsia="宋体" w:cs="Times New Roman"/>
      <w:lang w:val="en-US" w:eastAsia="zh-CN" w:bidi="ar-SA"/>
    </w:rPr>
  </w:style>
  <w:style w:type="character" w:customStyle="1" w:styleId="87">
    <w:name w:val="批注文字 字符"/>
    <w:basedOn w:val="41"/>
    <w:link w:val="24"/>
    <w:qFormat/>
    <w:uiPriority w:val="0"/>
    <w:rPr>
      <w:sz w:val="24"/>
    </w:rPr>
  </w:style>
  <w:style w:type="character" w:customStyle="1" w:styleId="88">
    <w:name w:val="批注主题 字符"/>
    <w:basedOn w:val="87"/>
    <w:link w:val="37"/>
    <w:qFormat/>
    <w:uiPriority w:val="0"/>
    <w:rPr>
      <w:b/>
      <w:bCs/>
      <w:kern w:val="2"/>
      <w:sz w:val="24"/>
      <w:szCs w:val="24"/>
    </w:rPr>
  </w:style>
  <w:style w:type="character" w:customStyle="1" w:styleId="89">
    <w:name w:val="NormalCharacter"/>
    <w:qFormat/>
    <w:uiPriority w:val="0"/>
    <w:rPr>
      <w:rFonts w:ascii="Times New Roman" w:hAnsi="Times New Roman" w:eastAsia="宋体" w:cs="Times New Roman"/>
      <w:kern w:val="2"/>
      <w:sz w:val="24"/>
      <w:szCs w:val="24"/>
      <w:lang w:val="en-US" w:eastAsia="zh-CN" w:bidi="ar-SA"/>
    </w:rPr>
  </w:style>
  <w:style w:type="character" w:customStyle="1" w:styleId="90">
    <w:name w:val="font31"/>
    <w:basedOn w:val="41"/>
    <w:qFormat/>
    <w:uiPriority w:val="0"/>
    <w:rPr>
      <w:rFonts w:hint="default" w:ascii="Times New Roman" w:hAnsi="Times New Roman" w:cs="Times New Roman"/>
      <w:color w:val="000000"/>
      <w:sz w:val="21"/>
      <w:szCs w:val="21"/>
      <w:u w:val="none"/>
    </w:rPr>
  </w:style>
  <w:style w:type="character" w:customStyle="1" w:styleId="91">
    <w:name w:val="6-正文 Char"/>
    <w:link w:val="53"/>
    <w:qFormat/>
    <w:uiPriority w:val="0"/>
    <w:rPr>
      <w:szCs w:val="28"/>
    </w:rPr>
  </w:style>
  <w:style w:type="table" w:customStyle="1" w:styleId="92">
    <w:name w:val="报告书标准表格"/>
    <w:basedOn w:val="39"/>
    <w:qFormat/>
    <w:uiPriority w:val="0"/>
    <w:pPr>
      <w:jc w:val="center"/>
    </w:pPr>
    <w:rPr>
      <w:rFonts w:eastAsia="Times New Roman"/>
      <w:sz w:val="21"/>
    </w:rPr>
    <w:tblPr>
      <w:tblBorders>
        <w:top w:val="single" w:color="auto" w:sz="12" w:space="0"/>
        <w:bottom w:val="single" w:color="auto" w:sz="12" w:space="0"/>
        <w:insideH w:val="single" w:color="auto" w:sz="4" w:space="0"/>
        <w:insideV w:val="single" w:color="auto" w:sz="4" w:space="0"/>
      </w:tblBorders>
    </w:tblPr>
    <w:tcPr>
      <w:vAlign w:val="center"/>
    </w:tcPr>
  </w:style>
  <w:style w:type="paragraph" w:customStyle="1" w:styleId="93">
    <w:name w:val="表格内容"/>
    <w:basedOn w:val="94"/>
    <w:qFormat/>
    <w:uiPriority w:val="0"/>
    <w:rPr>
      <w:sz w:val="21"/>
      <w:szCs w:val="21"/>
    </w:rPr>
  </w:style>
  <w:style w:type="paragraph" w:customStyle="1" w:styleId="94">
    <w:name w:val="表头"/>
    <w:basedOn w:val="1"/>
    <w:qFormat/>
    <w:uiPriority w:val="0"/>
    <w:pPr>
      <w:adjustRightInd w:val="0"/>
      <w:ind w:firstLine="0" w:firstLineChars="0"/>
      <w:jc w:val="center"/>
    </w:pPr>
    <w:rPr>
      <w:rFonts w:eastAsia="新宋体"/>
      <w:b/>
      <w:kern w:val="0"/>
    </w:rPr>
  </w:style>
  <w:style w:type="paragraph" w:customStyle="1" w:styleId="95">
    <w:name w:val="表格标题"/>
    <w:basedOn w:val="96"/>
    <w:next w:val="1"/>
    <w:qFormat/>
    <w:uiPriority w:val="0"/>
    <w:pPr>
      <w:jc w:val="center"/>
    </w:pPr>
    <w:rPr>
      <w:rFonts w:ascii="Times New Roman" w:hAnsi="Times New Roman"/>
      <w:b/>
    </w:rPr>
  </w:style>
  <w:style w:type="paragraph" w:customStyle="1" w:styleId="96">
    <w:name w:val="表格000"/>
    <w:basedOn w:val="1"/>
    <w:qFormat/>
    <w:uiPriority w:val="0"/>
    <w:pPr>
      <w:jc w:val="center"/>
    </w:pPr>
    <w:rPr>
      <w:kern w:val="11"/>
      <w:szCs w:val="21"/>
    </w:rPr>
  </w:style>
  <w:style w:type="character" w:customStyle="1" w:styleId="97">
    <w:name w:val="16"/>
    <w:basedOn w:val="41"/>
    <w:qFormat/>
    <w:uiPriority w:val="0"/>
    <w:rPr>
      <w:rFonts w:hint="default" w:ascii="Times New Roman" w:hAnsi="Times New Roman" w:cs="Times New Roman"/>
      <w:color w:val="000000"/>
      <w:sz w:val="21"/>
      <w:szCs w:val="21"/>
    </w:rPr>
  </w:style>
  <w:style w:type="character" w:customStyle="1" w:styleId="98">
    <w:name w:val="17"/>
    <w:basedOn w:val="41"/>
    <w:qFormat/>
    <w:uiPriority w:val="0"/>
    <w:rPr>
      <w:rFonts w:hint="default" w:ascii="Times New Roman" w:hAnsi="Times New Roman" w:cs="Times New Roman"/>
      <w:color w:val="000000"/>
      <w:sz w:val="21"/>
      <w:szCs w:val="21"/>
      <w:vertAlign w:val="superscript"/>
    </w:rPr>
  </w:style>
  <w:style w:type="character" w:customStyle="1" w:styleId="99">
    <w:name w:val="15"/>
    <w:basedOn w:val="41"/>
    <w:qFormat/>
    <w:uiPriority w:val="0"/>
    <w:rPr>
      <w:rFonts w:hint="eastAsia" w:ascii="宋体" w:hAnsi="宋体" w:eastAsia="宋体"/>
      <w:color w:val="000000"/>
      <w:sz w:val="21"/>
      <w:szCs w:val="21"/>
    </w:rPr>
  </w:style>
  <w:style w:type="paragraph" w:customStyle="1" w:styleId="100">
    <w:name w:val="List Paragraph1"/>
    <w:basedOn w:val="1"/>
    <w:qFormat/>
    <w:uiPriority w:val="34"/>
    <w:pPr>
      <w:widowControl w:val="0"/>
      <w:ind w:firstLine="420" w:firstLineChars="200"/>
      <w:jc w:val="both"/>
    </w:pPr>
    <w:rPr>
      <w:rFonts w:ascii="Calibri" w:hAnsi="Calibri" w:eastAsia="宋体" w:cs="Times New Roman"/>
      <w:kern w:val="2"/>
      <w:sz w:val="21"/>
      <w:szCs w:val="22"/>
    </w:rPr>
  </w:style>
  <w:style w:type="paragraph" w:customStyle="1" w:styleId="101">
    <w:name w:val="图表标题"/>
    <w:basedOn w:val="1"/>
    <w:next w:val="1"/>
    <w:qFormat/>
    <w:uiPriority w:val="0"/>
    <w:pPr>
      <w:jc w:val="center"/>
    </w:pPr>
    <w:rPr>
      <w:b/>
      <w:sz w:val="21"/>
    </w:rPr>
  </w:style>
  <w:style w:type="paragraph" w:customStyle="1" w:styleId="102">
    <w:name w:val="表1"/>
    <w:basedOn w:val="1"/>
    <w:next w:val="65"/>
    <w:qFormat/>
    <w:uiPriority w:val="0"/>
    <w:pPr>
      <w:numPr>
        <w:ilvl w:val="0"/>
        <w:numId w:val="5"/>
      </w:numPr>
      <w:spacing w:line="360" w:lineRule="auto"/>
      <w:ind w:firstLine="0" w:firstLineChars="0"/>
      <w:jc w:val="center"/>
    </w:pPr>
    <w:rPr>
      <w:b/>
      <w:sz w:val="24"/>
    </w:rPr>
  </w:style>
  <w:style w:type="table" w:customStyle="1" w:styleId="103">
    <w:name w:val="常规"/>
    <w:basedOn w:val="39"/>
    <w:qFormat/>
    <w:uiPriority w:val="0"/>
    <w:pPr>
      <w:keepNext w:val="0"/>
      <w:keepLines w:val="0"/>
      <w:widowControl/>
      <w:suppressLineNumbers w:val="0"/>
      <w:spacing w:before="0" w:beforeAutospacing="0" w:after="0" w:afterAutospacing="0" w:line="276" w:lineRule="auto"/>
      <w:ind w:left="0" w:right="0"/>
      <w:jc w:val="center"/>
    </w:pPr>
    <w:rPr>
      <w:rFonts w:hint="default" w:ascii="Times New Roman" w:hAnsi="Times New Roman" w:eastAsia="宋体" w:cs="Times New Roman"/>
      <w:kern w:val="2"/>
      <w:sz w:val="21"/>
      <w:szCs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vAlign w:val="center"/>
    </w:tcPr>
    <w:tblStylePr w:type="firstRow">
      <w:rPr>
        <w:rFonts w:hint="default" w:ascii="Times New Roman" w:hAnsi="Times New Roman" w:eastAsia="宋体" w:cs="Times New Roman"/>
        <w:b w:val="0"/>
        <w:sz w:val="21"/>
        <w:szCs w:val="21"/>
      </w:rPr>
    </w:tblStylePr>
  </w:style>
  <w:style w:type="paragraph" w:customStyle="1" w:styleId="104">
    <w:name w:val="小节标题"/>
    <w:basedOn w:val="1"/>
    <w:next w:val="105"/>
    <w:qFormat/>
    <w:uiPriority w:val="0"/>
    <w:pPr>
      <w:widowControl/>
      <w:numPr>
        <w:ilvl w:val="0"/>
        <w:numId w:val="6"/>
      </w:numPr>
      <w:tabs>
        <w:tab w:val="clear" w:pos="0"/>
      </w:tabs>
      <w:spacing w:line="360" w:lineRule="auto"/>
      <w:ind w:firstLine="560" w:firstLineChars="200"/>
      <w:jc w:val="left"/>
    </w:pPr>
    <w:rPr>
      <w:rFonts w:hint="eastAsia" w:cs="宋体"/>
      <w:b/>
      <w:bCs/>
      <w:sz w:val="24"/>
      <w:szCs w:val="21"/>
    </w:rPr>
  </w:style>
  <w:style w:type="paragraph" w:customStyle="1" w:styleId="105">
    <w:name w:val="正文小四"/>
    <w:basedOn w:val="1"/>
    <w:qFormat/>
    <w:uiPriority w:val="0"/>
    <w:pPr>
      <w:spacing w:line="360" w:lineRule="auto"/>
      <w:ind w:firstLine="420" w:firstLineChars="200"/>
    </w:pPr>
    <w:rPr>
      <w:rFonts w:ascii="Times New Roman" w:hAnsi="Times New Roman"/>
      <w:sz w:val="24"/>
    </w:rPr>
  </w:style>
  <w:style w:type="character" w:customStyle="1" w:styleId="106">
    <w:name w:val="font71"/>
    <w:basedOn w:val="41"/>
    <w:qFormat/>
    <w:uiPriority w:val="0"/>
    <w:rPr>
      <w:rFonts w:hint="eastAsia" w:ascii="宋体" w:hAnsi="宋体" w:eastAsia="宋体" w:cs="宋体"/>
      <w:color w:val="000000"/>
      <w:sz w:val="20"/>
      <w:szCs w:val="20"/>
      <w:u w:val="none"/>
    </w:rPr>
  </w:style>
  <w:style w:type="paragraph" w:customStyle="1" w:styleId="107">
    <w:name w:val="表2"/>
    <w:basedOn w:val="1"/>
    <w:next w:val="65"/>
    <w:qFormat/>
    <w:uiPriority w:val="0"/>
    <w:pPr>
      <w:numPr>
        <w:ilvl w:val="0"/>
        <w:numId w:val="7"/>
      </w:numPr>
    </w:pPr>
  </w:style>
  <w:style w:type="character" w:customStyle="1" w:styleId="108">
    <w:name w:val="font13"/>
    <w:basedOn w:val="41"/>
    <w:qFormat/>
    <w:uiPriority w:val="0"/>
    <w:rPr>
      <w:rFonts w:hint="eastAsia" w:ascii="宋体" w:hAnsi="宋体" w:eastAsia="宋体" w:cs="宋体"/>
      <w:b/>
      <w:bCs/>
      <w:color w:val="000000"/>
      <w:sz w:val="20"/>
      <w:szCs w:val="20"/>
      <w:u w:val="none"/>
    </w:rPr>
  </w:style>
  <w:style w:type="character" w:customStyle="1" w:styleId="109">
    <w:name w:val="font121"/>
    <w:basedOn w:val="41"/>
    <w:qFormat/>
    <w:uiPriority w:val="0"/>
    <w:rPr>
      <w:rFonts w:hint="default" w:ascii="Times New Roman" w:hAnsi="Times New Roman" w:cs="Times New Roman"/>
      <w:color w:val="000000"/>
      <w:sz w:val="20"/>
      <w:szCs w:val="20"/>
      <w:u w:val="none"/>
      <w:vertAlign w:val="superscript"/>
    </w:rPr>
  </w:style>
  <w:style w:type="paragraph" w:customStyle="1" w:styleId="110">
    <w:name w:val="国寰正文"/>
    <w:basedOn w:val="1"/>
    <w:qFormat/>
    <w:uiPriority w:val="0"/>
    <w:pPr>
      <w:adjustRightInd w:val="0"/>
      <w:snapToGrid w:val="0"/>
      <w:spacing w:line="360" w:lineRule="auto"/>
      <w:ind w:firstLine="200" w:firstLineChars="200"/>
    </w:pPr>
    <w:rPr>
      <w:spacing w:val="0"/>
      <w:kern w:val="2"/>
      <w:sz w:val="24"/>
      <w:szCs w:val="24"/>
    </w:rPr>
  </w:style>
  <w:style w:type="character" w:customStyle="1" w:styleId="111">
    <w:name w:val="fontstyle21"/>
    <w:qFormat/>
    <w:uiPriority w:val="0"/>
    <w:rPr>
      <w:rFonts w:hint="default" w:ascii="Times New Roman" w:hAnsi="Times New Roman" w:cs="Times New Roman"/>
      <w:color w:val="000000"/>
      <w:sz w:val="24"/>
      <w:szCs w:val="24"/>
    </w:rPr>
  </w:style>
  <w:style w:type="character" w:customStyle="1" w:styleId="112">
    <w:name w:val="fontstyle11"/>
    <w:basedOn w:val="41"/>
    <w:qFormat/>
    <w:uiPriority w:val="0"/>
    <w:rPr>
      <w:rFonts w:hint="default" w:ascii="Times New Roman" w:hAnsi="Times New Roman" w:cs="Times New Roman"/>
      <w:color w:val="000000"/>
      <w:sz w:val="24"/>
      <w:szCs w:val="24"/>
    </w:rPr>
  </w:style>
  <w:style w:type="character" w:customStyle="1" w:styleId="113">
    <w:name w:val="font112"/>
    <w:basedOn w:val="41"/>
    <w:qFormat/>
    <w:uiPriority w:val="0"/>
    <w:rPr>
      <w:rFonts w:hint="eastAsia" w:ascii="宋体" w:hAnsi="宋体" w:eastAsia="宋体" w:cs="宋体"/>
      <w:color w:val="000000"/>
      <w:sz w:val="20"/>
      <w:szCs w:val="20"/>
      <w:u w:val="none"/>
    </w:rPr>
  </w:style>
  <w:style w:type="paragraph" w:customStyle="1" w:styleId="114">
    <w:name w:val="表格头"/>
    <w:basedOn w:val="115"/>
    <w:qFormat/>
    <w:uiPriority w:val="0"/>
    <w:pPr>
      <w:spacing w:line="240" w:lineRule="auto"/>
      <w:ind w:right="0"/>
      <w:jc w:val="center"/>
    </w:pPr>
    <w:rPr>
      <w:rFonts w:ascii="Times New Roman" w:hAnsi="Times New Roman" w:eastAsia="宋体"/>
      <w:b/>
      <w:sz w:val="21"/>
    </w:rPr>
  </w:style>
  <w:style w:type="paragraph" w:customStyle="1" w:styleId="115">
    <w:name w:val="表格1"/>
    <w:basedOn w:val="1"/>
    <w:qFormat/>
    <w:uiPriority w:val="99"/>
    <w:pPr>
      <w:snapToGrid w:val="0"/>
      <w:spacing w:line="240" w:lineRule="auto"/>
      <w:ind w:firstLine="0" w:firstLineChars="0"/>
      <w:jc w:val="center"/>
    </w:pPr>
    <w:rPr>
      <w:rFonts w:ascii="Times New Roman" w:hAnsi="Times New Roman"/>
      <w:color w:val="000000"/>
      <w:sz w:val="21"/>
    </w:rPr>
  </w:style>
  <w:style w:type="paragraph" w:customStyle="1" w:styleId="116">
    <w:name w:val="0表格"/>
    <w:basedOn w:val="1"/>
    <w:qFormat/>
    <w:uiPriority w:val="0"/>
    <w:pPr>
      <w:spacing w:line="240" w:lineRule="auto"/>
      <w:ind w:firstLine="0" w:firstLineChars="0"/>
      <w:jc w:val="center"/>
    </w:pPr>
    <w:rPr>
      <w:snapToGrid w:val="0"/>
      <w:kern w:val="0"/>
      <w:sz w:val="21"/>
    </w:rPr>
  </w:style>
  <w:style w:type="paragraph" w:customStyle="1" w:styleId="117">
    <w:name w:val="正文1"/>
    <w:basedOn w:val="11"/>
    <w:qFormat/>
    <w:uiPriority w:val="0"/>
    <w:pPr>
      <w:spacing w:beforeLines="30" w:afterLines="30"/>
      <w:ind w:left="0" w:leftChars="0" w:firstLine="960" w:firstLineChars="200"/>
    </w:pPr>
    <w:rPr>
      <w:rFonts w:ascii="Times New Roman" w:hAnsi="Times New Roman"/>
    </w:rPr>
  </w:style>
</w:styles>
</file>

<file path=word/_rels/document.xml.rels><?xml version="1.0" encoding="UTF-8" standalone="yes"?>
<Relationships xmlns="http://schemas.openxmlformats.org/package/2006/relationships"><Relationship Id="rId9" Type="http://schemas.openxmlformats.org/officeDocument/2006/relationships/image" Target="media/image1.jpeg"/><Relationship Id="rId8" Type="http://schemas.openxmlformats.org/officeDocument/2006/relationships/theme" Target="theme/theme1.xml"/><Relationship Id="rId7" Type="http://schemas.openxmlformats.org/officeDocument/2006/relationships/footer" Target="footer2.xml"/><Relationship Id="rId66" Type="http://schemas.openxmlformats.org/officeDocument/2006/relationships/fontTable" Target="fontTable.xml"/><Relationship Id="rId65" Type="http://schemas.openxmlformats.org/officeDocument/2006/relationships/customXml" Target="../customXml/item2.xml"/><Relationship Id="rId64" Type="http://schemas.openxmlformats.org/officeDocument/2006/relationships/numbering" Target="numbering.xml"/><Relationship Id="rId63" Type="http://schemas.openxmlformats.org/officeDocument/2006/relationships/customXml" Target="../customXml/item1.xml"/><Relationship Id="rId62" Type="http://schemas.openxmlformats.org/officeDocument/2006/relationships/image" Target="media/image46.png"/><Relationship Id="rId61" Type="http://schemas.openxmlformats.org/officeDocument/2006/relationships/image" Target="media/image45.png"/><Relationship Id="rId60" Type="http://schemas.openxmlformats.org/officeDocument/2006/relationships/image" Target="media/image44.png"/><Relationship Id="rId6" Type="http://schemas.openxmlformats.org/officeDocument/2006/relationships/footer" Target="footer1.xml"/><Relationship Id="rId59" Type="http://schemas.openxmlformats.org/officeDocument/2006/relationships/image" Target="media/image43.png"/><Relationship Id="rId58" Type="http://schemas.openxmlformats.org/officeDocument/2006/relationships/image" Target="media/image42.png"/><Relationship Id="rId57" Type="http://schemas.openxmlformats.org/officeDocument/2006/relationships/image" Target="media/image41.png"/><Relationship Id="rId56" Type="http://schemas.openxmlformats.org/officeDocument/2006/relationships/image" Target="media/image40.png"/><Relationship Id="rId55" Type="http://schemas.openxmlformats.org/officeDocument/2006/relationships/image" Target="media/image39.png"/><Relationship Id="rId54" Type="http://schemas.openxmlformats.org/officeDocument/2006/relationships/image" Target="media/image38.png"/><Relationship Id="rId53" Type="http://schemas.openxmlformats.org/officeDocument/2006/relationships/image" Target="media/image37.png"/><Relationship Id="rId52" Type="http://schemas.openxmlformats.org/officeDocument/2006/relationships/image" Target="media/image36.png"/><Relationship Id="rId51" Type="http://schemas.openxmlformats.org/officeDocument/2006/relationships/image" Target="media/image35.png"/><Relationship Id="rId50" Type="http://schemas.openxmlformats.org/officeDocument/2006/relationships/image" Target="media/image34.png"/><Relationship Id="rId5" Type="http://schemas.openxmlformats.org/officeDocument/2006/relationships/header" Target="header1.xml"/><Relationship Id="rId49" Type="http://schemas.openxmlformats.org/officeDocument/2006/relationships/image" Target="media/image33.png"/><Relationship Id="rId48" Type="http://schemas.openxmlformats.org/officeDocument/2006/relationships/image" Target="media/image32.png"/><Relationship Id="rId47" Type="http://schemas.openxmlformats.org/officeDocument/2006/relationships/image" Target="media/image31.png"/><Relationship Id="rId46" Type="http://schemas.openxmlformats.org/officeDocument/2006/relationships/image" Target="media/image30.png"/><Relationship Id="rId45" Type="http://schemas.openxmlformats.org/officeDocument/2006/relationships/image" Target="media/image29.jpeg"/><Relationship Id="rId44" Type="http://schemas.openxmlformats.org/officeDocument/2006/relationships/image" Target="media/image28.jpeg"/><Relationship Id="rId43" Type="http://schemas.openxmlformats.org/officeDocument/2006/relationships/image" Target="media/image27.jpeg"/><Relationship Id="rId42" Type="http://schemas.openxmlformats.org/officeDocument/2006/relationships/image" Target="media/image26.jpeg"/><Relationship Id="rId41" Type="http://schemas.openxmlformats.org/officeDocument/2006/relationships/image" Target="media/image25.png"/><Relationship Id="rId40" Type="http://schemas.openxmlformats.org/officeDocument/2006/relationships/image" Target="media/image24.png"/><Relationship Id="rId4" Type="http://schemas.openxmlformats.org/officeDocument/2006/relationships/endnotes" Target="endnotes.xml"/><Relationship Id="rId39" Type="http://schemas.openxmlformats.org/officeDocument/2006/relationships/image" Target="media/image23.png"/><Relationship Id="rId38" Type="http://schemas.openxmlformats.org/officeDocument/2006/relationships/image" Target="media/image22.png"/><Relationship Id="rId37" Type="http://schemas.openxmlformats.org/officeDocument/2006/relationships/image" Target="media/image21.png"/><Relationship Id="rId36" Type="http://schemas.openxmlformats.org/officeDocument/2006/relationships/image" Target="media/image20.png"/><Relationship Id="rId35" Type="http://schemas.openxmlformats.org/officeDocument/2006/relationships/image" Target="media/image19.png"/><Relationship Id="rId34" Type="http://schemas.openxmlformats.org/officeDocument/2006/relationships/image" Target="media/image18.png"/><Relationship Id="rId33" Type="http://schemas.openxmlformats.org/officeDocument/2006/relationships/image" Target="media/image17.png"/><Relationship Id="rId32" Type="http://schemas.openxmlformats.org/officeDocument/2006/relationships/image" Target="media/image16.png"/><Relationship Id="rId31" Type="http://schemas.openxmlformats.org/officeDocument/2006/relationships/image" Target="media/image15.jpeg"/><Relationship Id="rId30" Type="http://schemas.openxmlformats.org/officeDocument/2006/relationships/customXml" Target="ink/ink4.xml"/><Relationship Id="rId3" Type="http://schemas.openxmlformats.org/officeDocument/2006/relationships/footnotes" Target="footnotes.xml"/><Relationship Id="rId29" Type="http://schemas.openxmlformats.org/officeDocument/2006/relationships/customXml" Target="ink/ink3.xml"/><Relationship Id="rId28" Type="http://schemas.openxmlformats.org/officeDocument/2006/relationships/customXml" Target="ink/ink2.xml"/><Relationship Id="rId27" Type="http://schemas.openxmlformats.org/officeDocument/2006/relationships/image" Target="media/image14.png"/><Relationship Id="rId26" Type="http://schemas.openxmlformats.org/officeDocument/2006/relationships/customXml" Target="ink/ink1.xml"/><Relationship Id="rId25" Type="http://schemas.openxmlformats.org/officeDocument/2006/relationships/image" Target="media/image13.png"/><Relationship Id="rId24" Type="http://schemas.openxmlformats.org/officeDocument/2006/relationships/image" Target="media/image12.emf"/><Relationship Id="rId23" Type="http://schemas.openxmlformats.org/officeDocument/2006/relationships/oleObject" Target="embeddings/oleObject4.bin"/><Relationship Id="rId22" Type="http://schemas.openxmlformats.org/officeDocument/2006/relationships/image" Target="media/image11.emf"/><Relationship Id="rId21" Type="http://schemas.openxmlformats.org/officeDocument/2006/relationships/oleObject" Target="embeddings/oleObject3.bin"/><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png"/><Relationship Id="rId17" Type="http://schemas.openxmlformats.org/officeDocument/2006/relationships/image" Target="media/image7.png"/><Relationship Id="rId16" Type="http://schemas.openxmlformats.org/officeDocument/2006/relationships/image" Target="media/image6.png"/><Relationship Id="rId15" Type="http://schemas.openxmlformats.org/officeDocument/2006/relationships/image" Target="media/image5.jpeg"/><Relationship Id="rId14" Type="http://schemas.openxmlformats.org/officeDocument/2006/relationships/image" Target="media/image4.emf"/><Relationship Id="rId13" Type="http://schemas.openxmlformats.org/officeDocument/2006/relationships/oleObject" Target="embeddings/oleObject2.bin"/><Relationship Id="rId12" Type="http://schemas.openxmlformats.org/officeDocument/2006/relationships/image" Target="media/image3.png"/><Relationship Id="rId11" Type="http://schemas.openxmlformats.org/officeDocument/2006/relationships/image" Target="media/image2.emf"/><Relationship Id="rId10" Type="http://schemas.openxmlformats.org/officeDocument/2006/relationships/oleObject" Target="embeddings/oleObject1.bin"/><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ink/ink1.xml><?xml version="1.0" encoding="utf-8"?>
<inkml:ink xmlns:inkml="http://www.w3.org/2003/InkML">
  <inkml:definitions>
    <inkml:context xml:id="ctx0">
      <inkml:inkSource xml:id="inkSrc0">
        <inkml:traceFormat>
          <inkml:channel name="X" type="integer" units="cm"/>
          <inkml:channel name="Y" type="integer" units="cm"/>
        </inkml:traceFormat>
        <inkml:channelProperties>
          <inkml:channelProperty channel="X" name="resolution" value="28.34646" units="1/cm"/>
          <inkml:channelProperty channel="Y" name="resolution" value="28.34646" units="1/cm"/>
        </inkml:channelProperties>
      </inkml:inkSource>
      <inkml:timestamp xml:id="ts0" timeString="2022-05-31T18:09:19"/>
    </inkml:context>
    <inkml:brush xml:id="br0">
      <inkml:brushProperty name="width" value="0.0504" units="cm"/>
      <inkml:brushProperty name="height" value="0.0504" units="cm"/>
      <inkml:brushProperty name="color" value="#f80600"/>
    </inkml:brush>
  </inkml:definitions>
  <inkml:trace contextRef="#ctx0" brushRef="#br0">10905.000 953700.000,'0.000'0.000</inkml:trace>
</inkml:ink>
</file>

<file path=word/ink/ink2.xml><?xml version="1.0" encoding="utf-8"?>
<inkml:ink xmlns:inkml="http://www.w3.org/2003/InkML">
  <inkml:definitions>
    <inkml:context xml:id="ctx0">
      <inkml:inkSource xml:id="inkSrc0">
        <inkml:traceFormat>
          <inkml:channel name="X" type="integer" units="cm"/>
          <inkml:channel name="Y" type="integer" units="cm"/>
        </inkml:traceFormat>
        <inkml:channelProperties>
          <inkml:channelProperty channel="X" name="resolution" value="28.34646" units="1/cm"/>
          <inkml:channelProperty channel="Y" name="resolution" value="28.34646" units="1/cm"/>
        </inkml:channelProperties>
      </inkml:inkSource>
      <inkml:timestamp xml:id="ts0" timeString="2022-05-31T18:09:19"/>
    </inkml:context>
    <inkml:brush xml:id="br0">
      <inkml:brushProperty name="width" value="0.0504" units="cm"/>
      <inkml:brushProperty name="height" value="0.0504" units="cm"/>
      <inkml:brushProperty name="color" value="#f80600"/>
    </inkml:brush>
  </inkml:definitions>
  <inkml:trace contextRef="#ctx0" brushRef="#br0">10380.000 953700.000,'0.000'0.000</inkml:trace>
</inkml:ink>
</file>

<file path=word/ink/ink3.xml><?xml version="1.0" encoding="utf-8"?>
<inkml:ink xmlns:inkml="http://www.w3.org/2003/InkML">
  <inkml:definitions>
    <inkml:context xml:id="ctx0">
      <inkml:inkSource xml:id="inkSrc0">
        <inkml:traceFormat>
          <inkml:channel name="X" type="integer" units="cm"/>
          <inkml:channel name="Y" type="integer" units="cm"/>
        </inkml:traceFormat>
        <inkml:channelProperties>
          <inkml:channelProperty channel="X" name="resolution" value="28.34646" units="1/cm"/>
          <inkml:channelProperty channel="Y" name="resolution" value="28.34646" units="1/cm"/>
        </inkml:channelProperties>
      </inkml:inkSource>
      <inkml:timestamp xml:id="ts0" timeString="2022-05-31T18:09:19"/>
    </inkml:context>
    <inkml:brush xml:id="br0">
      <inkml:brushProperty name="width" value="0.0504" units="cm"/>
      <inkml:brushProperty name="height" value="0.0504" units="cm"/>
      <inkml:brushProperty name="color" value="#f80600"/>
    </inkml:brush>
  </inkml:definitions>
  <inkml:trace contextRef="#ctx0" brushRef="#br0">10860.000 953850.000,'0.000'0.000</inkml:trace>
</inkml:ink>
</file>

<file path=word/ink/ink4.xml><?xml version="1.0" encoding="utf-8"?>
<inkml:ink xmlns:inkml="http://www.w3.org/2003/InkML">
  <inkml:definitions>
    <inkml:context xml:id="ctx0">
      <inkml:inkSource xml:id="inkSrc0">
        <inkml:traceFormat>
          <inkml:channel name="X" type="integer" units="cm"/>
          <inkml:channel name="Y" type="integer" units="cm"/>
        </inkml:traceFormat>
        <inkml:channelProperties>
          <inkml:channelProperty channel="X" name="resolution" value="28.34646" units="1/cm"/>
          <inkml:channelProperty channel="Y" name="resolution" value="28.34646" units="1/cm"/>
        </inkml:channelProperties>
      </inkml:inkSource>
      <inkml:timestamp xml:id="ts0" timeString="2022-05-31T18:09:19"/>
    </inkml:context>
    <inkml:brush xml:id="br0">
      <inkml:brushProperty name="width" value="0.0504" units="cm"/>
      <inkml:brushProperty name="height" value="0.0504" units="cm"/>
      <inkml:brushProperty name="color" value="#f80600"/>
    </inkml:brush>
  </inkml:definitions>
  <inkml:trace contextRef="#ctx0" brushRef="#br0">10875.000 953685.000,'0.000'0.000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mcd:customData xmlns="http://www.wps.cn/android/officeDocument/2013/mofficeCustomData" xmlns:mcd="http://www.wps.cn/android/officeDocument/2013/mofficeCustomData" version="2">
  <mcd:comments/>
</mcd: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840d927-cc95-4a6e-aac4-c90895eacafc}">
  <ds:schemaRefs/>
</ds:datastoreItem>
</file>

<file path=docProps/app.xml><?xml version="1.0" encoding="utf-8"?>
<Properties xmlns="http://schemas.openxmlformats.org/officeDocument/2006/extended-properties" xmlns:vt="http://schemas.openxmlformats.org/officeDocument/2006/docPropsVTypes">
  <Template>Normal.dotm</Template>
  <Pages>128</Pages>
  <Words>12252</Words>
  <Characters>12957</Characters>
  <Paragraphs>5652</Paragraphs>
  <TotalTime>4</TotalTime>
  <ScaleCrop>false</ScaleCrop>
  <LinksUpToDate>false</LinksUpToDate>
  <CharactersWithSpaces>13087</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2022-04-28T02:26:00Z</dcterms:created>
  <dc:creator>O</dc:creator>
  <cp:lastModifiedBy>杨宗祺-Swi</cp:lastModifiedBy>
  <dcterms:modified xsi:type="dcterms:W3CDTF">2026-01-28T12:36:36Z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ICV">
    <vt:lpwstr>964E68ED3F7E41349698464751E33EBF_13</vt:lpwstr>
  </property>
  <property fmtid="{D5CDD505-2E9C-101B-9397-08002B2CF9AE}" pid="4" name="KSOTemplateDocerSaveRecord">
    <vt:lpwstr>eyJoZGlkIjoiYTY3NjljNDJiNDZmNDUzMTJiY2Y2OGFhMmE2ZDkwMDMiLCJ1c2VySWQiOiIzNzQ0OTk2MDAifQ==</vt:lpwstr>
  </property>
</Properties>
</file>