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0E247">
      <w:pPr>
        <w:adjustRightInd w:val="0"/>
        <w:snapToGrid w:val="0"/>
        <w:rPr>
          <w:rFonts w:eastAsia="仿宋_GB2312"/>
          <w:color w:val="auto"/>
          <w:sz w:val="36"/>
          <w:szCs w:val="36"/>
        </w:rPr>
      </w:pPr>
    </w:p>
    <w:p w14:paraId="7EF0DCBF">
      <w:pPr>
        <w:adjustRightInd w:val="0"/>
        <w:snapToGrid w:val="0"/>
        <w:rPr>
          <w:rFonts w:eastAsia="仿宋_GB2312"/>
          <w:color w:val="auto"/>
          <w:sz w:val="36"/>
          <w:szCs w:val="36"/>
        </w:rPr>
      </w:pPr>
    </w:p>
    <w:p w14:paraId="137A6852">
      <w:pPr>
        <w:adjustRightInd w:val="0"/>
        <w:snapToGrid w:val="0"/>
        <w:rPr>
          <w:rFonts w:eastAsia="仿宋_GB2312"/>
          <w:color w:val="auto"/>
          <w:sz w:val="36"/>
          <w:szCs w:val="36"/>
        </w:rPr>
      </w:pPr>
    </w:p>
    <w:p w14:paraId="0E97BCBC">
      <w:pPr>
        <w:adjustRightInd w:val="0"/>
        <w:snapToGrid w:val="0"/>
        <w:rPr>
          <w:rFonts w:eastAsia="仿宋_GB2312"/>
          <w:color w:val="auto"/>
          <w:sz w:val="36"/>
          <w:szCs w:val="36"/>
        </w:rPr>
      </w:pPr>
    </w:p>
    <w:p w14:paraId="60B6606C">
      <w:pPr>
        <w:adjustRightInd w:val="0"/>
        <w:snapToGrid w:val="0"/>
        <w:rPr>
          <w:rFonts w:eastAsia="仿宋_GB2312"/>
          <w:color w:val="auto"/>
          <w:sz w:val="36"/>
          <w:szCs w:val="36"/>
        </w:rPr>
      </w:pPr>
    </w:p>
    <w:p w14:paraId="3968D9D8">
      <w:pPr>
        <w:adjustRightInd w:val="0"/>
        <w:snapToGrid w:val="0"/>
        <w:jc w:val="center"/>
        <w:outlineLvl w:val="0"/>
        <w:rPr>
          <w:rFonts w:eastAsia="方正小标宋_GBK"/>
          <w:bCs/>
          <w:color w:val="auto"/>
          <w:sz w:val="72"/>
          <w:szCs w:val="72"/>
        </w:rPr>
      </w:pPr>
      <w:bookmarkStart w:id="0" w:name="_Toc8014"/>
      <w:bookmarkStart w:id="1" w:name="_Toc20350"/>
      <w:bookmarkStart w:id="2" w:name="_Toc10672"/>
      <w:r>
        <w:rPr>
          <w:rFonts w:eastAsia="方正小标宋_GBK"/>
          <w:bCs/>
          <w:color w:val="auto"/>
          <w:sz w:val="72"/>
          <w:szCs w:val="72"/>
        </w:rPr>
        <w:t>建设项目环</w:t>
      </w:r>
      <w:bookmarkStart w:id="68" w:name="_GoBack"/>
      <w:bookmarkEnd w:id="68"/>
      <w:r>
        <w:rPr>
          <w:rFonts w:eastAsia="方正小标宋_GBK"/>
          <w:bCs/>
          <w:color w:val="auto"/>
          <w:sz w:val="72"/>
          <w:szCs w:val="72"/>
        </w:rPr>
        <w:t>境影响报告表</w:t>
      </w:r>
      <w:bookmarkEnd w:id="0"/>
      <w:bookmarkEnd w:id="1"/>
      <w:bookmarkEnd w:id="2"/>
    </w:p>
    <w:p w14:paraId="40A241FA">
      <w:pPr>
        <w:adjustRightInd w:val="0"/>
        <w:snapToGrid w:val="0"/>
        <w:spacing w:before="192" w:beforeLines="80"/>
        <w:jc w:val="center"/>
        <w:rPr>
          <w:rFonts w:eastAsia="楷体_GB2312"/>
          <w:bCs/>
          <w:color w:val="auto"/>
          <w:sz w:val="48"/>
          <w:szCs w:val="48"/>
        </w:rPr>
      </w:pPr>
      <w:r>
        <w:rPr>
          <w:rFonts w:eastAsia="楷体_GB2312"/>
          <w:bCs/>
          <w:color w:val="auto"/>
          <w:sz w:val="48"/>
          <w:szCs w:val="48"/>
        </w:rPr>
        <w:t>（污染影响类）</w:t>
      </w:r>
    </w:p>
    <w:p w14:paraId="1E3358D7">
      <w:pPr>
        <w:adjustRightInd w:val="0"/>
        <w:snapToGrid w:val="0"/>
        <w:spacing w:line="288" w:lineRule="auto"/>
        <w:jc w:val="center"/>
        <w:rPr>
          <w:rFonts w:eastAsia="华文仿宋"/>
          <w:color w:val="auto"/>
          <w:kern w:val="44"/>
          <w:sz w:val="44"/>
          <w:szCs w:val="44"/>
        </w:rPr>
      </w:pPr>
    </w:p>
    <w:p w14:paraId="1C9DA67D">
      <w:pPr>
        <w:adjustRightInd w:val="0"/>
        <w:snapToGrid w:val="0"/>
        <w:jc w:val="center"/>
        <w:rPr>
          <w:rFonts w:eastAsia="仿宋"/>
          <w:color w:val="auto"/>
          <w:sz w:val="52"/>
          <w:szCs w:val="52"/>
        </w:rPr>
      </w:pPr>
    </w:p>
    <w:p w14:paraId="3D02CCB4">
      <w:pPr>
        <w:adjustRightInd w:val="0"/>
        <w:snapToGrid w:val="0"/>
        <w:ind w:firstLine="1040"/>
        <w:rPr>
          <w:rFonts w:eastAsia="仿宋"/>
          <w:color w:val="auto"/>
          <w:sz w:val="44"/>
          <w:szCs w:val="44"/>
        </w:rPr>
      </w:pPr>
    </w:p>
    <w:p w14:paraId="0CECA977">
      <w:pPr>
        <w:adjustRightInd w:val="0"/>
        <w:snapToGrid w:val="0"/>
        <w:ind w:firstLine="1040"/>
        <w:rPr>
          <w:rFonts w:eastAsia="仿宋"/>
          <w:color w:val="auto"/>
          <w:sz w:val="44"/>
          <w:szCs w:val="44"/>
        </w:rPr>
      </w:pPr>
    </w:p>
    <w:p w14:paraId="2E6FF62B">
      <w:pPr>
        <w:pStyle w:val="19"/>
        <w:rPr>
          <w:rFonts w:hint="default" w:ascii="Times New Roman" w:hAnsi="Times New Roman"/>
          <w:color w:val="auto"/>
        </w:rPr>
      </w:pPr>
    </w:p>
    <w:p w14:paraId="2E563ECB">
      <w:pPr>
        <w:adjustRightInd w:val="0"/>
        <w:snapToGrid w:val="0"/>
        <w:ind w:firstLine="1040"/>
        <w:rPr>
          <w:rFonts w:eastAsia="仿宋"/>
          <w:color w:val="auto"/>
          <w:sz w:val="44"/>
          <w:szCs w:val="44"/>
        </w:rPr>
      </w:pPr>
    </w:p>
    <w:p w14:paraId="0D76E5DE">
      <w:pPr>
        <w:adjustRightInd w:val="0"/>
        <w:snapToGrid w:val="0"/>
        <w:ind w:firstLine="1040"/>
        <w:rPr>
          <w:rFonts w:eastAsia="仿宋"/>
          <w:color w:val="auto"/>
          <w:sz w:val="44"/>
          <w:szCs w:val="44"/>
        </w:rPr>
      </w:pPr>
    </w:p>
    <w:p w14:paraId="524B5A63">
      <w:pPr>
        <w:adjustRightInd w:val="0"/>
        <w:snapToGrid w:val="0"/>
        <w:spacing w:line="288" w:lineRule="auto"/>
        <w:ind w:firstLine="720" w:firstLineChars="200"/>
        <w:rPr>
          <w:rFonts w:eastAsia="仿宋_GB2312"/>
          <w:color w:val="auto"/>
          <w:sz w:val="36"/>
          <w:szCs w:val="36"/>
          <w:u w:val="single"/>
        </w:rPr>
      </w:pPr>
      <w:r>
        <w:rPr>
          <w:rFonts w:eastAsia="仿宋_GB2312"/>
          <w:color w:val="auto"/>
          <w:sz w:val="36"/>
          <w:szCs w:val="36"/>
        </w:rPr>
        <w:t>项目名称：</w:t>
      </w:r>
      <w:r>
        <w:rPr>
          <w:rFonts w:hint="eastAsia" w:eastAsia="仿宋_GB2312"/>
          <w:color w:val="auto"/>
          <w:spacing w:val="-11"/>
          <w:sz w:val="36"/>
          <w:szCs w:val="36"/>
          <w:u w:val="single"/>
          <w:lang w:eastAsia="zh-CN"/>
        </w:rPr>
        <w:t>乐昌市华翔木业有限公司锅炉技改项目</w:t>
      </w:r>
      <w:r>
        <w:rPr>
          <w:rFonts w:eastAsia="仿宋_GB2312"/>
          <w:color w:val="auto"/>
          <w:spacing w:val="-23"/>
          <w:sz w:val="36"/>
          <w:szCs w:val="36"/>
          <w:u w:val="single"/>
        </w:rPr>
        <w:t xml:space="preserve">  </w:t>
      </w:r>
      <w:r>
        <w:rPr>
          <w:rFonts w:eastAsia="仿宋_GB2312"/>
          <w:color w:val="auto"/>
          <w:sz w:val="36"/>
          <w:szCs w:val="36"/>
          <w:u w:val="single"/>
        </w:rPr>
        <w:t xml:space="preserve"> </w:t>
      </w:r>
    </w:p>
    <w:p w14:paraId="54179FC0">
      <w:pPr>
        <w:adjustRightInd w:val="0"/>
        <w:snapToGrid w:val="0"/>
        <w:spacing w:line="288" w:lineRule="auto"/>
        <w:ind w:firstLine="720" w:firstLineChars="200"/>
        <w:rPr>
          <w:rFonts w:eastAsia="仿宋_GB2312"/>
          <w:color w:val="auto"/>
          <w:sz w:val="36"/>
          <w:szCs w:val="36"/>
          <w:u w:val="single"/>
        </w:rPr>
      </w:pPr>
      <w:r>
        <w:rPr>
          <w:rFonts w:eastAsia="仿宋_GB2312"/>
          <w:color w:val="auto"/>
          <w:sz w:val="36"/>
          <w:szCs w:val="36"/>
        </w:rPr>
        <w:t>建设单位（盖章）：</w:t>
      </w:r>
      <w:r>
        <w:rPr>
          <w:rFonts w:hint="eastAsia" w:eastAsia="仿宋_GB2312"/>
          <w:color w:val="auto"/>
          <w:spacing w:val="-11"/>
          <w:sz w:val="36"/>
          <w:szCs w:val="36"/>
          <w:u w:val="single"/>
          <w:lang w:eastAsia="zh-CN"/>
        </w:rPr>
        <w:t>乐昌市华翔木业有限公司</w:t>
      </w:r>
      <w:r>
        <w:rPr>
          <w:rFonts w:eastAsia="仿宋_GB2312"/>
          <w:color w:val="auto"/>
          <w:sz w:val="36"/>
          <w:szCs w:val="36"/>
          <w:u w:val="single"/>
        </w:rPr>
        <w:t xml:space="preserve">      </w:t>
      </w:r>
    </w:p>
    <w:p w14:paraId="04E2AEF8">
      <w:pPr>
        <w:adjustRightInd w:val="0"/>
        <w:snapToGrid w:val="0"/>
        <w:spacing w:line="288" w:lineRule="auto"/>
        <w:ind w:firstLine="720" w:firstLineChars="200"/>
        <w:rPr>
          <w:rFonts w:eastAsia="仿宋_GB2312"/>
          <w:color w:val="auto"/>
          <w:sz w:val="36"/>
          <w:szCs w:val="36"/>
        </w:rPr>
      </w:pPr>
      <w:r>
        <w:rPr>
          <w:rFonts w:eastAsia="仿宋_GB2312"/>
          <w:color w:val="auto"/>
          <w:sz w:val="36"/>
          <w:szCs w:val="36"/>
        </w:rPr>
        <w:t>编制日期：</w:t>
      </w:r>
      <w:r>
        <w:rPr>
          <w:rFonts w:eastAsia="仿宋_GB2312"/>
          <w:color w:val="auto"/>
          <w:sz w:val="36"/>
          <w:szCs w:val="36"/>
          <w:u w:val="single"/>
        </w:rPr>
        <w:t xml:space="preserve">  二〇二</w:t>
      </w:r>
      <w:r>
        <w:rPr>
          <w:rFonts w:hint="eastAsia" w:eastAsia="仿宋_GB2312"/>
          <w:color w:val="auto"/>
          <w:sz w:val="36"/>
          <w:szCs w:val="36"/>
          <w:u w:val="single"/>
          <w:lang w:val="en-US" w:eastAsia="zh-CN"/>
        </w:rPr>
        <w:t>六</w:t>
      </w:r>
      <w:r>
        <w:rPr>
          <w:rFonts w:eastAsia="仿宋_GB2312"/>
          <w:color w:val="auto"/>
          <w:sz w:val="36"/>
          <w:szCs w:val="36"/>
          <w:u w:val="single"/>
        </w:rPr>
        <w:t>年</w:t>
      </w:r>
      <w:r>
        <w:rPr>
          <w:rFonts w:hint="eastAsia" w:eastAsia="仿宋_GB2312"/>
          <w:color w:val="auto"/>
          <w:sz w:val="36"/>
          <w:szCs w:val="36"/>
          <w:u w:val="single"/>
          <w:lang w:val="en-US" w:eastAsia="zh-CN"/>
        </w:rPr>
        <w:t>一</w:t>
      </w:r>
      <w:r>
        <w:rPr>
          <w:rFonts w:eastAsia="仿宋_GB2312"/>
          <w:color w:val="auto"/>
          <w:sz w:val="36"/>
          <w:szCs w:val="36"/>
          <w:u w:val="single"/>
        </w:rPr>
        <w:t>月</w:t>
      </w:r>
      <w:r>
        <w:rPr>
          <w:rFonts w:hint="eastAsia" w:eastAsia="仿宋_GB2312"/>
          <w:color w:val="auto"/>
          <w:sz w:val="36"/>
          <w:szCs w:val="36"/>
          <w:u w:val="single"/>
        </w:rPr>
        <w:t xml:space="preserve"> </w:t>
      </w:r>
      <w:r>
        <w:rPr>
          <w:rFonts w:eastAsia="仿宋_GB2312"/>
          <w:color w:val="auto"/>
          <w:sz w:val="36"/>
          <w:szCs w:val="36"/>
          <w:u w:val="single"/>
        </w:rPr>
        <w:t xml:space="preserve">                  </w:t>
      </w:r>
      <w:bookmarkStart w:id="3" w:name="_Hlk57884087"/>
    </w:p>
    <w:p w14:paraId="280D9ED6">
      <w:pPr>
        <w:adjustRightInd w:val="0"/>
        <w:snapToGrid w:val="0"/>
        <w:spacing w:line="288" w:lineRule="auto"/>
        <w:ind w:firstLine="1040"/>
        <w:rPr>
          <w:rFonts w:eastAsia="仿宋_GB2312"/>
          <w:color w:val="auto"/>
          <w:sz w:val="36"/>
          <w:szCs w:val="36"/>
        </w:rPr>
      </w:pPr>
    </w:p>
    <w:p w14:paraId="6BF31B93">
      <w:pPr>
        <w:rPr>
          <w:rFonts w:eastAsia="仿宋_GB2312"/>
          <w:color w:val="auto"/>
          <w:sz w:val="36"/>
          <w:szCs w:val="36"/>
        </w:rPr>
      </w:pPr>
    </w:p>
    <w:p w14:paraId="3B4D7EC8">
      <w:pPr>
        <w:rPr>
          <w:rFonts w:eastAsia="仿宋_GB2312"/>
          <w:color w:val="auto"/>
          <w:sz w:val="36"/>
          <w:szCs w:val="36"/>
        </w:rPr>
      </w:pPr>
    </w:p>
    <w:p w14:paraId="19FE0041">
      <w:pPr>
        <w:rPr>
          <w:rFonts w:eastAsia="仿宋_GB2312"/>
          <w:color w:val="auto"/>
          <w:sz w:val="36"/>
          <w:szCs w:val="36"/>
        </w:rPr>
      </w:pPr>
    </w:p>
    <w:p w14:paraId="09EA1EB8">
      <w:pPr>
        <w:rPr>
          <w:rFonts w:eastAsia="仿宋_GB2312"/>
          <w:color w:val="auto"/>
          <w:sz w:val="36"/>
          <w:szCs w:val="36"/>
        </w:rPr>
      </w:pPr>
    </w:p>
    <w:p w14:paraId="252F2525">
      <w:pPr>
        <w:rPr>
          <w:rFonts w:eastAsia="仿宋_GB2312"/>
          <w:color w:val="auto"/>
          <w:sz w:val="36"/>
          <w:szCs w:val="36"/>
        </w:rPr>
      </w:pPr>
    </w:p>
    <w:p w14:paraId="2214A3ED">
      <w:pPr>
        <w:rPr>
          <w:color w:val="auto"/>
        </w:rPr>
      </w:pPr>
    </w:p>
    <w:bookmarkEnd w:id="3"/>
    <w:p w14:paraId="5AE65041">
      <w:pPr>
        <w:adjustRightInd w:val="0"/>
        <w:snapToGrid w:val="0"/>
        <w:spacing w:line="288" w:lineRule="auto"/>
        <w:jc w:val="center"/>
        <w:rPr>
          <w:rFonts w:eastAsia="楷体_GB2312"/>
          <w:color w:val="auto"/>
          <w:sz w:val="36"/>
          <w:szCs w:val="36"/>
        </w:rPr>
      </w:pPr>
      <w:r>
        <w:rPr>
          <w:rFonts w:eastAsia="楷体_GB2312"/>
          <w:color w:val="auto"/>
          <w:sz w:val="36"/>
          <w:szCs w:val="36"/>
        </w:rPr>
        <w:t>中华人民共和国生态环境部制</w:t>
      </w:r>
    </w:p>
    <w:p w14:paraId="36086909">
      <w:pPr>
        <w:adjustRightInd w:val="0"/>
        <w:snapToGrid w:val="0"/>
        <w:spacing w:line="288" w:lineRule="auto"/>
        <w:ind w:firstLine="1040"/>
        <w:rPr>
          <w:rFonts w:eastAsia="仿宋_GB2312"/>
          <w:color w:val="auto"/>
          <w:sz w:val="36"/>
          <w:szCs w:val="36"/>
        </w:rPr>
        <w:sectPr>
          <w:headerReference r:id="rId3" w:type="default"/>
          <w:footerReference r:id="rId4" w:type="default"/>
          <w:footerReference r:id="rId5" w:type="even"/>
          <w:pgSz w:w="11906" w:h="16838"/>
          <w:pgMar w:top="1701" w:right="1531" w:bottom="1701" w:left="1531" w:header="851" w:footer="1077" w:gutter="0"/>
          <w:pgNumType w:start="3"/>
          <w:cols w:space="720" w:num="1"/>
          <w:docGrid w:linePitch="312" w:charSpace="0"/>
        </w:sectPr>
      </w:pPr>
    </w:p>
    <w:p w14:paraId="5C072136">
      <w:pPr>
        <w:pStyle w:val="31"/>
        <w:adjustRightInd w:val="0"/>
        <w:snapToGrid w:val="0"/>
        <w:jc w:val="center"/>
        <w:outlineLvl w:val="0"/>
        <w:rPr>
          <w:rFonts w:ascii="Times New Roman" w:hAnsi="Times New Roman" w:eastAsia="黑体" w:cs="Times New Roman"/>
          <w:snapToGrid w:val="0"/>
          <w:color w:val="auto"/>
          <w:sz w:val="30"/>
          <w:szCs w:val="30"/>
        </w:rPr>
      </w:pPr>
      <w:bookmarkStart w:id="4" w:name="_Toc21246"/>
      <w:r>
        <w:rPr>
          <w:rFonts w:ascii="Times New Roman" w:hAnsi="Times New Roman" w:eastAsia="黑体" w:cs="Times New Roman"/>
          <w:snapToGrid w:val="0"/>
          <w:color w:val="auto"/>
          <w:sz w:val="30"/>
          <w:szCs w:val="30"/>
        </w:rPr>
        <w:t>一、建设项目基本情况</w:t>
      </w:r>
      <w:bookmarkEnd w:id="4"/>
    </w:p>
    <w:tbl>
      <w:tblPr>
        <w:tblStyle w:val="35"/>
        <w:tblW w:w="88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919"/>
        <w:gridCol w:w="2100"/>
        <w:gridCol w:w="2040"/>
        <w:gridCol w:w="2811"/>
      </w:tblGrid>
      <w:tr w14:paraId="387687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67" w:hRule="atLeast"/>
          <w:jc w:val="center"/>
        </w:trPr>
        <w:tc>
          <w:tcPr>
            <w:tcW w:w="1919" w:type="dxa"/>
            <w:tcMar>
              <w:top w:w="16" w:type="dxa"/>
              <w:left w:w="16" w:type="dxa"/>
              <w:right w:w="16" w:type="dxa"/>
            </w:tcMar>
            <w:vAlign w:val="center"/>
          </w:tcPr>
          <w:p w14:paraId="404E4CDC">
            <w:pPr>
              <w:adjustRightInd w:val="0"/>
              <w:snapToGrid w:val="0"/>
              <w:jc w:val="center"/>
              <w:rPr>
                <w:color w:val="auto"/>
                <w:szCs w:val="21"/>
              </w:rPr>
            </w:pPr>
            <w:r>
              <w:rPr>
                <w:color w:val="auto"/>
                <w:szCs w:val="21"/>
              </w:rPr>
              <w:t>建设项目名称</w:t>
            </w:r>
          </w:p>
        </w:tc>
        <w:tc>
          <w:tcPr>
            <w:tcW w:w="6951" w:type="dxa"/>
            <w:gridSpan w:val="3"/>
            <w:vAlign w:val="center"/>
          </w:tcPr>
          <w:p w14:paraId="23903229">
            <w:pPr>
              <w:adjustRightInd w:val="0"/>
              <w:snapToGrid w:val="0"/>
              <w:jc w:val="center"/>
              <w:rPr>
                <w:color w:val="auto"/>
                <w:szCs w:val="21"/>
              </w:rPr>
            </w:pPr>
            <w:r>
              <w:rPr>
                <w:rFonts w:hint="eastAsia"/>
                <w:color w:val="auto"/>
                <w:szCs w:val="21"/>
                <w:lang w:eastAsia="zh-CN"/>
              </w:rPr>
              <w:t>乐昌市华翔木业有限公司</w:t>
            </w:r>
            <w:r>
              <w:rPr>
                <w:rFonts w:hint="eastAsia"/>
                <w:color w:val="auto"/>
                <w:szCs w:val="21"/>
              </w:rPr>
              <w:t>锅炉技改项目</w:t>
            </w:r>
          </w:p>
        </w:tc>
      </w:tr>
      <w:tr w14:paraId="26A75A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1919" w:type="dxa"/>
            <w:tcMar>
              <w:top w:w="16" w:type="dxa"/>
              <w:left w:w="16" w:type="dxa"/>
              <w:right w:w="16" w:type="dxa"/>
            </w:tcMar>
            <w:vAlign w:val="center"/>
          </w:tcPr>
          <w:p w14:paraId="3C6B5C53">
            <w:pPr>
              <w:adjustRightInd w:val="0"/>
              <w:snapToGrid w:val="0"/>
              <w:jc w:val="center"/>
              <w:rPr>
                <w:color w:val="auto"/>
                <w:szCs w:val="21"/>
              </w:rPr>
            </w:pPr>
            <w:r>
              <w:rPr>
                <w:color w:val="auto"/>
                <w:szCs w:val="21"/>
              </w:rPr>
              <w:t>项目代码</w:t>
            </w:r>
          </w:p>
        </w:tc>
        <w:tc>
          <w:tcPr>
            <w:tcW w:w="6951" w:type="dxa"/>
            <w:gridSpan w:val="3"/>
            <w:vAlign w:val="center"/>
          </w:tcPr>
          <w:p w14:paraId="1857117E">
            <w:pPr>
              <w:adjustRightInd w:val="0"/>
              <w:snapToGrid w:val="0"/>
              <w:jc w:val="center"/>
              <w:rPr>
                <w:rFonts w:hint="eastAsia" w:eastAsia="宋体"/>
                <w:color w:val="auto"/>
                <w:szCs w:val="21"/>
                <w:lang w:eastAsia="zh-CN"/>
              </w:rPr>
            </w:pPr>
            <w:r>
              <w:rPr>
                <w:rFonts w:hint="eastAsia"/>
                <w:color w:val="auto"/>
                <w:szCs w:val="21"/>
                <w:lang w:val="en-US" w:eastAsia="zh-CN"/>
              </w:rPr>
              <w:t>无</w:t>
            </w:r>
          </w:p>
        </w:tc>
      </w:tr>
      <w:tr w14:paraId="326ADF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1919" w:type="dxa"/>
            <w:tcMar>
              <w:top w:w="16" w:type="dxa"/>
              <w:left w:w="16" w:type="dxa"/>
              <w:right w:w="16" w:type="dxa"/>
            </w:tcMar>
            <w:vAlign w:val="center"/>
          </w:tcPr>
          <w:p w14:paraId="7EE73395">
            <w:pPr>
              <w:adjustRightInd w:val="0"/>
              <w:snapToGrid w:val="0"/>
              <w:jc w:val="center"/>
              <w:rPr>
                <w:color w:val="auto"/>
                <w:szCs w:val="21"/>
                <w:highlight w:val="none"/>
              </w:rPr>
            </w:pPr>
            <w:r>
              <w:rPr>
                <w:color w:val="auto"/>
                <w:szCs w:val="21"/>
                <w:highlight w:val="none"/>
              </w:rPr>
              <w:t>建设单位联系人</w:t>
            </w:r>
          </w:p>
        </w:tc>
        <w:tc>
          <w:tcPr>
            <w:tcW w:w="2100" w:type="dxa"/>
            <w:vAlign w:val="center"/>
          </w:tcPr>
          <w:p w14:paraId="13DA3735">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w:t>
            </w:r>
          </w:p>
        </w:tc>
        <w:tc>
          <w:tcPr>
            <w:tcW w:w="2040" w:type="dxa"/>
            <w:vAlign w:val="center"/>
          </w:tcPr>
          <w:p w14:paraId="73C70618">
            <w:pPr>
              <w:adjustRightInd w:val="0"/>
              <w:snapToGrid w:val="0"/>
              <w:jc w:val="center"/>
              <w:rPr>
                <w:color w:val="auto"/>
                <w:szCs w:val="21"/>
                <w:highlight w:val="none"/>
              </w:rPr>
            </w:pPr>
            <w:r>
              <w:rPr>
                <w:color w:val="auto"/>
                <w:szCs w:val="21"/>
                <w:highlight w:val="none"/>
              </w:rPr>
              <w:t>联系方式</w:t>
            </w:r>
          </w:p>
        </w:tc>
        <w:tc>
          <w:tcPr>
            <w:tcW w:w="2811" w:type="dxa"/>
            <w:vAlign w:val="center"/>
          </w:tcPr>
          <w:p w14:paraId="7DF44A46">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w:t>
            </w:r>
          </w:p>
        </w:tc>
      </w:tr>
      <w:tr w14:paraId="63CCB1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1919" w:type="dxa"/>
            <w:tcMar>
              <w:top w:w="16" w:type="dxa"/>
              <w:left w:w="16" w:type="dxa"/>
              <w:right w:w="16" w:type="dxa"/>
            </w:tcMar>
            <w:vAlign w:val="center"/>
          </w:tcPr>
          <w:p w14:paraId="36307E7E">
            <w:pPr>
              <w:adjustRightInd w:val="0"/>
              <w:snapToGrid w:val="0"/>
              <w:jc w:val="center"/>
              <w:rPr>
                <w:color w:val="auto"/>
                <w:szCs w:val="21"/>
              </w:rPr>
            </w:pPr>
            <w:r>
              <w:rPr>
                <w:color w:val="auto"/>
                <w:szCs w:val="21"/>
              </w:rPr>
              <w:t>建设地点</w:t>
            </w:r>
          </w:p>
        </w:tc>
        <w:tc>
          <w:tcPr>
            <w:tcW w:w="6951" w:type="dxa"/>
            <w:gridSpan w:val="3"/>
            <w:vAlign w:val="center"/>
          </w:tcPr>
          <w:p w14:paraId="091C5197">
            <w:pPr>
              <w:adjustRightInd w:val="0"/>
              <w:snapToGrid w:val="0"/>
              <w:jc w:val="center"/>
              <w:rPr>
                <w:rFonts w:hint="eastAsia" w:eastAsia="宋体"/>
                <w:color w:val="auto"/>
                <w:szCs w:val="21"/>
                <w:lang w:eastAsia="zh-CN"/>
              </w:rPr>
            </w:pPr>
            <w:r>
              <w:rPr>
                <w:rFonts w:hint="eastAsia"/>
                <w:color w:val="auto"/>
                <w:szCs w:val="21"/>
                <w:lang w:eastAsia="zh-CN"/>
              </w:rPr>
              <w:t xml:space="preserve">乐昌市庆云镇金坪 </w:t>
            </w:r>
          </w:p>
        </w:tc>
      </w:tr>
      <w:tr w14:paraId="06489E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919" w:type="dxa"/>
            <w:tcMar>
              <w:top w:w="16" w:type="dxa"/>
              <w:left w:w="16" w:type="dxa"/>
              <w:right w:w="16" w:type="dxa"/>
            </w:tcMar>
            <w:vAlign w:val="center"/>
          </w:tcPr>
          <w:p w14:paraId="43863E00">
            <w:pPr>
              <w:adjustRightInd w:val="0"/>
              <w:snapToGrid w:val="0"/>
              <w:jc w:val="center"/>
              <w:rPr>
                <w:color w:val="auto"/>
                <w:szCs w:val="21"/>
              </w:rPr>
            </w:pPr>
            <w:r>
              <w:rPr>
                <w:color w:val="auto"/>
                <w:szCs w:val="21"/>
              </w:rPr>
              <w:t>地理坐标</w:t>
            </w:r>
          </w:p>
        </w:tc>
        <w:tc>
          <w:tcPr>
            <w:tcW w:w="6951" w:type="dxa"/>
            <w:gridSpan w:val="3"/>
            <w:vAlign w:val="center"/>
          </w:tcPr>
          <w:p w14:paraId="526B85B6">
            <w:pPr>
              <w:adjustRightInd w:val="0"/>
              <w:snapToGrid w:val="0"/>
              <w:jc w:val="center"/>
              <w:rPr>
                <w:color w:val="auto"/>
              </w:rPr>
            </w:pPr>
            <w:r>
              <w:rPr>
                <w:color w:val="auto"/>
                <w:szCs w:val="21"/>
              </w:rPr>
              <w:t>（东经</w:t>
            </w:r>
            <w:r>
              <w:rPr>
                <w:color w:val="auto"/>
                <w:szCs w:val="21"/>
                <w:u w:val="single"/>
              </w:rPr>
              <w:t>113</w:t>
            </w:r>
            <w:r>
              <w:rPr>
                <w:color w:val="auto"/>
                <w:szCs w:val="21"/>
              </w:rPr>
              <w:t>度</w:t>
            </w:r>
            <w:r>
              <w:rPr>
                <w:rFonts w:hint="eastAsia"/>
                <w:color w:val="auto"/>
                <w:szCs w:val="21"/>
                <w:u w:val="single"/>
                <w:lang w:val="en-US" w:eastAsia="zh-CN"/>
              </w:rPr>
              <w:t>9</w:t>
            </w:r>
            <w:r>
              <w:rPr>
                <w:color w:val="auto"/>
                <w:szCs w:val="21"/>
              </w:rPr>
              <w:t>分</w:t>
            </w:r>
            <w:r>
              <w:rPr>
                <w:rFonts w:hint="eastAsia"/>
                <w:color w:val="auto"/>
                <w:szCs w:val="21"/>
                <w:u w:val="single"/>
                <w:lang w:val="en-US" w:eastAsia="zh-CN"/>
              </w:rPr>
              <w:t>16.947</w:t>
            </w:r>
            <w:r>
              <w:rPr>
                <w:color w:val="auto"/>
                <w:szCs w:val="21"/>
              </w:rPr>
              <w:t>秒，北纬</w:t>
            </w:r>
            <w:r>
              <w:rPr>
                <w:color w:val="auto"/>
                <w:szCs w:val="21"/>
                <w:u w:val="single"/>
              </w:rPr>
              <w:t>2</w:t>
            </w:r>
            <w:r>
              <w:rPr>
                <w:rFonts w:hint="eastAsia"/>
                <w:color w:val="auto"/>
                <w:szCs w:val="21"/>
                <w:u w:val="single"/>
                <w:lang w:val="en-US" w:eastAsia="zh-CN"/>
              </w:rPr>
              <w:t>5</w:t>
            </w:r>
            <w:r>
              <w:rPr>
                <w:color w:val="auto"/>
                <w:szCs w:val="21"/>
              </w:rPr>
              <w:t>度</w:t>
            </w:r>
            <w:r>
              <w:rPr>
                <w:rFonts w:hint="eastAsia"/>
                <w:color w:val="auto"/>
                <w:szCs w:val="21"/>
                <w:u w:val="single"/>
                <w:lang w:val="en-US" w:eastAsia="zh-CN"/>
              </w:rPr>
              <w:t>22</w:t>
            </w:r>
            <w:r>
              <w:rPr>
                <w:color w:val="auto"/>
                <w:szCs w:val="21"/>
              </w:rPr>
              <w:t>分</w:t>
            </w:r>
            <w:r>
              <w:rPr>
                <w:rFonts w:hint="eastAsia"/>
                <w:color w:val="auto"/>
                <w:szCs w:val="21"/>
                <w:u w:val="single"/>
                <w:lang w:val="en-US" w:eastAsia="zh-CN"/>
              </w:rPr>
              <w:t>37.676</w:t>
            </w:r>
            <w:r>
              <w:rPr>
                <w:color w:val="auto"/>
                <w:szCs w:val="21"/>
              </w:rPr>
              <w:t>秒）</w:t>
            </w:r>
          </w:p>
        </w:tc>
      </w:tr>
      <w:tr w14:paraId="150E85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35" w:hRule="atLeast"/>
          <w:jc w:val="center"/>
        </w:trPr>
        <w:tc>
          <w:tcPr>
            <w:tcW w:w="1919" w:type="dxa"/>
            <w:tcMar>
              <w:top w:w="16" w:type="dxa"/>
              <w:left w:w="16" w:type="dxa"/>
              <w:right w:w="16" w:type="dxa"/>
            </w:tcMar>
            <w:vAlign w:val="center"/>
          </w:tcPr>
          <w:p w14:paraId="2EFE4FF0">
            <w:pPr>
              <w:adjustRightInd w:val="0"/>
              <w:snapToGrid w:val="0"/>
              <w:jc w:val="center"/>
              <w:rPr>
                <w:color w:val="auto"/>
                <w:szCs w:val="21"/>
              </w:rPr>
            </w:pPr>
            <w:r>
              <w:rPr>
                <w:color w:val="auto"/>
                <w:szCs w:val="21"/>
              </w:rPr>
              <w:t>国民经济</w:t>
            </w:r>
          </w:p>
          <w:p w14:paraId="16233BB0">
            <w:pPr>
              <w:adjustRightInd w:val="0"/>
              <w:snapToGrid w:val="0"/>
              <w:jc w:val="center"/>
              <w:rPr>
                <w:color w:val="auto"/>
                <w:szCs w:val="21"/>
              </w:rPr>
            </w:pPr>
            <w:r>
              <w:rPr>
                <w:color w:val="auto"/>
                <w:szCs w:val="21"/>
              </w:rPr>
              <w:t>行业类别</w:t>
            </w:r>
          </w:p>
        </w:tc>
        <w:tc>
          <w:tcPr>
            <w:tcW w:w="2100" w:type="dxa"/>
            <w:vAlign w:val="center"/>
          </w:tcPr>
          <w:p w14:paraId="3B09D503">
            <w:pPr>
              <w:adjustRightInd w:val="0"/>
              <w:snapToGrid w:val="0"/>
              <w:jc w:val="center"/>
              <w:rPr>
                <w:rFonts w:hint="default" w:eastAsia="宋体"/>
                <w:color w:val="auto"/>
                <w:szCs w:val="21"/>
                <w:lang w:val="en-US" w:eastAsia="zh-CN"/>
              </w:rPr>
            </w:pPr>
            <w:r>
              <w:rPr>
                <w:rFonts w:hint="default" w:eastAsia="宋体"/>
                <w:color w:val="auto"/>
                <w:szCs w:val="21"/>
                <w:lang w:val="en-US" w:eastAsia="zh-CN"/>
              </w:rPr>
              <w:t>D4430热力生产和供应</w:t>
            </w:r>
          </w:p>
        </w:tc>
        <w:tc>
          <w:tcPr>
            <w:tcW w:w="2040" w:type="dxa"/>
            <w:vAlign w:val="center"/>
          </w:tcPr>
          <w:p w14:paraId="12648036">
            <w:pPr>
              <w:adjustRightInd w:val="0"/>
              <w:snapToGrid w:val="0"/>
              <w:jc w:val="center"/>
              <w:rPr>
                <w:color w:val="auto"/>
                <w:szCs w:val="21"/>
              </w:rPr>
            </w:pPr>
            <w:bookmarkStart w:id="5" w:name="_Hlk49843745"/>
            <w:r>
              <w:rPr>
                <w:color w:val="auto"/>
                <w:szCs w:val="21"/>
              </w:rPr>
              <w:t>建设项目</w:t>
            </w:r>
          </w:p>
          <w:p w14:paraId="05DDD660">
            <w:pPr>
              <w:adjustRightInd w:val="0"/>
              <w:snapToGrid w:val="0"/>
              <w:jc w:val="center"/>
              <w:rPr>
                <w:color w:val="auto"/>
                <w:szCs w:val="21"/>
              </w:rPr>
            </w:pPr>
            <w:r>
              <w:rPr>
                <w:color w:val="auto"/>
                <w:szCs w:val="21"/>
              </w:rPr>
              <w:t>行业类别</w:t>
            </w:r>
            <w:bookmarkEnd w:id="5"/>
          </w:p>
        </w:tc>
        <w:tc>
          <w:tcPr>
            <w:tcW w:w="2811" w:type="dxa"/>
            <w:vAlign w:val="center"/>
          </w:tcPr>
          <w:p w14:paraId="098D1F32">
            <w:pPr>
              <w:adjustRightInd w:val="0"/>
              <w:snapToGrid w:val="0"/>
              <w:jc w:val="left"/>
              <w:rPr>
                <w:rFonts w:hint="default"/>
                <w:color w:val="auto"/>
                <w:lang w:val="en-US"/>
              </w:rPr>
            </w:pPr>
            <w:r>
              <w:rPr>
                <w:rFonts w:hint="default"/>
                <w:color w:val="auto"/>
                <w:lang w:val="en-US"/>
              </w:rPr>
              <w:t>四十一、电力、热力生产和</w:t>
            </w:r>
          </w:p>
          <w:p w14:paraId="16AAFC6A">
            <w:pPr>
              <w:adjustRightInd w:val="0"/>
              <w:snapToGrid w:val="0"/>
              <w:jc w:val="left"/>
              <w:rPr>
                <w:rFonts w:hint="default"/>
                <w:color w:val="auto"/>
                <w:lang w:val="en-US"/>
              </w:rPr>
            </w:pPr>
            <w:r>
              <w:rPr>
                <w:rFonts w:hint="default"/>
                <w:color w:val="auto"/>
                <w:lang w:val="en-US"/>
              </w:rPr>
              <w:t>供应业-</w:t>
            </w:r>
            <w:r>
              <w:rPr>
                <w:rFonts w:hint="eastAsia"/>
                <w:color w:val="auto"/>
                <w:lang w:val="en-US" w:eastAsia="zh-CN"/>
              </w:rPr>
              <w:t>91热力生产和供应工程（包括建设单位自建自用的供热工程）</w:t>
            </w:r>
          </w:p>
        </w:tc>
      </w:tr>
      <w:tr w14:paraId="3211F6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60" w:hRule="atLeast"/>
          <w:jc w:val="center"/>
        </w:trPr>
        <w:tc>
          <w:tcPr>
            <w:tcW w:w="1919" w:type="dxa"/>
            <w:tcMar>
              <w:top w:w="16" w:type="dxa"/>
              <w:left w:w="16" w:type="dxa"/>
              <w:right w:w="16" w:type="dxa"/>
            </w:tcMar>
            <w:vAlign w:val="center"/>
          </w:tcPr>
          <w:p w14:paraId="5E17F0FE">
            <w:pPr>
              <w:adjustRightInd w:val="0"/>
              <w:snapToGrid w:val="0"/>
              <w:jc w:val="center"/>
              <w:rPr>
                <w:color w:val="auto"/>
                <w:szCs w:val="21"/>
              </w:rPr>
            </w:pPr>
            <w:r>
              <w:rPr>
                <w:color w:val="auto"/>
                <w:szCs w:val="21"/>
              </w:rPr>
              <w:t>建设性质</w:t>
            </w:r>
          </w:p>
        </w:tc>
        <w:tc>
          <w:tcPr>
            <w:tcW w:w="2100" w:type="dxa"/>
            <w:vAlign w:val="center"/>
          </w:tcPr>
          <w:p w14:paraId="2AB3B3F3">
            <w:pPr>
              <w:adjustRightInd w:val="0"/>
              <w:snapToGrid w:val="0"/>
              <w:jc w:val="left"/>
              <w:rPr>
                <w:color w:val="auto"/>
                <w:szCs w:val="21"/>
              </w:rPr>
            </w:pPr>
            <w:r>
              <w:rPr>
                <w:color w:val="auto"/>
                <w:szCs w:val="21"/>
              </w:rPr>
              <w:sym w:font="Wingdings 2" w:char="00A3"/>
            </w:r>
            <w:r>
              <w:rPr>
                <w:color w:val="auto"/>
                <w:szCs w:val="21"/>
              </w:rPr>
              <w:t>新建（迁建）</w:t>
            </w:r>
          </w:p>
          <w:p w14:paraId="6C34373C">
            <w:pPr>
              <w:adjustRightInd w:val="0"/>
              <w:snapToGrid w:val="0"/>
              <w:jc w:val="left"/>
              <w:rPr>
                <w:color w:val="auto"/>
                <w:szCs w:val="21"/>
              </w:rPr>
            </w:pPr>
            <w:r>
              <w:rPr>
                <w:rFonts w:hint="eastAsia"/>
                <w:color w:val="auto"/>
                <w:szCs w:val="21"/>
              </w:rPr>
              <w:t>□</w:t>
            </w:r>
            <w:r>
              <w:rPr>
                <w:color w:val="auto"/>
                <w:szCs w:val="21"/>
              </w:rPr>
              <w:t>改建</w:t>
            </w:r>
          </w:p>
          <w:p w14:paraId="331D0770">
            <w:pPr>
              <w:adjustRightInd w:val="0"/>
              <w:snapToGrid w:val="0"/>
              <w:jc w:val="left"/>
              <w:rPr>
                <w:color w:val="auto"/>
                <w:szCs w:val="21"/>
              </w:rPr>
            </w:pPr>
            <w:r>
              <w:rPr>
                <w:rFonts w:hint="eastAsia"/>
                <w:color w:val="auto"/>
                <w:szCs w:val="21"/>
              </w:rPr>
              <w:t>□</w:t>
            </w:r>
            <w:r>
              <w:rPr>
                <w:color w:val="auto"/>
                <w:szCs w:val="21"/>
              </w:rPr>
              <w:t>扩建</w:t>
            </w:r>
          </w:p>
          <w:p w14:paraId="0DEA4CD4">
            <w:pPr>
              <w:adjustRightInd w:val="0"/>
              <w:snapToGrid w:val="0"/>
              <w:jc w:val="left"/>
              <w:rPr>
                <w:color w:val="auto"/>
                <w:szCs w:val="21"/>
              </w:rPr>
            </w:pPr>
            <w:r>
              <w:rPr>
                <w:rFonts w:hint="eastAsia"/>
                <w:color w:val="auto"/>
                <w:szCs w:val="21"/>
                <w:lang w:eastAsia="zh-CN"/>
              </w:rPr>
              <w:t>☑</w:t>
            </w:r>
            <w:r>
              <w:rPr>
                <w:color w:val="auto"/>
                <w:szCs w:val="21"/>
              </w:rPr>
              <w:t>技术改造</w:t>
            </w:r>
          </w:p>
        </w:tc>
        <w:tc>
          <w:tcPr>
            <w:tcW w:w="2040" w:type="dxa"/>
            <w:vAlign w:val="center"/>
          </w:tcPr>
          <w:p w14:paraId="241C4F37">
            <w:pPr>
              <w:adjustRightInd w:val="0"/>
              <w:snapToGrid w:val="0"/>
              <w:jc w:val="center"/>
              <w:rPr>
                <w:color w:val="auto"/>
                <w:szCs w:val="21"/>
              </w:rPr>
            </w:pPr>
            <w:r>
              <w:rPr>
                <w:color w:val="auto"/>
                <w:szCs w:val="21"/>
              </w:rPr>
              <w:t>建设项目</w:t>
            </w:r>
          </w:p>
          <w:p w14:paraId="45DBA8F0">
            <w:pPr>
              <w:adjustRightInd w:val="0"/>
              <w:snapToGrid w:val="0"/>
              <w:jc w:val="center"/>
              <w:rPr>
                <w:color w:val="auto"/>
                <w:szCs w:val="21"/>
              </w:rPr>
            </w:pPr>
            <w:r>
              <w:rPr>
                <w:color w:val="auto"/>
                <w:szCs w:val="21"/>
              </w:rPr>
              <w:t>申报情形</w:t>
            </w:r>
          </w:p>
        </w:tc>
        <w:tc>
          <w:tcPr>
            <w:tcW w:w="2811" w:type="dxa"/>
            <w:vAlign w:val="center"/>
          </w:tcPr>
          <w:p w14:paraId="7111ABA9">
            <w:pPr>
              <w:adjustRightInd w:val="0"/>
              <w:snapToGrid w:val="0"/>
              <w:jc w:val="left"/>
              <w:rPr>
                <w:color w:val="auto"/>
                <w:szCs w:val="21"/>
              </w:rPr>
            </w:pPr>
            <w:r>
              <w:rPr>
                <w:color w:val="auto"/>
                <w:szCs w:val="21"/>
              </w:rPr>
              <w:sym w:font="Wingdings 2" w:char="0052"/>
            </w:r>
            <w:r>
              <w:rPr>
                <w:color w:val="auto"/>
                <w:szCs w:val="21"/>
              </w:rPr>
              <w:t xml:space="preserve">首次申报项目             </w:t>
            </w:r>
          </w:p>
          <w:p w14:paraId="63237048">
            <w:pPr>
              <w:adjustRightInd w:val="0"/>
              <w:snapToGrid w:val="0"/>
              <w:jc w:val="left"/>
              <w:rPr>
                <w:color w:val="auto"/>
                <w:szCs w:val="21"/>
              </w:rPr>
            </w:pPr>
            <w:r>
              <w:rPr>
                <w:rFonts w:hint="eastAsia"/>
                <w:color w:val="auto"/>
                <w:szCs w:val="21"/>
              </w:rPr>
              <w:t>□</w:t>
            </w:r>
            <w:r>
              <w:rPr>
                <w:color w:val="auto"/>
                <w:szCs w:val="21"/>
              </w:rPr>
              <w:t>不予批准后再次申报项目</w:t>
            </w:r>
          </w:p>
          <w:p w14:paraId="17290A63">
            <w:pPr>
              <w:adjustRightInd w:val="0"/>
              <w:snapToGrid w:val="0"/>
              <w:jc w:val="left"/>
              <w:rPr>
                <w:color w:val="auto"/>
                <w:szCs w:val="21"/>
              </w:rPr>
            </w:pPr>
            <w:r>
              <w:rPr>
                <w:color w:val="auto"/>
                <w:szCs w:val="21"/>
              </w:rPr>
              <w:sym w:font="Wingdings 2" w:char="00A3"/>
            </w:r>
            <w:r>
              <w:rPr>
                <w:color w:val="auto"/>
                <w:szCs w:val="21"/>
              </w:rPr>
              <w:t xml:space="preserve">超五年重新审核项目     </w:t>
            </w:r>
          </w:p>
          <w:p w14:paraId="488275E2">
            <w:pPr>
              <w:adjustRightInd w:val="0"/>
              <w:snapToGrid w:val="0"/>
              <w:jc w:val="left"/>
              <w:rPr>
                <w:color w:val="auto"/>
                <w:szCs w:val="21"/>
              </w:rPr>
            </w:pPr>
            <w:r>
              <w:rPr>
                <w:rFonts w:hint="eastAsia"/>
                <w:color w:val="auto"/>
                <w:szCs w:val="21"/>
              </w:rPr>
              <w:t>□</w:t>
            </w:r>
            <w:r>
              <w:rPr>
                <w:color w:val="auto"/>
                <w:szCs w:val="21"/>
              </w:rPr>
              <w:t>重大变动重新报批项目</w:t>
            </w:r>
          </w:p>
        </w:tc>
      </w:tr>
      <w:tr w14:paraId="5EB767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919" w:type="dxa"/>
            <w:tcMar>
              <w:top w:w="16" w:type="dxa"/>
              <w:left w:w="16" w:type="dxa"/>
              <w:right w:w="16" w:type="dxa"/>
            </w:tcMar>
            <w:vAlign w:val="center"/>
          </w:tcPr>
          <w:p w14:paraId="6F706C80">
            <w:pPr>
              <w:adjustRightInd w:val="0"/>
              <w:snapToGrid w:val="0"/>
              <w:jc w:val="center"/>
              <w:rPr>
                <w:color w:val="auto"/>
                <w:szCs w:val="21"/>
              </w:rPr>
            </w:pPr>
            <w:r>
              <w:rPr>
                <w:color w:val="auto"/>
                <w:szCs w:val="21"/>
              </w:rPr>
              <w:t>项目审批（核准/</w:t>
            </w:r>
          </w:p>
          <w:p w14:paraId="6E262860">
            <w:pPr>
              <w:adjustRightInd w:val="0"/>
              <w:snapToGrid w:val="0"/>
              <w:jc w:val="center"/>
              <w:rPr>
                <w:color w:val="auto"/>
                <w:szCs w:val="21"/>
              </w:rPr>
            </w:pPr>
            <w:r>
              <w:rPr>
                <w:color w:val="auto"/>
                <w:szCs w:val="21"/>
              </w:rPr>
              <w:t>备案）部门（选填）</w:t>
            </w:r>
          </w:p>
        </w:tc>
        <w:tc>
          <w:tcPr>
            <w:tcW w:w="2100" w:type="dxa"/>
            <w:vAlign w:val="center"/>
          </w:tcPr>
          <w:p w14:paraId="32EC87CF">
            <w:pPr>
              <w:adjustRightInd w:val="0"/>
              <w:snapToGrid w:val="0"/>
              <w:jc w:val="center"/>
              <w:rPr>
                <w:rFonts w:hint="eastAsia" w:eastAsia="宋体"/>
                <w:color w:val="auto"/>
                <w:szCs w:val="21"/>
                <w:lang w:eastAsia="zh-CN"/>
              </w:rPr>
            </w:pPr>
            <w:r>
              <w:rPr>
                <w:rFonts w:hint="eastAsia"/>
                <w:color w:val="auto"/>
                <w:szCs w:val="21"/>
                <w:lang w:val="en-US" w:eastAsia="zh-CN"/>
              </w:rPr>
              <w:t>/</w:t>
            </w:r>
          </w:p>
        </w:tc>
        <w:tc>
          <w:tcPr>
            <w:tcW w:w="2040" w:type="dxa"/>
            <w:vAlign w:val="center"/>
          </w:tcPr>
          <w:p w14:paraId="36B22A95">
            <w:pPr>
              <w:adjustRightInd w:val="0"/>
              <w:snapToGrid w:val="0"/>
              <w:jc w:val="center"/>
              <w:rPr>
                <w:color w:val="auto"/>
                <w:szCs w:val="21"/>
              </w:rPr>
            </w:pPr>
            <w:r>
              <w:rPr>
                <w:color w:val="auto"/>
                <w:szCs w:val="21"/>
              </w:rPr>
              <w:t>项目审批（核准/</w:t>
            </w:r>
          </w:p>
          <w:p w14:paraId="02B69AE3">
            <w:pPr>
              <w:adjustRightInd w:val="0"/>
              <w:snapToGrid w:val="0"/>
              <w:jc w:val="center"/>
              <w:rPr>
                <w:color w:val="auto"/>
                <w:szCs w:val="21"/>
              </w:rPr>
            </w:pPr>
            <w:r>
              <w:rPr>
                <w:color w:val="auto"/>
                <w:szCs w:val="21"/>
              </w:rPr>
              <w:t>备案）文号（选填）</w:t>
            </w:r>
          </w:p>
        </w:tc>
        <w:tc>
          <w:tcPr>
            <w:tcW w:w="2811" w:type="dxa"/>
            <w:vAlign w:val="center"/>
          </w:tcPr>
          <w:p w14:paraId="1CD673AC">
            <w:pPr>
              <w:adjustRightInd w:val="0"/>
              <w:snapToGrid w:val="0"/>
              <w:jc w:val="center"/>
              <w:rPr>
                <w:rFonts w:hint="eastAsia" w:eastAsia="宋体"/>
                <w:color w:val="auto"/>
                <w:szCs w:val="21"/>
                <w:lang w:eastAsia="zh-CN"/>
              </w:rPr>
            </w:pPr>
            <w:r>
              <w:rPr>
                <w:rFonts w:hint="eastAsia"/>
                <w:color w:val="auto"/>
                <w:szCs w:val="21"/>
                <w:lang w:val="en-US" w:eastAsia="zh-CN"/>
              </w:rPr>
              <w:t>/</w:t>
            </w:r>
          </w:p>
        </w:tc>
      </w:tr>
      <w:tr w14:paraId="4FE982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1919" w:type="dxa"/>
            <w:tcMar>
              <w:top w:w="16" w:type="dxa"/>
              <w:left w:w="16" w:type="dxa"/>
              <w:right w:w="16" w:type="dxa"/>
            </w:tcMar>
            <w:vAlign w:val="center"/>
          </w:tcPr>
          <w:p w14:paraId="4496F3B0">
            <w:pPr>
              <w:adjustRightInd w:val="0"/>
              <w:snapToGrid w:val="0"/>
              <w:jc w:val="center"/>
              <w:rPr>
                <w:color w:val="auto"/>
                <w:szCs w:val="21"/>
                <w:highlight w:val="none"/>
              </w:rPr>
            </w:pPr>
            <w:r>
              <w:rPr>
                <w:color w:val="auto"/>
                <w:szCs w:val="21"/>
                <w:highlight w:val="none"/>
              </w:rPr>
              <w:t>总投资（万元）</w:t>
            </w:r>
          </w:p>
        </w:tc>
        <w:tc>
          <w:tcPr>
            <w:tcW w:w="2100" w:type="dxa"/>
            <w:vAlign w:val="center"/>
          </w:tcPr>
          <w:p w14:paraId="6A97F135">
            <w:pPr>
              <w:adjustRightInd w:val="0"/>
              <w:snapToGrid w:val="0"/>
              <w:jc w:val="center"/>
              <w:rPr>
                <w:rFonts w:hint="default" w:eastAsia="等线"/>
                <w:color w:val="auto"/>
                <w:szCs w:val="21"/>
                <w:highlight w:val="none"/>
                <w:lang w:val="en-US" w:eastAsia="zh-CN"/>
              </w:rPr>
            </w:pPr>
            <w:r>
              <w:rPr>
                <w:rFonts w:hint="eastAsia" w:eastAsia="等线"/>
                <w:color w:val="auto"/>
                <w:szCs w:val="21"/>
                <w:highlight w:val="none"/>
                <w:lang w:val="en-US" w:eastAsia="zh-CN"/>
              </w:rPr>
              <w:t>30</w:t>
            </w:r>
          </w:p>
        </w:tc>
        <w:tc>
          <w:tcPr>
            <w:tcW w:w="2040" w:type="dxa"/>
            <w:tcMar>
              <w:top w:w="16" w:type="dxa"/>
              <w:left w:w="16" w:type="dxa"/>
              <w:right w:w="16" w:type="dxa"/>
            </w:tcMar>
            <w:vAlign w:val="center"/>
          </w:tcPr>
          <w:p w14:paraId="6D1E8BE3">
            <w:pPr>
              <w:adjustRightInd w:val="0"/>
              <w:snapToGrid w:val="0"/>
              <w:jc w:val="center"/>
              <w:rPr>
                <w:color w:val="auto"/>
                <w:szCs w:val="21"/>
                <w:highlight w:val="none"/>
              </w:rPr>
            </w:pPr>
            <w:r>
              <w:rPr>
                <w:color w:val="auto"/>
                <w:szCs w:val="21"/>
                <w:highlight w:val="none"/>
              </w:rPr>
              <w:t>环保投资（万元）</w:t>
            </w:r>
          </w:p>
        </w:tc>
        <w:tc>
          <w:tcPr>
            <w:tcW w:w="2811" w:type="dxa"/>
            <w:vAlign w:val="center"/>
          </w:tcPr>
          <w:p w14:paraId="7879B872">
            <w:pPr>
              <w:adjustRightInd w:val="0"/>
              <w:snapToGrid w:val="0"/>
              <w:jc w:val="center"/>
              <w:rPr>
                <w:rFonts w:hint="default" w:eastAsia="等线"/>
                <w:color w:val="auto"/>
                <w:szCs w:val="21"/>
                <w:highlight w:val="yellow"/>
                <w:lang w:val="en-US" w:eastAsia="zh-CN"/>
              </w:rPr>
            </w:pPr>
            <w:r>
              <w:rPr>
                <w:rFonts w:hint="eastAsia" w:eastAsia="等线"/>
                <w:color w:val="auto"/>
                <w:szCs w:val="21"/>
                <w:highlight w:val="none"/>
                <w:lang w:val="en-US" w:eastAsia="zh-CN"/>
              </w:rPr>
              <w:t>5</w:t>
            </w:r>
          </w:p>
        </w:tc>
      </w:tr>
      <w:tr w14:paraId="04823B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1" w:hRule="atLeast"/>
          <w:jc w:val="center"/>
        </w:trPr>
        <w:tc>
          <w:tcPr>
            <w:tcW w:w="1919" w:type="dxa"/>
            <w:tcMar>
              <w:top w:w="16" w:type="dxa"/>
              <w:left w:w="16" w:type="dxa"/>
              <w:right w:w="16" w:type="dxa"/>
            </w:tcMar>
            <w:vAlign w:val="center"/>
          </w:tcPr>
          <w:p w14:paraId="523F2951">
            <w:pPr>
              <w:adjustRightInd w:val="0"/>
              <w:snapToGrid w:val="0"/>
              <w:jc w:val="center"/>
              <w:rPr>
                <w:color w:val="auto"/>
                <w:szCs w:val="21"/>
                <w:highlight w:val="yellow"/>
              </w:rPr>
            </w:pPr>
            <w:r>
              <w:rPr>
                <w:color w:val="auto"/>
                <w:szCs w:val="21"/>
                <w:highlight w:val="none"/>
              </w:rPr>
              <w:t>环保投资占比（%）</w:t>
            </w:r>
          </w:p>
        </w:tc>
        <w:tc>
          <w:tcPr>
            <w:tcW w:w="2100" w:type="dxa"/>
            <w:vAlign w:val="center"/>
          </w:tcPr>
          <w:p w14:paraId="2DB5C963">
            <w:pPr>
              <w:adjustRightInd w:val="0"/>
              <w:snapToGrid w:val="0"/>
              <w:jc w:val="center"/>
              <w:rPr>
                <w:rFonts w:hint="default" w:eastAsia="等线"/>
                <w:color w:val="auto"/>
                <w:szCs w:val="21"/>
                <w:highlight w:val="yellow"/>
                <w:lang w:val="en-US" w:eastAsia="zh-CN"/>
              </w:rPr>
            </w:pPr>
            <w:r>
              <w:rPr>
                <w:rFonts w:hint="eastAsia" w:eastAsia="等线"/>
                <w:color w:val="auto"/>
                <w:szCs w:val="21"/>
                <w:highlight w:val="none"/>
                <w:lang w:val="en-US" w:eastAsia="zh-CN"/>
              </w:rPr>
              <w:t>16.7</w:t>
            </w:r>
          </w:p>
        </w:tc>
        <w:tc>
          <w:tcPr>
            <w:tcW w:w="2040" w:type="dxa"/>
            <w:tcMar>
              <w:top w:w="16" w:type="dxa"/>
              <w:left w:w="16" w:type="dxa"/>
              <w:right w:w="16" w:type="dxa"/>
            </w:tcMar>
            <w:vAlign w:val="center"/>
          </w:tcPr>
          <w:p w14:paraId="46272DF9">
            <w:pPr>
              <w:adjustRightInd w:val="0"/>
              <w:snapToGrid w:val="0"/>
              <w:jc w:val="center"/>
              <w:rPr>
                <w:color w:val="auto"/>
                <w:szCs w:val="21"/>
              </w:rPr>
            </w:pPr>
            <w:r>
              <w:rPr>
                <w:color w:val="auto"/>
                <w:szCs w:val="21"/>
              </w:rPr>
              <w:t>施工工期</w:t>
            </w:r>
          </w:p>
        </w:tc>
        <w:tc>
          <w:tcPr>
            <w:tcW w:w="2811" w:type="dxa"/>
            <w:vAlign w:val="center"/>
          </w:tcPr>
          <w:p w14:paraId="4D49AE3D">
            <w:pPr>
              <w:adjustRightInd w:val="0"/>
              <w:snapToGrid w:val="0"/>
              <w:jc w:val="center"/>
              <w:rPr>
                <w:color w:val="auto"/>
                <w:szCs w:val="21"/>
              </w:rPr>
            </w:pPr>
            <w:r>
              <w:rPr>
                <w:rFonts w:hint="eastAsia"/>
                <w:color w:val="auto"/>
                <w:szCs w:val="21"/>
                <w:lang w:val="en-US" w:eastAsia="zh-CN"/>
              </w:rPr>
              <w:t>1</w:t>
            </w:r>
            <w:r>
              <w:rPr>
                <w:color w:val="auto"/>
                <w:szCs w:val="21"/>
              </w:rPr>
              <w:t>个月</w:t>
            </w:r>
          </w:p>
        </w:tc>
      </w:tr>
      <w:tr w14:paraId="43B27F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73" w:hRule="atLeast"/>
          <w:jc w:val="center"/>
        </w:trPr>
        <w:tc>
          <w:tcPr>
            <w:tcW w:w="1919" w:type="dxa"/>
            <w:tcMar>
              <w:top w:w="16" w:type="dxa"/>
              <w:left w:w="16" w:type="dxa"/>
              <w:right w:w="16" w:type="dxa"/>
            </w:tcMar>
            <w:vAlign w:val="center"/>
          </w:tcPr>
          <w:p w14:paraId="4EF1E879">
            <w:pPr>
              <w:adjustRightInd w:val="0"/>
              <w:snapToGrid w:val="0"/>
              <w:jc w:val="center"/>
              <w:rPr>
                <w:color w:val="auto"/>
                <w:szCs w:val="21"/>
              </w:rPr>
            </w:pPr>
            <w:r>
              <w:rPr>
                <w:color w:val="auto"/>
                <w:szCs w:val="21"/>
              </w:rPr>
              <w:t>是否开工建设</w:t>
            </w:r>
          </w:p>
        </w:tc>
        <w:tc>
          <w:tcPr>
            <w:tcW w:w="2100" w:type="dxa"/>
            <w:vAlign w:val="center"/>
          </w:tcPr>
          <w:p w14:paraId="73889FC4">
            <w:pPr>
              <w:adjustRightInd w:val="0"/>
              <w:snapToGrid w:val="0"/>
              <w:rPr>
                <w:color w:val="auto"/>
                <w:szCs w:val="21"/>
              </w:rPr>
            </w:pPr>
            <w:r>
              <w:rPr>
                <w:color w:val="auto"/>
                <w:szCs w:val="21"/>
              </w:rPr>
              <w:sym w:font="Wingdings 2" w:char="0052"/>
            </w:r>
            <w:r>
              <w:rPr>
                <w:color w:val="auto"/>
                <w:szCs w:val="21"/>
              </w:rPr>
              <w:t>否</w:t>
            </w:r>
          </w:p>
          <w:p w14:paraId="78B12A88">
            <w:pPr>
              <w:adjustRightInd w:val="0"/>
              <w:snapToGrid w:val="0"/>
              <w:rPr>
                <w:color w:val="auto"/>
                <w:szCs w:val="21"/>
                <w:u w:val="single"/>
              </w:rPr>
            </w:pPr>
            <w:r>
              <w:rPr>
                <w:color w:val="auto"/>
                <w:szCs w:val="21"/>
              </w:rPr>
              <w:sym w:font="Wingdings 2" w:char="00A3"/>
            </w:r>
            <w:r>
              <w:rPr>
                <w:color w:val="auto"/>
                <w:szCs w:val="21"/>
              </w:rPr>
              <w:t>是：</w:t>
            </w:r>
            <w:r>
              <w:rPr>
                <w:color w:val="auto"/>
                <w:szCs w:val="21"/>
                <w:u w:val="single"/>
              </w:rPr>
              <w:t xml:space="preserve">         </w:t>
            </w:r>
          </w:p>
        </w:tc>
        <w:tc>
          <w:tcPr>
            <w:tcW w:w="2040" w:type="dxa"/>
            <w:vAlign w:val="center"/>
          </w:tcPr>
          <w:p w14:paraId="41C757BE">
            <w:pPr>
              <w:adjustRightInd w:val="0"/>
              <w:snapToGrid w:val="0"/>
              <w:jc w:val="center"/>
              <w:rPr>
                <w:color w:val="auto"/>
                <w:spacing w:val="-6"/>
                <w:szCs w:val="21"/>
              </w:rPr>
            </w:pPr>
            <w:r>
              <w:rPr>
                <w:color w:val="auto"/>
                <w:spacing w:val="-6"/>
                <w:szCs w:val="21"/>
              </w:rPr>
              <w:t>用地（用海）</w:t>
            </w:r>
          </w:p>
          <w:p w14:paraId="16727155">
            <w:pPr>
              <w:adjustRightInd w:val="0"/>
              <w:snapToGrid w:val="0"/>
              <w:jc w:val="center"/>
              <w:rPr>
                <w:color w:val="auto"/>
                <w:szCs w:val="21"/>
              </w:rPr>
            </w:pPr>
            <w:r>
              <w:rPr>
                <w:color w:val="auto"/>
                <w:spacing w:val="-6"/>
                <w:szCs w:val="21"/>
              </w:rPr>
              <w:t>面积（m</w:t>
            </w:r>
            <w:r>
              <w:rPr>
                <w:color w:val="auto"/>
                <w:spacing w:val="-6"/>
                <w:szCs w:val="21"/>
                <w:vertAlign w:val="superscript"/>
              </w:rPr>
              <w:t>2</w:t>
            </w:r>
            <w:r>
              <w:rPr>
                <w:color w:val="auto"/>
                <w:spacing w:val="-6"/>
                <w:szCs w:val="21"/>
              </w:rPr>
              <w:t>）</w:t>
            </w:r>
          </w:p>
        </w:tc>
        <w:tc>
          <w:tcPr>
            <w:tcW w:w="2811" w:type="dxa"/>
            <w:tcMar>
              <w:top w:w="16" w:type="dxa"/>
              <w:left w:w="16" w:type="dxa"/>
              <w:right w:w="16" w:type="dxa"/>
            </w:tcMar>
            <w:vAlign w:val="center"/>
          </w:tcPr>
          <w:p w14:paraId="2AAAF867">
            <w:pPr>
              <w:adjustRightInd w:val="0"/>
              <w:snapToGrid w:val="0"/>
              <w:jc w:val="center"/>
              <w:rPr>
                <w:rFonts w:hint="default" w:eastAsia="华文楷体"/>
                <w:color w:val="auto"/>
                <w:szCs w:val="21"/>
                <w:lang w:val="en-US" w:eastAsia="zh-CN"/>
              </w:rPr>
            </w:pPr>
            <w:r>
              <w:rPr>
                <w:rFonts w:hint="eastAsia" w:ascii="Times New Roman" w:hAnsi="Times New Roman" w:eastAsia="宋体" w:cs="Times New Roman"/>
                <w:color w:val="auto"/>
                <w:lang w:val="en-US" w:eastAsia="zh-CN"/>
              </w:rPr>
              <w:t>现有厂区内技改，不新增用地</w:t>
            </w:r>
          </w:p>
        </w:tc>
      </w:tr>
      <w:tr w14:paraId="7F4EF7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919" w:type="dxa"/>
            <w:vAlign w:val="center"/>
          </w:tcPr>
          <w:p w14:paraId="35E168FD">
            <w:pPr>
              <w:autoSpaceDE w:val="0"/>
              <w:autoSpaceDN w:val="0"/>
              <w:adjustRightInd w:val="0"/>
              <w:snapToGrid w:val="0"/>
              <w:jc w:val="center"/>
              <w:rPr>
                <w:color w:val="auto"/>
                <w:kern w:val="0"/>
                <w:szCs w:val="21"/>
              </w:rPr>
            </w:pPr>
            <w:r>
              <w:rPr>
                <w:color w:val="auto"/>
                <w:kern w:val="0"/>
                <w:szCs w:val="21"/>
              </w:rPr>
              <w:t>专项评价设置情况</w:t>
            </w:r>
          </w:p>
        </w:tc>
        <w:tc>
          <w:tcPr>
            <w:tcW w:w="6951" w:type="dxa"/>
            <w:gridSpan w:val="3"/>
            <w:vAlign w:val="center"/>
          </w:tcPr>
          <w:p w14:paraId="229B4FE0">
            <w:pPr>
              <w:autoSpaceDE w:val="0"/>
              <w:autoSpaceDN w:val="0"/>
              <w:adjustRightInd w:val="0"/>
              <w:snapToGrid w:val="0"/>
              <w:ind w:firstLine="420" w:firstLineChars="200"/>
              <w:jc w:val="left"/>
              <w:rPr>
                <w:color w:val="auto"/>
                <w:kern w:val="0"/>
                <w:szCs w:val="21"/>
              </w:rPr>
            </w:pPr>
            <w:r>
              <w:rPr>
                <w:color w:val="auto"/>
                <w:kern w:val="0"/>
                <w:szCs w:val="21"/>
              </w:rPr>
              <w:t>无</w:t>
            </w:r>
          </w:p>
        </w:tc>
      </w:tr>
      <w:tr w14:paraId="02B137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19" w:type="dxa"/>
            <w:vAlign w:val="center"/>
          </w:tcPr>
          <w:p w14:paraId="4C81CD4C">
            <w:pPr>
              <w:autoSpaceDE w:val="0"/>
              <w:autoSpaceDN w:val="0"/>
              <w:adjustRightInd w:val="0"/>
              <w:snapToGrid w:val="0"/>
              <w:jc w:val="center"/>
              <w:rPr>
                <w:color w:val="auto"/>
                <w:kern w:val="0"/>
                <w:szCs w:val="21"/>
              </w:rPr>
            </w:pPr>
            <w:r>
              <w:rPr>
                <w:color w:val="auto"/>
                <w:szCs w:val="21"/>
              </w:rPr>
              <w:t>规划情况</w:t>
            </w:r>
          </w:p>
        </w:tc>
        <w:tc>
          <w:tcPr>
            <w:tcW w:w="6951" w:type="dxa"/>
            <w:gridSpan w:val="3"/>
            <w:vAlign w:val="center"/>
          </w:tcPr>
          <w:p w14:paraId="600CE739">
            <w:pPr>
              <w:autoSpaceDE w:val="0"/>
              <w:autoSpaceDN w:val="0"/>
              <w:adjustRightInd w:val="0"/>
              <w:snapToGrid w:val="0"/>
              <w:spacing w:line="360" w:lineRule="auto"/>
              <w:ind w:firstLine="420" w:firstLineChars="200"/>
              <w:jc w:val="left"/>
              <w:rPr>
                <w:color w:val="auto"/>
              </w:rPr>
            </w:pPr>
            <w:r>
              <w:rPr>
                <w:color w:val="auto"/>
                <w:kern w:val="0"/>
                <w:szCs w:val="21"/>
              </w:rPr>
              <w:t>无</w:t>
            </w:r>
          </w:p>
        </w:tc>
      </w:tr>
      <w:tr w14:paraId="76997B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19" w:type="dxa"/>
            <w:vAlign w:val="center"/>
          </w:tcPr>
          <w:p w14:paraId="78D42E58">
            <w:pPr>
              <w:adjustRightInd w:val="0"/>
              <w:snapToGrid w:val="0"/>
              <w:jc w:val="center"/>
              <w:rPr>
                <w:color w:val="auto"/>
                <w:szCs w:val="21"/>
              </w:rPr>
            </w:pPr>
            <w:r>
              <w:rPr>
                <w:color w:val="auto"/>
                <w:szCs w:val="21"/>
              </w:rPr>
              <w:t>规划环境影响</w:t>
            </w:r>
          </w:p>
          <w:p w14:paraId="0FEFCB78">
            <w:pPr>
              <w:adjustRightInd w:val="0"/>
              <w:snapToGrid w:val="0"/>
              <w:jc w:val="center"/>
              <w:rPr>
                <w:color w:val="auto"/>
                <w:kern w:val="0"/>
                <w:szCs w:val="21"/>
              </w:rPr>
            </w:pPr>
            <w:r>
              <w:rPr>
                <w:color w:val="auto"/>
                <w:szCs w:val="21"/>
              </w:rPr>
              <w:t>评价情况</w:t>
            </w:r>
          </w:p>
        </w:tc>
        <w:tc>
          <w:tcPr>
            <w:tcW w:w="6951" w:type="dxa"/>
            <w:gridSpan w:val="3"/>
            <w:vAlign w:val="center"/>
          </w:tcPr>
          <w:p w14:paraId="4BE4A520">
            <w:pPr>
              <w:autoSpaceDE w:val="0"/>
              <w:autoSpaceDN w:val="0"/>
              <w:adjustRightInd w:val="0"/>
              <w:snapToGrid w:val="0"/>
              <w:spacing w:line="360" w:lineRule="auto"/>
              <w:ind w:firstLine="420" w:firstLineChars="200"/>
              <w:jc w:val="left"/>
              <w:rPr>
                <w:color w:val="auto"/>
              </w:rPr>
            </w:pPr>
            <w:r>
              <w:rPr>
                <w:color w:val="auto"/>
                <w:kern w:val="0"/>
                <w:szCs w:val="21"/>
              </w:rPr>
              <w:t>无</w:t>
            </w:r>
          </w:p>
        </w:tc>
      </w:tr>
      <w:tr w14:paraId="4E7762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19" w:type="dxa"/>
            <w:vAlign w:val="center"/>
          </w:tcPr>
          <w:p w14:paraId="59C7C127">
            <w:pPr>
              <w:autoSpaceDE w:val="0"/>
              <w:autoSpaceDN w:val="0"/>
              <w:adjustRightInd w:val="0"/>
              <w:snapToGrid w:val="0"/>
              <w:jc w:val="center"/>
              <w:rPr>
                <w:color w:val="auto"/>
                <w:kern w:val="0"/>
                <w:szCs w:val="21"/>
              </w:rPr>
            </w:pPr>
            <w:r>
              <w:rPr>
                <w:color w:val="auto"/>
                <w:kern w:val="0"/>
                <w:szCs w:val="21"/>
              </w:rPr>
              <w:t>规划及规划环境</w:t>
            </w:r>
          </w:p>
          <w:p w14:paraId="068E882C">
            <w:pPr>
              <w:autoSpaceDE w:val="0"/>
              <w:autoSpaceDN w:val="0"/>
              <w:adjustRightInd w:val="0"/>
              <w:snapToGrid w:val="0"/>
              <w:jc w:val="center"/>
              <w:rPr>
                <w:color w:val="auto"/>
                <w:kern w:val="0"/>
                <w:szCs w:val="21"/>
              </w:rPr>
            </w:pPr>
            <w:r>
              <w:rPr>
                <w:color w:val="auto"/>
                <w:kern w:val="0"/>
                <w:szCs w:val="21"/>
              </w:rPr>
              <w:t>影响评价符合性分析</w:t>
            </w:r>
          </w:p>
        </w:tc>
        <w:tc>
          <w:tcPr>
            <w:tcW w:w="6951" w:type="dxa"/>
            <w:gridSpan w:val="3"/>
            <w:vAlign w:val="center"/>
          </w:tcPr>
          <w:p w14:paraId="2C4362C4">
            <w:pPr>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ind w:firstLine="420" w:firstLineChars="200"/>
              <w:jc w:val="left"/>
              <w:textAlignment w:val="auto"/>
              <w:rPr>
                <w:color w:val="auto"/>
                <w:kern w:val="0"/>
                <w:szCs w:val="21"/>
              </w:rPr>
            </w:pPr>
          </w:p>
          <w:p w14:paraId="42380BB0">
            <w:pPr>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ind w:firstLine="420" w:firstLineChars="200"/>
              <w:jc w:val="left"/>
              <w:textAlignment w:val="auto"/>
              <w:rPr>
                <w:color w:val="auto"/>
                <w:lang w:val="zh-CN"/>
              </w:rPr>
            </w:pPr>
            <w:r>
              <w:rPr>
                <w:color w:val="auto"/>
                <w:kern w:val="0"/>
                <w:szCs w:val="21"/>
              </w:rPr>
              <w:t>无</w:t>
            </w:r>
          </w:p>
          <w:p w14:paraId="346D488E">
            <w:pPr>
              <w:pStyle w:val="15"/>
              <w:rPr>
                <w:color w:val="auto"/>
                <w:lang w:val="zh-CN"/>
              </w:rPr>
            </w:pPr>
          </w:p>
          <w:p w14:paraId="529E6C8D">
            <w:pPr>
              <w:autoSpaceDE w:val="0"/>
              <w:autoSpaceDN w:val="0"/>
              <w:adjustRightInd w:val="0"/>
              <w:snapToGrid w:val="0"/>
              <w:jc w:val="center"/>
              <w:rPr>
                <w:color w:val="auto"/>
                <w:kern w:val="0"/>
                <w:szCs w:val="21"/>
              </w:rPr>
            </w:pPr>
          </w:p>
        </w:tc>
      </w:tr>
      <w:tr w14:paraId="21630B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77" w:hRule="atLeast"/>
          <w:jc w:val="center"/>
        </w:trPr>
        <w:tc>
          <w:tcPr>
            <w:tcW w:w="1919" w:type="dxa"/>
            <w:vAlign w:val="center"/>
          </w:tcPr>
          <w:p w14:paraId="66D5ABA4">
            <w:pPr>
              <w:autoSpaceDE w:val="0"/>
              <w:autoSpaceDN w:val="0"/>
              <w:adjustRightInd w:val="0"/>
              <w:snapToGrid w:val="0"/>
              <w:jc w:val="center"/>
              <w:rPr>
                <w:color w:val="auto"/>
                <w:kern w:val="0"/>
                <w:szCs w:val="21"/>
              </w:rPr>
            </w:pPr>
            <w:r>
              <w:rPr>
                <w:color w:val="auto"/>
                <w:kern w:val="0"/>
                <w:szCs w:val="21"/>
              </w:rPr>
              <w:t>其他符合性分析</w:t>
            </w:r>
          </w:p>
        </w:tc>
        <w:tc>
          <w:tcPr>
            <w:tcW w:w="6951" w:type="dxa"/>
            <w:gridSpan w:val="3"/>
          </w:tcPr>
          <w:p w14:paraId="1FE84FF0">
            <w:pPr>
              <w:pStyle w:val="82"/>
              <w:keepNext w:val="0"/>
              <w:keepLines w:val="0"/>
              <w:pageBreakBefore w:val="0"/>
              <w:widowControl w:val="0"/>
              <w:kinsoku/>
              <w:wordWrap/>
              <w:overflowPunct/>
              <w:topLinePunct w:val="0"/>
              <w:autoSpaceDE/>
              <w:autoSpaceDN/>
              <w:bidi w:val="0"/>
              <w:adjustRightInd w:val="0"/>
              <w:snapToGrid w:val="0"/>
              <w:spacing w:before="157" w:beforeLines="50"/>
              <w:ind w:firstLine="422"/>
              <w:jc w:val="both"/>
              <w:textAlignment w:val="auto"/>
              <w:rPr>
                <w:rFonts w:cs="Times New Roman"/>
                <w:b/>
                <w:bCs/>
                <w:color w:val="auto"/>
              </w:rPr>
            </w:pPr>
            <w:r>
              <w:rPr>
                <w:rFonts w:hint="eastAsia" w:cs="Times New Roman"/>
                <w:b/>
                <w:bCs/>
                <w:color w:val="auto"/>
                <w:lang w:val="en-US" w:eastAsia="zh-CN"/>
              </w:rPr>
              <w:t>1</w:t>
            </w:r>
            <w:r>
              <w:rPr>
                <w:rFonts w:cs="Times New Roman"/>
                <w:b/>
                <w:bCs/>
                <w:color w:val="auto"/>
              </w:rPr>
              <w:t>、产业政策相符性</w:t>
            </w:r>
          </w:p>
          <w:p w14:paraId="0872397C">
            <w:pPr>
              <w:spacing w:line="360" w:lineRule="auto"/>
              <w:ind w:firstLine="480"/>
              <w:rPr>
                <w:rFonts w:hint="eastAsia"/>
                <w:color w:val="auto"/>
                <w:sz w:val="21"/>
                <w:szCs w:val="21"/>
              </w:rPr>
            </w:pPr>
            <w:r>
              <w:rPr>
                <w:rFonts w:hint="eastAsia"/>
                <w:color w:val="auto"/>
                <w:lang w:val="en-US" w:eastAsia="zh-CN"/>
              </w:rPr>
              <w:t>本项目锅炉</w:t>
            </w:r>
            <w:r>
              <w:rPr>
                <w:rFonts w:hint="eastAsia"/>
                <w:color w:val="auto"/>
                <w:highlight w:val="none"/>
                <w:lang w:val="en-US" w:eastAsia="zh-CN"/>
              </w:rPr>
              <w:t>为3t/h</w:t>
            </w:r>
            <w:r>
              <w:rPr>
                <w:rFonts w:hint="eastAsia"/>
                <w:color w:val="auto"/>
                <w:lang w:val="en-US" w:eastAsia="zh-CN"/>
              </w:rPr>
              <w:t>生物质锅炉，</w:t>
            </w:r>
            <w:r>
              <w:rPr>
                <w:rFonts w:hint="eastAsia"/>
                <w:color w:val="auto"/>
                <w:sz w:val="21"/>
                <w:szCs w:val="21"/>
              </w:rPr>
              <w:t>经查，</w:t>
            </w:r>
            <w:r>
              <w:rPr>
                <w:rFonts w:hint="eastAsia"/>
                <w:color w:val="auto"/>
                <w:sz w:val="21"/>
                <w:szCs w:val="21"/>
                <w:lang w:val="en-US" w:eastAsia="zh-CN"/>
              </w:rPr>
              <w:t>本项目</w:t>
            </w:r>
            <w:r>
              <w:rPr>
                <w:rFonts w:hint="eastAsia"/>
                <w:color w:val="auto"/>
                <w:sz w:val="21"/>
                <w:szCs w:val="21"/>
              </w:rPr>
              <w:t>不属于国家《产业结构调整指导目录（2024年）》的淘汰类和限制类，属于允许建设类项目，所用生产设备及工艺也不属于淘汰类和限制类；对照中华人民共和国工业和信息化部颁布的《部分工业行业淘汰落后生产工艺装备和产品指导目录（2010年本）》（工产业</w:t>
            </w:r>
            <w:r>
              <w:rPr>
                <w:rFonts w:hint="eastAsia"/>
                <w:color w:val="auto"/>
                <w:sz w:val="21"/>
                <w:szCs w:val="21"/>
                <w:lang w:eastAsia="zh-CN"/>
              </w:rPr>
              <w:t>〔2010〕122号</w:t>
            </w:r>
            <w:r>
              <w:rPr>
                <w:rFonts w:hint="eastAsia"/>
                <w:color w:val="auto"/>
                <w:sz w:val="21"/>
                <w:szCs w:val="21"/>
              </w:rPr>
              <w:t>），本项目的工艺、设备和产品不在淘汰落后生产工艺装备目录中；本项目未列入国家发展改革委 商务部《市场准入负面清单（202</w:t>
            </w:r>
            <w:r>
              <w:rPr>
                <w:rFonts w:hint="eastAsia"/>
                <w:color w:val="auto"/>
                <w:sz w:val="21"/>
                <w:szCs w:val="21"/>
                <w:lang w:val="en-US" w:eastAsia="zh-CN"/>
              </w:rPr>
              <w:t>5</w:t>
            </w:r>
            <w:r>
              <w:rPr>
                <w:rFonts w:hint="eastAsia"/>
                <w:color w:val="auto"/>
                <w:sz w:val="21"/>
                <w:szCs w:val="21"/>
              </w:rPr>
              <w:t>年版）》中禁止准入和许可准入类。</w:t>
            </w:r>
          </w:p>
          <w:p w14:paraId="7B36DB7B">
            <w:pPr>
              <w:pStyle w:val="82"/>
              <w:adjustRightInd w:val="0"/>
              <w:snapToGrid w:val="0"/>
              <w:spacing w:before="0" w:beforeLines="0"/>
              <w:ind w:firstLine="420"/>
              <w:jc w:val="both"/>
              <w:rPr>
                <w:rFonts w:cs="Times New Roman"/>
                <w:color w:val="auto"/>
              </w:rPr>
            </w:pPr>
            <w:r>
              <w:rPr>
                <w:rFonts w:hint="eastAsia"/>
                <w:color w:val="auto"/>
                <w:sz w:val="21"/>
                <w:szCs w:val="21"/>
                <w:lang w:val="en-US" w:eastAsia="zh-CN"/>
              </w:rPr>
              <w:t>根据</w:t>
            </w:r>
            <w:r>
              <w:rPr>
                <w:rFonts w:hint="eastAsia"/>
                <w:color w:val="auto"/>
                <w:sz w:val="21"/>
                <w:szCs w:val="21"/>
              </w:rPr>
              <w:t>国家《产业结构调整指导目录（2024年）》</w:t>
            </w:r>
            <w:r>
              <w:rPr>
                <w:rFonts w:hint="eastAsia"/>
                <w:color w:val="auto"/>
                <w:sz w:val="21"/>
                <w:szCs w:val="21"/>
                <w:lang w:eastAsia="zh-CN"/>
              </w:rPr>
              <w:t>，每小时2蒸吨及以下生物质锅炉</w:t>
            </w:r>
            <w:r>
              <w:rPr>
                <w:rFonts w:hint="eastAsia"/>
                <w:color w:val="auto"/>
                <w:sz w:val="21"/>
                <w:szCs w:val="21"/>
                <w:lang w:val="en-US" w:eastAsia="zh-CN"/>
              </w:rPr>
              <w:t>为淘汰类设备，本次技改淘汰现有2t/h生物质锅炉，变更为</w:t>
            </w:r>
            <w:r>
              <w:rPr>
                <w:rFonts w:hint="eastAsia"/>
                <w:color w:val="auto"/>
                <w:sz w:val="21"/>
                <w:szCs w:val="21"/>
                <w:highlight w:val="none"/>
                <w:lang w:val="en-US" w:eastAsia="zh-CN"/>
              </w:rPr>
              <w:t>3t/h</w:t>
            </w:r>
            <w:r>
              <w:rPr>
                <w:rFonts w:hint="eastAsia"/>
                <w:color w:val="auto"/>
                <w:sz w:val="21"/>
                <w:szCs w:val="21"/>
                <w:lang w:val="en-US" w:eastAsia="zh-CN"/>
              </w:rPr>
              <w:t>生物质锅炉。</w:t>
            </w:r>
            <w:r>
              <w:rPr>
                <w:rFonts w:hint="eastAsia"/>
                <w:color w:val="auto"/>
                <w:sz w:val="21"/>
                <w:szCs w:val="21"/>
              </w:rPr>
              <w:t>可见，本项目符合当前国家产业发展政策</w:t>
            </w:r>
            <w:r>
              <w:rPr>
                <w:rFonts w:cs="Times New Roman"/>
                <w:color w:val="auto"/>
              </w:rPr>
              <w:t>。</w:t>
            </w:r>
          </w:p>
          <w:p w14:paraId="37CA47D5">
            <w:pPr>
              <w:pStyle w:val="82"/>
              <w:keepNext w:val="0"/>
              <w:keepLines w:val="0"/>
              <w:pageBreakBefore w:val="0"/>
              <w:widowControl w:val="0"/>
              <w:kinsoku/>
              <w:wordWrap/>
              <w:overflowPunct/>
              <w:topLinePunct w:val="0"/>
              <w:autoSpaceDE/>
              <w:autoSpaceDN/>
              <w:bidi w:val="0"/>
              <w:adjustRightInd w:val="0"/>
              <w:snapToGrid w:val="0"/>
              <w:spacing w:before="0" w:beforeLines="0"/>
              <w:ind w:firstLine="422"/>
              <w:jc w:val="both"/>
              <w:textAlignment w:val="auto"/>
              <w:rPr>
                <w:rFonts w:cs="Times New Roman"/>
                <w:b/>
                <w:bCs/>
                <w:color w:val="auto"/>
              </w:rPr>
            </w:pPr>
            <w:r>
              <w:rPr>
                <w:rFonts w:hint="eastAsia" w:cs="Times New Roman"/>
                <w:b/>
                <w:bCs/>
                <w:color w:val="auto"/>
                <w:lang w:val="en-US" w:eastAsia="zh-CN"/>
              </w:rPr>
              <w:t>2</w:t>
            </w:r>
            <w:r>
              <w:rPr>
                <w:rFonts w:cs="Times New Roman"/>
                <w:b/>
                <w:bCs/>
                <w:color w:val="auto"/>
              </w:rPr>
              <w:t>、选址合理性</w:t>
            </w:r>
          </w:p>
          <w:p w14:paraId="37B3C98F">
            <w:pPr>
              <w:pStyle w:val="82"/>
              <w:adjustRightInd w:val="0"/>
              <w:snapToGrid w:val="0"/>
              <w:spacing w:before="0" w:beforeLines="0"/>
              <w:ind w:firstLine="420"/>
              <w:jc w:val="both"/>
              <w:rPr>
                <w:rFonts w:cs="Times New Roman"/>
                <w:b/>
                <w:bCs/>
                <w:color w:val="auto"/>
                <w:szCs w:val="21"/>
              </w:rPr>
            </w:pPr>
            <w:r>
              <w:rPr>
                <w:rFonts w:hint="eastAsia"/>
                <w:color w:val="auto"/>
              </w:rPr>
              <w:t>本项目</w:t>
            </w:r>
            <w:r>
              <w:rPr>
                <w:rFonts w:hint="eastAsia"/>
                <w:color w:val="auto"/>
                <w:lang w:val="en-US" w:eastAsia="zh-CN"/>
              </w:rPr>
              <w:t>在</w:t>
            </w:r>
            <w:r>
              <w:rPr>
                <w:rFonts w:hint="eastAsia"/>
                <w:color w:val="auto"/>
                <w:szCs w:val="21"/>
                <w:lang w:eastAsia="zh-CN"/>
              </w:rPr>
              <w:t>乐昌市华翔木业有限公司</w:t>
            </w:r>
            <w:r>
              <w:rPr>
                <w:rFonts w:hint="eastAsia"/>
                <w:color w:val="auto"/>
                <w:szCs w:val="21"/>
                <w:lang w:val="en-US" w:eastAsia="zh-CN"/>
              </w:rPr>
              <w:t>内实施锅炉技改</w:t>
            </w:r>
            <w:r>
              <w:rPr>
                <w:rFonts w:hint="eastAsia"/>
                <w:color w:val="auto"/>
              </w:rPr>
              <w:t>，</w:t>
            </w:r>
            <w:r>
              <w:rPr>
                <w:rFonts w:hint="eastAsia"/>
                <w:color w:val="auto"/>
                <w:lang w:val="en-US" w:eastAsia="zh-CN"/>
              </w:rPr>
              <w:t>不涉及新增用地，项目</w:t>
            </w:r>
            <w:r>
              <w:rPr>
                <w:rFonts w:hint="eastAsia"/>
                <w:color w:val="auto"/>
              </w:rPr>
              <w:t>厂址所在地不涉及自然保护区、风景名胜区、饮用水源保护区、基本农田保护区等特殊、重要生态敏感目标，符合要求</w:t>
            </w:r>
            <w:r>
              <w:rPr>
                <w:rFonts w:cs="Times New Roman"/>
                <w:color w:val="auto"/>
              </w:rPr>
              <w:t>。</w:t>
            </w:r>
          </w:p>
          <w:p w14:paraId="38F8F232">
            <w:pPr>
              <w:widowControl/>
              <w:adjustRightInd w:val="0"/>
              <w:snapToGrid w:val="0"/>
              <w:spacing w:line="360" w:lineRule="auto"/>
              <w:ind w:firstLine="420" w:firstLineChars="199"/>
              <w:rPr>
                <w:b/>
                <w:bCs/>
                <w:color w:val="auto"/>
              </w:rPr>
            </w:pPr>
            <w:r>
              <w:rPr>
                <w:rFonts w:hint="eastAsia"/>
                <w:b/>
                <w:bCs/>
                <w:color w:val="auto"/>
                <w:kern w:val="0"/>
                <w:szCs w:val="21"/>
                <w:lang w:val="en-US" w:eastAsia="zh-CN"/>
              </w:rPr>
              <w:t>3</w:t>
            </w:r>
            <w:r>
              <w:rPr>
                <w:b/>
                <w:bCs/>
                <w:color w:val="auto"/>
              </w:rPr>
              <w:t>、与</w:t>
            </w:r>
            <w:r>
              <w:rPr>
                <w:rFonts w:hint="eastAsia"/>
                <w:b/>
                <w:bCs/>
                <w:color w:val="auto"/>
                <w:lang w:val="en-US" w:eastAsia="zh-CN"/>
              </w:rPr>
              <w:t>韶关市</w:t>
            </w:r>
            <w:r>
              <w:rPr>
                <w:rFonts w:hint="eastAsia"/>
                <w:b/>
                <w:bCs/>
                <w:color w:val="auto"/>
              </w:rPr>
              <w:t>生态环境分区管控</w:t>
            </w:r>
            <w:r>
              <w:rPr>
                <w:b/>
                <w:bCs/>
                <w:color w:val="auto"/>
              </w:rPr>
              <w:t>相符性分析</w:t>
            </w:r>
          </w:p>
          <w:p w14:paraId="17C7DAD8">
            <w:pPr>
              <w:pStyle w:val="33"/>
              <w:snapToGrid w:val="0"/>
              <w:spacing w:after="0" w:line="360" w:lineRule="auto"/>
              <w:ind w:left="0" w:leftChars="0" w:firstLine="420" w:firstLineChars="200"/>
              <w:rPr>
                <w:color w:val="auto"/>
              </w:rPr>
            </w:pPr>
            <w:r>
              <w:rPr>
                <w:rFonts w:hint="eastAsia"/>
                <w:color w:val="auto"/>
              </w:rPr>
              <w:t>本项目位于乐昌市一般管控单元（环境管控单元编码：ZH44028130001），根据《韶关市人民政府关于印发韶关市“三线一单”生态环境分区管控方案的通知》（韶府〔2021〕10号）</w:t>
            </w:r>
            <w:r>
              <w:rPr>
                <w:rFonts w:hint="eastAsia"/>
                <w:color w:val="auto"/>
                <w:lang w:eastAsia="zh-CN"/>
              </w:rPr>
              <w:t>、《韶关市生态环境分区管控动态更新成果》</w:t>
            </w:r>
            <w:r>
              <w:rPr>
                <w:rFonts w:hint="eastAsia"/>
                <w:color w:val="auto"/>
              </w:rPr>
              <w:t>，</w:t>
            </w:r>
            <w:r>
              <w:rPr>
                <w:rFonts w:hint="eastAsia"/>
                <w:color w:val="auto"/>
                <w:lang w:val="en-US" w:eastAsia="zh-CN"/>
              </w:rPr>
              <w:t>一般管控单元为</w:t>
            </w:r>
            <w:r>
              <w:rPr>
                <w:rFonts w:hint="eastAsia"/>
                <w:color w:val="auto"/>
              </w:rPr>
              <w:t>涉及优先保护单元和重点管控单元之外的其他区域，该区域应落实生态环境保护基本要求</w:t>
            </w:r>
            <w:r>
              <w:rPr>
                <w:rFonts w:hint="eastAsia"/>
                <w:color w:val="auto"/>
                <w:lang w:eastAsia="zh-CN"/>
              </w:rPr>
              <w:t>。</w:t>
            </w:r>
            <w:r>
              <w:rPr>
                <w:color w:val="auto"/>
              </w:rPr>
              <w:t>本项目与</w:t>
            </w:r>
            <w:r>
              <w:rPr>
                <w:rFonts w:hint="eastAsia"/>
                <w:color w:val="auto"/>
              </w:rPr>
              <w:t>韶关市生态环境分区管控</w:t>
            </w:r>
            <w:r>
              <w:rPr>
                <w:color w:val="auto"/>
              </w:rPr>
              <w:t>相符性分析如下：</w:t>
            </w:r>
          </w:p>
          <w:p w14:paraId="72111367">
            <w:pPr>
              <w:jc w:val="center"/>
              <w:rPr>
                <w:rFonts w:hint="eastAsia"/>
                <w:b/>
                <w:bCs/>
                <w:color w:val="auto"/>
              </w:rPr>
            </w:pPr>
            <w:r>
              <w:rPr>
                <w:rFonts w:hint="eastAsia"/>
                <w:b/>
                <w:bCs/>
                <w:color w:val="auto"/>
              </w:rPr>
              <w:t>表</w:t>
            </w:r>
            <w:r>
              <w:rPr>
                <w:rFonts w:hint="eastAsia"/>
                <w:b/>
                <w:bCs/>
                <w:color w:val="auto"/>
              </w:rPr>
              <w:fldChar w:fldCharType="begin"/>
            </w:r>
            <w:r>
              <w:rPr>
                <w:b/>
                <w:bCs/>
                <w:color w:val="auto"/>
              </w:rPr>
              <w:instrText xml:space="preserve"> SEQ </w:instrText>
            </w:r>
            <w:r>
              <w:rPr>
                <w:rFonts w:hint="eastAsia"/>
                <w:b/>
                <w:bCs/>
                <w:color w:val="auto"/>
              </w:rPr>
              <w:instrText xml:space="preserve">表</w:instrText>
            </w:r>
            <w:r>
              <w:rPr>
                <w:b/>
                <w:bCs/>
                <w:color w:val="auto"/>
              </w:rPr>
              <w:instrText xml:space="preserve"> \* ARABIC </w:instrText>
            </w:r>
            <w:r>
              <w:rPr>
                <w:rFonts w:hint="eastAsia"/>
                <w:b/>
                <w:bCs/>
                <w:color w:val="auto"/>
              </w:rPr>
              <w:fldChar w:fldCharType="separate"/>
            </w:r>
            <w:r>
              <w:rPr>
                <w:b/>
                <w:bCs/>
                <w:color w:val="auto"/>
              </w:rPr>
              <w:t>1</w:t>
            </w:r>
            <w:r>
              <w:rPr>
                <w:rFonts w:hint="eastAsia"/>
                <w:b/>
                <w:bCs/>
                <w:color w:val="auto"/>
              </w:rPr>
              <w:fldChar w:fldCharType="end"/>
            </w:r>
            <w:r>
              <w:rPr>
                <w:b/>
                <w:bCs/>
                <w:color w:val="auto"/>
              </w:rPr>
              <w:t>-</w:t>
            </w:r>
            <w:r>
              <w:rPr>
                <w:rFonts w:hint="eastAsia"/>
                <w:b/>
                <w:bCs/>
                <w:color w:val="auto"/>
                <w:lang w:val="en-US" w:eastAsia="zh-CN"/>
              </w:rPr>
              <w:t>2</w:t>
            </w:r>
            <w:r>
              <w:rPr>
                <w:b/>
                <w:bCs/>
                <w:color w:val="auto"/>
              </w:rPr>
              <w:t xml:space="preserve"> </w:t>
            </w:r>
            <w:r>
              <w:rPr>
                <w:rFonts w:hint="eastAsia"/>
                <w:b/>
                <w:bCs/>
                <w:color w:val="auto"/>
              </w:rPr>
              <w:t>项目与韶关市生态环境分区管控方案相符性分析</w:t>
            </w:r>
          </w:p>
          <w:tbl>
            <w:tblPr>
              <w:tblStyle w:val="35"/>
              <w:tblW w:w="49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31"/>
              <w:gridCol w:w="3941"/>
              <w:gridCol w:w="1642"/>
              <w:gridCol w:w="697"/>
            </w:tblGrid>
            <w:tr w14:paraId="2C8BDC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72" w:type="dxa"/>
                  <w:gridSpan w:val="2"/>
                  <w:tcBorders>
                    <w:top w:val="single" w:color="auto" w:sz="8" w:space="0"/>
                    <w:bottom w:val="single" w:color="auto" w:sz="4" w:space="0"/>
                  </w:tcBorders>
                  <w:vAlign w:val="center"/>
                </w:tcPr>
                <w:p w14:paraId="03FF3CCA">
                  <w:pPr>
                    <w:adjustRightInd w:val="0"/>
                    <w:snapToGrid w:val="0"/>
                    <w:jc w:val="center"/>
                    <w:rPr>
                      <w:b/>
                      <w:bCs/>
                      <w:color w:val="auto"/>
                      <w:szCs w:val="21"/>
                    </w:rPr>
                  </w:pPr>
                  <w:r>
                    <w:rPr>
                      <w:rFonts w:hint="default" w:ascii="Times New Roman" w:hAnsi="Times New Roman" w:eastAsia="方正宋三简体" w:cs="Times New Roman"/>
                      <w:b/>
                      <w:bCs/>
                      <w:color w:val="auto"/>
                      <w:szCs w:val="21"/>
                    </w:rPr>
                    <w:t>管控单元要求</w:t>
                  </w:r>
                </w:p>
              </w:tc>
              <w:tc>
                <w:tcPr>
                  <w:tcW w:w="1642" w:type="dxa"/>
                  <w:tcBorders>
                    <w:top w:val="single" w:color="auto" w:sz="8" w:space="0"/>
                    <w:bottom w:val="single" w:color="auto" w:sz="4" w:space="0"/>
                  </w:tcBorders>
                  <w:vAlign w:val="center"/>
                </w:tcPr>
                <w:p w14:paraId="04A5B28C">
                  <w:pPr>
                    <w:adjustRightInd w:val="0"/>
                    <w:snapToGrid w:val="0"/>
                    <w:jc w:val="center"/>
                    <w:rPr>
                      <w:b/>
                      <w:bCs/>
                      <w:color w:val="auto"/>
                      <w:szCs w:val="21"/>
                    </w:rPr>
                  </w:pPr>
                  <w:r>
                    <w:rPr>
                      <w:rFonts w:hint="default" w:ascii="Times New Roman" w:hAnsi="Times New Roman" w:eastAsia="方正宋三简体" w:cs="Times New Roman"/>
                      <w:b/>
                      <w:bCs/>
                      <w:color w:val="auto"/>
                      <w:szCs w:val="21"/>
                    </w:rPr>
                    <w:t>项目情况</w:t>
                  </w:r>
                </w:p>
              </w:tc>
              <w:tc>
                <w:tcPr>
                  <w:tcW w:w="697" w:type="dxa"/>
                  <w:tcBorders>
                    <w:top w:val="single" w:color="auto" w:sz="8" w:space="0"/>
                    <w:bottom w:val="single" w:color="auto" w:sz="4" w:space="0"/>
                  </w:tcBorders>
                  <w:vAlign w:val="center"/>
                </w:tcPr>
                <w:p w14:paraId="5E83E0A5">
                  <w:pPr>
                    <w:adjustRightInd w:val="0"/>
                    <w:snapToGrid w:val="0"/>
                    <w:jc w:val="center"/>
                    <w:rPr>
                      <w:b/>
                      <w:bCs/>
                      <w:color w:val="auto"/>
                      <w:szCs w:val="21"/>
                    </w:rPr>
                  </w:pPr>
                  <w:r>
                    <w:rPr>
                      <w:rFonts w:hint="default" w:ascii="Times New Roman" w:hAnsi="Times New Roman" w:eastAsia="方正宋三简体" w:cs="Times New Roman"/>
                      <w:b/>
                      <w:bCs/>
                      <w:color w:val="auto"/>
                      <w:szCs w:val="21"/>
                    </w:rPr>
                    <w:t>结论</w:t>
                  </w:r>
                </w:p>
              </w:tc>
            </w:tr>
            <w:tr w14:paraId="24E8EA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431" w:type="dxa"/>
                  <w:vAlign w:val="center"/>
                </w:tcPr>
                <w:p w14:paraId="53117A40">
                  <w:pPr>
                    <w:jc w:val="center"/>
                    <w:rPr>
                      <w:bCs/>
                      <w:color w:val="auto"/>
                      <w:szCs w:val="21"/>
                    </w:rPr>
                  </w:pPr>
                  <w:r>
                    <w:rPr>
                      <w:bCs/>
                      <w:color w:val="auto"/>
                    </w:rPr>
                    <w:t>区域布局管控</w:t>
                  </w:r>
                </w:p>
              </w:tc>
              <w:tc>
                <w:tcPr>
                  <w:tcW w:w="3941" w:type="dxa"/>
                </w:tcPr>
                <w:p w14:paraId="3EDF35CC">
                  <w:pPr>
                    <w:rPr>
                      <w:rFonts w:hint="eastAsia" w:ascii="Times New Roman" w:hAnsi="Times New Roman" w:eastAsia="宋体"/>
                      <w:color w:val="auto"/>
                      <w:kern w:val="0"/>
                      <w:sz w:val="21"/>
                      <w:szCs w:val="21"/>
                    </w:rPr>
                  </w:pPr>
                  <w:r>
                    <w:rPr>
                      <w:rFonts w:hint="eastAsia" w:ascii="Times New Roman" w:hAnsi="Times New Roman" w:eastAsia="宋体"/>
                      <w:color w:val="auto"/>
                      <w:kern w:val="0"/>
                      <w:sz w:val="21"/>
                      <w:szCs w:val="21"/>
                    </w:rPr>
                    <w:t>1-1.【产业/鼓励引导类】以粤湘桂三省边界区域为服务范围，以应急救援、旅游观光、飞行体验及培训为重点，大力推动乐昌通用机场建设。通过政府引导、市场运作，加快坪石发电厂集中供热管网向宜章县境内热负荷集中区域延伸，促进区域内资源高效循环利用。对接中国（郴州）跨境电子商务综合试验区，协调推动坪石、白石渡等货运站场改造，加快运力整合及集疏运体系建设，共同打造粤湘桂边界现代物流中心。</w:t>
                  </w:r>
                </w:p>
                <w:p w14:paraId="5C917C5A">
                  <w:pPr>
                    <w:rPr>
                      <w:rFonts w:hint="eastAsia" w:ascii="Times New Roman" w:hAnsi="Times New Roman" w:eastAsia="宋体"/>
                      <w:color w:val="auto"/>
                      <w:kern w:val="0"/>
                      <w:sz w:val="21"/>
                      <w:szCs w:val="21"/>
                    </w:rPr>
                  </w:pPr>
                  <w:r>
                    <w:rPr>
                      <w:rFonts w:hint="eastAsia" w:ascii="Times New Roman" w:hAnsi="Times New Roman" w:eastAsia="宋体"/>
                      <w:color w:val="auto"/>
                      <w:kern w:val="0"/>
                      <w:sz w:val="21"/>
                      <w:szCs w:val="21"/>
                    </w:rPr>
                    <w:t>1-2.【生态/禁止类】生态保护红线内，严格禁止开发性、生产性建设活动，在符合现行法律法规前提下，除国家重大战略项目外，仅允许对生态功能不造成破坏的有限人为活动。</w:t>
                  </w:r>
                </w:p>
                <w:p w14:paraId="741AFB42">
                  <w:pPr>
                    <w:rPr>
                      <w:rFonts w:hint="eastAsia" w:ascii="Times New Roman" w:hAnsi="Times New Roman" w:eastAsia="宋体"/>
                      <w:color w:val="auto"/>
                      <w:kern w:val="0"/>
                      <w:sz w:val="21"/>
                      <w:szCs w:val="21"/>
                    </w:rPr>
                  </w:pPr>
                  <w:r>
                    <w:rPr>
                      <w:rFonts w:hint="eastAsia" w:ascii="Times New Roman" w:hAnsi="Times New Roman" w:eastAsia="宋体"/>
                      <w:color w:val="auto"/>
                      <w:kern w:val="0"/>
                      <w:sz w:val="21"/>
                      <w:szCs w:val="21"/>
                    </w:rPr>
                    <w:t>1-3.【生态/限制类】单元内一般生态空间，加强生态保护与恢复，恢复与重建水源涵养区森林、湿地等生态系统，提高生态系统的水源涵养能力。原则上禁止在25度以上的陡坡地开垦种植农作物，禁止在崩塌、滑坡危险区、泥石流易发区从事采石、取土、采砂等可能造成水土流失的活动。禁止从事非法猎捕、毒杀、采伐、采集野生动植物等活动，禁止破坏野生动物栖息地。一般生态空间内的人工商品林，允许依法进行抚育采伐、择伐和树种更新等经营活动。一般生态空间内可进行已纳入市级及以上矿产资源开发利用规划采矿权与探矿权的新设、延续，新设和延续的矿山应满足绿色矿山的相关要求。一般生态空间的风电项目须符合省级及以上的开发利用规划，光伏发电项目应满足土地使用的相关要求。</w:t>
                  </w:r>
                </w:p>
                <w:p w14:paraId="03416F6E">
                  <w:pPr>
                    <w:rPr>
                      <w:rFonts w:hint="eastAsia" w:ascii="Times New Roman" w:hAnsi="Times New Roman" w:eastAsia="宋体"/>
                      <w:color w:val="auto"/>
                      <w:kern w:val="0"/>
                      <w:sz w:val="21"/>
                      <w:szCs w:val="21"/>
                    </w:rPr>
                  </w:pPr>
                  <w:r>
                    <w:rPr>
                      <w:rFonts w:hint="eastAsia" w:ascii="Times New Roman" w:hAnsi="Times New Roman" w:eastAsia="宋体"/>
                      <w:color w:val="auto"/>
                      <w:kern w:val="0"/>
                      <w:sz w:val="21"/>
                      <w:szCs w:val="21"/>
                    </w:rPr>
                    <w:t>1-4.【产业/限制类】严格限制新建除热电联产以外的煤电项目；严格限制新（改、扩）建钢铁、建材（平板玻璃）、焦化、有色、石化等高污染行业项目。</w:t>
                  </w:r>
                </w:p>
                <w:p w14:paraId="7802AE4C">
                  <w:pPr>
                    <w:rPr>
                      <w:rFonts w:hint="eastAsia" w:ascii="Times New Roman" w:hAnsi="Times New Roman" w:eastAsia="宋体"/>
                      <w:color w:val="auto"/>
                      <w:kern w:val="0"/>
                      <w:sz w:val="21"/>
                      <w:szCs w:val="21"/>
                    </w:rPr>
                  </w:pPr>
                  <w:r>
                    <w:rPr>
                      <w:rFonts w:hint="eastAsia" w:ascii="Times New Roman" w:hAnsi="Times New Roman" w:eastAsia="宋体"/>
                      <w:color w:val="auto"/>
                      <w:kern w:val="0"/>
                      <w:sz w:val="21"/>
                      <w:szCs w:val="21"/>
                    </w:rPr>
                    <w:t>1-5 【水/限制类】严格执行畜禽养殖禁养区管理要求，畜禽养殖禁养区内严禁建设规模化畜禽养殖场和规模化畜禽养殖小区，禁养区外的养殖场应配套污染防治设施。</w:t>
                  </w:r>
                </w:p>
                <w:p w14:paraId="45E5AEAC">
                  <w:pPr>
                    <w:rPr>
                      <w:rFonts w:hint="eastAsia" w:ascii="Times New Roman" w:hAnsi="Times New Roman" w:eastAsia="宋体"/>
                      <w:color w:val="auto"/>
                      <w:kern w:val="0"/>
                      <w:sz w:val="21"/>
                      <w:szCs w:val="21"/>
                    </w:rPr>
                  </w:pPr>
                  <w:r>
                    <w:rPr>
                      <w:rFonts w:hint="eastAsia" w:ascii="Times New Roman" w:hAnsi="Times New Roman" w:eastAsia="宋体"/>
                      <w:color w:val="auto"/>
                      <w:kern w:val="0"/>
                      <w:sz w:val="21"/>
                      <w:szCs w:val="21"/>
                    </w:rPr>
                    <w:t>1-6.【岸线/限制类】岸线优先保护区内，严格水域岸线用途管制，新建项目一律不得违规占用水域（国家和省的重点项目除外）。严禁破坏生态的岸线利用行为和不符合其功能定位的开发建设活动，严禁围垦湖泊、非法采砂等。</w:t>
                  </w:r>
                </w:p>
                <w:p w14:paraId="402CC2BA">
                  <w:pPr>
                    <w:rPr>
                      <w:rFonts w:hint="eastAsia" w:ascii="Times New Roman" w:hAnsi="Times New Roman" w:eastAsia="宋体"/>
                      <w:color w:val="auto"/>
                      <w:kern w:val="0"/>
                      <w:sz w:val="21"/>
                      <w:szCs w:val="21"/>
                    </w:rPr>
                  </w:pPr>
                  <w:r>
                    <w:rPr>
                      <w:rFonts w:hint="eastAsia" w:ascii="Times New Roman" w:hAnsi="Times New Roman" w:eastAsia="宋体"/>
                      <w:color w:val="auto"/>
                      <w:kern w:val="0"/>
                      <w:sz w:val="21"/>
                      <w:szCs w:val="21"/>
                    </w:rPr>
                    <w:t>1-7.【矿产/限制类】严格控制矿产资源开采及冶炼过程中产生环境污染和生态破坏。严禁在基本农田保护区、居民集中区等环境敏感地区审批新增有镉、汞、砷、铅、铬5种重金属排放的矿产资源开发利用项目。</w:t>
                  </w:r>
                </w:p>
                <w:p w14:paraId="16D6AF98">
                  <w:pPr>
                    <w:rPr>
                      <w:rFonts w:hint="eastAsia" w:ascii="Times New Roman" w:hAnsi="Times New Roman" w:eastAsia="宋体"/>
                      <w:color w:val="auto"/>
                      <w:kern w:val="0"/>
                      <w:sz w:val="21"/>
                      <w:szCs w:val="21"/>
                    </w:rPr>
                  </w:pPr>
                  <w:r>
                    <w:rPr>
                      <w:rFonts w:hint="eastAsia" w:ascii="Times New Roman" w:hAnsi="Times New Roman" w:eastAsia="宋体"/>
                      <w:color w:val="auto"/>
                      <w:kern w:val="0"/>
                      <w:sz w:val="21"/>
                      <w:szCs w:val="21"/>
                    </w:rPr>
                    <w:t>1-8.【其他/综合类】对生态公益林及境内生态脆弱区的林草地实施封育保护，逐步扩大生态公益林保护面积。对面状等轻度水土流失采取封禁、植物措施等进行治理，对坡地、火烧迹地等严重水土流失采取工程措施和植物措施进行综合整治。</w:t>
                  </w:r>
                </w:p>
                <w:p w14:paraId="768B5709">
                  <w:pPr>
                    <w:rPr>
                      <w:rFonts w:hint="eastAsia" w:ascii="Times New Roman" w:hAnsi="Times New Roman" w:eastAsia="宋体"/>
                      <w:color w:val="auto"/>
                      <w:kern w:val="0"/>
                      <w:sz w:val="21"/>
                      <w:szCs w:val="21"/>
                    </w:rPr>
                  </w:pPr>
                  <w:r>
                    <w:rPr>
                      <w:rFonts w:hint="eastAsia" w:ascii="Times New Roman" w:hAnsi="Times New Roman" w:eastAsia="宋体"/>
                      <w:color w:val="auto"/>
                      <w:kern w:val="0"/>
                      <w:sz w:val="21"/>
                      <w:szCs w:val="21"/>
                    </w:rPr>
                    <w:t>1-9.【其他/综合类】推进石漠化治理，实施封山育林、植树造林、退耕还林，开展渠道、陂头和山塘建设。积极推进天然林生态修复与林分改造，加快岩溶地区石漠化治理和重点区域水土流失防治，统筹推进森林进城围城工程、重点林业生态工程。因地制宜采取封山育林、人工造林、退耕还林、土地综合整治等多种措施，着力加强森林植被保护与恢复，推进水土资源合理利用。对石漠化和其他特别脆弱地区，在经过综合评估后，可考虑采取“光伏+”的形式推进修复工作</w:t>
                  </w:r>
                </w:p>
                <w:p w14:paraId="27B4F967">
                  <w:pPr>
                    <w:rPr>
                      <w:color w:val="auto"/>
                      <w:szCs w:val="21"/>
                    </w:rPr>
                  </w:pPr>
                  <w:r>
                    <w:rPr>
                      <w:rFonts w:hint="eastAsia" w:ascii="Times New Roman" w:hAnsi="Times New Roman" w:eastAsia="宋体"/>
                      <w:color w:val="auto"/>
                      <w:kern w:val="0"/>
                      <w:sz w:val="21"/>
                      <w:szCs w:val="21"/>
                    </w:rPr>
                    <w:t>1-10.【土壤/禁止类】禁止在居民区和学校、医院、疗养院、养老院等单位周边新建、改建、扩建可能造成土壤污染的建设项目。</w:t>
                  </w:r>
                </w:p>
              </w:tc>
              <w:tc>
                <w:tcPr>
                  <w:tcW w:w="1642" w:type="dxa"/>
                  <w:vAlign w:val="center"/>
                </w:tcPr>
                <w:p w14:paraId="3C709388">
                  <w:pPr>
                    <w:widowControl/>
                    <w:adjustRightInd w:val="0"/>
                    <w:snapToGrid w:val="0"/>
                    <w:jc w:val="left"/>
                    <w:rPr>
                      <w:rFonts w:hint="eastAsia"/>
                      <w:color w:val="auto"/>
                      <w:szCs w:val="21"/>
                      <w:lang w:val="en-US" w:eastAsia="zh-CN"/>
                    </w:rPr>
                  </w:pPr>
                </w:p>
                <w:p w14:paraId="6C46488C">
                  <w:pPr>
                    <w:widowControl/>
                    <w:adjustRightInd w:val="0"/>
                    <w:snapToGrid w:val="0"/>
                    <w:jc w:val="left"/>
                    <w:rPr>
                      <w:rFonts w:hint="eastAsia"/>
                      <w:color w:val="auto"/>
                      <w:szCs w:val="21"/>
                      <w:lang w:val="en-US" w:eastAsia="zh-CN"/>
                    </w:rPr>
                  </w:pPr>
                </w:p>
                <w:p w14:paraId="1889015C">
                  <w:pPr>
                    <w:widowControl/>
                    <w:adjustRightInd w:val="0"/>
                    <w:snapToGrid w:val="0"/>
                    <w:jc w:val="left"/>
                    <w:rPr>
                      <w:rFonts w:hint="eastAsia"/>
                      <w:color w:val="auto"/>
                      <w:szCs w:val="21"/>
                      <w:lang w:val="en-US" w:eastAsia="zh-CN"/>
                    </w:rPr>
                  </w:pPr>
                </w:p>
                <w:p w14:paraId="4DB3FD01">
                  <w:pPr>
                    <w:widowControl/>
                    <w:adjustRightInd w:val="0"/>
                    <w:snapToGrid w:val="0"/>
                    <w:jc w:val="left"/>
                    <w:rPr>
                      <w:rFonts w:hint="eastAsia"/>
                      <w:color w:val="auto"/>
                      <w:szCs w:val="21"/>
                      <w:lang w:val="en-US" w:eastAsia="zh-CN"/>
                    </w:rPr>
                  </w:pPr>
                </w:p>
                <w:p w14:paraId="1DB2B9B9">
                  <w:pPr>
                    <w:widowControl/>
                    <w:adjustRightInd w:val="0"/>
                    <w:snapToGrid w:val="0"/>
                    <w:jc w:val="left"/>
                    <w:rPr>
                      <w:rFonts w:hint="eastAsia"/>
                      <w:color w:val="auto"/>
                      <w:szCs w:val="21"/>
                      <w:lang w:val="en-US" w:eastAsia="zh-CN"/>
                    </w:rPr>
                  </w:pPr>
                </w:p>
                <w:p w14:paraId="7B682924">
                  <w:pPr>
                    <w:widowControl/>
                    <w:adjustRightInd w:val="0"/>
                    <w:snapToGrid w:val="0"/>
                    <w:jc w:val="left"/>
                    <w:rPr>
                      <w:rFonts w:hint="eastAsia"/>
                      <w:color w:val="auto"/>
                      <w:szCs w:val="21"/>
                      <w:lang w:val="en-US" w:eastAsia="zh-CN"/>
                    </w:rPr>
                  </w:pPr>
                </w:p>
                <w:p w14:paraId="4BE265D0">
                  <w:pPr>
                    <w:widowControl/>
                    <w:adjustRightInd w:val="0"/>
                    <w:snapToGrid w:val="0"/>
                    <w:jc w:val="left"/>
                    <w:rPr>
                      <w:rFonts w:hint="eastAsia"/>
                      <w:color w:val="auto"/>
                      <w:szCs w:val="21"/>
                      <w:lang w:val="en-US" w:eastAsia="zh-CN"/>
                    </w:rPr>
                  </w:pPr>
                </w:p>
                <w:p w14:paraId="556E47DB">
                  <w:pPr>
                    <w:widowControl/>
                    <w:adjustRightInd w:val="0"/>
                    <w:snapToGrid w:val="0"/>
                    <w:jc w:val="left"/>
                    <w:rPr>
                      <w:rFonts w:hint="eastAsia"/>
                      <w:color w:val="auto"/>
                      <w:szCs w:val="21"/>
                      <w:lang w:val="en-US" w:eastAsia="zh-CN"/>
                    </w:rPr>
                  </w:pPr>
                </w:p>
                <w:p w14:paraId="57134733">
                  <w:pPr>
                    <w:widowControl/>
                    <w:adjustRightInd w:val="0"/>
                    <w:snapToGrid w:val="0"/>
                    <w:jc w:val="left"/>
                    <w:rPr>
                      <w:rFonts w:hint="eastAsia"/>
                      <w:color w:val="auto"/>
                      <w:szCs w:val="21"/>
                      <w:lang w:val="en-US" w:eastAsia="zh-CN"/>
                    </w:rPr>
                  </w:pPr>
                </w:p>
                <w:p w14:paraId="7C512796">
                  <w:pPr>
                    <w:widowControl/>
                    <w:adjustRightInd w:val="0"/>
                    <w:snapToGrid w:val="0"/>
                    <w:jc w:val="left"/>
                    <w:rPr>
                      <w:rFonts w:hint="eastAsia"/>
                      <w:color w:val="auto"/>
                      <w:szCs w:val="21"/>
                      <w:lang w:val="en-US" w:eastAsia="zh-CN"/>
                    </w:rPr>
                  </w:pPr>
                </w:p>
                <w:p w14:paraId="322E71DA">
                  <w:pPr>
                    <w:widowControl/>
                    <w:adjustRightInd w:val="0"/>
                    <w:snapToGrid w:val="0"/>
                    <w:jc w:val="left"/>
                    <w:rPr>
                      <w:rFonts w:hint="eastAsia"/>
                      <w:color w:val="auto"/>
                      <w:szCs w:val="21"/>
                      <w:lang w:val="en-US" w:eastAsia="zh-CN"/>
                    </w:rPr>
                  </w:pPr>
                </w:p>
                <w:p w14:paraId="6069F5CE">
                  <w:pPr>
                    <w:widowControl/>
                    <w:adjustRightInd w:val="0"/>
                    <w:snapToGrid w:val="0"/>
                    <w:jc w:val="left"/>
                    <w:rPr>
                      <w:rFonts w:hint="eastAsia"/>
                      <w:color w:val="auto"/>
                      <w:szCs w:val="21"/>
                      <w:lang w:val="en-US" w:eastAsia="zh-CN"/>
                    </w:rPr>
                  </w:pPr>
                </w:p>
                <w:p w14:paraId="02992853">
                  <w:pPr>
                    <w:widowControl/>
                    <w:adjustRightInd w:val="0"/>
                    <w:snapToGrid w:val="0"/>
                    <w:jc w:val="left"/>
                    <w:rPr>
                      <w:rFonts w:hint="eastAsia"/>
                      <w:color w:val="auto"/>
                      <w:szCs w:val="21"/>
                      <w:lang w:val="en-US" w:eastAsia="zh-CN"/>
                    </w:rPr>
                  </w:pPr>
                </w:p>
                <w:p w14:paraId="719281A5">
                  <w:pPr>
                    <w:widowControl/>
                    <w:adjustRightInd w:val="0"/>
                    <w:snapToGrid w:val="0"/>
                    <w:jc w:val="left"/>
                    <w:rPr>
                      <w:rFonts w:hint="eastAsia"/>
                      <w:color w:val="auto"/>
                      <w:szCs w:val="21"/>
                      <w:lang w:val="en-US" w:eastAsia="zh-CN"/>
                    </w:rPr>
                  </w:pPr>
                </w:p>
                <w:p w14:paraId="30EF60EF">
                  <w:pPr>
                    <w:widowControl/>
                    <w:adjustRightInd w:val="0"/>
                    <w:snapToGrid w:val="0"/>
                    <w:jc w:val="left"/>
                    <w:rPr>
                      <w:rFonts w:hint="eastAsia"/>
                      <w:color w:val="auto"/>
                      <w:szCs w:val="21"/>
                      <w:lang w:val="en-US" w:eastAsia="zh-CN"/>
                    </w:rPr>
                  </w:pPr>
                </w:p>
                <w:p w14:paraId="7584C2A3">
                  <w:pPr>
                    <w:widowControl/>
                    <w:adjustRightInd w:val="0"/>
                    <w:snapToGrid w:val="0"/>
                    <w:jc w:val="left"/>
                    <w:rPr>
                      <w:rFonts w:hint="eastAsia"/>
                      <w:color w:val="auto"/>
                      <w:szCs w:val="21"/>
                      <w:lang w:val="en-US" w:eastAsia="zh-CN"/>
                    </w:rPr>
                  </w:pPr>
                </w:p>
                <w:p w14:paraId="3D9FD333">
                  <w:pPr>
                    <w:widowControl/>
                    <w:adjustRightInd w:val="0"/>
                    <w:snapToGrid w:val="0"/>
                    <w:jc w:val="left"/>
                    <w:rPr>
                      <w:rFonts w:hint="eastAsia"/>
                      <w:color w:val="auto"/>
                      <w:szCs w:val="21"/>
                      <w:lang w:val="en-US" w:eastAsia="zh-CN"/>
                    </w:rPr>
                  </w:pPr>
                </w:p>
                <w:p w14:paraId="5CF7A30A">
                  <w:pPr>
                    <w:widowControl/>
                    <w:adjustRightInd w:val="0"/>
                    <w:snapToGrid w:val="0"/>
                    <w:jc w:val="left"/>
                    <w:rPr>
                      <w:rFonts w:hint="eastAsia"/>
                      <w:color w:val="auto"/>
                      <w:szCs w:val="21"/>
                      <w:lang w:val="en-US" w:eastAsia="zh-CN"/>
                    </w:rPr>
                  </w:pPr>
                </w:p>
                <w:p w14:paraId="2E86F808">
                  <w:pPr>
                    <w:widowControl/>
                    <w:adjustRightInd w:val="0"/>
                    <w:snapToGrid w:val="0"/>
                    <w:jc w:val="left"/>
                    <w:rPr>
                      <w:rFonts w:hint="default" w:eastAsia="宋体"/>
                      <w:color w:val="auto"/>
                      <w:szCs w:val="21"/>
                      <w:lang w:val="en-US" w:eastAsia="zh-CN"/>
                    </w:rPr>
                  </w:pPr>
                  <w:r>
                    <w:rPr>
                      <w:rFonts w:hint="eastAsia"/>
                      <w:color w:val="auto"/>
                      <w:szCs w:val="21"/>
                      <w:lang w:val="en-US" w:eastAsia="zh-CN"/>
                    </w:rPr>
                    <w:t>本项目为锅炉技改，项目所在位置不涉及生态保护红线，不属于</w:t>
                  </w:r>
                  <w:r>
                    <w:rPr>
                      <w:rFonts w:hint="eastAsia" w:ascii="Times New Roman" w:hAnsi="Times New Roman" w:eastAsia="宋体"/>
                      <w:color w:val="auto"/>
                      <w:kern w:val="0"/>
                      <w:sz w:val="21"/>
                      <w:szCs w:val="21"/>
                    </w:rPr>
                    <w:t>高耗能、高排放项目</w:t>
                  </w:r>
                  <w:r>
                    <w:rPr>
                      <w:rFonts w:hint="eastAsia"/>
                      <w:color w:val="auto"/>
                      <w:kern w:val="0"/>
                      <w:sz w:val="21"/>
                      <w:szCs w:val="21"/>
                      <w:lang w:eastAsia="zh-CN"/>
                    </w:rPr>
                    <w:t>，</w:t>
                  </w:r>
                  <w:r>
                    <w:rPr>
                      <w:rFonts w:hint="eastAsia"/>
                      <w:color w:val="auto"/>
                      <w:kern w:val="0"/>
                      <w:sz w:val="21"/>
                      <w:szCs w:val="21"/>
                      <w:lang w:val="en-US" w:eastAsia="zh-CN"/>
                    </w:rPr>
                    <w:t>周边无居民区和学校、医院、疗养院、养老院等</w:t>
                  </w:r>
                  <w:r>
                    <w:rPr>
                      <w:rFonts w:hint="eastAsia" w:ascii="Times New Roman" w:hAnsi="Times New Roman" w:eastAsia="宋体"/>
                      <w:color w:val="auto"/>
                      <w:kern w:val="0"/>
                      <w:sz w:val="21"/>
                      <w:szCs w:val="21"/>
                      <w:lang w:eastAsia="zh-CN"/>
                    </w:rPr>
                    <w:t>。</w:t>
                  </w:r>
                  <w:r>
                    <w:rPr>
                      <w:rFonts w:hint="eastAsia" w:ascii="Times New Roman" w:hAnsi="Times New Roman" w:eastAsia="宋体"/>
                      <w:color w:val="auto"/>
                      <w:kern w:val="0"/>
                      <w:sz w:val="21"/>
                      <w:szCs w:val="21"/>
                      <w:lang w:val="en-US" w:eastAsia="zh-CN"/>
                    </w:rPr>
                    <w:t>因此符合区域布局管控要求。</w:t>
                  </w:r>
                </w:p>
              </w:tc>
              <w:tc>
                <w:tcPr>
                  <w:tcW w:w="697" w:type="dxa"/>
                  <w:vAlign w:val="center"/>
                </w:tcPr>
                <w:p w14:paraId="056E8ECF">
                  <w:pPr>
                    <w:adjustRightInd w:val="0"/>
                    <w:snapToGrid w:val="0"/>
                    <w:jc w:val="center"/>
                    <w:rPr>
                      <w:color w:val="auto"/>
                      <w:szCs w:val="21"/>
                    </w:rPr>
                  </w:pPr>
                </w:p>
                <w:p w14:paraId="7CC2BEDE">
                  <w:pPr>
                    <w:adjustRightInd w:val="0"/>
                    <w:snapToGrid w:val="0"/>
                    <w:jc w:val="center"/>
                    <w:rPr>
                      <w:color w:val="auto"/>
                      <w:szCs w:val="21"/>
                    </w:rPr>
                  </w:pPr>
                </w:p>
                <w:p w14:paraId="776839C2">
                  <w:pPr>
                    <w:adjustRightInd w:val="0"/>
                    <w:snapToGrid w:val="0"/>
                    <w:jc w:val="center"/>
                    <w:rPr>
                      <w:color w:val="auto"/>
                      <w:szCs w:val="21"/>
                    </w:rPr>
                  </w:pPr>
                </w:p>
                <w:p w14:paraId="373E035C">
                  <w:pPr>
                    <w:adjustRightInd w:val="0"/>
                    <w:snapToGrid w:val="0"/>
                    <w:jc w:val="center"/>
                    <w:rPr>
                      <w:color w:val="auto"/>
                      <w:szCs w:val="21"/>
                    </w:rPr>
                  </w:pPr>
                </w:p>
                <w:p w14:paraId="539AB398">
                  <w:pPr>
                    <w:adjustRightInd w:val="0"/>
                    <w:snapToGrid w:val="0"/>
                    <w:jc w:val="center"/>
                    <w:rPr>
                      <w:color w:val="auto"/>
                      <w:szCs w:val="21"/>
                    </w:rPr>
                  </w:pPr>
                </w:p>
                <w:p w14:paraId="39D78453">
                  <w:pPr>
                    <w:adjustRightInd w:val="0"/>
                    <w:snapToGrid w:val="0"/>
                    <w:jc w:val="center"/>
                    <w:rPr>
                      <w:color w:val="auto"/>
                      <w:szCs w:val="21"/>
                    </w:rPr>
                  </w:pPr>
                </w:p>
                <w:p w14:paraId="630C6C15">
                  <w:pPr>
                    <w:adjustRightInd w:val="0"/>
                    <w:snapToGrid w:val="0"/>
                    <w:jc w:val="center"/>
                    <w:rPr>
                      <w:color w:val="auto"/>
                      <w:szCs w:val="21"/>
                    </w:rPr>
                  </w:pPr>
                </w:p>
                <w:p w14:paraId="47FCAFA6">
                  <w:pPr>
                    <w:adjustRightInd w:val="0"/>
                    <w:snapToGrid w:val="0"/>
                    <w:jc w:val="center"/>
                    <w:rPr>
                      <w:color w:val="auto"/>
                      <w:szCs w:val="21"/>
                    </w:rPr>
                  </w:pPr>
                </w:p>
                <w:p w14:paraId="20A795EA">
                  <w:pPr>
                    <w:adjustRightInd w:val="0"/>
                    <w:snapToGrid w:val="0"/>
                    <w:jc w:val="center"/>
                    <w:rPr>
                      <w:color w:val="auto"/>
                      <w:szCs w:val="21"/>
                    </w:rPr>
                  </w:pPr>
                </w:p>
                <w:p w14:paraId="54806BF9">
                  <w:pPr>
                    <w:adjustRightInd w:val="0"/>
                    <w:snapToGrid w:val="0"/>
                    <w:jc w:val="center"/>
                    <w:rPr>
                      <w:color w:val="auto"/>
                      <w:szCs w:val="21"/>
                    </w:rPr>
                  </w:pPr>
                </w:p>
                <w:p w14:paraId="062E21D9">
                  <w:pPr>
                    <w:adjustRightInd w:val="0"/>
                    <w:snapToGrid w:val="0"/>
                    <w:jc w:val="center"/>
                    <w:rPr>
                      <w:color w:val="auto"/>
                      <w:szCs w:val="21"/>
                    </w:rPr>
                  </w:pPr>
                </w:p>
                <w:p w14:paraId="1250845E">
                  <w:pPr>
                    <w:adjustRightInd w:val="0"/>
                    <w:snapToGrid w:val="0"/>
                    <w:jc w:val="center"/>
                    <w:rPr>
                      <w:color w:val="auto"/>
                      <w:szCs w:val="21"/>
                    </w:rPr>
                  </w:pPr>
                </w:p>
                <w:p w14:paraId="6783E820">
                  <w:pPr>
                    <w:adjustRightInd w:val="0"/>
                    <w:snapToGrid w:val="0"/>
                    <w:jc w:val="center"/>
                    <w:rPr>
                      <w:color w:val="auto"/>
                      <w:szCs w:val="21"/>
                    </w:rPr>
                  </w:pPr>
                </w:p>
                <w:p w14:paraId="66EC4607">
                  <w:pPr>
                    <w:adjustRightInd w:val="0"/>
                    <w:snapToGrid w:val="0"/>
                    <w:jc w:val="center"/>
                    <w:rPr>
                      <w:color w:val="auto"/>
                      <w:szCs w:val="21"/>
                    </w:rPr>
                  </w:pPr>
                </w:p>
                <w:p w14:paraId="3C53EA5A">
                  <w:pPr>
                    <w:adjustRightInd w:val="0"/>
                    <w:snapToGrid w:val="0"/>
                    <w:jc w:val="center"/>
                    <w:rPr>
                      <w:color w:val="auto"/>
                      <w:szCs w:val="21"/>
                    </w:rPr>
                  </w:pPr>
                </w:p>
                <w:p w14:paraId="5729E00E">
                  <w:pPr>
                    <w:adjustRightInd w:val="0"/>
                    <w:snapToGrid w:val="0"/>
                    <w:jc w:val="center"/>
                    <w:rPr>
                      <w:color w:val="auto"/>
                      <w:szCs w:val="21"/>
                    </w:rPr>
                  </w:pPr>
                </w:p>
                <w:p w14:paraId="7E27C8B4">
                  <w:pPr>
                    <w:adjustRightInd w:val="0"/>
                    <w:snapToGrid w:val="0"/>
                    <w:jc w:val="center"/>
                    <w:rPr>
                      <w:color w:val="auto"/>
                      <w:szCs w:val="21"/>
                    </w:rPr>
                  </w:pPr>
                </w:p>
                <w:p w14:paraId="1CA344F7">
                  <w:pPr>
                    <w:adjustRightInd w:val="0"/>
                    <w:snapToGrid w:val="0"/>
                    <w:jc w:val="center"/>
                    <w:rPr>
                      <w:color w:val="auto"/>
                      <w:szCs w:val="21"/>
                    </w:rPr>
                  </w:pPr>
                </w:p>
                <w:p w14:paraId="5A2E8C99">
                  <w:pPr>
                    <w:adjustRightInd w:val="0"/>
                    <w:snapToGrid w:val="0"/>
                    <w:jc w:val="center"/>
                    <w:rPr>
                      <w:color w:val="auto"/>
                      <w:szCs w:val="21"/>
                    </w:rPr>
                  </w:pPr>
                </w:p>
                <w:p w14:paraId="23556065">
                  <w:pPr>
                    <w:adjustRightInd w:val="0"/>
                    <w:snapToGrid w:val="0"/>
                    <w:jc w:val="center"/>
                    <w:rPr>
                      <w:color w:val="auto"/>
                      <w:szCs w:val="21"/>
                    </w:rPr>
                  </w:pPr>
                </w:p>
                <w:p w14:paraId="2780FDBB">
                  <w:pPr>
                    <w:adjustRightInd w:val="0"/>
                    <w:snapToGrid w:val="0"/>
                    <w:jc w:val="center"/>
                    <w:rPr>
                      <w:color w:val="auto"/>
                      <w:szCs w:val="21"/>
                    </w:rPr>
                  </w:pPr>
                </w:p>
                <w:p w14:paraId="21D9F986">
                  <w:pPr>
                    <w:adjustRightInd w:val="0"/>
                    <w:snapToGrid w:val="0"/>
                    <w:jc w:val="center"/>
                    <w:rPr>
                      <w:color w:val="auto"/>
                      <w:szCs w:val="21"/>
                    </w:rPr>
                  </w:pPr>
                </w:p>
                <w:p w14:paraId="28393AF5">
                  <w:pPr>
                    <w:adjustRightInd w:val="0"/>
                    <w:snapToGrid w:val="0"/>
                    <w:jc w:val="center"/>
                    <w:rPr>
                      <w:color w:val="auto"/>
                      <w:szCs w:val="21"/>
                    </w:rPr>
                  </w:pPr>
                </w:p>
                <w:p w14:paraId="3AAFC250">
                  <w:pPr>
                    <w:adjustRightInd w:val="0"/>
                    <w:snapToGrid w:val="0"/>
                    <w:jc w:val="center"/>
                    <w:rPr>
                      <w:color w:val="auto"/>
                      <w:szCs w:val="21"/>
                    </w:rPr>
                  </w:pPr>
                </w:p>
                <w:p w14:paraId="77B1657F">
                  <w:pPr>
                    <w:adjustRightInd w:val="0"/>
                    <w:snapToGrid w:val="0"/>
                    <w:jc w:val="center"/>
                    <w:rPr>
                      <w:color w:val="auto"/>
                      <w:szCs w:val="21"/>
                    </w:rPr>
                  </w:pPr>
                </w:p>
                <w:p w14:paraId="707D54AC">
                  <w:pPr>
                    <w:adjustRightInd w:val="0"/>
                    <w:snapToGrid w:val="0"/>
                    <w:jc w:val="center"/>
                    <w:rPr>
                      <w:color w:val="auto"/>
                      <w:szCs w:val="21"/>
                    </w:rPr>
                  </w:pPr>
                  <w:r>
                    <w:rPr>
                      <w:color w:val="auto"/>
                      <w:szCs w:val="21"/>
                    </w:rPr>
                    <w:t>相符</w:t>
                  </w:r>
                </w:p>
              </w:tc>
            </w:tr>
            <w:tr w14:paraId="18C2D5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431" w:type="dxa"/>
                  <w:vAlign w:val="center"/>
                </w:tcPr>
                <w:p w14:paraId="77C3986B">
                  <w:pPr>
                    <w:jc w:val="center"/>
                    <w:rPr>
                      <w:bCs/>
                      <w:color w:val="auto"/>
                      <w:szCs w:val="21"/>
                    </w:rPr>
                  </w:pPr>
                  <w:r>
                    <w:rPr>
                      <w:bCs/>
                      <w:color w:val="auto"/>
                    </w:rPr>
                    <w:t>能源资源利用</w:t>
                  </w:r>
                </w:p>
              </w:tc>
              <w:tc>
                <w:tcPr>
                  <w:tcW w:w="3941" w:type="dxa"/>
                  <w:vAlign w:val="center"/>
                </w:tcPr>
                <w:p w14:paraId="2154D43C">
                  <w:pPr>
                    <w:widowControl/>
                    <w:rPr>
                      <w:color w:val="auto"/>
                      <w:szCs w:val="21"/>
                    </w:rPr>
                  </w:pPr>
                  <w:r>
                    <w:rPr>
                      <w:rFonts w:hint="eastAsia"/>
                      <w:color w:val="auto"/>
                      <w:szCs w:val="21"/>
                    </w:rPr>
                    <w:t>2-1.【水资源/综合类】贯彻落实“节水优先”方针，实行最严格水资源管理制度。严格控制用水总量。</w:t>
                  </w:r>
                </w:p>
              </w:tc>
              <w:tc>
                <w:tcPr>
                  <w:tcW w:w="1642" w:type="dxa"/>
                  <w:vAlign w:val="center"/>
                </w:tcPr>
                <w:p w14:paraId="1E79BE52">
                  <w:pPr>
                    <w:widowControl/>
                    <w:adjustRightInd w:val="0"/>
                    <w:snapToGrid w:val="0"/>
                    <w:jc w:val="left"/>
                    <w:rPr>
                      <w:rFonts w:hint="eastAsia" w:eastAsia="宋体"/>
                      <w:color w:val="auto"/>
                      <w:lang w:val="en-US" w:eastAsia="zh-CN"/>
                    </w:rPr>
                  </w:pPr>
                  <w:r>
                    <w:rPr>
                      <w:rFonts w:hint="eastAsia"/>
                      <w:color w:val="auto"/>
                      <w:lang w:val="en-US" w:eastAsia="zh-CN"/>
                    </w:rPr>
                    <w:t>本项目用水量较小，并</w:t>
                  </w:r>
                  <w:r>
                    <w:rPr>
                      <w:rFonts w:hint="eastAsia"/>
                      <w:color w:val="auto"/>
                      <w:szCs w:val="21"/>
                    </w:rPr>
                    <w:t>严格控制用水总量</w:t>
                  </w:r>
                  <w:r>
                    <w:rPr>
                      <w:rFonts w:hint="eastAsia"/>
                      <w:color w:val="auto"/>
                      <w:szCs w:val="21"/>
                      <w:lang w:eastAsia="zh-CN"/>
                    </w:rPr>
                    <w:t>。</w:t>
                  </w:r>
                </w:p>
              </w:tc>
              <w:tc>
                <w:tcPr>
                  <w:tcW w:w="697" w:type="dxa"/>
                  <w:vAlign w:val="center"/>
                </w:tcPr>
                <w:p w14:paraId="03A21030">
                  <w:pPr>
                    <w:adjustRightInd w:val="0"/>
                    <w:snapToGrid w:val="0"/>
                    <w:jc w:val="center"/>
                    <w:rPr>
                      <w:color w:val="auto"/>
                      <w:szCs w:val="21"/>
                    </w:rPr>
                  </w:pPr>
                  <w:r>
                    <w:rPr>
                      <w:color w:val="auto"/>
                      <w:szCs w:val="21"/>
                    </w:rPr>
                    <w:t>相符</w:t>
                  </w:r>
                </w:p>
              </w:tc>
            </w:tr>
            <w:tr w14:paraId="204AAC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431" w:type="dxa"/>
                  <w:vAlign w:val="center"/>
                </w:tcPr>
                <w:p w14:paraId="4894591F">
                  <w:pPr>
                    <w:jc w:val="center"/>
                    <w:rPr>
                      <w:bCs/>
                      <w:color w:val="auto"/>
                      <w:szCs w:val="21"/>
                    </w:rPr>
                  </w:pPr>
                  <w:r>
                    <w:rPr>
                      <w:bCs/>
                      <w:color w:val="auto"/>
                    </w:rPr>
                    <w:t>污染物排放管控</w:t>
                  </w:r>
                </w:p>
              </w:tc>
              <w:tc>
                <w:tcPr>
                  <w:tcW w:w="3941" w:type="dxa"/>
                  <w:vAlign w:val="center"/>
                </w:tcPr>
                <w:p w14:paraId="6FD87E0D">
                  <w:pPr>
                    <w:widowControl/>
                    <w:jc w:val="left"/>
                    <w:rPr>
                      <w:rFonts w:hint="eastAsia"/>
                      <w:color w:val="auto"/>
                      <w:kern w:val="0"/>
                      <w:szCs w:val="21"/>
                    </w:rPr>
                  </w:pPr>
                  <w:r>
                    <w:rPr>
                      <w:rFonts w:hint="eastAsia"/>
                      <w:color w:val="auto"/>
                      <w:kern w:val="0"/>
                      <w:szCs w:val="21"/>
                    </w:rPr>
                    <w:t>3-1.【水/限制类】新建、改建、扩建增加重金属污染物排放总量的建设项目应通过实施“区域削减”，实现增产减污。铅锌工业废水中总锌、总铅、总镉、总汞、总砷、总镍、总铬执行《铅、锌工业污染物排放标准》（GB 25466-2010）特别排放限值。</w:t>
                  </w:r>
                </w:p>
                <w:p w14:paraId="129EDF8A">
                  <w:pPr>
                    <w:widowControl/>
                    <w:jc w:val="center"/>
                    <w:rPr>
                      <w:rFonts w:hint="eastAsia"/>
                      <w:color w:val="auto"/>
                      <w:kern w:val="0"/>
                      <w:szCs w:val="21"/>
                    </w:rPr>
                  </w:pPr>
                  <w:r>
                    <w:rPr>
                      <w:rFonts w:hint="eastAsia"/>
                      <w:color w:val="auto"/>
                      <w:kern w:val="0"/>
                      <w:szCs w:val="21"/>
                    </w:rPr>
                    <w:t>3-2.【水/综合类】持续推进化肥农药减量增效，加强种植业、水产养殖业废水收集处理，鼓励实施农田灌溉退水生态治理。</w:t>
                  </w:r>
                </w:p>
                <w:p w14:paraId="62A82ECB">
                  <w:pPr>
                    <w:widowControl/>
                    <w:jc w:val="left"/>
                    <w:rPr>
                      <w:color w:val="auto"/>
                      <w:szCs w:val="21"/>
                    </w:rPr>
                  </w:pPr>
                  <w:r>
                    <w:rPr>
                      <w:rFonts w:hint="eastAsia"/>
                      <w:color w:val="auto"/>
                      <w:kern w:val="0"/>
                      <w:szCs w:val="21"/>
                    </w:rPr>
                    <w:t>3-3.【水/综合类】以集中处理为主、分散处理为辅，科学筛选适合本地区的污水治理模式、技术和设施设备，因地制宜加强农村生活污水处理。</w:t>
                  </w:r>
                </w:p>
              </w:tc>
              <w:tc>
                <w:tcPr>
                  <w:tcW w:w="1642" w:type="dxa"/>
                  <w:vAlign w:val="center"/>
                </w:tcPr>
                <w:p w14:paraId="6833AFB4">
                  <w:pPr>
                    <w:adjustRightInd w:val="0"/>
                    <w:snapToGrid w:val="0"/>
                    <w:jc w:val="left"/>
                    <w:rPr>
                      <w:rFonts w:hint="default" w:eastAsia="宋体"/>
                      <w:color w:val="auto"/>
                      <w:lang w:val="en-US" w:eastAsia="zh-CN"/>
                    </w:rPr>
                  </w:pPr>
                  <w:r>
                    <w:rPr>
                      <w:rFonts w:hint="eastAsia"/>
                      <w:color w:val="auto"/>
                      <w:lang w:val="en-US" w:eastAsia="zh-CN"/>
                    </w:rPr>
                    <w:t>本项目为技术改造，不涉及重金属污染物排放。</w:t>
                  </w:r>
                </w:p>
              </w:tc>
              <w:tc>
                <w:tcPr>
                  <w:tcW w:w="697" w:type="dxa"/>
                  <w:vAlign w:val="center"/>
                </w:tcPr>
                <w:p w14:paraId="023CCCC9">
                  <w:pPr>
                    <w:adjustRightInd w:val="0"/>
                    <w:snapToGrid w:val="0"/>
                    <w:jc w:val="center"/>
                    <w:rPr>
                      <w:color w:val="auto"/>
                      <w:szCs w:val="21"/>
                    </w:rPr>
                  </w:pPr>
                  <w:r>
                    <w:rPr>
                      <w:color w:val="auto"/>
                      <w:szCs w:val="21"/>
                    </w:rPr>
                    <w:t>相符</w:t>
                  </w:r>
                </w:p>
              </w:tc>
            </w:tr>
            <w:tr w14:paraId="409F01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14:paraId="75D6DA7F">
                  <w:pPr>
                    <w:jc w:val="center"/>
                    <w:rPr>
                      <w:bCs/>
                      <w:color w:val="auto"/>
                      <w:szCs w:val="21"/>
                    </w:rPr>
                  </w:pPr>
                  <w:r>
                    <w:rPr>
                      <w:bCs/>
                      <w:color w:val="auto"/>
                    </w:rPr>
                    <w:t>环境风险防控</w:t>
                  </w:r>
                </w:p>
              </w:tc>
              <w:tc>
                <w:tcPr>
                  <w:tcW w:w="3941" w:type="dxa"/>
                  <w:vAlign w:val="center"/>
                </w:tcPr>
                <w:p w14:paraId="41207AAD">
                  <w:pPr>
                    <w:widowControl/>
                    <w:rPr>
                      <w:color w:val="auto"/>
                      <w:szCs w:val="21"/>
                    </w:rPr>
                  </w:pPr>
                  <w:r>
                    <w:rPr>
                      <w:rFonts w:hint="eastAsia"/>
                      <w:color w:val="auto"/>
                      <w:kern w:val="0"/>
                      <w:szCs w:val="21"/>
                    </w:rPr>
                    <w:t>4-1.【其他/综合类】建立健全政府主导、部门协调、分级负责的环境应急管理机制，构建多级环境风险应急预案体系，加强和完善基层环境应急管理。</w:t>
                  </w:r>
                </w:p>
              </w:tc>
              <w:tc>
                <w:tcPr>
                  <w:tcW w:w="1642" w:type="dxa"/>
                  <w:vAlign w:val="center"/>
                </w:tcPr>
                <w:p w14:paraId="1E9CA755">
                  <w:pPr>
                    <w:adjustRightInd w:val="0"/>
                    <w:snapToGrid w:val="0"/>
                    <w:jc w:val="left"/>
                    <w:rPr>
                      <w:color w:val="auto"/>
                      <w:szCs w:val="21"/>
                    </w:rPr>
                  </w:pPr>
                  <w:r>
                    <w:rPr>
                      <w:color w:val="auto"/>
                      <w:szCs w:val="21"/>
                    </w:rPr>
                    <w:t>本项目制定有效的事故风险防范和应急措施，加强企业环境应急管理，确保环境安全</w:t>
                  </w:r>
                  <w:r>
                    <w:rPr>
                      <w:color w:val="auto"/>
                      <w:kern w:val="0"/>
                      <w:szCs w:val="21"/>
                    </w:rPr>
                    <w:t>。</w:t>
                  </w:r>
                  <w:r>
                    <w:rPr>
                      <w:color w:val="auto"/>
                      <w:szCs w:val="21"/>
                    </w:rPr>
                    <w:t>项目符合环境风险防控要求。</w:t>
                  </w:r>
                </w:p>
              </w:tc>
              <w:tc>
                <w:tcPr>
                  <w:tcW w:w="697" w:type="dxa"/>
                  <w:vAlign w:val="center"/>
                </w:tcPr>
                <w:p w14:paraId="599A63D0">
                  <w:pPr>
                    <w:adjustRightInd w:val="0"/>
                    <w:snapToGrid w:val="0"/>
                    <w:jc w:val="center"/>
                    <w:rPr>
                      <w:color w:val="auto"/>
                      <w:szCs w:val="21"/>
                    </w:rPr>
                  </w:pPr>
                  <w:r>
                    <w:rPr>
                      <w:color w:val="auto"/>
                      <w:szCs w:val="21"/>
                    </w:rPr>
                    <w:t>相符</w:t>
                  </w:r>
                </w:p>
              </w:tc>
            </w:tr>
          </w:tbl>
          <w:p w14:paraId="4246FCFD">
            <w:pPr>
              <w:jc w:val="both"/>
              <w:rPr>
                <w:rFonts w:hint="eastAsia"/>
                <w:b/>
                <w:bCs/>
                <w:color w:val="auto"/>
              </w:rPr>
            </w:pPr>
          </w:p>
          <w:p w14:paraId="4EEA595E">
            <w:pPr>
              <w:numPr>
                <w:ilvl w:val="0"/>
                <w:numId w:val="0"/>
              </w:numPr>
              <w:spacing w:line="360" w:lineRule="auto"/>
              <w:ind w:firstLine="422" w:firstLineChars="200"/>
              <w:jc w:val="both"/>
              <w:rPr>
                <w:rFonts w:hint="eastAsia"/>
                <w:b/>
                <w:bCs/>
                <w:color w:val="auto"/>
                <w:lang w:val="en-US" w:eastAsia="zh-CN"/>
              </w:rPr>
            </w:pPr>
            <w:r>
              <w:rPr>
                <w:rFonts w:hint="eastAsia"/>
                <w:b/>
                <w:bCs/>
                <w:color w:val="auto"/>
                <w:lang w:val="en-US" w:eastAsia="zh-CN"/>
              </w:rPr>
              <w:t>4、与《关于加强高耗能、高排放建设项目生态环境源头防控的指导意见》（环环评〔2021〕45 号）、《广东省坚决遏制“两高”项目盲目发展的实施方案》（粤发改能源〔2021〕368 号）的相符性分析</w:t>
            </w:r>
          </w:p>
          <w:p w14:paraId="30B837ED">
            <w:pPr>
              <w:numPr>
                <w:ilvl w:val="0"/>
                <w:numId w:val="0"/>
              </w:numPr>
              <w:spacing w:line="360" w:lineRule="auto"/>
              <w:ind w:firstLine="420"/>
              <w:jc w:val="both"/>
              <w:rPr>
                <w:rFonts w:hint="eastAsia"/>
                <w:b w:val="0"/>
                <w:bCs w:val="0"/>
                <w:color w:val="auto"/>
                <w:lang w:val="en-US" w:eastAsia="zh-CN"/>
              </w:rPr>
            </w:pPr>
            <w:r>
              <w:rPr>
                <w:rFonts w:hint="eastAsia"/>
                <w:b w:val="0"/>
                <w:bCs w:val="0"/>
                <w:color w:val="auto"/>
                <w:lang w:val="en-US" w:eastAsia="zh-CN"/>
              </w:rPr>
              <w:t>2021 年5月30日生态环境部《关于加强高耗能、高排放建设项目生态环境源头防控的指导意见》（环环评〔2021〕45号）提出，严格“两高”项目环评审批，推进“两高”行业减污降碳协同控制，并将碳排放影响评价纳入环境影响评价体系。</w:t>
            </w:r>
          </w:p>
          <w:p w14:paraId="581834B2">
            <w:pPr>
              <w:numPr>
                <w:ilvl w:val="0"/>
                <w:numId w:val="0"/>
              </w:numPr>
              <w:spacing w:line="360" w:lineRule="auto"/>
              <w:ind w:firstLine="420"/>
              <w:jc w:val="both"/>
              <w:rPr>
                <w:rFonts w:hint="default"/>
                <w:b w:val="0"/>
                <w:bCs w:val="0"/>
                <w:color w:val="auto"/>
                <w:lang w:val="en-US" w:eastAsia="zh-CN"/>
              </w:rPr>
            </w:pPr>
            <w:r>
              <w:rPr>
                <w:rFonts w:hint="default"/>
                <w:b w:val="0"/>
                <w:bCs w:val="0"/>
                <w:color w:val="auto"/>
                <w:lang w:val="en-US" w:eastAsia="zh-CN"/>
              </w:rPr>
              <w:t>2021年9月24日广东省发展改革委印发了《广东省坚决遏制</w:t>
            </w:r>
            <w:r>
              <w:rPr>
                <w:rFonts w:hint="eastAsia"/>
                <w:b w:val="0"/>
                <w:bCs w:val="0"/>
                <w:color w:val="auto"/>
                <w:lang w:val="en-US" w:eastAsia="zh-CN"/>
              </w:rPr>
              <w:t>“两高”</w:t>
            </w:r>
            <w:r>
              <w:rPr>
                <w:rFonts w:hint="default"/>
                <w:b w:val="0"/>
                <w:bCs w:val="0"/>
                <w:color w:val="auto"/>
                <w:lang w:val="en-US" w:eastAsia="zh-CN"/>
              </w:rPr>
              <w:t>项目盲目发展的实施方案》（粤发改能源〔2021〕368号），方案提出：为深入贯彻习近平生态文明思想，全面贯彻党的十九大和十九届二中、三中、四中、五中全会精神，立足新发展阶段，贯彻新发展理念，构建新发展格局，采取强有力措施，严格落实能耗双控及碳排放控制要求，坚决遏制不符合产业政策、未落实能耗指标来源等的</w:t>
            </w:r>
            <w:r>
              <w:rPr>
                <w:rFonts w:hint="eastAsia"/>
                <w:b w:val="0"/>
                <w:bCs w:val="0"/>
                <w:color w:val="auto"/>
                <w:lang w:val="en-US" w:eastAsia="zh-CN"/>
              </w:rPr>
              <w:t>“两高”</w:t>
            </w:r>
            <w:r>
              <w:rPr>
                <w:rFonts w:hint="default"/>
                <w:b w:val="0"/>
                <w:bCs w:val="0"/>
                <w:color w:val="auto"/>
                <w:lang w:val="en-US" w:eastAsia="zh-CN"/>
              </w:rPr>
              <w:t>项目盲目发展，推动全省经济社会发展全面绿色低碳转型。</w:t>
            </w:r>
          </w:p>
          <w:p w14:paraId="20D12B10">
            <w:pPr>
              <w:numPr>
                <w:ilvl w:val="0"/>
                <w:numId w:val="0"/>
              </w:numPr>
              <w:spacing w:line="360" w:lineRule="auto"/>
              <w:ind w:firstLine="420"/>
              <w:jc w:val="both"/>
              <w:rPr>
                <w:rFonts w:hint="default"/>
                <w:b w:val="0"/>
                <w:bCs w:val="0"/>
                <w:color w:val="auto"/>
                <w:lang w:val="en-US" w:eastAsia="zh-CN"/>
              </w:rPr>
            </w:pPr>
            <w:r>
              <w:rPr>
                <w:rFonts w:hint="default"/>
                <w:b w:val="0"/>
                <w:bCs w:val="0"/>
                <w:color w:val="auto"/>
                <w:lang w:val="en-US" w:eastAsia="zh-CN"/>
              </w:rPr>
              <w:t>根据《关于加强高耗能、高排放建设项目生态环境源头防控的指导意见》（环环评〔2021〕45号）、《广东省坚决遏制“两高”项目盲目发展的实施方案》（粤发改能源〔2021〕368号），《广东省</w:t>
            </w:r>
            <w:r>
              <w:rPr>
                <w:rFonts w:hint="eastAsia"/>
                <w:b w:val="0"/>
                <w:bCs w:val="0"/>
                <w:color w:val="auto"/>
                <w:lang w:val="en-US" w:eastAsia="zh-CN"/>
              </w:rPr>
              <w:t>“两高”</w:t>
            </w:r>
            <w:r>
              <w:rPr>
                <w:rFonts w:hint="default"/>
                <w:b w:val="0"/>
                <w:bCs w:val="0"/>
                <w:color w:val="auto"/>
                <w:lang w:val="en-US" w:eastAsia="zh-CN"/>
              </w:rPr>
              <w:t>项目管理目录（2022 年版）》（粤发改能源函〔2022〕1363 号）所列的</w:t>
            </w:r>
            <w:r>
              <w:rPr>
                <w:rFonts w:hint="eastAsia"/>
                <w:b w:val="0"/>
                <w:bCs w:val="0"/>
                <w:color w:val="auto"/>
                <w:lang w:val="en-US" w:eastAsia="zh-CN"/>
              </w:rPr>
              <w:t>“两高”</w:t>
            </w:r>
            <w:r>
              <w:rPr>
                <w:rFonts w:hint="default"/>
                <w:b w:val="0"/>
                <w:bCs w:val="0"/>
                <w:color w:val="auto"/>
                <w:lang w:val="en-US" w:eastAsia="zh-CN"/>
              </w:rPr>
              <w:t>行业、</w:t>
            </w:r>
            <w:r>
              <w:rPr>
                <w:rFonts w:hint="eastAsia"/>
                <w:b w:val="0"/>
                <w:bCs w:val="0"/>
                <w:color w:val="auto"/>
                <w:lang w:val="en-US" w:eastAsia="zh-CN"/>
              </w:rPr>
              <w:t>“两高”</w:t>
            </w:r>
            <w:r>
              <w:rPr>
                <w:rFonts w:hint="default"/>
                <w:b w:val="0"/>
                <w:bCs w:val="0"/>
                <w:color w:val="auto"/>
                <w:lang w:val="en-US" w:eastAsia="zh-CN"/>
              </w:rPr>
              <w:t>项目，本项目属于对现有锅炉进行的技改，而非新建高耗能、高排放项目，不属于管理目录中所列的</w:t>
            </w:r>
            <w:r>
              <w:rPr>
                <w:rFonts w:hint="eastAsia"/>
                <w:b w:val="0"/>
                <w:bCs w:val="0"/>
                <w:color w:val="auto"/>
                <w:lang w:val="en-US" w:eastAsia="zh-CN"/>
              </w:rPr>
              <w:t>“两高”</w:t>
            </w:r>
            <w:r>
              <w:rPr>
                <w:rFonts w:hint="default"/>
                <w:b w:val="0"/>
                <w:bCs w:val="0"/>
                <w:color w:val="auto"/>
                <w:lang w:val="en-US" w:eastAsia="zh-CN"/>
              </w:rPr>
              <w:t>行业、</w:t>
            </w:r>
            <w:r>
              <w:rPr>
                <w:rFonts w:hint="eastAsia"/>
                <w:b w:val="0"/>
                <w:bCs w:val="0"/>
                <w:color w:val="auto"/>
                <w:lang w:val="en-US" w:eastAsia="zh-CN"/>
              </w:rPr>
              <w:t>“两高”</w:t>
            </w:r>
            <w:r>
              <w:rPr>
                <w:rFonts w:hint="default"/>
                <w:b w:val="0"/>
                <w:bCs w:val="0"/>
                <w:color w:val="auto"/>
                <w:lang w:val="en-US" w:eastAsia="zh-CN"/>
              </w:rPr>
              <w:t>项目，符合政策中对于严格控制</w:t>
            </w:r>
            <w:r>
              <w:rPr>
                <w:rFonts w:hint="eastAsia"/>
                <w:b w:val="0"/>
                <w:bCs w:val="0"/>
                <w:color w:val="auto"/>
                <w:lang w:val="en-US" w:eastAsia="zh-CN"/>
              </w:rPr>
              <w:t>“两高”</w:t>
            </w:r>
            <w:r>
              <w:rPr>
                <w:rFonts w:hint="default"/>
                <w:b w:val="0"/>
                <w:bCs w:val="0"/>
                <w:color w:val="auto"/>
                <w:lang w:val="en-US" w:eastAsia="zh-CN"/>
              </w:rPr>
              <w:t>项目盲目发展的要求。</w:t>
            </w:r>
          </w:p>
          <w:p w14:paraId="53177FD9">
            <w:pPr>
              <w:numPr>
                <w:ilvl w:val="0"/>
                <w:numId w:val="0"/>
              </w:numPr>
              <w:spacing w:line="360" w:lineRule="auto"/>
              <w:ind w:firstLine="420" w:firstLineChars="200"/>
              <w:jc w:val="both"/>
              <w:rPr>
                <w:rFonts w:hint="default"/>
                <w:b w:val="0"/>
                <w:bCs w:val="0"/>
                <w:color w:val="auto"/>
                <w:lang w:val="en-US" w:eastAsia="zh-CN"/>
              </w:rPr>
            </w:pPr>
            <w:r>
              <w:rPr>
                <w:rFonts w:hint="default"/>
                <w:b w:val="0"/>
                <w:bCs w:val="0"/>
                <w:color w:val="auto"/>
                <w:lang w:val="en-US" w:eastAsia="zh-CN"/>
              </w:rPr>
              <w:t>本项目锅炉废气经</w:t>
            </w:r>
            <w:r>
              <w:rPr>
                <w:rFonts w:hint="eastAsia"/>
                <w:b w:val="0"/>
                <w:bCs w:val="0"/>
                <w:color w:val="auto"/>
                <w:lang w:val="en-US" w:eastAsia="zh-CN"/>
              </w:rPr>
              <w:t>“低氮燃烧+旋风除尘+水膜除尘+静电除尘”</w:t>
            </w:r>
            <w:r>
              <w:rPr>
                <w:rFonts w:hint="default"/>
                <w:b w:val="0"/>
                <w:bCs w:val="0"/>
                <w:color w:val="auto"/>
                <w:lang w:val="en-US" w:eastAsia="zh-CN"/>
              </w:rPr>
              <w:t>处置装置处理，符合《锅炉大气污染物排放标准》（DB44/765-2019）表2新建锅炉大气污染物排放浓度限值后，通过</w:t>
            </w:r>
            <w:r>
              <w:rPr>
                <w:rFonts w:hint="eastAsia"/>
                <w:b w:val="0"/>
                <w:bCs w:val="0"/>
                <w:color w:val="auto"/>
                <w:lang w:val="en-US" w:eastAsia="zh-CN"/>
              </w:rPr>
              <w:t>排气筒</w:t>
            </w:r>
            <w:r>
              <w:rPr>
                <w:rFonts w:hint="default"/>
                <w:b w:val="0"/>
                <w:bCs w:val="0"/>
                <w:color w:val="auto"/>
                <w:lang w:val="en-US" w:eastAsia="zh-CN"/>
              </w:rPr>
              <w:t>DA001排放。本项目将严格履行环境影响评价、环保</w:t>
            </w:r>
            <w:r>
              <w:rPr>
                <w:rFonts w:hint="eastAsia"/>
                <w:b w:val="0"/>
                <w:bCs w:val="0"/>
                <w:color w:val="auto"/>
                <w:lang w:val="en-US" w:eastAsia="zh-CN"/>
              </w:rPr>
              <w:t>“</w:t>
            </w:r>
            <w:r>
              <w:rPr>
                <w:rFonts w:hint="default"/>
                <w:b w:val="0"/>
                <w:bCs w:val="0"/>
                <w:color w:val="auto"/>
                <w:lang w:val="en-US" w:eastAsia="zh-CN"/>
              </w:rPr>
              <w:t>三同时</w:t>
            </w:r>
            <w:r>
              <w:rPr>
                <w:rFonts w:hint="eastAsia"/>
                <w:b w:val="0"/>
                <w:bCs w:val="0"/>
                <w:color w:val="auto"/>
                <w:lang w:val="en-US" w:eastAsia="zh-CN"/>
              </w:rPr>
              <w:t>”</w:t>
            </w:r>
            <w:r>
              <w:rPr>
                <w:rFonts w:hint="default"/>
                <w:b w:val="0"/>
                <w:bCs w:val="0"/>
                <w:color w:val="auto"/>
                <w:lang w:val="en-US" w:eastAsia="zh-CN"/>
              </w:rPr>
              <w:t>等手续。</w:t>
            </w:r>
          </w:p>
          <w:p w14:paraId="551B3D88">
            <w:pPr>
              <w:numPr>
                <w:ilvl w:val="0"/>
                <w:numId w:val="0"/>
              </w:numPr>
              <w:spacing w:line="360" w:lineRule="auto"/>
              <w:ind w:firstLine="420"/>
              <w:jc w:val="both"/>
              <w:rPr>
                <w:rFonts w:hint="default"/>
                <w:b w:val="0"/>
                <w:bCs w:val="0"/>
                <w:color w:val="auto"/>
                <w:lang w:val="en-US" w:eastAsia="zh-CN"/>
              </w:rPr>
            </w:pPr>
            <w:r>
              <w:rPr>
                <w:rFonts w:hint="default"/>
                <w:b w:val="0"/>
                <w:bCs w:val="0"/>
                <w:color w:val="auto"/>
                <w:lang w:val="en-US" w:eastAsia="zh-CN"/>
              </w:rPr>
              <w:t>总体而言，本项目与《关于加强高耗能、高排放建设项目生态环境源头防控的指导意见》（环环评〔2021〕45 号）、《广东省坚决遏制</w:t>
            </w:r>
            <w:r>
              <w:rPr>
                <w:rFonts w:hint="eastAsia"/>
                <w:b w:val="0"/>
                <w:bCs w:val="0"/>
                <w:color w:val="auto"/>
                <w:lang w:val="en-US" w:eastAsia="zh-CN"/>
              </w:rPr>
              <w:t>“两高”</w:t>
            </w:r>
            <w:r>
              <w:rPr>
                <w:rFonts w:hint="default"/>
                <w:b w:val="0"/>
                <w:bCs w:val="0"/>
                <w:color w:val="auto"/>
                <w:lang w:val="en-US" w:eastAsia="zh-CN"/>
              </w:rPr>
              <w:t>项目盲目发展的实施方案》（粤发改能源〔2021〕368号）的相关要求不相冲突，符合要求。</w:t>
            </w:r>
          </w:p>
        </w:tc>
      </w:tr>
    </w:tbl>
    <w:p w14:paraId="14A6A35F">
      <w:pPr>
        <w:spacing w:line="360" w:lineRule="auto"/>
        <w:outlineLvl w:val="0"/>
        <w:rPr>
          <w:rFonts w:eastAsia="黑体"/>
          <w:color w:val="auto"/>
          <w:sz w:val="30"/>
        </w:rPr>
        <w:sectPr>
          <w:footerReference r:id="rId6" w:type="default"/>
          <w:pgSz w:w="11906" w:h="16838"/>
          <w:pgMar w:top="1701" w:right="1531" w:bottom="1701" w:left="1531" w:header="851" w:footer="1077" w:gutter="0"/>
          <w:pgNumType w:start="1"/>
          <w:cols w:space="720" w:num="1"/>
          <w:docGrid w:linePitch="312" w:charSpace="0"/>
        </w:sectPr>
      </w:pPr>
    </w:p>
    <w:p w14:paraId="4021AB06">
      <w:pPr>
        <w:pStyle w:val="19"/>
        <w:spacing w:line="0" w:lineRule="atLeast"/>
        <w:jc w:val="center"/>
        <w:outlineLvl w:val="0"/>
        <w:rPr>
          <w:rFonts w:hint="default" w:ascii="Times New Roman" w:hAnsi="Times New Roman" w:eastAsia="黑体"/>
          <w:snapToGrid w:val="0"/>
          <w:color w:val="auto"/>
          <w:sz w:val="30"/>
          <w:szCs w:val="30"/>
        </w:rPr>
      </w:pPr>
      <w:bookmarkStart w:id="6" w:name="_Toc10075"/>
      <w:bookmarkStart w:id="7" w:name="_Toc4813"/>
      <w:bookmarkStart w:id="8" w:name="_Toc22419"/>
      <w:r>
        <w:rPr>
          <w:rFonts w:hint="default" w:ascii="Times New Roman" w:hAnsi="Times New Roman" w:eastAsia="黑体"/>
          <w:snapToGrid w:val="0"/>
          <w:color w:val="auto"/>
          <w:sz w:val="30"/>
          <w:szCs w:val="30"/>
        </w:rPr>
        <w:t>二、建设项目工程分析</w:t>
      </w:r>
      <w:bookmarkEnd w:id="6"/>
      <w:bookmarkEnd w:id="7"/>
      <w:bookmarkEnd w:id="8"/>
    </w:p>
    <w:tbl>
      <w:tblPr>
        <w:tblStyle w:val="35"/>
        <w:tblW w:w="894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4"/>
        <w:gridCol w:w="8138"/>
      </w:tblGrid>
      <w:tr w14:paraId="7B9403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29" w:hRule="atLeast"/>
          <w:jc w:val="center"/>
        </w:trPr>
        <w:tc>
          <w:tcPr>
            <w:tcW w:w="804" w:type="dxa"/>
            <w:vAlign w:val="center"/>
          </w:tcPr>
          <w:p w14:paraId="15CB8B2F">
            <w:pPr>
              <w:pStyle w:val="31"/>
              <w:adjustRightInd w:val="0"/>
              <w:snapToGrid w:val="0"/>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建设内容</w:t>
            </w:r>
          </w:p>
        </w:tc>
        <w:tc>
          <w:tcPr>
            <w:tcW w:w="8138" w:type="dxa"/>
            <w:tcBorders>
              <w:top w:val="single" w:color="auto" w:sz="4" w:space="0"/>
              <w:right w:val="single" w:color="auto" w:sz="4" w:space="0"/>
            </w:tcBorders>
          </w:tcPr>
          <w:p w14:paraId="009B4C2F">
            <w:pPr>
              <w:pStyle w:val="82"/>
              <w:adjustRightInd w:val="0"/>
              <w:snapToGrid w:val="0"/>
              <w:spacing w:before="120"/>
              <w:ind w:firstLine="211" w:firstLineChars="100"/>
              <w:rPr>
                <w:rFonts w:cs="Times New Roman"/>
                <w:b/>
                <w:bCs/>
                <w:color w:val="auto"/>
                <w:szCs w:val="21"/>
              </w:rPr>
            </w:pPr>
            <w:r>
              <w:rPr>
                <w:rFonts w:hint="eastAsia" w:cs="Times New Roman"/>
                <w:b/>
                <w:bCs/>
                <w:color w:val="auto"/>
                <w:szCs w:val="21"/>
                <w:lang w:val="en-US" w:eastAsia="zh-CN"/>
              </w:rPr>
              <w:t>1、</w:t>
            </w:r>
            <w:r>
              <w:rPr>
                <w:rFonts w:cs="Times New Roman"/>
                <w:b/>
                <w:bCs/>
                <w:color w:val="auto"/>
                <w:szCs w:val="21"/>
              </w:rPr>
              <w:t>项目概况</w:t>
            </w:r>
          </w:p>
          <w:p w14:paraId="2D54E99D">
            <w:pPr>
              <w:pStyle w:val="82"/>
              <w:adjustRightInd w:val="0"/>
              <w:snapToGrid w:val="0"/>
              <w:spacing w:before="0" w:beforeLines="0"/>
              <w:ind w:left="0" w:leftChars="0" w:firstLine="420" w:firstLineChars="0"/>
              <w:rPr>
                <w:rFonts w:hint="default" w:cs="Times New Roman"/>
                <w:color w:val="auto"/>
                <w:szCs w:val="21"/>
                <w:lang w:val="en-US" w:eastAsia="zh-CN"/>
              </w:rPr>
            </w:pPr>
            <w:r>
              <w:rPr>
                <w:rFonts w:hint="eastAsia" w:cs="Times New Roman"/>
                <w:color w:val="auto"/>
                <w:szCs w:val="21"/>
                <w:lang w:val="en-US" w:eastAsia="zh-CN"/>
              </w:rPr>
              <w:t>乐昌市华翔木业有限公司位于乐昌市庆云镇金坪，是一家加工生产大芯板和复合指接板的企业，年生产大芯板8万张，复合指接板2万张。厂区内设置1台2t/h生物质导热油锅炉，根据相关政策要求，需淘汰2吨及以下锅炉，为此，乐昌市华翔木业有限公司拟实施锅炉技改项目，淘汰现有的2t/h生物质导热油锅炉，购置1台3t/h生物质导热油锅炉，本项目仅对锅炉进行淘汰更新，不涉及生产工艺、规模调整。</w:t>
            </w:r>
          </w:p>
          <w:p w14:paraId="79597589">
            <w:pPr>
              <w:adjustRightInd w:val="0"/>
              <w:snapToGrid w:val="0"/>
              <w:spacing w:line="360" w:lineRule="auto"/>
              <w:ind w:firstLine="211" w:firstLineChars="100"/>
              <w:rPr>
                <w:rFonts w:hint="default" w:eastAsia="宋体"/>
                <w:b/>
                <w:bCs/>
                <w:color w:val="auto"/>
                <w:szCs w:val="21"/>
                <w:lang w:val="en-US" w:eastAsia="zh-CN"/>
              </w:rPr>
            </w:pPr>
            <w:r>
              <w:rPr>
                <w:rFonts w:hint="eastAsia"/>
                <w:b/>
                <w:bCs/>
                <w:color w:val="auto"/>
                <w:szCs w:val="21"/>
                <w:lang w:val="en-US" w:eastAsia="zh-CN"/>
              </w:rPr>
              <w:t>2</w:t>
            </w:r>
            <w:r>
              <w:rPr>
                <w:b/>
                <w:bCs/>
                <w:color w:val="auto"/>
                <w:szCs w:val="21"/>
              </w:rPr>
              <w:t>、</w:t>
            </w:r>
            <w:r>
              <w:rPr>
                <w:rFonts w:hint="eastAsia"/>
                <w:b/>
                <w:bCs/>
                <w:color w:val="auto"/>
                <w:szCs w:val="21"/>
                <w:lang w:val="en-US" w:eastAsia="zh-CN"/>
              </w:rPr>
              <w:t>项目组成</w:t>
            </w:r>
          </w:p>
          <w:p w14:paraId="1DBC53FD">
            <w:pPr>
              <w:pStyle w:val="82"/>
              <w:keepNext w:val="0"/>
              <w:keepLines w:val="0"/>
              <w:pageBreakBefore w:val="0"/>
              <w:widowControl w:val="0"/>
              <w:kinsoku/>
              <w:wordWrap/>
              <w:overflowPunct/>
              <w:topLinePunct w:val="0"/>
              <w:autoSpaceDE/>
              <w:autoSpaceDN/>
              <w:bidi w:val="0"/>
              <w:adjustRightInd w:val="0"/>
              <w:snapToGrid w:val="0"/>
              <w:spacing w:before="0" w:beforeLines="0"/>
              <w:ind w:firstLine="420"/>
              <w:textAlignment w:val="auto"/>
              <w:rPr>
                <w:rFonts w:hint="eastAsia" w:cs="Times New Roman"/>
                <w:color w:val="auto"/>
                <w:szCs w:val="21"/>
                <w:lang w:val="en-US" w:eastAsia="zh-CN"/>
              </w:rPr>
            </w:pPr>
            <w:r>
              <w:rPr>
                <w:rFonts w:hint="eastAsia" w:cs="Times New Roman"/>
                <w:color w:val="auto"/>
                <w:szCs w:val="21"/>
                <w:lang w:val="en-US" w:eastAsia="zh-CN"/>
              </w:rPr>
              <w:t>乐昌市华翔木业有限公司现有主要建设内容包括大芯板生产车间、复合指接板生产车间、锅炉房以及办公楼、宿舍楼等，本项目在锅炉房内实施，其余工程内容均不变。项目拟拆除企业现有2t/h生物质导热油锅炉，并新购置1台 3t/h生物质导热油炉。</w:t>
            </w:r>
          </w:p>
          <w:p w14:paraId="388B98BC">
            <w:pPr>
              <w:pStyle w:val="82"/>
              <w:keepNext w:val="0"/>
              <w:keepLines w:val="0"/>
              <w:pageBreakBefore w:val="0"/>
              <w:widowControl w:val="0"/>
              <w:kinsoku/>
              <w:wordWrap/>
              <w:overflowPunct/>
              <w:topLinePunct w:val="0"/>
              <w:autoSpaceDE/>
              <w:autoSpaceDN/>
              <w:bidi w:val="0"/>
              <w:adjustRightInd w:val="0"/>
              <w:snapToGrid w:val="0"/>
              <w:spacing w:before="0" w:beforeLines="0"/>
              <w:ind w:firstLine="420"/>
              <w:textAlignment w:val="auto"/>
              <w:rPr>
                <w:rFonts w:cs="Times New Roman"/>
                <w:color w:val="auto"/>
                <w:szCs w:val="21"/>
              </w:rPr>
            </w:pPr>
            <w:r>
              <w:rPr>
                <w:rFonts w:hint="eastAsia" w:cs="Times New Roman"/>
                <w:color w:val="auto"/>
                <w:szCs w:val="21"/>
                <w:lang w:val="en-US" w:eastAsia="zh-CN"/>
              </w:rPr>
              <w:t>项目工程组成见下表2-1</w:t>
            </w:r>
            <w:r>
              <w:rPr>
                <w:rFonts w:cs="Times New Roman"/>
                <w:color w:val="auto"/>
                <w:szCs w:val="21"/>
              </w:rPr>
              <w:t>。</w:t>
            </w:r>
          </w:p>
          <w:p w14:paraId="00197D18">
            <w:pPr>
              <w:autoSpaceDE w:val="0"/>
              <w:autoSpaceDN w:val="0"/>
              <w:adjustRightInd w:val="0"/>
              <w:snapToGrid w:val="0"/>
              <w:spacing w:line="360" w:lineRule="auto"/>
              <w:jc w:val="center"/>
              <w:rPr>
                <w:b/>
                <w:bCs/>
                <w:color w:val="auto"/>
                <w:szCs w:val="21"/>
              </w:rPr>
            </w:pPr>
            <w:r>
              <w:rPr>
                <w:b/>
                <w:bCs/>
                <w:color w:val="auto"/>
                <w:szCs w:val="21"/>
              </w:rPr>
              <w:t>表</w:t>
            </w:r>
            <w:r>
              <w:rPr>
                <w:rFonts w:hint="eastAsia"/>
                <w:b/>
                <w:bCs/>
                <w:color w:val="auto"/>
                <w:szCs w:val="21"/>
              </w:rPr>
              <w:t>2-</w:t>
            </w:r>
            <w:r>
              <w:rPr>
                <w:rFonts w:hint="eastAsia"/>
                <w:b/>
                <w:bCs/>
                <w:color w:val="auto"/>
                <w:szCs w:val="21"/>
                <w:lang w:val="en-US" w:eastAsia="zh-CN"/>
              </w:rPr>
              <w:t>1</w:t>
            </w:r>
            <w:r>
              <w:rPr>
                <w:b/>
                <w:bCs/>
                <w:color w:val="auto"/>
                <w:szCs w:val="21"/>
              </w:rPr>
              <w:t xml:space="preserve">  项目工程组成一览表</w:t>
            </w:r>
          </w:p>
          <w:tbl>
            <w:tblPr>
              <w:tblStyle w:val="35"/>
              <w:tblW w:w="7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1200"/>
              <w:gridCol w:w="3197"/>
              <w:gridCol w:w="2214"/>
            </w:tblGrid>
            <w:tr w14:paraId="5141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38" w:type="pct"/>
                  <w:vAlign w:val="center"/>
                </w:tcPr>
                <w:p w14:paraId="458BF265">
                  <w:pPr>
                    <w:adjustRightInd w:val="0"/>
                    <w:snapToGrid w:val="0"/>
                    <w:jc w:val="center"/>
                    <w:rPr>
                      <w:b/>
                      <w:bCs/>
                      <w:color w:val="auto"/>
                      <w:szCs w:val="21"/>
                    </w:rPr>
                  </w:pPr>
                  <w:r>
                    <w:rPr>
                      <w:b/>
                      <w:bCs/>
                      <w:color w:val="auto"/>
                      <w:szCs w:val="21"/>
                    </w:rPr>
                    <w:t>工程类别</w:t>
                  </w:r>
                </w:p>
              </w:tc>
              <w:tc>
                <w:tcPr>
                  <w:tcW w:w="773" w:type="pct"/>
                  <w:vAlign w:val="center"/>
                </w:tcPr>
                <w:p w14:paraId="4E301BB5">
                  <w:pPr>
                    <w:adjustRightInd w:val="0"/>
                    <w:snapToGrid w:val="0"/>
                    <w:jc w:val="center"/>
                    <w:rPr>
                      <w:b/>
                      <w:bCs/>
                      <w:color w:val="auto"/>
                      <w:szCs w:val="21"/>
                    </w:rPr>
                  </w:pPr>
                  <w:r>
                    <w:rPr>
                      <w:b/>
                      <w:bCs/>
                      <w:color w:val="auto"/>
                      <w:szCs w:val="21"/>
                    </w:rPr>
                    <w:t>建设项目</w:t>
                  </w:r>
                </w:p>
              </w:tc>
              <w:tc>
                <w:tcPr>
                  <w:tcW w:w="2060" w:type="pct"/>
                  <w:vAlign w:val="center"/>
                </w:tcPr>
                <w:p w14:paraId="7BB2278A">
                  <w:pPr>
                    <w:adjustRightInd w:val="0"/>
                    <w:snapToGrid w:val="0"/>
                    <w:jc w:val="center"/>
                    <w:rPr>
                      <w:b/>
                      <w:bCs/>
                      <w:color w:val="auto"/>
                      <w:szCs w:val="21"/>
                    </w:rPr>
                  </w:pPr>
                  <w:r>
                    <w:rPr>
                      <w:b/>
                      <w:bCs/>
                      <w:color w:val="auto"/>
                      <w:szCs w:val="21"/>
                    </w:rPr>
                    <w:t>建设内容和规模</w:t>
                  </w:r>
                </w:p>
              </w:tc>
              <w:tc>
                <w:tcPr>
                  <w:tcW w:w="1427" w:type="pct"/>
                  <w:vAlign w:val="center"/>
                </w:tcPr>
                <w:p w14:paraId="41ADC19C">
                  <w:pPr>
                    <w:adjustRightInd w:val="0"/>
                    <w:snapToGrid w:val="0"/>
                    <w:jc w:val="center"/>
                    <w:rPr>
                      <w:rFonts w:hint="eastAsia" w:eastAsia="宋体"/>
                      <w:b/>
                      <w:bCs/>
                      <w:color w:val="auto"/>
                      <w:szCs w:val="21"/>
                      <w:lang w:val="en-US" w:eastAsia="zh-CN"/>
                    </w:rPr>
                  </w:pPr>
                  <w:r>
                    <w:rPr>
                      <w:rFonts w:hint="eastAsia"/>
                      <w:b/>
                      <w:bCs/>
                      <w:color w:val="auto"/>
                      <w:szCs w:val="21"/>
                      <w:lang w:val="en-US" w:eastAsia="zh-CN"/>
                    </w:rPr>
                    <w:t>备注</w:t>
                  </w:r>
                </w:p>
              </w:tc>
            </w:tr>
            <w:tr w14:paraId="412B2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738" w:type="pct"/>
                  <w:vAlign w:val="center"/>
                </w:tcPr>
                <w:p w14:paraId="0F86D2C8">
                  <w:pPr>
                    <w:adjustRightInd w:val="0"/>
                    <w:snapToGrid w:val="0"/>
                    <w:jc w:val="center"/>
                    <w:rPr>
                      <w:color w:val="auto"/>
                      <w:szCs w:val="21"/>
                    </w:rPr>
                  </w:pPr>
                  <w:r>
                    <w:rPr>
                      <w:color w:val="auto"/>
                      <w:szCs w:val="21"/>
                    </w:rPr>
                    <w:t>主体工程</w:t>
                  </w:r>
                </w:p>
              </w:tc>
              <w:tc>
                <w:tcPr>
                  <w:tcW w:w="773" w:type="pct"/>
                  <w:vAlign w:val="center"/>
                </w:tcPr>
                <w:p w14:paraId="324CB5DE">
                  <w:pPr>
                    <w:pStyle w:val="54"/>
                    <w:snapToGrid w:val="0"/>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锅炉房</w:t>
                  </w:r>
                </w:p>
              </w:tc>
              <w:tc>
                <w:tcPr>
                  <w:tcW w:w="2060" w:type="pct"/>
                  <w:vAlign w:val="center"/>
                </w:tcPr>
                <w:p w14:paraId="4D2E641A">
                  <w:pPr>
                    <w:pStyle w:val="54"/>
                    <w:snapToGrid w:val="0"/>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占地面积200m</w:t>
                  </w:r>
                  <w:r>
                    <w:rPr>
                      <w:rFonts w:hint="eastAsia" w:ascii="Times New Roman" w:hAnsi="Times New Roman" w:cs="Times New Roman"/>
                      <w:color w:val="auto"/>
                      <w:szCs w:val="21"/>
                      <w:vertAlign w:val="superscript"/>
                      <w:lang w:val="en-US" w:eastAsia="zh-CN"/>
                    </w:rPr>
                    <w:t>2</w:t>
                  </w:r>
                  <w:r>
                    <w:rPr>
                      <w:rFonts w:hint="eastAsia" w:ascii="Times New Roman" w:hAnsi="Times New Roman" w:cs="Times New Roman"/>
                      <w:color w:val="auto"/>
                      <w:szCs w:val="21"/>
                      <w:lang w:val="en-US" w:eastAsia="zh-CN"/>
                    </w:rPr>
                    <w:t>，技改内容为淘汰现有2t/h生物质</w:t>
                  </w:r>
                  <w:r>
                    <w:rPr>
                      <w:rFonts w:hint="eastAsia" w:cs="Times New Roman"/>
                      <w:color w:val="auto"/>
                      <w:szCs w:val="21"/>
                      <w:lang w:val="en-US" w:eastAsia="zh-CN"/>
                    </w:rPr>
                    <w:t>导热油锅炉</w:t>
                  </w:r>
                  <w:r>
                    <w:rPr>
                      <w:rFonts w:hint="eastAsia" w:ascii="Times New Roman" w:hAnsi="Times New Roman" w:cs="Times New Roman"/>
                      <w:color w:val="auto"/>
                      <w:szCs w:val="21"/>
                      <w:lang w:val="en-US" w:eastAsia="zh-CN"/>
                    </w:rPr>
                    <w:t>，</w:t>
                  </w:r>
                  <w:r>
                    <w:rPr>
                      <w:rFonts w:hint="default" w:ascii="Times New Roman" w:hAnsi="Times New Roman" w:cs="Times New Roman"/>
                      <w:color w:val="auto"/>
                      <w:szCs w:val="21"/>
                      <w:lang w:val="en-US" w:eastAsia="zh-CN"/>
                    </w:rPr>
                    <w:t>新购置1台3t/h生物</w:t>
                  </w:r>
                  <w:r>
                    <w:rPr>
                      <w:rFonts w:hint="eastAsia" w:cs="Times New Roman"/>
                      <w:color w:val="auto"/>
                      <w:szCs w:val="21"/>
                      <w:lang w:val="en-US" w:eastAsia="zh-CN"/>
                    </w:rPr>
                    <w:t>质导热油炉。</w:t>
                  </w:r>
                </w:p>
              </w:tc>
              <w:tc>
                <w:tcPr>
                  <w:tcW w:w="1427" w:type="pct"/>
                  <w:vAlign w:val="center"/>
                </w:tcPr>
                <w:p w14:paraId="12686717">
                  <w:pPr>
                    <w:pStyle w:val="54"/>
                    <w:snapToGrid w:val="0"/>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技改</w:t>
                  </w:r>
                </w:p>
              </w:tc>
            </w:tr>
            <w:tr w14:paraId="5E2BB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38" w:type="pct"/>
                  <w:vMerge w:val="restart"/>
                  <w:vAlign w:val="center"/>
                </w:tcPr>
                <w:p w14:paraId="6778A6CD">
                  <w:pPr>
                    <w:adjustRightInd w:val="0"/>
                    <w:snapToGrid w:val="0"/>
                    <w:jc w:val="center"/>
                    <w:rPr>
                      <w:rFonts w:hint="default" w:eastAsia="宋体"/>
                      <w:color w:val="auto"/>
                      <w:szCs w:val="21"/>
                      <w:lang w:val="en-US" w:eastAsia="zh-CN"/>
                    </w:rPr>
                  </w:pPr>
                  <w:r>
                    <w:rPr>
                      <w:rFonts w:hint="eastAsia"/>
                      <w:color w:val="auto"/>
                      <w:szCs w:val="21"/>
                      <w:lang w:val="en-US" w:eastAsia="zh-CN"/>
                    </w:rPr>
                    <w:t>辅助工程</w:t>
                  </w:r>
                </w:p>
              </w:tc>
              <w:tc>
                <w:tcPr>
                  <w:tcW w:w="773" w:type="pct"/>
                  <w:vAlign w:val="center"/>
                </w:tcPr>
                <w:p w14:paraId="5F882523">
                  <w:pPr>
                    <w:pStyle w:val="54"/>
                    <w:snapToGrid w:val="0"/>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办公楼</w:t>
                  </w:r>
                </w:p>
              </w:tc>
              <w:tc>
                <w:tcPr>
                  <w:tcW w:w="2060" w:type="pct"/>
                  <w:vAlign w:val="center"/>
                </w:tcPr>
                <w:p w14:paraId="3981BAF2">
                  <w:pPr>
                    <w:pStyle w:val="54"/>
                    <w:snapToGrid w:val="0"/>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占地面积260m</w:t>
                  </w:r>
                  <w:r>
                    <w:rPr>
                      <w:rFonts w:hint="eastAsia" w:ascii="Times New Roman" w:hAnsi="Times New Roman" w:cs="Times New Roman"/>
                      <w:color w:val="auto"/>
                      <w:szCs w:val="21"/>
                      <w:vertAlign w:val="superscript"/>
                      <w:lang w:val="en-US" w:eastAsia="zh-CN"/>
                    </w:rPr>
                    <w:t>2</w:t>
                  </w:r>
                  <w:r>
                    <w:rPr>
                      <w:rFonts w:hint="eastAsia" w:ascii="Times New Roman" w:hAnsi="Times New Roman" w:cs="Times New Roman"/>
                      <w:color w:val="auto"/>
                      <w:szCs w:val="21"/>
                      <w:lang w:val="en-US" w:eastAsia="zh-CN"/>
                    </w:rPr>
                    <w:t>，用于员工办公</w:t>
                  </w:r>
                </w:p>
              </w:tc>
              <w:tc>
                <w:tcPr>
                  <w:tcW w:w="1427" w:type="pct"/>
                  <w:vAlign w:val="center"/>
                </w:tcPr>
                <w:p w14:paraId="485F6967">
                  <w:pPr>
                    <w:pStyle w:val="54"/>
                    <w:snapToGrid w:val="0"/>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依托现有</w:t>
                  </w:r>
                </w:p>
              </w:tc>
            </w:tr>
            <w:tr w14:paraId="566C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38" w:type="pct"/>
                  <w:vMerge w:val="continue"/>
                  <w:vAlign w:val="center"/>
                </w:tcPr>
                <w:p w14:paraId="5C809759">
                  <w:pPr>
                    <w:adjustRightInd w:val="0"/>
                    <w:snapToGrid w:val="0"/>
                    <w:jc w:val="center"/>
                    <w:rPr>
                      <w:rFonts w:hint="eastAsia"/>
                      <w:color w:val="auto"/>
                      <w:szCs w:val="21"/>
                      <w:lang w:val="en-US" w:eastAsia="zh-CN"/>
                    </w:rPr>
                  </w:pPr>
                </w:p>
              </w:tc>
              <w:tc>
                <w:tcPr>
                  <w:tcW w:w="773" w:type="pct"/>
                  <w:vAlign w:val="center"/>
                </w:tcPr>
                <w:p w14:paraId="567E1FBF">
                  <w:pPr>
                    <w:pStyle w:val="54"/>
                    <w:snapToGrid w:val="0"/>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宿舍楼</w:t>
                  </w:r>
                </w:p>
              </w:tc>
              <w:tc>
                <w:tcPr>
                  <w:tcW w:w="2060" w:type="pct"/>
                  <w:vAlign w:val="center"/>
                </w:tcPr>
                <w:p w14:paraId="6BC73859">
                  <w:pPr>
                    <w:pStyle w:val="54"/>
                    <w:snapToGrid w:val="0"/>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占地面积1500m</w:t>
                  </w:r>
                  <w:r>
                    <w:rPr>
                      <w:rFonts w:hint="eastAsia" w:ascii="Times New Roman" w:hAnsi="Times New Roman" w:cs="Times New Roman"/>
                      <w:color w:val="auto"/>
                      <w:szCs w:val="21"/>
                      <w:vertAlign w:val="superscript"/>
                      <w:lang w:val="en-US" w:eastAsia="zh-CN"/>
                    </w:rPr>
                    <w:t>2</w:t>
                  </w:r>
                  <w:r>
                    <w:rPr>
                      <w:rFonts w:hint="eastAsia" w:ascii="Times New Roman" w:hAnsi="Times New Roman" w:cs="Times New Roman"/>
                      <w:color w:val="auto"/>
                      <w:szCs w:val="21"/>
                      <w:lang w:val="en-US" w:eastAsia="zh-CN"/>
                    </w:rPr>
                    <w:t>，用于员工生活</w:t>
                  </w:r>
                </w:p>
              </w:tc>
              <w:tc>
                <w:tcPr>
                  <w:tcW w:w="1427" w:type="pct"/>
                  <w:vAlign w:val="center"/>
                </w:tcPr>
                <w:p w14:paraId="20378DC2">
                  <w:pPr>
                    <w:pStyle w:val="54"/>
                    <w:snapToGrid w:val="0"/>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依托现有</w:t>
                  </w:r>
                </w:p>
              </w:tc>
            </w:tr>
            <w:tr w14:paraId="047F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38" w:type="pct"/>
                  <w:vMerge w:val="restart"/>
                  <w:vAlign w:val="center"/>
                </w:tcPr>
                <w:p w14:paraId="74B5F7D3">
                  <w:pPr>
                    <w:pStyle w:val="82"/>
                    <w:adjustRightInd w:val="0"/>
                    <w:snapToGrid w:val="0"/>
                    <w:spacing w:before="0" w:beforeLines="0" w:line="240" w:lineRule="auto"/>
                    <w:ind w:firstLine="0" w:firstLineChars="0"/>
                    <w:jc w:val="center"/>
                    <w:rPr>
                      <w:rFonts w:cs="Times New Roman"/>
                      <w:color w:val="auto"/>
                      <w:szCs w:val="21"/>
                    </w:rPr>
                  </w:pPr>
                  <w:r>
                    <w:rPr>
                      <w:rFonts w:cs="Times New Roman"/>
                      <w:color w:val="auto"/>
                      <w:szCs w:val="21"/>
                    </w:rPr>
                    <w:t>公用工程</w:t>
                  </w:r>
                </w:p>
              </w:tc>
              <w:tc>
                <w:tcPr>
                  <w:tcW w:w="773" w:type="pct"/>
                  <w:vAlign w:val="center"/>
                </w:tcPr>
                <w:p w14:paraId="0436AEC1">
                  <w:pPr>
                    <w:pStyle w:val="82"/>
                    <w:adjustRightInd w:val="0"/>
                    <w:snapToGrid w:val="0"/>
                    <w:spacing w:before="0" w:beforeLines="0" w:line="240" w:lineRule="auto"/>
                    <w:ind w:firstLine="0" w:firstLineChars="0"/>
                    <w:jc w:val="center"/>
                    <w:rPr>
                      <w:rFonts w:cs="Times New Roman"/>
                      <w:color w:val="auto"/>
                      <w:szCs w:val="21"/>
                    </w:rPr>
                  </w:pPr>
                  <w:r>
                    <w:rPr>
                      <w:rFonts w:cs="Times New Roman"/>
                      <w:color w:val="auto"/>
                      <w:szCs w:val="21"/>
                    </w:rPr>
                    <w:t>供水</w:t>
                  </w:r>
                </w:p>
              </w:tc>
              <w:tc>
                <w:tcPr>
                  <w:tcW w:w="2060" w:type="pct"/>
                  <w:vAlign w:val="center"/>
                </w:tcPr>
                <w:p w14:paraId="0698A0B3">
                  <w:pPr>
                    <w:pStyle w:val="54"/>
                    <w:snapToGrid w:val="0"/>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依托现有供水系统</w:t>
                  </w:r>
                </w:p>
              </w:tc>
              <w:tc>
                <w:tcPr>
                  <w:tcW w:w="1427" w:type="pct"/>
                  <w:vAlign w:val="center"/>
                </w:tcPr>
                <w:p w14:paraId="25FA0A0E">
                  <w:pPr>
                    <w:snapToGrid w:val="0"/>
                    <w:jc w:val="center"/>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依托现有</w:t>
                  </w:r>
                </w:p>
              </w:tc>
            </w:tr>
            <w:tr w14:paraId="7FDB3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38" w:type="pct"/>
                  <w:vMerge w:val="continue"/>
                  <w:vAlign w:val="center"/>
                </w:tcPr>
                <w:p w14:paraId="448020C5">
                  <w:pPr>
                    <w:pStyle w:val="82"/>
                    <w:adjustRightInd w:val="0"/>
                    <w:snapToGrid w:val="0"/>
                    <w:spacing w:before="0" w:beforeLines="0" w:line="240" w:lineRule="auto"/>
                    <w:ind w:firstLine="420"/>
                    <w:jc w:val="center"/>
                    <w:rPr>
                      <w:rFonts w:cs="Times New Roman"/>
                      <w:color w:val="auto"/>
                      <w:szCs w:val="21"/>
                    </w:rPr>
                  </w:pPr>
                </w:p>
              </w:tc>
              <w:tc>
                <w:tcPr>
                  <w:tcW w:w="773" w:type="pct"/>
                  <w:vAlign w:val="center"/>
                </w:tcPr>
                <w:p w14:paraId="6D6ECACE">
                  <w:pPr>
                    <w:pStyle w:val="82"/>
                    <w:adjustRightInd w:val="0"/>
                    <w:snapToGrid w:val="0"/>
                    <w:spacing w:before="0" w:beforeLines="0" w:line="240" w:lineRule="auto"/>
                    <w:ind w:firstLine="0" w:firstLineChars="0"/>
                    <w:jc w:val="center"/>
                    <w:rPr>
                      <w:rFonts w:cs="Times New Roman"/>
                      <w:color w:val="auto"/>
                      <w:szCs w:val="21"/>
                    </w:rPr>
                  </w:pPr>
                  <w:r>
                    <w:rPr>
                      <w:rFonts w:cs="Times New Roman"/>
                      <w:color w:val="auto"/>
                      <w:szCs w:val="21"/>
                    </w:rPr>
                    <w:t>供电</w:t>
                  </w:r>
                </w:p>
              </w:tc>
              <w:tc>
                <w:tcPr>
                  <w:tcW w:w="2060" w:type="pct"/>
                  <w:vAlign w:val="center"/>
                </w:tcPr>
                <w:p w14:paraId="2E1E9A72">
                  <w:pPr>
                    <w:pStyle w:val="54"/>
                    <w:snapToGrid w:val="0"/>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依托现有供电系统</w:t>
                  </w:r>
                </w:p>
              </w:tc>
              <w:tc>
                <w:tcPr>
                  <w:tcW w:w="1427" w:type="pct"/>
                  <w:vAlign w:val="center"/>
                </w:tcPr>
                <w:p w14:paraId="5A99DF09">
                  <w:pPr>
                    <w:snapToGrid w:val="0"/>
                    <w:jc w:val="center"/>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依托现有</w:t>
                  </w:r>
                </w:p>
              </w:tc>
            </w:tr>
            <w:tr w14:paraId="4ED25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38" w:type="pct"/>
                  <w:vMerge w:val="restart"/>
                  <w:vAlign w:val="center"/>
                </w:tcPr>
                <w:p w14:paraId="69CF9F78">
                  <w:pPr>
                    <w:pStyle w:val="82"/>
                    <w:adjustRightInd w:val="0"/>
                    <w:snapToGrid w:val="0"/>
                    <w:spacing w:before="0" w:beforeLines="0" w:line="240" w:lineRule="auto"/>
                    <w:ind w:firstLine="0" w:firstLineChars="0"/>
                    <w:jc w:val="center"/>
                    <w:rPr>
                      <w:rFonts w:cs="Times New Roman"/>
                      <w:color w:val="auto"/>
                      <w:szCs w:val="21"/>
                    </w:rPr>
                  </w:pPr>
                  <w:r>
                    <w:rPr>
                      <w:rFonts w:cs="Times New Roman"/>
                      <w:color w:val="auto"/>
                      <w:szCs w:val="21"/>
                    </w:rPr>
                    <w:t>环保工程</w:t>
                  </w:r>
                </w:p>
              </w:tc>
              <w:tc>
                <w:tcPr>
                  <w:tcW w:w="773" w:type="pct"/>
                  <w:vAlign w:val="center"/>
                </w:tcPr>
                <w:p w14:paraId="1A6FAC08">
                  <w:pPr>
                    <w:pStyle w:val="54"/>
                    <w:snapToGrid w:val="0"/>
                    <w:rPr>
                      <w:rFonts w:ascii="Times New Roman" w:hAnsi="Times New Roman" w:cs="Times New Roman"/>
                      <w:color w:val="auto"/>
                      <w:szCs w:val="21"/>
                    </w:rPr>
                  </w:pPr>
                  <w:r>
                    <w:rPr>
                      <w:rFonts w:ascii="Times New Roman" w:hAnsi="Times New Roman" w:cs="Times New Roman"/>
                      <w:color w:val="auto"/>
                      <w:szCs w:val="21"/>
                    </w:rPr>
                    <w:t>废气</w:t>
                  </w:r>
                </w:p>
              </w:tc>
              <w:tc>
                <w:tcPr>
                  <w:tcW w:w="2060" w:type="pct"/>
                  <w:vAlign w:val="center"/>
                </w:tcPr>
                <w:p w14:paraId="7D35F588">
                  <w:pPr>
                    <w:pStyle w:val="54"/>
                    <w:snapToGrid w:val="0"/>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锅炉废气经</w:t>
                  </w:r>
                  <w:r>
                    <w:rPr>
                      <w:rFonts w:hint="eastAsia"/>
                      <w:b w:val="0"/>
                      <w:bCs w:val="0"/>
                      <w:color w:val="auto"/>
                      <w:lang w:val="en-US" w:eastAsia="zh-CN"/>
                    </w:rPr>
                    <w:t>“</w:t>
                  </w:r>
                  <w:r>
                    <w:rPr>
                      <w:rFonts w:hint="eastAsia" w:ascii="Times New Roman" w:hAnsi="Times New Roman" w:cs="Times New Roman"/>
                      <w:b w:val="0"/>
                      <w:bCs w:val="0"/>
                      <w:color w:val="auto"/>
                      <w:lang w:val="en-US" w:eastAsia="zh-CN"/>
                    </w:rPr>
                    <w:t>低氮燃烧</w:t>
                  </w:r>
                  <w:r>
                    <w:rPr>
                      <w:rFonts w:hint="eastAsia"/>
                      <w:b w:val="0"/>
                      <w:bCs w:val="0"/>
                      <w:color w:val="auto"/>
                      <w:lang w:val="en-US" w:eastAsia="zh-CN"/>
                    </w:rPr>
                    <w:t>+旋风除尘+水膜除尘+静电除尘”处理后通过</w:t>
                  </w:r>
                  <w:r>
                    <w:rPr>
                      <w:rFonts w:hint="eastAsia" w:ascii="Times New Roman" w:hAnsi="Times New Roman" w:cs="Times New Roman"/>
                      <w:b w:val="0"/>
                      <w:bCs w:val="0"/>
                      <w:color w:val="auto"/>
                      <w:lang w:val="en-US" w:eastAsia="zh-CN"/>
                    </w:rPr>
                    <w:t>3</w:t>
                  </w:r>
                  <w:r>
                    <w:rPr>
                      <w:rFonts w:hint="default" w:ascii="Times New Roman" w:hAnsi="Times New Roman" w:cs="Times New Roman"/>
                      <w:b w:val="0"/>
                      <w:bCs w:val="0"/>
                      <w:color w:val="auto"/>
                      <w:lang w:val="en-US" w:eastAsia="zh-CN"/>
                    </w:rPr>
                    <w:t>0m</w:t>
                  </w:r>
                  <w:r>
                    <w:rPr>
                      <w:rFonts w:hint="eastAsia"/>
                      <w:b w:val="0"/>
                      <w:bCs w:val="0"/>
                      <w:color w:val="auto"/>
                      <w:lang w:val="en-US" w:eastAsia="zh-CN"/>
                    </w:rPr>
                    <w:t>高排气排放。</w:t>
                  </w:r>
                </w:p>
              </w:tc>
              <w:tc>
                <w:tcPr>
                  <w:tcW w:w="1427" w:type="pct"/>
                  <w:vAlign w:val="center"/>
                </w:tcPr>
                <w:p w14:paraId="51B46C90">
                  <w:pPr>
                    <w:pStyle w:val="54"/>
                    <w:snapToGrid w:val="0"/>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采用低氮燃烧技术，依托现有的</w:t>
                  </w:r>
                  <w:r>
                    <w:rPr>
                      <w:rFonts w:hint="eastAsia"/>
                      <w:b w:val="0"/>
                      <w:bCs w:val="0"/>
                      <w:color w:val="auto"/>
                      <w:lang w:val="en-US" w:eastAsia="zh-CN"/>
                    </w:rPr>
                    <w:t>“旋风除尘+水膜除尘+静电除尘”设施，</w:t>
                  </w:r>
                  <w:r>
                    <w:rPr>
                      <w:rFonts w:hint="eastAsia" w:ascii="Times New Roman" w:hAnsi="Times New Roman" w:cs="Times New Roman"/>
                      <w:color w:val="auto"/>
                      <w:szCs w:val="21"/>
                      <w:lang w:val="en-US" w:eastAsia="zh-CN"/>
                    </w:rPr>
                    <w:t>烟囱高度由25m改为30m</w:t>
                  </w:r>
                </w:p>
              </w:tc>
            </w:tr>
            <w:tr w14:paraId="50CF2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8" w:type="pct"/>
                  <w:vMerge w:val="continue"/>
                  <w:vAlign w:val="center"/>
                </w:tcPr>
                <w:p w14:paraId="56FCE2B4">
                  <w:pPr>
                    <w:pStyle w:val="82"/>
                    <w:adjustRightInd w:val="0"/>
                    <w:snapToGrid w:val="0"/>
                    <w:spacing w:before="0" w:beforeLines="0" w:line="240" w:lineRule="auto"/>
                    <w:ind w:firstLine="0" w:firstLineChars="0"/>
                    <w:jc w:val="center"/>
                    <w:rPr>
                      <w:rFonts w:cs="Times New Roman"/>
                      <w:color w:val="auto"/>
                      <w:szCs w:val="21"/>
                    </w:rPr>
                  </w:pPr>
                </w:p>
              </w:tc>
              <w:tc>
                <w:tcPr>
                  <w:tcW w:w="773" w:type="pct"/>
                  <w:vAlign w:val="center"/>
                </w:tcPr>
                <w:p w14:paraId="792E5B86">
                  <w:pPr>
                    <w:pStyle w:val="54"/>
                    <w:snapToGrid w:val="0"/>
                    <w:rPr>
                      <w:rFonts w:ascii="Times New Roman" w:hAnsi="Times New Roman" w:cs="Times New Roman"/>
                      <w:color w:val="auto"/>
                      <w:szCs w:val="21"/>
                    </w:rPr>
                  </w:pPr>
                  <w:r>
                    <w:rPr>
                      <w:rFonts w:ascii="Times New Roman" w:hAnsi="Times New Roman" w:cs="Times New Roman"/>
                      <w:color w:val="auto"/>
                      <w:szCs w:val="21"/>
                    </w:rPr>
                    <w:t>废水</w:t>
                  </w:r>
                </w:p>
              </w:tc>
              <w:tc>
                <w:tcPr>
                  <w:tcW w:w="2060" w:type="pct"/>
                  <w:vAlign w:val="center"/>
                </w:tcPr>
                <w:p w14:paraId="3F2DAAC5">
                  <w:pPr>
                    <w:pStyle w:val="54"/>
                    <w:snapToGrid w:val="0"/>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本项目无生产废水产生，水膜除尘废水经沉淀后循环使用。</w:t>
                  </w:r>
                </w:p>
              </w:tc>
              <w:tc>
                <w:tcPr>
                  <w:tcW w:w="1427" w:type="pct"/>
                  <w:vAlign w:val="center"/>
                </w:tcPr>
                <w:p w14:paraId="281CAF6B">
                  <w:pPr>
                    <w:pStyle w:val="54"/>
                    <w:snapToGrid w:val="0"/>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依托现有</w:t>
                  </w:r>
                </w:p>
              </w:tc>
            </w:tr>
            <w:tr w14:paraId="477B6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38" w:type="pct"/>
                  <w:vMerge w:val="continue"/>
                  <w:vAlign w:val="center"/>
                </w:tcPr>
                <w:p w14:paraId="44E5FE3C">
                  <w:pPr>
                    <w:pStyle w:val="82"/>
                    <w:adjustRightInd w:val="0"/>
                    <w:snapToGrid w:val="0"/>
                    <w:spacing w:before="0" w:beforeLines="0" w:line="240" w:lineRule="auto"/>
                    <w:ind w:firstLine="420"/>
                    <w:jc w:val="center"/>
                    <w:rPr>
                      <w:rFonts w:cs="Times New Roman"/>
                      <w:color w:val="auto"/>
                      <w:szCs w:val="21"/>
                    </w:rPr>
                  </w:pPr>
                </w:p>
              </w:tc>
              <w:tc>
                <w:tcPr>
                  <w:tcW w:w="773" w:type="pct"/>
                  <w:vAlign w:val="center"/>
                </w:tcPr>
                <w:p w14:paraId="33AEDCD6">
                  <w:pPr>
                    <w:pStyle w:val="54"/>
                    <w:snapToGrid w:val="0"/>
                    <w:rPr>
                      <w:rFonts w:ascii="Times New Roman" w:hAnsi="Times New Roman" w:cs="Times New Roman"/>
                      <w:color w:val="auto"/>
                      <w:szCs w:val="21"/>
                    </w:rPr>
                  </w:pPr>
                  <w:r>
                    <w:rPr>
                      <w:rFonts w:ascii="Times New Roman" w:hAnsi="Times New Roman" w:cs="Times New Roman"/>
                      <w:color w:val="auto"/>
                      <w:szCs w:val="21"/>
                    </w:rPr>
                    <w:t>噪声</w:t>
                  </w:r>
                </w:p>
              </w:tc>
              <w:tc>
                <w:tcPr>
                  <w:tcW w:w="2060" w:type="pct"/>
                  <w:vAlign w:val="center"/>
                </w:tcPr>
                <w:p w14:paraId="7300EEC2">
                  <w:pPr>
                    <w:pStyle w:val="54"/>
                    <w:snapToGrid w:val="0"/>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隔声、减震</w:t>
                  </w:r>
                </w:p>
              </w:tc>
              <w:tc>
                <w:tcPr>
                  <w:tcW w:w="1427" w:type="pct"/>
                  <w:vAlign w:val="center"/>
                </w:tcPr>
                <w:p w14:paraId="21C049E0">
                  <w:pPr>
                    <w:pStyle w:val="54"/>
                    <w:snapToGrid w:val="0"/>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依托现有/技改</w:t>
                  </w:r>
                </w:p>
              </w:tc>
            </w:tr>
            <w:tr w14:paraId="1498B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38" w:type="pct"/>
                  <w:vMerge w:val="continue"/>
                  <w:vAlign w:val="center"/>
                </w:tcPr>
                <w:p w14:paraId="0FA959B3">
                  <w:pPr>
                    <w:pStyle w:val="82"/>
                    <w:adjustRightInd w:val="0"/>
                    <w:snapToGrid w:val="0"/>
                    <w:spacing w:before="0" w:beforeLines="0" w:line="240" w:lineRule="auto"/>
                    <w:ind w:firstLine="420"/>
                    <w:jc w:val="center"/>
                    <w:rPr>
                      <w:rFonts w:cs="Times New Roman"/>
                      <w:color w:val="auto"/>
                      <w:szCs w:val="21"/>
                    </w:rPr>
                  </w:pPr>
                </w:p>
              </w:tc>
              <w:tc>
                <w:tcPr>
                  <w:tcW w:w="773" w:type="pct"/>
                  <w:vAlign w:val="center"/>
                </w:tcPr>
                <w:p w14:paraId="36856D43">
                  <w:pPr>
                    <w:pStyle w:val="54"/>
                    <w:snapToGrid w:val="0"/>
                    <w:rPr>
                      <w:rFonts w:ascii="Times New Roman" w:hAnsi="Times New Roman" w:cs="Times New Roman"/>
                      <w:color w:val="auto"/>
                      <w:szCs w:val="21"/>
                    </w:rPr>
                  </w:pPr>
                  <w:r>
                    <w:rPr>
                      <w:rFonts w:ascii="Times New Roman" w:hAnsi="Times New Roman" w:cs="Times New Roman"/>
                      <w:color w:val="auto"/>
                      <w:szCs w:val="21"/>
                    </w:rPr>
                    <w:t>固废</w:t>
                  </w:r>
                </w:p>
              </w:tc>
              <w:tc>
                <w:tcPr>
                  <w:tcW w:w="2060" w:type="pct"/>
                  <w:vAlign w:val="center"/>
                </w:tcPr>
                <w:p w14:paraId="7C43F6DE">
                  <w:pPr>
                    <w:pStyle w:val="54"/>
                    <w:snapToGrid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锅炉灰渣</w:t>
                  </w:r>
                  <w:r>
                    <w:rPr>
                      <w:rFonts w:hint="eastAsia" w:ascii="Times New Roman" w:hAnsi="Times New Roman" w:cs="Times New Roman"/>
                      <w:color w:val="auto"/>
                      <w:lang w:val="en-US" w:eastAsia="zh-CN"/>
                    </w:rPr>
                    <w:t>交由周边农户作有机肥料。废导热油委托有资质单位处置。</w:t>
                  </w:r>
                </w:p>
              </w:tc>
              <w:tc>
                <w:tcPr>
                  <w:tcW w:w="1427" w:type="pct"/>
                  <w:vAlign w:val="center"/>
                </w:tcPr>
                <w:p w14:paraId="003B31ED">
                  <w:pPr>
                    <w:pStyle w:val="54"/>
                    <w:snapToGrid w:val="0"/>
                    <w:rPr>
                      <w:rFonts w:hint="default" w:ascii="Times New Roman" w:hAnsi="Times New Roman" w:eastAsia="宋体" w:cs="Times New Roman"/>
                      <w:color w:val="auto"/>
                      <w:lang w:val="en-US" w:eastAsia="zh-CN"/>
                    </w:rPr>
                  </w:pPr>
                  <w:r>
                    <w:rPr>
                      <w:rFonts w:hint="eastAsia" w:ascii="Times New Roman" w:hAnsi="Times New Roman" w:cs="Times New Roman"/>
                      <w:color w:val="auto"/>
                      <w:szCs w:val="21"/>
                      <w:lang w:val="en-US" w:eastAsia="zh-CN"/>
                    </w:rPr>
                    <w:t>依托现有</w:t>
                  </w:r>
                </w:p>
              </w:tc>
            </w:tr>
          </w:tbl>
          <w:p w14:paraId="39C97A44">
            <w:pPr>
              <w:keepNext w:val="0"/>
              <w:keepLines w:val="0"/>
              <w:pageBreakBefore w:val="0"/>
              <w:widowControl w:val="0"/>
              <w:kinsoku/>
              <w:wordWrap/>
              <w:overflowPunct/>
              <w:topLinePunct w:val="0"/>
              <w:autoSpaceDE/>
              <w:autoSpaceDN/>
              <w:bidi w:val="0"/>
              <w:adjustRightInd w:val="0"/>
              <w:snapToGrid w:val="0"/>
              <w:spacing w:before="157" w:beforeLines="50"/>
              <w:ind w:firstLine="422" w:firstLineChars="200"/>
              <w:textAlignment w:val="auto"/>
              <w:rPr>
                <w:b/>
                <w:bCs/>
                <w:color w:val="auto"/>
                <w:szCs w:val="21"/>
              </w:rPr>
            </w:pPr>
            <w:r>
              <w:rPr>
                <w:b/>
                <w:bCs/>
                <w:color w:val="auto"/>
                <w:szCs w:val="21"/>
              </w:rPr>
              <w:t>2、主要产品及产能</w:t>
            </w:r>
          </w:p>
          <w:p w14:paraId="1F8B272C">
            <w:pPr>
              <w:pStyle w:val="82"/>
              <w:adjustRightInd w:val="0"/>
              <w:snapToGrid w:val="0"/>
              <w:spacing w:before="120"/>
              <w:ind w:firstLine="420"/>
              <w:rPr>
                <w:rFonts w:hint="default" w:cs="Times New Roman"/>
                <w:color w:val="auto"/>
                <w:szCs w:val="21"/>
                <w:lang w:val="en-US"/>
              </w:rPr>
            </w:pPr>
            <w:r>
              <w:rPr>
                <w:rFonts w:hint="eastAsia" w:cs="Times New Roman"/>
                <w:color w:val="auto"/>
                <w:szCs w:val="21"/>
                <w:lang w:val="en-US" w:eastAsia="zh-CN"/>
              </w:rPr>
              <w:t>技改项目不涉及工艺、规模调整，产品方案不变，具体见下表2-2。</w:t>
            </w:r>
          </w:p>
          <w:p w14:paraId="5FF3DF1F">
            <w:pPr>
              <w:pStyle w:val="97"/>
              <w:adjustRightInd w:val="0"/>
              <w:snapToGrid w:val="0"/>
              <w:ind w:firstLine="0" w:firstLineChars="0"/>
              <w:jc w:val="center"/>
              <w:rPr>
                <w:b/>
                <w:bCs/>
                <w:color w:val="auto"/>
                <w:sz w:val="21"/>
                <w:szCs w:val="21"/>
              </w:rPr>
            </w:pPr>
            <w:r>
              <w:rPr>
                <w:b/>
                <w:bCs/>
                <w:color w:val="auto"/>
                <w:sz w:val="21"/>
                <w:szCs w:val="21"/>
              </w:rPr>
              <w:t>表</w:t>
            </w:r>
            <w:r>
              <w:rPr>
                <w:rFonts w:hint="eastAsia"/>
                <w:b/>
                <w:bCs/>
                <w:color w:val="auto"/>
                <w:sz w:val="21"/>
                <w:szCs w:val="21"/>
              </w:rPr>
              <w:t>2-</w:t>
            </w:r>
            <w:r>
              <w:rPr>
                <w:rFonts w:hint="eastAsia"/>
                <w:b/>
                <w:bCs/>
                <w:color w:val="auto"/>
                <w:sz w:val="21"/>
                <w:szCs w:val="21"/>
                <w:lang w:val="en-US" w:eastAsia="zh-CN"/>
              </w:rPr>
              <w:t>2</w:t>
            </w:r>
            <w:r>
              <w:rPr>
                <w:b/>
                <w:bCs/>
                <w:color w:val="auto"/>
                <w:sz w:val="21"/>
                <w:szCs w:val="21"/>
              </w:rPr>
              <w:t xml:space="preserve">  产品方案一览表</w:t>
            </w:r>
          </w:p>
          <w:tbl>
            <w:tblPr>
              <w:tblStyle w:val="35"/>
              <w:tblW w:w="4998" w:type="pct"/>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947"/>
              <w:gridCol w:w="2107"/>
              <w:gridCol w:w="2427"/>
              <w:gridCol w:w="2428"/>
            </w:tblGrid>
            <w:tr w14:paraId="1A827CB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598" w:type="pct"/>
                  <w:tcBorders>
                    <w:tl2br w:val="nil"/>
                    <w:tr2bl w:val="nil"/>
                  </w:tcBorders>
                  <w:shd w:val="clear" w:color="auto" w:fill="auto"/>
                  <w:vAlign w:val="center"/>
                </w:tcPr>
                <w:p w14:paraId="0829F1FE">
                  <w:pPr>
                    <w:adjustRightInd w:val="0"/>
                    <w:snapToGrid w:val="0"/>
                    <w:jc w:val="center"/>
                    <w:rPr>
                      <w:b/>
                      <w:bCs/>
                      <w:color w:val="auto"/>
                      <w:szCs w:val="21"/>
                    </w:rPr>
                  </w:pPr>
                  <w:r>
                    <w:rPr>
                      <w:b/>
                      <w:bCs/>
                      <w:color w:val="auto"/>
                      <w:szCs w:val="21"/>
                    </w:rPr>
                    <w:t>序号</w:t>
                  </w:r>
                </w:p>
              </w:tc>
              <w:tc>
                <w:tcPr>
                  <w:tcW w:w="1332" w:type="pct"/>
                  <w:tcBorders>
                    <w:tl2br w:val="nil"/>
                    <w:tr2bl w:val="nil"/>
                  </w:tcBorders>
                  <w:shd w:val="clear" w:color="auto" w:fill="auto"/>
                  <w:vAlign w:val="center"/>
                </w:tcPr>
                <w:p w14:paraId="65DE54FA">
                  <w:pPr>
                    <w:adjustRightInd w:val="0"/>
                    <w:snapToGrid w:val="0"/>
                    <w:jc w:val="center"/>
                    <w:rPr>
                      <w:b/>
                      <w:bCs/>
                      <w:color w:val="auto"/>
                      <w:szCs w:val="21"/>
                    </w:rPr>
                  </w:pPr>
                  <w:r>
                    <w:rPr>
                      <w:b/>
                      <w:bCs/>
                      <w:color w:val="auto"/>
                      <w:szCs w:val="21"/>
                    </w:rPr>
                    <w:t>产品名称</w:t>
                  </w:r>
                </w:p>
              </w:tc>
              <w:tc>
                <w:tcPr>
                  <w:tcW w:w="1534" w:type="pct"/>
                  <w:tcBorders>
                    <w:tl2br w:val="nil"/>
                    <w:tr2bl w:val="nil"/>
                  </w:tcBorders>
                  <w:shd w:val="clear" w:color="auto" w:fill="auto"/>
                  <w:vAlign w:val="center"/>
                </w:tcPr>
                <w:p w14:paraId="61761CCA">
                  <w:pPr>
                    <w:adjustRightInd w:val="0"/>
                    <w:snapToGrid w:val="0"/>
                    <w:jc w:val="center"/>
                    <w:rPr>
                      <w:b/>
                      <w:bCs/>
                      <w:color w:val="auto"/>
                      <w:szCs w:val="21"/>
                    </w:rPr>
                  </w:pPr>
                  <w:r>
                    <w:rPr>
                      <w:b/>
                      <w:bCs/>
                      <w:color w:val="auto"/>
                      <w:szCs w:val="21"/>
                    </w:rPr>
                    <w:t>年产量</w:t>
                  </w:r>
                </w:p>
              </w:tc>
              <w:tc>
                <w:tcPr>
                  <w:tcW w:w="1534" w:type="pct"/>
                  <w:tcBorders>
                    <w:tl2br w:val="nil"/>
                    <w:tr2bl w:val="nil"/>
                  </w:tcBorders>
                  <w:shd w:val="clear" w:color="auto" w:fill="auto"/>
                  <w:vAlign w:val="center"/>
                </w:tcPr>
                <w:p w14:paraId="114EC074">
                  <w:pPr>
                    <w:adjustRightInd w:val="0"/>
                    <w:snapToGrid w:val="0"/>
                    <w:jc w:val="center"/>
                    <w:rPr>
                      <w:rFonts w:hint="eastAsia" w:eastAsia="宋体"/>
                      <w:b/>
                      <w:bCs/>
                      <w:color w:val="auto"/>
                      <w:szCs w:val="21"/>
                      <w:lang w:val="en-US" w:eastAsia="zh-CN"/>
                    </w:rPr>
                  </w:pPr>
                  <w:r>
                    <w:rPr>
                      <w:rFonts w:hint="eastAsia"/>
                      <w:b/>
                      <w:bCs/>
                      <w:color w:val="auto"/>
                      <w:szCs w:val="21"/>
                      <w:lang w:val="en-US" w:eastAsia="zh-CN"/>
                    </w:rPr>
                    <w:t>备注</w:t>
                  </w:r>
                </w:p>
              </w:tc>
            </w:tr>
            <w:tr w14:paraId="24472EC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598" w:type="pct"/>
                  <w:tcBorders>
                    <w:tl2br w:val="nil"/>
                    <w:tr2bl w:val="nil"/>
                  </w:tcBorders>
                  <w:shd w:val="clear" w:color="auto" w:fill="auto"/>
                  <w:vAlign w:val="center"/>
                </w:tcPr>
                <w:p w14:paraId="757A9AF2">
                  <w:pPr>
                    <w:widowControl/>
                    <w:adjustRightInd w:val="0"/>
                    <w:snapToGrid w:val="0"/>
                    <w:jc w:val="center"/>
                    <w:rPr>
                      <w:color w:val="auto"/>
                      <w:szCs w:val="21"/>
                    </w:rPr>
                  </w:pPr>
                  <w:r>
                    <w:rPr>
                      <w:color w:val="auto"/>
                      <w:szCs w:val="21"/>
                    </w:rPr>
                    <w:t>1</w:t>
                  </w:r>
                </w:p>
              </w:tc>
              <w:tc>
                <w:tcPr>
                  <w:tcW w:w="1332" w:type="pct"/>
                  <w:tcBorders>
                    <w:tl2br w:val="nil"/>
                    <w:tr2bl w:val="nil"/>
                  </w:tcBorders>
                  <w:shd w:val="clear" w:color="auto" w:fill="auto"/>
                  <w:vAlign w:val="center"/>
                </w:tcPr>
                <w:p w14:paraId="72C43413">
                  <w:pPr>
                    <w:adjustRightInd w:val="0"/>
                    <w:snapToGrid w:val="0"/>
                    <w:jc w:val="center"/>
                    <w:rPr>
                      <w:rFonts w:hint="default" w:eastAsia="宋体"/>
                      <w:color w:val="auto"/>
                      <w:szCs w:val="21"/>
                      <w:lang w:val="en-US" w:eastAsia="zh-CN"/>
                    </w:rPr>
                  </w:pPr>
                  <w:r>
                    <w:rPr>
                      <w:rFonts w:hint="eastAsia" w:cs="Times New Roman"/>
                      <w:color w:val="auto"/>
                      <w:szCs w:val="21"/>
                      <w:lang w:val="en-US" w:eastAsia="zh-CN"/>
                    </w:rPr>
                    <w:t>大芯板</w:t>
                  </w:r>
                </w:p>
              </w:tc>
              <w:tc>
                <w:tcPr>
                  <w:tcW w:w="1534" w:type="pct"/>
                  <w:tcBorders>
                    <w:tl2br w:val="nil"/>
                    <w:tr2bl w:val="nil"/>
                  </w:tcBorders>
                  <w:shd w:val="clear" w:color="auto" w:fill="auto"/>
                  <w:vAlign w:val="center"/>
                </w:tcPr>
                <w:p w14:paraId="06B3EFA8">
                  <w:pPr>
                    <w:adjustRightInd w:val="0"/>
                    <w:snapToGrid w:val="0"/>
                    <w:jc w:val="center"/>
                    <w:rPr>
                      <w:rFonts w:hint="default" w:eastAsia="宋体"/>
                      <w:color w:val="auto"/>
                      <w:szCs w:val="21"/>
                      <w:lang w:val="en-US" w:eastAsia="zh-CN"/>
                    </w:rPr>
                  </w:pPr>
                  <w:r>
                    <w:rPr>
                      <w:rFonts w:hint="eastAsia"/>
                      <w:color w:val="auto"/>
                      <w:szCs w:val="21"/>
                      <w:lang w:val="en-US" w:eastAsia="zh-CN"/>
                    </w:rPr>
                    <w:t>80000张/年</w:t>
                  </w:r>
                </w:p>
              </w:tc>
              <w:tc>
                <w:tcPr>
                  <w:tcW w:w="1534" w:type="pct"/>
                  <w:vMerge w:val="restart"/>
                  <w:tcBorders>
                    <w:tl2br w:val="nil"/>
                    <w:tr2bl w:val="nil"/>
                  </w:tcBorders>
                  <w:shd w:val="clear" w:color="auto" w:fill="auto"/>
                  <w:vAlign w:val="center"/>
                </w:tcPr>
                <w:p w14:paraId="00503BBE">
                  <w:pPr>
                    <w:adjustRightInd w:val="0"/>
                    <w:snapToGrid w:val="0"/>
                    <w:jc w:val="center"/>
                    <w:rPr>
                      <w:rFonts w:hint="default" w:eastAsia="宋体"/>
                      <w:color w:val="auto"/>
                      <w:szCs w:val="21"/>
                      <w:lang w:val="en-US" w:eastAsia="zh-CN"/>
                    </w:rPr>
                  </w:pPr>
                  <w:r>
                    <w:rPr>
                      <w:rFonts w:hint="eastAsia"/>
                      <w:color w:val="auto"/>
                      <w:szCs w:val="21"/>
                      <w:lang w:val="en-US" w:eastAsia="zh-CN"/>
                    </w:rPr>
                    <w:t>技改不涉及产品方案调整</w:t>
                  </w:r>
                </w:p>
              </w:tc>
            </w:tr>
            <w:tr w14:paraId="6FFFEC1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598" w:type="pct"/>
                  <w:tcBorders>
                    <w:tl2br w:val="nil"/>
                    <w:tr2bl w:val="nil"/>
                  </w:tcBorders>
                  <w:shd w:val="clear" w:color="auto" w:fill="auto"/>
                  <w:vAlign w:val="center"/>
                </w:tcPr>
                <w:p w14:paraId="781E5731">
                  <w:pPr>
                    <w:widowControl/>
                    <w:adjustRightInd w:val="0"/>
                    <w:snapToGrid w:val="0"/>
                    <w:jc w:val="center"/>
                    <w:rPr>
                      <w:rFonts w:hint="eastAsia" w:eastAsia="宋体"/>
                      <w:color w:val="auto"/>
                      <w:szCs w:val="21"/>
                      <w:lang w:val="en-US" w:eastAsia="zh-CN"/>
                    </w:rPr>
                  </w:pPr>
                  <w:r>
                    <w:rPr>
                      <w:rFonts w:hint="eastAsia"/>
                      <w:color w:val="auto"/>
                      <w:szCs w:val="21"/>
                      <w:lang w:val="en-US" w:eastAsia="zh-CN"/>
                    </w:rPr>
                    <w:t>2</w:t>
                  </w:r>
                </w:p>
              </w:tc>
              <w:tc>
                <w:tcPr>
                  <w:tcW w:w="1332" w:type="pct"/>
                  <w:tcBorders>
                    <w:tl2br w:val="nil"/>
                    <w:tr2bl w:val="nil"/>
                  </w:tcBorders>
                  <w:shd w:val="clear" w:color="auto" w:fill="auto"/>
                  <w:vAlign w:val="center"/>
                </w:tcPr>
                <w:p w14:paraId="378FE34A">
                  <w:pPr>
                    <w:adjustRightInd w:val="0"/>
                    <w:snapToGrid w:val="0"/>
                    <w:jc w:val="center"/>
                    <w:rPr>
                      <w:rFonts w:hint="default"/>
                      <w:color w:val="auto"/>
                      <w:szCs w:val="21"/>
                      <w:lang w:val="en-US" w:eastAsia="zh-CN"/>
                    </w:rPr>
                  </w:pPr>
                  <w:r>
                    <w:rPr>
                      <w:rFonts w:hint="eastAsia" w:cs="Times New Roman"/>
                      <w:color w:val="auto"/>
                      <w:szCs w:val="21"/>
                      <w:lang w:val="en-US" w:eastAsia="zh-CN"/>
                    </w:rPr>
                    <w:t>复合指接板</w:t>
                  </w:r>
                </w:p>
              </w:tc>
              <w:tc>
                <w:tcPr>
                  <w:tcW w:w="1534" w:type="pct"/>
                  <w:tcBorders>
                    <w:tl2br w:val="nil"/>
                    <w:tr2bl w:val="nil"/>
                  </w:tcBorders>
                  <w:shd w:val="clear" w:color="auto" w:fill="auto"/>
                  <w:vAlign w:val="center"/>
                </w:tcPr>
                <w:p w14:paraId="4600E971">
                  <w:pPr>
                    <w:adjustRightInd w:val="0"/>
                    <w:snapToGrid w:val="0"/>
                    <w:jc w:val="center"/>
                    <w:rPr>
                      <w:rFonts w:hint="default"/>
                      <w:color w:val="auto"/>
                      <w:szCs w:val="21"/>
                      <w:lang w:val="en-US" w:eastAsia="zh-CN"/>
                    </w:rPr>
                  </w:pPr>
                  <w:r>
                    <w:rPr>
                      <w:rFonts w:hint="eastAsia"/>
                      <w:color w:val="auto"/>
                      <w:szCs w:val="21"/>
                      <w:lang w:val="en-US" w:eastAsia="zh-CN"/>
                    </w:rPr>
                    <w:t>20000张/年</w:t>
                  </w:r>
                </w:p>
              </w:tc>
              <w:tc>
                <w:tcPr>
                  <w:tcW w:w="1534" w:type="pct"/>
                  <w:vMerge w:val="continue"/>
                  <w:tcBorders>
                    <w:tl2br w:val="nil"/>
                    <w:tr2bl w:val="nil"/>
                  </w:tcBorders>
                  <w:shd w:val="clear" w:color="auto" w:fill="auto"/>
                  <w:vAlign w:val="center"/>
                </w:tcPr>
                <w:p w14:paraId="5185D4D9">
                  <w:pPr>
                    <w:adjustRightInd w:val="0"/>
                    <w:snapToGrid w:val="0"/>
                    <w:jc w:val="center"/>
                    <w:rPr>
                      <w:rFonts w:hint="default" w:eastAsia="宋体"/>
                      <w:color w:val="auto"/>
                      <w:szCs w:val="21"/>
                      <w:lang w:val="en-US" w:eastAsia="zh-CN"/>
                    </w:rPr>
                  </w:pPr>
                </w:p>
              </w:tc>
            </w:tr>
          </w:tbl>
          <w:p w14:paraId="07F4F21C">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2" w:firstLineChars="200"/>
              <w:textAlignment w:val="auto"/>
              <w:rPr>
                <w:b/>
                <w:bCs/>
                <w:color w:val="auto"/>
                <w:szCs w:val="21"/>
              </w:rPr>
            </w:pPr>
            <w:r>
              <w:rPr>
                <w:b/>
                <w:bCs/>
                <w:color w:val="auto"/>
                <w:szCs w:val="21"/>
              </w:rPr>
              <w:t>3、主要原辅材料及用量</w:t>
            </w:r>
          </w:p>
          <w:p w14:paraId="5BB73417">
            <w:pPr>
              <w:pStyle w:val="82"/>
              <w:keepNext w:val="0"/>
              <w:keepLines w:val="0"/>
              <w:pageBreakBefore w:val="0"/>
              <w:widowControl w:val="0"/>
              <w:kinsoku/>
              <w:wordWrap/>
              <w:overflowPunct/>
              <w:topLinePunct w:val="0"/>
              <w:autoSpaceDE/>
              <w:autoSpaceDN/>
              <w:bidi w:val="0"/>
              <w:adjustRightInd w:val="0"/>
              <w:snapToGrid w:val="0"/>
              <w:spacing w:before="0" w:beforeLines="0"/>
              <w:ind w:firstLine="420"/>
              <w:textAlignment w:val="auto"/>
              <w:rPr>
                <w:rFonts w:cs="Times New Roman"/>
                <w:color w:val="auto"/>
                <w:szCs w:val="21"/>
              </w:rPr>
            </w:pPr>
            <w:r>
              <w:rPr>
                <w:rFonts w:cs="Times New Roman"/>
                <w:color w:val="auto"/>
                <w:szCs w:val="21"/>
              </w:rPr>
              <w:t>本项目原辅料使用情况详见下表：</w:t>
            </w:r>
          </w:p>
          <w:p w14:paraId="613152AC">
            <w:pPr>
              <w:pStyle w:val="15"/>
              <w:autoSpaceDE w:val="0"/>
              <w:autoSpaceDN w:val="0"/>
              <w:adjustRightInd w:val="0"/>
              <w:snapToGrid w:val="0"/>
              <w:spacing w:line="360" w:lineRule="auto"/>
              <w:jc w:val="center"/>
              <w:rPr>
                <w:rFonts w:ascii="Times New Roman" w:hAnsi="Times New Roman" w:eastAsia="宋体"/>
                <w:b/>
                <w:bCs/>
                <w:color w:val="auto"/>
                <w:sz w:val="21"/>
                <w:szCs w:val="21"/>
              </w:rPr>
            </w:pPr>
            <w:r>
              <w:rPr>
                <w:rFonts w:ascii="Times New Roman" w:hAnsi="Times New Roman" w:eastAsia="宋体"/>
                <w:b/>
                <w:bCs/>
                <w:color w:val="auto"/>
                <w:sz w:val="21"/>
                <w:szCs w:val="21"/>
              </w:rPr>
              <w:t>表</w:t>
            </w:r>
            <w:r>
              <w:rPr>
                <w:rFonts w:hint="eastAsia" w:ascii="Times New Roman" w:hAnsi="Times New Roman" w:eastAsia="宋体"/>
                <w:b/>
                <w:bCs/>
                <w:color w:val="auto"/>
                <w:sz w:val="21"/>
                <w:szCs w:val="21"/>
              </w:rPr>
              <w:t>2-</w:t>
            </w:r>
            <w:r>
              <w:rPr>
                <w:rFonts w:hint="eastAsia" w:ascii="Times New Roman" w:hAnsi="Times New Roman" w:eastAsia="宋体"/>
                <w:b/>
                <w:bCs/>
                <w:color w:val="auto"/>
                <w:sz w:val="21"/>
                <w:szCs w:val="21"/>
                <w:lang w:val="en-US" w:eastAsia="zh-CN"/>
              </w:rPr>
              <w:t>3</w:t>
            </w:r>
            <w:r>
              <w:rPr>
                <w:rFonts w:ascii="Times New Roman" w:hAnsi="Times New Roman" w:eastAsia="宋体"/>
                <w:b/>
                <w:bCs/>
                <w:color w:val="auto"/>
                <w:sz w:val="21"/>
                <w:szCs w:val="21"/>
              </w:rPr>
              <w:t xml:space="preserve"> 本项目主要原辅材料情况一览表</w:t>
            </w:r>
          </w:p>
          <w:tbl>
            <w:tblPr>
              <w:tblStyle w:val="144"/>
              <w:tblW w:w="79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7"/>
              <w:gridCol w:w="1910"/>
              <w:gridCol w:w="1425"/>
              <w:gridCol w:w="1748"/>
              <w:gridCol w:w="2136"/>
            </w:tblGrid>
            <w:tr w14:paraId="6A8E2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blHeader/>
                <w:jc w:val="center"/>
              </w:trPr>
              <w:tc>
                <w:tcPr>
                  <w:tcW w:w="697" w:type="dxa"/>
                  <w:vAlign w:val="center"/>
                </w:tcPr>
                <w:p w14:paraId="334518E0">
                  <w:pPr>
                    <w:jc w:val="center"/>
                    <w:rPr>
                      <w:b/>
                      <w:bCs/>
                      <w:color w:val="auto"/>
                      <w:szCs w:val="21"/>
                    </w:rPr>
                  </w:pPr>
                  <w:r>
                    <w:rPr>
                      <w:b/>
                      <w:bCs/>
                      <w:color w:val="auto"/>
                      <w:szCs w:val="21"/>
                    </w:rPr>
                    <w:t>序号</w:t>
                  </w:r>
                </w:p>
              </w:tc>
              <w:tc>
                <w:tcPr>
                  <w:tcW w:w="1910" w:type="dxa"/>
                  <w:vAlign w:val="center"/>
                </w:tcPr>
                <w:p w14:paraId="397E4584">
                  <w:pPr>
                    <w:jc w:val="center"/>
                    <w:rPr>
                      <w:b/>
                      <w:bCs/>
                      <w:color w:val="auto"/>
                      <w:szCs w:val="21"/>
                    </w:rPr>
                  </w:pPr>
                  <w:r>
                    <w:rPr>
                      <w:b/>
                      <w:bCs/>
                      <w:color w:val="auto"/>
                      <w:szCs w:val="21"/>
                    </w:rPr>
                    <w:t>名称</w:t>
                  </w:r>
                </w:p>
              </w:tc>
              <w:tc>
                <w:tcPr>
                  <w:tcW w:w="1425" w:type="dxa"/>
                  <w:vAlign w:val="center"/>
                </w:tcPr>
                <w:p w14:paraId="76ABD959">
                  <w:pPr>
                    <w:jc w:val="center"/>
                    <w:rPr>
                      <w:b/>
                      <w:bCs/>
                      <w:color w:val="auto"/>
                      <w:szCs w:val="21"/>
                    </w:rPr>
                  </w:pPr>
                  <w:r>
                    <w:rPr>
                      <w:rFonts w:hint="eastAsia"/>
                      <w:b/>
                      <w:bCs/>
                      <w:color w:val="auto"/>
                      <w:szCs w:val="21"/>
                      <w:lang w:val="en-US" w:eastAsia="zh-CN"/>
                    </w:rPr>
                    <w:t>技改前用量</w:t>
                  </w:r>
                </w:p>
              </w:tc>
              <w:tc>
                <w:tcPr>
                  <w:tcW w:w="1748" w:type="dxa"/>
                  <w:vAlign w:val="center"/>
                </w:tcPr>
                <w:p w14:paraId="374DE659">
                  <w:pPr>
                    <w:jc w:val="center"/>
                    <w:rPr>
                      <w:rFonts w:hint="default" w:eastAsia="宋体"/>
                      <w:b/>
                      <w:bCs/>
                      <w:color w:val="auto"/>
                      <w:szCs w:val="21"/>
                      <w:lang w:val="en-US" w:eastAsia="zh-CN"/>
                    </w:rPr>
                  </w:pPr>
                  <w:r>
                    <w:rPr>
                      <w:rFonts w:hint="eastAsia"/>
                      <w:b/>
                      <w:bCs/>
                      <w:color w:val="auto"/>
                      <w:szCs w:val="21"/>
                      <w:lang w:val="en-US" w:eastAsia="zh-CN"/>
                    </w:rPr>
                    <w:t>技改后用量</w:t>
                  </w:r>
                </w:p>
              </w:tc>
              <w:tc>
                <w:tcPr>
                  <w:tcW w:w="2136" w:type="dxa"/>
                  <w:vAlign w:val="center"/>
                </w:tcPr>
                <w:p w14:paraId="5217B34C">
                  <w:pPr>
                    <w:jc w:val="center"/>
                    <w:rPr>
                      <w:rFonts w:hint="default"/>
                      <w:b/>
                      <w:bCs/>
                      <w:color w:val="auto"/>
                      <w:szCs w:val="21"/>
                      <w:lang w:val="en-US"/>
                    </w:rPr>
                  </w:pPr>
                  <w:r>
                    <w:rPr>
                      <w:rFonts w:hint="eastAsia"/>
                      <w:b/>
                      <w:bCs/>
                      <w:color w:val="auto"/>
                      <w:szCs w:val="21"/>
                      <w:lang w:val="en-US" w:eastAsia="zh-CN"/>
                    </w:rPr>
                    <w:t>变化情况</w:t>
                  </w:r>
                </w:p>
              </w:tc>
            </w:tr>
            <w:tr w14:paraId="4FD9D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697" w:type="dxa"/>
                  <w:vAlign w:val="center"/>
                </w:tcPr>
                <w:p w14:paraId="020450DD">
                  <w:pPr>
                    <w:jc w:val="center"/>
                    <w:rPr>
                      <w:color w:val="auto"/>
                      <w:szCs w:val="21"/>
                    </w:rPr>
                  </w:pPr>
                  <w:r>
                    <w:rPr>
                      <w:color w:val="auto"/>
                      <w:szCs w:val="21"/>
                    </w:rPr>
                    <w:t>1</w:t>
                  </w:r>
                </w:p>
              </w:tc>
              <w:tc>
                <w:tcPr>
                  <w:tcW w:w="1910" w:type="dxa"/>
                  <w:vAlign w:val="center"/>
                </w:tcPr>
                <w:p w14:paraId="1DBF7568">
                  <w:pPr>
                    <w:jc w:val="center"/>
                    <w:rPr>
                      <w:rFonts w:hint="default" w:eastAsia="宋体"/>
                      <w:color w:val="auto"/>
                      <w:szCs w:val="21"/>
                      <w:lang w:val="en-US" w:eastAsia="zh-CN"/>
                    </w:rPr>
                  </w:pPr>
                  <w:r>
                    <w:rPr>
                      <w:rFonts w:hint="eastAsia"/>
                      <w:color w:val="auto"/>
                      <w:szCs w:val="21"/>
                      <w:lang w:val="en-US" w:eastAsia="zh-CN"/>
                    </w:rPr>
                    <w:t>杉木拼板</w:t>
                  </w:r>
                </w:p>
              </w:tc>
              <w:tc>
                <w:tcPr>
                  <w:tcW w:w="1425" w:type="dxa"/>
                  <w:vAlign w:val="center"/>
                </w:tcPr>
                <w:p w14:paraId="2F595EAE">
                  <w:pPr>
                    <w:jc w:val="center"/>
                    <w:rPr>
                      <w:rFonts w:hint="default" w:eastAsia="宋体"/>
                      <w:color w:val="auto"/>
                      <w:szCs w:val="21"/>
                      <w:lang w:val="en-US" w:eastAsia="zh-CN"/>
                    </w:rPr>
                  </w:pPr>
                  <w:r>
                    <w:rPr>
                      <w:rFonts w:hint="eastAsia"/>
                      <w:color w:val="auto"/>
                      <w:szCs w:val="21"/>
                      <w:lang w:val="en-US" w:eastAsia="zh-CN"/>
                    </w:rPr>
                    <w:t>1000m</w:t>
                  </w:r>
                  <w:r>
                    <w:rPr>
                      <w:rFonts w:hint="eastAsia"/>
                      <w:color w:val="auto"/>
                      <w:szCs w:val="21"/>
                      <w:vertAlign w:val="superscript"/>
                      <w:lang w:val="en-US" w:eastAsia="zh-CN"/>
                    </w:rPr>
                    <w:t>3</w:t>
                  </w:r>
                  <w:r>
                    <w:rPr>
                      <w:rFonts w:hint="eastAsia"/>
                      <w:color w:val="auto"/>
                      <w:szCs w:val="21"/>
                      <w:lang w:val="en-US" w:eastAsia="zh-CN"/>
                    </w:rPr>
                    <w:t>/a</w:t>
                  </w:r>
                </w:p>
              </w:tc>
              <w:tc>
                <w:tcPr>
                  <w:tcW w:w="1748" w:type="dxa"/>
                  <w:vAlign w:val="center"/>
                </w:tcPr>
                <w:p w14:paraId="2055A4C4">
                  <w:pPr>
                    <w:jc w:val="center"/>
                    <w:rPr>
                      <w:rFonts w:hint="default" w:eastAsia="宋体"/>
                      <w:color w:val="auto"/>
                      <w:szCs w:val="21"/>
                      <w:lang w:val="en-US" w:eastAsia="zh-CN"/>
                    </w:rPr>
                  </w:pPr>
                  <w:r>
                    <w:rPr>
                      <w:rFonts w:hint="eastAsia"/>
                      <w:color w:val="auto"/>
                      <w:szCs w:val="21"/>
                      <w:lang w:val="en-US" w:eastAsia="zh-CN"/>
                    </w:rPr>
                    <w:t>1000m</w:t>
                  </w:r>
                  <w:r>
                    <w:rPr>
                      <w:rFonts w:hint="eastAsia"/>
                      <w:color w:val="auto"/>
                      <w:szCs w:val="21"/>
                      <w:vertAlign w:val="superscript"/>
                      <w:lang w:val="en-US" w:eastAsia="zh-CN"/>
                    </w:rPr>
                    <w:t>3</w:t>
                  </w:r>
                  <w:r>
                    <w:rPr>
                      <w:rFonts w:hint="eastAsia"/>
                      <w:color w:val="auto"/>
                      <w:szCs w:val="21"/>
                      <w:lang w:val="en-US" w:eastAsia="zh-CN"/>
                    </w:rPr>
                    <w:t>/a</w:t>
                  </w:r>
                </w:p>
              </w:tc>
              <w:tc>
                <w:tcPr>
                  <w:tcW w:w="2136" w:type="dxa"/>
                  <w:vAlign w:val="center"/>
                </w:tcPr>
                <w:p w14:paraId="06AFF014">
                  <w:pPr>
                    <w:jc w:val="center"/>
                    <w:rPr>
                      <w:rFonts w:hint="default" w:eastAsia="宋体"/>
                      <w:color w:val="auto"/>
                      <w:szCs w:val="21"/>
                      <w:lang w:val="en-US" w:eastAsia="zh-CN"/>
                    </w:rPr>
                  </w:pPr>
                  <w:r>
                    <w:rPr>
                      <w:rFonts w:hint="eastAsia"/>
                      <w:color w:val="auto"/>
                      <w:szCs w:val="21"/>
                      <w:lang w:val="en-US" w:eastAsia="zh-CN"/>
                    </w:rPr>
                    <w:t>不变</w:t>
                  </w:r>
                </w:p>
              </w:tc>
            </w:tr>
            <w:tr w14:paraId="2FF78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jc w:val="center"/>
              </w:trPr>
              <w:tc>
                <w:tcPr>
                  <w:tcW w:w="697" w:type="dxa"/>
                  <w:vAlign w:val="center"/>
                </w:tcPr>
                <w:p w14:paraId="2BE01A09">
                  <w:pPr>
                    <w:jc w:val="center"/>
                    <w:rPr>
                      <w:rFonts w:hint="eastAsia" w:eastAsia="宋体"/>
                      <w:color w:val="auto"/>
                      <w:szCs w:val="21"/>
                      <w:lang w:val="en-US" w:eastAsia="zh-CN"/>
                    </w:rPr>
                  </w:pPr>
                  <w:r>
                    <w:rPr>
                      <w:rFonts w:hint="eastAsia"/>
                      <w:color w:val="auto"/>
                      <w:szCs w:val="21"/>
                      <w:lang w:val="en-US" w:eastAsia="zh-CN"/>
                    </w:rPr>
                    <w:t>2</w:t>
                  </w:r>
                </w:p>
              </w:tc>
              <w:tc>
                <w:tcPr>
                  <w:tcW w:w="1910" w:type="dxa"/>
                  <w:vAlign w:val="center"/>
                </w:tcPr>
                <w:p w14:paraId="3E5D22C8">
                  <w:pPr>
                    <w:jc w:val="center"/>
                    <w:rPr>
                      <w:rFonts w:hint="default"/>
                      <w:color w:val="auto"/>
                      <w:szCs w:val="21"/>
                      <w:lang w:val="en-US" w:eastAsia="zh-CN"/>
                    </w:rPr>
                  </w:pPr>
                  <w:r>
                    <w:rPr>
                      <w:rFonts w:hint="eastAsia"/>
                      <w:color w:val="auto"/>
                      <w:szCs w:val="21"/>
                      <w:lang w:val="en-US" w:eastAsia="zh-CN"/>
                    </w:rPr>
                    <w:t>桉木单板</w:t>
                  </w:r>
                </w:p>
              </w:tc>
              <w:tc>
                <w:tcPr>
                  <w:tcW w:w="1425" w:type="dxa"/>
                  <w:vAlign w:val="center"/>
                </w:tcPr>
                <w:p w14:paraId="7EE83A8A">
                  <w:pPr>
                    <w:jc w:val="center"/>
                    <w:rPr>
                      <w:rFonts w:hint="default"/>
                      <w:color w:val="auto"/>
                      <w:szCs w:val="21"/>
                      <w:lang w:val="en-US" w:eastAsia="zh-CN"/>
                    </w:rPr>
                  </w:pPr>
                  <w:r>
                    <w:rPr>
                      <w:rFonts w:hint="eastAsia"/>
                      <w:color w:val="auto"/>
                      <w:szCs w:val="21"/>
                      <w:lang w:val="en-US" w:eastAsia="zh-CN"/>
                    </w:rPr>
                    <w:t>500m</w:t>
                  </w:r>
                  <w:r>
                    <w:rPr>
                      <w:rFonts w:hint="eastAsia"/>
                      <w:color w:val="auto"/>
                      <w:szCs w:val="21"/>
                      <w:vertAlign w:val="superscript"/>
                      <w:lang w:val="en-US" w:eastAsia="zh-CN"/>
                    </w:rPr>
                    <w:t>3</w:t>
                  </w:r>
                  <w:r>
                    <w:rPr>
                      <w:rFonts w:hint="eastAsia"/>
                      <w:color w:val="auto"/>
                      <w:szCs w:val="21"/>
                      <w:lang w:val="en-US" w:eastAsia="zh-CN"/>
                    </w:rPr>
                    <w:t>/a</w:t>
                  </w:r>
                </w:p>
              </w:tc>
              <w:tc>
                <w:tcPr>
                  <w:tcW w:w="1748" w:type="dxa"/>
                  <w:vAlign w:val="center"/>
                </w:tcPr>
                <w:p w14:paraId="0C15F59F">
                  <w:pPr>
                    <w:jc w:val="center"/>
                    <w:rPr>
                      <w:rFonts w:hint="default"/>
                      <w:color w:val="auto"/>
                      <w:szCs w:val="21"/>
                      <w:lang w:val="en-US" w:eastAsia="zh-CN"/>
                    </w:rPr>
                  </w:pPr>
                  <w:r>
                    <w:rPr>
                      <w:rFonts w:hint="eastAsia"/>
                      <w:color w:val="auto"/>
                      <w:szCs w:val="21"/>
                      <w:lang w:val="en-US" w:eastAsia="zh-CN"/>
                    </w:rPr>
                    <w:t>500m</w:t>
                  </w:r>
                  <w:r>
                    <w:rPr>
                      <w:rFonts w:hint="eastAsia"/>
                      <w:color w:val="auto"/>
                      <w:szCs w:val="21"/>
                      <w:vertAlign w:val="superscript"/>
                      <w:lang w:val="en-US" w:eastAsia="zh-CN"/>
                    </w:rPr>
                    <w:t>3</w:t>
                  </w:r>
                  <w:r>
                    <w:rPr>
                      <w:rFonts w:hint="eastAsia"/>
                      <w:color w:val="auto"/>
                      <w:szCs w:val="21"/>
                      <w:lang w:val="en-US" w:eastAsia="zh-CN"/>
                    </w:rPr>
                    <w:t>/a</w:t>
                  </w:r>
                </w:p>
              </w:tc>
              <w:tc>
                <w:tcPr>
                  <w:tcW w:w="2136" w:type="dxa"/>
                  <w:vAlign w:val="center"/>
                </w:tcPr>
                <w:p w14:paraId="59AAF9FD">
                  <w:pPr>
                    <w:jc w:val="center"/>
                    <w:rPr>
                      <w:rFonts w:hint="default"/>
                      <w:color w:val="auto"/>
                      <w:szCs w:val="21"/>
                      <w:lang w:val="en-US" w:eastAsia="zh-CN"/>
                    </w:rPr>
                  </w:pPr>
                  <w:r>
                    <w:rPr>
                      <w:rFonts w:hint="eastAsia"/>
                      <w:color w:val="auto"/>
                      <w:szCs w:val="21"/>
                      <w:lang w:val="en-US" w:eastAsia="zh-CN"/>
                    </w:rPr>
                    <w:t>不变</w:t>
                  </w:r>
                </w:p>
              </w:tc>
            </w:tr>
            <w:tr w14:paraId="6EA17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jc w:val="center"/>
              </w:trPr>
              <w:tc>
                <w:tcPr>
                  <w:tcW w:w="697" w:type="dxa"/>
                  <w:vAlign w:val="center"/>
                </w:tcPr>
                <w:p w14:paraId="36736098">
                  <w:pPr>
                    <w:jc w:val="center"/>
                    <w:rPr>
                      <w:rFonts w:hint="default"/>
                      <w:color w:val="auto"/>
                      <w:szCs w:val="21"/>
                      <w:lang w:val="en-US" w:eastAsia="zh-CN"/>
                    </w:rPr>
                  </w:pPr>
                  <w:r>
                    <w:rPr>
                      <w:rFonts w:hint="eastAsia"/>
                      <w:color w:val="auto"/>
                      <w:szCs w:val="21"/>
                      <w:lang w:val="en-US" w:eastAsia="zh-CN"/>
                    </w:rPr>
                    <w:t>3</w:t>
                  </w:r>
                </w:p>
              </w:tc>
              <w:tc>
                <w:tcPr>
                  <w:tcW w:w="1910" w:type="dxa"/>
                  <w:vAlign w:val="center"/>
                </w:tcPr>
                <w:p w14:paraId="42803AD5">
                  <w:pPr>
                    <w:jc w:val="center"/>
                    <w:rPr>
                      <w:rFonts w:hint="default"/>
                      <w:color w:val="auto"/>
                      <w:szCs w:val="21"/>
                      <w:lang w:val="en-US" w:eastAsia="zh-CN"/>
                    </w:rPr>
                  </w:pPr>
                  <w:r>
                    <w:rPr>
                      <w:rFonts w:hint="eastAsia"/>
                      <w:color w:val="auto"/>
                      <w:szCs w:val="21"/>
                      <w:lang w:val="en-US" w:eastAsia="zh-CN"/>
                    </w:rPr>
                    <w:t>桃花芯面板</w:t>
                  </w:r>
                </w:p>
              </w:tc>
              <w:tc>
                <w:tcPr>
                  <w:tcW w:w="1425" w:type="dxa"/>
                  <w:vAlign w:val="center"/>
                </w:tcPr>
                <w:p w14:paraId="4B72C3C2">
                  <w:pPr>
                    <w:jc w:val="center"/>
                    <w:rPr>
                      <w:rFonts w:hint="default"/>
                      <w:color w:val="auto"/>
                      <w:szCs w:val="21"/>
                      <w:lang w:val="en-US" w:eastAsia="zh-CN"/>
                    </w:rPr>
                  </w:pPr>
                  <w:r>
                    <w:rPr>
                      <w:rFonts w:hint="eastAsia"/>
                      <w:color w:val="auto"/>
                      <w:szCs w:val="21"/>
                      <w:lang w:val="en-US" w:eastAsia="zh-CN"/>
                    </w:rPr>
                    <w:t>200m</w:t>
                  </w:r>
                  <w:r>
                    <w:rPr>
                      <w:rFonts w:hint="eastAsia"/>
                      <w:color w:val="auto"/>
                      <w:szCs w:val="21"/>
                      <w:vertAlign w:val="superscript"/>
                      <w:lang w:val="en-US" w:eastAsia="zh-CN"/>
                    </w:rPr>
                    <w:t>3</w:t>
                  </w:r>
                  <w:r>
                    <w:rPr>
                      <w:rFonts w:hint="eastAsia"/>
                      <w:color w:val="auto"/>
                      <w:szCs w:val="21"/>
                      <w:lang w:val="en-US" w:eastAsia="zh-CN"/>
                    </w:rPr>
                    <w:t>/a</w:t>
                  </w:r>
                </w:p>
              </w:tc>
              <w:tc>
                <w:tcPr>
                  <w:tcW w:w="1748" w:type="dxa"/>
                  <w:vAlign w:val="center"/>
                </w:tcPr>
                <w:p w14:paraId="0214F50E">
                  <w:pPr>
                    <w:jc w:val="center"/>
                    <w:rPr>
                      <w:rFonts w:hint="eastAsia"/>
                      <w:color w:val="auto"/>
                      <w:szCs w:val="21"/>
                      <w:lang w:val="en-US" w:eastAsia="zh-CN"/>
                    </w:rPr>
                  </w:pPr>
                  <w:r>
                    <w:rPr>
                      <w:rFonts w:hint="eastAsia"/>
                      <w:color w:val="auto"/>
                      <w:szCs w:val="21"/>
                      <w:lang w:val="en-US" w:eastAsia="zh-CN"/>
                    </w:rPr>
                    <w:t>200m</w:t>
                  </w:r>
                  <w:r>
                    <w:rPr>
                      <w:rFonts w:hint="eastAsia"/>
                      <w:color w:val="auto"/>
                      <w:szCs w:val="21"/>
                      <w:vertAlign w:val="superscript"/>
                      <w:lang w:val="en-US" w:eastAsia="zh-CN"/>
                    </w:rPr>
                    <w:t>3</w:t>
                  </w:r>
                  <w:r>
                    <w:rPr>
                      <w:rFonts w:hint="eastAsia"/>
                      <w:color w:val="auto"/>
                      <w:szCs w:val="21"/>
                      <w:lang w:val="en-US" w:eastAsia="zh-CN"/>
                    </w:rPr>
                    <w:t>/a</w:t>
                  </w:r>
                </w:p>
              </w:tc>
              <w:tc>
                <w:tcPr>
                  <w:tcW w:w="2136" w:type="dxa"/>
                  <w:vAlign w:val="center"/>
                </w:tcPr>
                <w:p w14:paraId="533FF52A">
                  <w:pPr>
                    <w:jc w:val="center"/>
                    <w:rPr>
                      <w:rFonts w:hint="default"/>
                      <w:color w:val="auto"/>
                      <w:szCs w:val="21"/>
                      <w:lang w:val="en-US" w:eastAsia="zh-CN"/>
                    </w:rPr>
                  </w:pPr>
                  <w:r>
                    <w:rPr>
                      <w:rFonts w:hint="eastAsia"/>
                      <w:color w:val="auto"/>
                      <w:szCs w:val="21"/>
                      <w:lang w:val="en-US" w:eastAsia="zh-CN"/>
                    </w:rPr>
                    <w:t>不变</w:t>
                  </w:r>
                </w:p>
              </w:tc>
            </w:tr>
            <w:tr w14:paraId="1469D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jc w:val="center"/>
              </w:trPr>
              <w:tc>
                <w:tcPr>
                  <w:tcW w:w="697" w:type="dxa"/>
                  <w:vAlign w:val="center"/>
                </w:tcPr>
                <w:p w14:paraId="68048F0C">
                  <w:pPr>
                    <w:jc w:val="center"/>
                    <w:rPr>
                      <w:rFonts w:hint="default"/>
                      <w:color w:val="auto"/>
                      <w:szCs w:val="21"/>
                      <w:lang w:val="en-US" w:eastAsia="zh-CN"/>
                    </w:rPr>
                  </w:pPr>
                  <w:r>
                    <w:rPr>
                      <w:rFonts w:hint="eastAsia"/>
                      <w:color w:val="auto"/>
                      <w:szCs w:val="21"/>
                      <w:lang w:val="en-US" w:eastAsia="zh-CN"/>
                    </w:rPr>
                    <w:t>4</w:t>
                  </w:r>
                </w:p>
              </w:tc>
              <w:tc>
                <w:tcPr>
                  <w:tcW w:w="1910" w:type="dxa"/>
                  <w:vAlign w:val="center"/>
                </w:tcPr>
                <w:p w14:paraId="59C0236A">
                  <w:pPr>
                    <w:jc w:val="center"/>
                    <w:rPr>
                      <w:rFonts w:hint="default"/>
                      <w:color w:val="auto"/>
                      <w:szCs w:val="21"/>
                      <w:lang w:val="en-US" w:eastAsia="zh-CN"/>
                    </w:rPr>
                  </w:pPr>
                  <w:r>
                    <w:rPr>
                      <w:rFonts w:hint="eastAsia"/>
                      <w:color w:val="auto"/>
                      <w:szCs w:val="21"/>
                      <w:lang w:val="en-US" w:eastAsia="zh-CN"/>
                    </w:rPr>
                    <w:t>环保胶水</w:t>
                  </w:r>
                </w:p>
              </w:tc>
              <w:tc>
                <w:tcPr>
                  <w:tcW w:w="1425" w:type="dxa"/>
                  <w:vAlign w:val="center"/>
                </w:tcPr>
                <w:p w14:paraId="5908F3B5">
                  <w:pPr>
                    <w:jc w:val="center"/>
                    <w:rPr>
                      <w:rFonts w:hint="default"/>
                      <w:color w:val="auto"/>
                      <w:szCs w:val="21"/>
                      <w:lang w:val="en-US" w:eastAsia="zh-CN"/>
                    </w:rPr>
                  </w:pPr>
                  <w:r>
                    <w:rPr>
                      <w:rFonts w:hint="eastAsia"/>
                      <w:color w:val="auto"/>
                      <w:szCs w:val="21"/>
                      <w:lang w:val="en-US" w:eastAsia="zh-CN"/>
                    </w:rPr>
                    <w:t>20/a</w:t>
                  </w:r>
                </w:p>
              </w:tc>
              <w:tc>
                <w:tcPr>
                  <w:tcW w:w="1748" w:type="dxa"/>
                  <w:vAlign w:val="center"/>
                </w:tcPr>
                <w:p w14:paraId="279FBC0B">
                  <w:pPr>
                    <w:jc w:val="center"/>
                    <w:rPr>
                      <w:rFonts w:hint="eastAsia"/>
                      <w:color w:val="auto"/>
                      <w:szCs w:val="21"/>
                      <w:lang w:val="en-US" w:eastAsia="zh-CN"/>
                    </w:rPr>
                  </w:pPr>
                  <w:r>
                    <w:rPr>
                      <w:rFonts w:hint="eastAsia"/>
                      <w:color w:val="auto"/>
                      <w:szCs w:val="21"/>
                      <w:lang w:val="en-US" w:eastAsia="zh-CN"/>
                    </w:rPr>
                    <w:t>20t/a</w:t>
                  </w:r>
                </w:p>
              </w:tc>
              <w:tc>
                <w:tcPr>
                  <w:tcW w:w="2136" w:type="dxa"/>
                  <w:vAlign w:val="center"/>
                </w:tcPr>
                <w:p w14:paraId="30BC5DE5">
                  <w:pPr>
                    <w:jc w:val="center"/>
                    <w:rPr>
                      <w:rFonts w:hint="default"/>
                      <w:color w:val="auto"/>
                      <w:szCs w:val="21"/>
                      <w:lang w:val="en-US" w:eastAsia="zh-CN"/>
                    </w:rPr>
                  </w:pPr>
                  <w:r>
                    <w:rPr>
                      <w:rFonts w:hint="eastAsia"/>
                      <w:color w:val="auto"/>
                      <w:szCs w:val="21"/>
                      <w:lang w:val="en-US" w:eastAsia="zh-CN"/>
                    </w:rPr>
                    <w:t>不变</w:t>
                  </w:r>
                </w:p>
              </w:tc>
            </w:tr>
            <w:tr w14:paraId="331F7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jc w:val="center"/>
              </w:trPr>
              <w:tc>
                <w:tcPr>
                  <w:tcW w:w="697" w:type="dxa"/>
                  <w:vAlign w:val="center"/>
                </w:tcPr>
                <w:p w14:paraId="0F1DA1D5">
                  <w:pPr>
                    <w:jc w:val="center"/>
                    <w:rPr>
                      <w:rFonts w:hint="default"/>
                      <w:color w:val="auto"/>
                      <w:szCs w:val="21"/>
                      <w:lang w:val="en-US" w:eastAsia="zh-CN"/>
                    </w:rPr>
                  </w:pPr>
                  <w:r>
                    <w:rPr>
                      <w:rFonts w:hint="eastAsia"/>
                      <w:color w:val="auto"/>
                      <w:szCs w:val="21"/>
                      <w:lang w:val="en-US" w:eastAsia="zh-CN"/>
                    </w:rPr>
                    <w:t>5</w:t>
                  </w:r>
                </w:p>
              </w:tc>
              <w:tc>
                <w:tcPr>
                  <w:tcW w:w="1910" w:type="dxa"/>
                  <w:vAlign w:val="center"/>
                </w:tcPr>
                <w:p w14:paraId="5098F480">
                  <w:pPr>
                    <w:jc w:val="center"/>
                    <w:rPr>
                      <w:rFonts w:hint="default"/>
                      <w:color w:val="auto"/>
                      <w:szCs w:val="21"/>
                      <w:lang w:val="en-US" w:eastAsia="zh-CN"/>
                    </w:rPr>
                  </w:pPr>
                  <w:r>
                    <w:rPr>
                      <w:rFonts w:hint="eastAsia"/>
                      <w:color w:val="auto"/>
                      <w:szCs w:val="21"/>
                      <w:lang w:val="en-US" w:eastAsia="zh-CN"/>
                    </w:rPr>
                    <w:t>导热油</w:t>
                  </w:r>
                </w:p>
              </w:tc>
              <w:tc>
                <w:tcPr>
                  <w:tcW w:w="1425" w:type="dxa"/>
                  <w:vAlign w:val="center"/>
                </w:tcPr>
                <w:p w14:paraId="5CF05A80">
                  <w:pPr>
                    <w:jc w:val="center"/>
                    <w:rPr>
                      <w:rFonts w:hint="default"/>
                      <w:color w:val="auto"/>
                      <w:szCs w:val="21"/>
                      <w:lang w:val="en-US" w:eastAsia="zh-CN"/>
                    </w:rPr>
                  </w:pPr>
                  <w:r>
                    <w:rPr>
                      <w:rFonts w:hint="eastAsia"/>
                      <w:color w:val="auto"/>
                      <w:szCs w:val="21"/>
                      <w:lang w:val="en-US" w:eastAsia="zh-CN"/>
                    </w:rPr>
                    <w:t>0.05t/a</w:t>
                  </w:r>
                </w:p>
              </w:tc>
              <w:tc>
                <w:tcPr>
                  <w:tcW w:w="1748" w:type="dxa"/>
                  <w:vAlign w:val="center"/>
                </w:tcPr>
                <w:p w14:paraId="5785006E">
                  <w:pPr>
                    <w:jc w:val="center"/>
                    <w:rPr>
                      <w:rFonts w:hint="eastAsia"/>
                      <w:color w:val="auto"/>
                      <w:szCs w:val="21"/>
                      <w:lang w:val="en-US" w:eastAsia="zh-CN"/>
                    </w:rPr>
                  </w:pPr>
                  <w:r>
                    <w:rPr>
                      <w:rFonts w:hint="eastAsia"/>
                      <w:color w:val="auto"/>
                      <w:szCs w:val="21"/>
                      <w:lang w:val="en-US" w:eastAsia="zh-CN"/>
                    </w:rPr>
                    <w:t>0.05t/a</w:t>
                  </w:r>
                </w:p>
              </w:tc>
              <w:tc>
                <w:tcPr>
                  <w:tcW w:w="2136" w:type="dxa"/>
                  <w:vAlign w:val="center"/>
                </w:tcPr>
                <w:p w14:paraId="2A8E2ED0">
                  <w:pPr>
                    <w:jc w:val="center"/>
                    <w:rPr>
                      <w:rFonts w:hint="eastAsia"/>
                      <w:color w:val="auto"/>
                      <w:szCs w:val="21"/>
                      <w:lang w:val="en-US" w:eastAsia="zh-CN"/>
                    </w:rPr>
                  </w:pPr>
                  <w:r>
                    <w:rPr>
                      <w:rFonts w:hint="eastAsia"/>
                      <w:color w:val="auto"/>
                      <w:szCs w:val="21"/>
                      <w:lang w:val="en-US" w:eastAsia="zh-CN"/>
                    </w:rPr>
                    <w:t>不变</w:t>
                  </w:r>
                </w:p>
              </w:tc>
            </w:tr>
            <w:tr w14:paraId="40C5E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jc w:val="center"/>
              </w:trPr>
              <w:tc>
                <w:tcPr>
                  <w:tcW w:w="697" w:type="dxa"/>
                  <w:vAlign w:val="center"/>
                </w:tcPr>
                <w:p w14:paraId="2AC9D8B5">
                  <w:pPr>
                    <w:jc w:val="center"/>
                    <w:rPr>
                      <w:rFonts w:hint="default"/>
                      <w:color w:val="auto"/>
                      <w:szCs w:val="21"/>
                      <w:lang w:val="en-US" w:eastAsia="zh-CN"/>
                    </w:rPr>
                  </w:pPr>
                  <w:r>
                    <w:rPr>
                      <w:rFonts w:hint="eastAsia"/>
                      <w:color w:val="auto"/>
                      <w:szCs w:val="21"/>
                      <w:lang w:val="en-US" w:eastAsia="zh-CN"/>
                    </w:rPr>
                    <w:t>6</w:t>
                  </w:r>
                </w:p>
              </w:tc>
              <w:tc>
                <w:tcPr>
                  <w:tcW w:w="1910" w:type="dxa"/>
                  <w:vAlign w:val="center"/>
                </w:tcPr>
                <w:p w14:paraId="18E6A817">
                  <w:pPr>
                    <w:jc w:val="center"/>
                    <w:rPr>
                      <w:rFonts w:hint="default"/>
                      <w:color w:val="auto"/>
                      <w:szCs w:val="21"/>
                      <w:lang w:val="en-US" w:eastAsia="zh-CN"/>
                    </w:rPr>
                  </w:pPr>
                  <w:r>
                    <w:rPr>
                      <w:rFonts w:hint="eastAsia"/>
                      <w:color w:val="auto"/>
                      <w:szCs w:val="21"/>
                      <w:lang w:val="en-US" w:eastAsia="zh-CN"/>
                    </w:rPr>
                    <w:t>生物质成型颗粒</w:t>
                  </w:r>
                </w:p>
              </w:tc>
              <w:tc>
                <w:tcPr>
                  <w:tcW w:w="1425" w:type="dxa"/>
                  <w:vAlign w:val="center"/>
                </w:tcPr>
                <w:p w14:paraId="08C2BFF7">
                  <w:pPr>
                    <w:jc w:val="center"/>
                    <w:rPr>
                      <w:rFonts w:hint="default"/>
                      <w:color w:val="auto"/>
                      <w:szCs w:val="21"/>
                      <w:lang w:val="en-US" w:eastAsia="zh-CN"/>
                    </w:rPr>
                  </w:pPr>
                  <w:r>
                    <w:rPr>
                      <w:rFonts w:hint="eastAsia"/>
                      <w:color w:val="auto"/>
                      <w:szCs w:val="21"/>
                      <w:lang w:val="en-US" w:eastAsia="zh-CN"/>
                    </w:rPr>
                    <w:t>1200t/a</w:t>
                  </w:r>
                </w:p>
              </w:tc>
              <w:tc>
                <w:tcPr>
                  <w:tcW w:w="1748" w:type="dxa"/>
                  <w:vAlign w:val="center"/>
                </w:tcPr>
                <w:p w14:paraId="36766F19">
                  <w:pPr>
                    <w:jc w:val="center"/>
                    <w:rPr>
                      <w:rFonts w:hint="default"/>
                      <w:color w:val="auto"/>
                      <w:szCs w:val="21"/>
                      <w:lang w:val="en-US" w:eastAsia="zh-CN"/>
                    </w:rPr>
                  </w:pPr>
                  <w:r>
                    <w:rPr>
                      <w:rFonts w:hint="eastAsia"/>
                      <w:color w:val="auto"/>
                      <w:szCs w:val="21"/>
                      <w:lang w:val="en-US" w:eastAsia="zh-CN"/>
                    </w:rPr>
                    <w:t>1200t/a</w:t>
                  </w:r>
                </w:p>
              </w:tc>
              <w:tc>
                <w:tcPr>
                  <w:tcW w:w="2136" w:type="dxa"/>
                  <w:vAlign w:val="center"/>
                </w:tcPr>
                <w:p w14:paraId="1E4D7E28">
                  <w:pPr>
                    <w:jc w:val="center"/>
                    <w:rPr>
                      <w:rFonts w:hint="default"/>
                      <w:color w:val="auto"/>
                      <w:szCs w:val="21"/>
                      <w:lang w:val="en-US" w:eastAsia="zh-CN"/>
                    </w:rPr>
                  </w:pPr>
                  <w:r>
                    <w:rPr>
                      <w:rFonts w:hint="eastAsia"/>
                      <w:color w:val="auto"/>
                      <w:szCs w:val="21"/>
                      <w:lang w:val="en-US" w:eastAsia="zh-CN"/>
                    </w:rPr>
                    <w:t>不变</w:t>
                  </w:r>
                </w:p>
              </w:tc>
            </w:tr>
          </w:tbl>
          <w:p w14:paraId="4EA1D76D">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2" w:firstLineChars="200"/>
              <w:textAlignment w:val="auto"/>
              <w:rPr>
                <w:color w:val="auto"/>
                <w:szCs w:val="21"/>
              </w:rPr>
            </w:pPr>
            <w:r>
              <w:rPr>
                <w:b/>
                <w:bCs/>
                <w:color w:val="auto"/>
                <w:szCs w:val="21"/>
              </w:rPr>
              <w:t>4、主要生产设备</w:t>
            </w:r>
          </w:p>
          <w:p w14:paraId="53FAA5BB">
            <w:pPr>
              <w:pStyle w:val="82"/>
              <w:adjustRightInd w:val="0"/>
              <w:snapToGrid w:val="0"/>
              <w:spacing w:before="0" w:beforeLines="0"/>
              <w:ind w:firstLine="420"/>
              <w:rPr>
                <w:rFonts w:cs="Times New Roman"/>
                <w:color w:val="auto"/>
                <w:szCs w:val="21"/>
              </w:rPr>
            </w:pPr>
            <w:r>
              <w:rPr>
                <w:rFonts w:cs="Times New Roman"/>
                <w:color w:val="auto"/>
                <w:szCs w:val="21"/>
              </w:rPr>
              <w:t>本项目设备详见下表：</w:t>
            </w:r>
          </w:p>
          <w:p w14:paraId="34DDD5D2">
            <w:pPr>
              <w:pStyle w:val="15"/>
              <w:autoSpaceDE w:val="0"/>
              <w:autoSpaceDN w:val="0"/>
              <w:adjustRightInd w:val="0"/>
              <w:snapToGrid w:val="0"/>
              <w:spacing w:line="360" w:lineRule="auto"/>
              <w:jc w:val="center"/>
              <w:rPr>
                <w:rFonts w:ascii="Times New Roman" w:hAnsi="Times New Roman" w:eastAsia="宋体"/>
                <w:b/>
                <w:bCs/>
                <w:color w:val="auto"/>
                <w:sz w:val="21"/>
                <w:szCs w:val="21"/>
              </w:rPr>
            </w:pPr>
            <w:r>
              <w:rPr>
                <w:rFonts w:ascii="Times New Roman" w:hAnsi="Times New Roman" w:eastAsia="宋体"/>
                <w:b/>
                <w:bCs/>
                <w:color w:val="auto"/>
                <w:sz w:val="21"/>
                <w:szCs w:val="21"/>
              </w:rPr>
              <w:t>表</w:t>
            </w:r>
            <w:r>
              <w:rPr>
                <w:rFonts w:hint="eastAsia" w:ascii="Times New Roman" w:hAnsi="Times New Roman" w:eastAsia="宋体"/>
                <w:b/>
                <w:bCs/>
                <w:color w:val="auto"/>
                <w:sz w:val="21"/>
                <w:szCs w:val="21"/>
              </w:rPr>
              <w:t>2-</w:t>
            </w:r>
            <w:r>
              <w:rPr>
                <w:rFonts w:hint="eastAsia" w:ascii="Times New Roman" w:hAnsi="Times New Roman" w:eastAsia="宋体"/>
                <w:b/>
                <w:bCs/>
                <w:color w:val="auto"/>
                <w:sz w:val="21"/>
                <w:szCs w:val="21"/>
                <w:lang w:val="en-US" w:eastAsia="zh-CN"/>
              </w:rPr>
              <w:t>4</w:t>
            </w:r>
            <w:r>
              <w:rPr>
                <w:rFonts w:ascii="Times New Roman" w:hAnsi="Times New Roman" w:eastAsia="宋体"/>
                <w:b/>
                <w:bCs/>
                <w:color w:val="auto"/>
                <w:sz w:val="21"/>
                <w:szCs w:val="21"/>
              </w:rPr>
              <w:t xml:space="preserve"> 本项目主要生产设备一览表</w:t>
            </w:r>
          </w:p>
          <w:tbl>
            <w:tblPr>
              <w:tblStyle w:val="144"/>
              <w:tblW w:w="79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1772"/>
              <w:gridCol w:w="1560"/>
              <w:gridCol w:w="1860"/>
              <w:gridCol w:w="2029"/>
            </w:tblGrid>
            <w:tr w14:paraId="75DEF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blHeader/>
                <w:jc w:val="center"/>
              </w:trPr>
              <w:tc>
                <w:tcPr>
                  <w:tcW w:w="736" w:type="dxa"/>
                  <w:vAlign w:val="center"/>
                </w:tcPr>
                <w:p w14:paraId="4A5EDA21">
                  <w:pPr>
                    <w:widowControl/>
                    <w:jc w:val="center"/>
                    <w:rPr>
                      <w:b/>
                      <w:bCs/>
                      <w:color w:val="auto"/>
                      <w:kern w:val="0"/>
                      <w:szCs w:val="21"/>
                    </w:rPr>
                  </w:pPr>
                  <w:r>
                    <w:rPr>
                      <w:b/>
                      <w:bCs/>
                      <w:color w:val="auto"/>
                      <w:kern w:val="0"/>
                      <w:szCs w:val="21"/>
                    </w:rPr>
                    <w:t>序号</w:t>
                  </w:r>
                </w:p>
              </w:tc>
              <w:tc>
                <w:tcPr>
                  <w:tcW w:w="1772" w:type="dxa"/>
                  <w:vAlign w:val="center"/>
                </w:tcPr>
                <w:p w14:paraId="2F441F98">
                  <w:pPr>
                    <w:widowControl/>
                    <w:jc w:val="center"/>
                    <w:rPr>
                      <w:b/>
                      <w:bCs/>
                      <w:color w:val="auto"/>
                      <w:kern w:val="0"/>
                      <w:szCs w:val="21"/>
                    </w:rPr>
                  </w:pPr>
                  <w:r>
                    <w:rPr>
                      <w:b/>
                      <w:bCs/>
                      <w:color w:val="auto"/>
                      <w:kern w:val="0"/>
                      <w:szCs w:val="21"/>
                    </w:rPr>
                    <w:t>设备名称</w:t>
                  </w:r>
                </w:p>
              </w:tc>
              <w:tc>
                <w:tcPr>
                  <w:tcW w:w="1560" w:type="dxa"/>
                  <w:vAlign w:val="center"/>
                </w:tcPr>
                <w:p w14:paraId="418D3411">
                  <w:pPr>
                    <w:widowControl/>
                    <w:jc w:val="center"/>
                    <w:rPr>
                      <w:rFonts w:hint="default" w:eastAsia="宋体"/>
                      <w:b/>
                      <w:bCs/>
                      <w:color w:val="auto"/>
                      <w:kern w:val="0"/>
                      <w:szCs w:val="21"/>
                      <w:lang w:val="en-US" w:eastAsia="zh-CN"/>
                    </w:rPr>
                  </w:pPr>
                  <w:r>
                    <w:rPr>
                      <w:rFonts w:hint="eastAsia"/>
                      <w:b/>
                      <w:bCs/>
                      <w:color w:val="auto"/>
                      <w:kern w:val="0"/>
                      <w:szCs w:val="21"/>
                      <w:lang w:val="en-US" w:eastAsia="zh-CN"/>
                    </w:rPr>
                    <w:t>技改前</w:t>
                  </w:r>
                </w:p>
              </w:tc>
              <w:tc>
                <w:tcPr>
                  <w:tcW w:w="1860" w:type="dxa"/>
                  <w:vAlign w:val="center"/>
                </w:tcPr>
                <w:p w14:paraId="4013F5AD">
                  <w:pPr>
                    <w:widowControl/>
                    <w:jc w:val="center"/>
                    <w:rPr>
                      <w:rFonts w:hint="default" w:eastAsia="宋体"/>
                      <w:b/>
                      <w:bCs/>
                      <w:color w:val="auto"/>
                      <w:kern w:val="0"/>
                      <w:szCs w:val="21"/>
                      <w:lang w:val="en-US" w:eastAsia="zh-CN"/>
                    </w:rPr>
                  </w:pPr>
                  <w:r>
                    <w:rPr>
                      <w:rFonts w:hint="eastAsia"/>
                      <w:b/>
                      <w:bCs/>
                      <w:color w:val="auto"/>
                      <w:kern w:val="0"/>
                      <w:szCs w:val="21"/>
                      <w:lang w:val="en-US" w:eastAsia="zh-CN"/>
                    </w:rPr>
                    <w:t>技改后</w:t>
                  </w:r>
                </w:p>
              </w:tc>
              <w:tc>
                <w:tcPr>
                  <w:tcW w:w="2029" w:type="dxa"/>
                  <w:vAlign w:val="center"/>
                </w:tcPr>
                <w:p w14:paraId="305F6936">
                  <w:pPr>
                    <w:widowControl/>
                    <w:jc w:val="center"/>
                    <w:rPr>
                      <w:rFonts w:hint="default" w:eastAsia="宋体"/>
                      <w:b/>
                      <w:bCs/>
                      <w:color w:val="auto"/>
                      <w:kern w:val="0"/>
                      <w:szCs w:val="21"/>
                      <w:lang w:val="en-US" w:eastAsia="zh-CN"/>
                    </w:rPr>
                  </w:pPr>
                  <w:r>
                    <w:rPr>
                      <w:rFonts w:hint="eastAsia"/>
                      <w:b/>
                      <w:bCs/>
                      <w:color w:val="auto"/>
                      <w:kern w:val="0"/>
                      <w:szCs w:val="21"/>
                      <w:lang w:val="en-US" w:eastAsia="zh-CN"/>
                    </w:rPr>
                    <w:t>变化情况</w:t>
                  </w:r>
                </w:p>
              </w:tc>
            </w:tr>
            <w:tr w14:paraId="17796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736" w:type="dxa"/>
                  <w:vAlign w:val="center"/>
                </w:tcPr>
                <w:p w14:paraId="5EB75A59">
                  <w:pPr>
                    <w:widowControl/>
                    <w:jc w:val="center"/>
                    <w:rPr>
                      <w:color w:val="auto"/>
                      <w:kern w:val="0"/>
                      <w:szCs w:val="21"/>
                    </w:rPr>
                  </w:pPr>
                  <w:r>
                    <w:rPr>
                      <w:color w:val="auto"/>
                      <w:kern w:val="0"/>
                      <w:szCs w:val="21"/>
                    </w:rPr>
                    <w:t>1</w:t>
                  </w:r>
                </w:p>
              </w:tc>
              <w:tc>
                <w:tcPr>
                  <w:tcW w:w="1772" w:type="dxa"/>
                  <w:vAlign w:val="center"/>
                </w:tcPr>
                <w:p w14:paraId="04ACE3F8">
                  <w:pPr>
                    <w:widowControl/>
                    <w:jc w:val="center"/>
                    <w:rPr>
                      <w:rFonts w:hint="default" w:eastAsia="宋体"/>
                      <w:color w:val="auto"/>
                      <w:kern w:val="0"/>
                      <w:szCs w:val="21"/>
                      <w:lang w:val="en-US" w:eastAsia="zh-CN"/>
                    </w:rPr>
                  </w:pPr>
                  <w:r>
                    <w:rPr>
                      <w:rFonts w:hint="eastAsia"/>
                      <w:color w:val="auto"/>
                      <w:kern w:val="0"/>
                      <w:szCs w:val="21"/>
                      <w:lang w:val="en-US" w:eastAsia="zh-CN"/>
                    </w:rPr>
                    <w:t>12层镀铬压板热压机600吨</w:t>
                  </w:r>
                </w:p>
              </w:tc>
              <w:tc>
                <w:tcPr>
                  <w:tcW w:w="1560" w:type="dxa"/>
                  <w:vAlign w:val="center"/>
                </w:tcPr>
                <w:p w14:paraId="11363038">
                  <w:pPr>
                    <w:widowControl/>
                    <w:jc w:val="center"/>
                    <w:rPr>
                      <w:rFonts w:hint="default" w:eastAsia="宋体"/>
                      <w:color w:val="auto"/>
                      <w:kern w:val="0"/>
                      <w:szCs w:val="21"/>
                      <w:lang w:val="en-US" w:eastAsia="zh-CN"/>
                    </w:rPr>
                  </w:pPr>
                  <w:r>
                    <w:rPr>
                      <w:rFonts w:hint="eastAsia"/>
                      <w:color w:val="auto"/>
                      <w:kern w:val="0"/>
                      <w:szCs w:val="21"/>
                      <w:lang w:val="en-US" w:eastAsia="zh-CN"/>
                    </w:rPr>
                    <w:t>1台</w:t>
                  </w:r>
                </w:p>
              </w:tc>
              <w:tc>
                <w:tcPr>
                  <w:tcW w:w="1860" w:type="dxa"/>
                  <w:vAlign w:val="center"/>
                </w:tcPr>
                <w:p w14:paraId="78CFE4A9">
                  <w:pPr>
                    <w:widowControl/>
                    <w:jc w:val="center"/>
                    <w:rPr>
                      <w:rFonts w:hint="eastAsia" w:eastAsia="宋体"/>
                      <w:color w:val="auto"/>
                      <w:kern w:val="0"/>
                      <w:szCs w:val="21"/>
                      <w:lang w:eastAsia="zh-CN"/>
                    </w:rPr>
                  </w:pPr>
                  <w:r>
                    <w:rPr>
                      <w:rFonts w:hint="eastAsia"/>
                      <w:color w:val="auto"/>
                      <w:kern w:val="0"/>
                      <w:szCs w:val="21"/>
                      <w:lang w:val="en-US" w:eastAsia="zh-CN"/>
                    </w:rPr>
                    <w:t>1台</w:t>
                  </w:r>
                </w:p>
              </w:tc>
              <w:tc>
                <w:tcPr>
                  <w:tcW w:w="2029" w:type="dxa"/>
                  <w:vAlign w:val="center"/>
                </w:tcPr>
                <w:p w14:paraId="0D70FAA8">
                  <w:pPr>
                    <w:widowControl/>
                    <w:jc w:val="center"/>
                    <w:rPr>
                      <w:rFonts w:hint="default" w:eastAsia="宋体"/>
                      <w:color w:val="auto"/>
                      <w:kern w:val="0"/>
                      <w:szCs w:val="21"/>
                      <w:lang w:val="en-US" w:eastAsia="zh-CN"/>
                    </w:rPr>
                  </w:pPr>
                  <w:r>
                    <w:rPr>
                      <w:rFonts w:hint="eastAsia"/>
                      <w:color w:val="auto"/>
                      <w:kern w:val="0"/>
                      <w:szCs w:val="21"/>
                      <w:lang w:val="en-US" w:eastAsia="zh-CN"/>
                    </w:rPr>
                    <w:t>不变</w:t>
                  </w:r>
                </w:p>
              </w:tc>
            </w:tr>
            <w:tr w14:paraId="175E4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736" w:type="dxa"/>
                  <w:vAlign w:val="center"/>
                </w:tcPr>
                <w:p w14:paraId="6882C03C">
                  <w:pPr>
                    <w:widowControl/>
                    <w:jc w:val="center"/>
                    <w:rPr>
                      <w:color w:val="auto"/>
                      <w:kern w:val="0"/>
                      <w:szCs w:val="21"/>
                    </w:rPr>
                  </w:pPr>
                  <w:r>
                    <w:rPr>
                      <w:color w:val="auto"/>
                      <w:kern w:val="0"/>
                      <w:szCs w:val="21"/>
                    </w:rPr>
                    <w:t>2</w:t>
                  </w:r>
                </w:p>
              </w:tc>
              <w:tc>
                <w:tcPr>
                  <w:tcW w:w="1772" w:type="dxa"/>
                  <w:vAlign w:val="center"/>
                </w:tcPr>
                <w:p w14:paraId="56D46048">
                  <w:pPr>
                    <w:widowControl/>
                    <w:jc w:val="center"/>
                    <w:rPr>
                      <w:rFonts w:hint="default" w:eastAsia="宋体"/>
                      <w:color w:val="auto"/>
                      <w:kern w:val="0"/>
                      <w:szCs w:val="21"/>
                      <w:lang w:val="en-US" w:eastAsia="zh-CN"/>
                    </w:rPr>
                  </w:pPr>
                  <w:r>
                    <w:rPr>
                      <w:rFonts w:hint="eastAsia"/>
                      <w:color w:val="auto"/>
                      <w:kern w:val="0"/>
                      <w:szCs w:val="21"/>
                      <w:lang w:val="en-US" w:eastAsia="zh-CN"/>
                    </w:rPr>
                    <w:t>8层侧压机</w:t>
                  </w:r>
                </w:p>
              </w:tc>
              <w:tc>
                <w:tcPr>
                  <w:tcW w:w="1560" w:type="dxa"/>
                  <w:vAlign w:val="center"/>
                </w:tcPr>
                <w:p w14:paraId="4584B489">
                  <w:pPr>
                    <w:widowControl/>
                    <w:jc w:val="center"/>
                    <w:rPr>
                      <w:rFonts w:hint="default" w:eastAsia="宋体"/>
                      <w:color w:val="auto"/>
                      <w:kern w:val="0"/>
                      <w:szCs w:val="21"/>
                      <w:lang w:val="en-US" w:eastAsia="zh-CN"/>
                    </w:rPr>
                  </w:pPr>
                  <w:r>
                    <w:rPr>
                      <w:rFonts w:hint="eastAsia"/>
                      <w:color w:val="auto"/>
                      <w:kern w:val="0"/>
                      <w:szCs w:val="21"/>
                      <w:lang w:val="en-US" w:eastAsia="zh-CN"/>
                    </w:rPr>
                    <w:t>1台</w:t>
                  </w:r>
                </w:p>
              </w:tc>
              <w:tc>
                <w:tcPr>
                  <w:tcW w:w="1860" w:type="dxa"/>
                  <w:vAlign w:val="center"/>
                </w:tcPr>
                <w:p w14:paraId="384AF185">
                  <w:pPr>
                    <w:widowControl/>
                    <w:jc w:val="center"/>
                    <w:rPr>
                      <w:rFonts w:hint="eastAsia" w:eastAsia="宋体"/>
                      <w:color w:val="auto"/>
                      <w:kern w:val="0"/>
                      <w:szCs w:val="21"/>
                      <w:lang w:val="en-US" w:eastAsia="zh-CN"/>
                    </w:rPr>
                  </w:pPr>
                  <w:r>
                    <w:rPr>
                      <w:rFonts w:hint="eastAsia"/>
                      <w:color w:val="auto"/>
                      <w:kern w:val="0"/>
                      <w:szCs w:val="21"/>
                      <w:lang w:val="en-US" w:eastAsia="zh-CN"/>
                    </w:rPr>
                    <w:t>1台</w:t>
                  </w:r>
                </w:p>
              </w:tc>
              <w:tc>
                <w:tcPr>
                  <w:tcW w:w="2029" w:type="dxa"/>
                  <w:vAlign w:val="center"/>
                </w:tcPr>
                <w:p w14:paraId="26D59C5C">
                  <w:pPr>
                    <w:widowControl/>
                    <w:jc w:val="center"/>
                    <w:rPr>
                      <w:rFonts w:hint="eastAsia" w:eastAsia="宋体"/>
                      <w:color w:val="auto"/>
                      <w:kern w:val="0"/>
                      <w:szCs w:val="21"/>
                      <w:lang w:val="en-US" w:eastAsia="zh-CN"/>
                    </w:rPr>
                  </w:pPr>
                  <w:r>
                    <w:rPr>
                      <w:rFonts w:hint="eastAsia"/>
                      <w:color w:val="auto"/>
                      <w:kern w:val="0"/>
                      <w:szCs w:val="21"/>
                      <w:lang w:val="en-US" w:eastAsia="zh-CN"/>
                    </w:rPr>
                    <w:t>不变</w:t>
                  </w:r>
                </w:p>
              </w:tc>
            </w:tr>
            <w:tr w14:paraId="4C308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736" w:type="dxa"/>
                  <w:vAlign w:val="center"/>
                </w:tcPr>
                <w:p w14:paraId="6C0BE8B8">
                  <w:pPr>
                    <w:widowControl/>
                    <w:jc w:val="center"/>
                    <w:rPr>
                      <w:color w:val="auto"/>
                      <w:kern w:val="0"/>
                      <w:szCs w:val="21"/>
                    </w:rPr>
                  </w:pPr>
                  <w:r>
                    <w:rPr>
                      <w:color w:val="auto"/>
                      <w:kern w:val="0"/>
                      <w:szCs w:val="21"/>
                    </w:rPr>
                    <w:t>3</w:t>
                  </w:r>
                </w:p>
              </w:tc>
              <w:tc>
                <w:tcPr>
                  <w:tcW w:w="1772" w:type="dxa"/>
                  <w:vAlign w:val="center"/>
                </w:tcPr>
                <w:p w14:paraId="7FEB978B">
                  <w:pPr>
                    <w:widowControl/>
                    <w:jc w:val="center"/>
                    <w:rPr>
                      <w:rFonts w:hint="default" w:eastAsia="宋体"/>
                      <w:color w:val="auto"/>
                      <w:kern w:val="0"/>
                      <w:szCs w:val="21"/>
                      <w:lang w:val="en-US" w:eastAsia="zh-CN"/>
                    </w:rPr>
                  </w:pPr>
                  <w:r>
                    <w:rPr>
                      <w:rFonts w:hint="eastAsia"/>
                      <w:color w:val="auto"/>
                      <w:kern w:val="0"/>
                      <w:szCs w:val="21"/>
                      <w:lang w:val="en-US" w:eastAsia="zh-CN"/>
                    </w:rPr>
                    <w:t>薄板拼板机</w:t>
                  </w:r>
                </w:p>
              </w:tc>
              <w:tc>
                <w:tcPr>
                  <w:tcW w:w="1560" w:type="dxa"/>
                  <w:vAlign w:val="center"/>
                </w:tcPr>
                <w:p w14:paraId="01E89457">
                  <w:pPr>
                    <w:widowControl/>
                    <w:jc w:val="center"/>
                    <w:rPr>
                      <w:rFonts w:hint="default" w:eastAsia="宋体"/>
                      <w:color w:val="auto"/>
                      <w:kern w:val="0"/>
                      <w:szCs w:val="21"/>
                      <w:lang w:val="en-US" w:eastAsia="zh-CN"/>
                    </w:rPr>
                  </w:pPr>
                  <w:r>
                    <w:rPr>
                      <w:rFonts w:hint="eastAsia"/>
                      <w:color w:val="auto"/>
                      <w:kern w:val="0"/>
                      <w:szCs w:val="21"/>
                      <w:lang w:val="en-US" w:eastAsia="zh-CN"/>
                    </w:rPr>
                    <w:t>1台</w:t>
                  </w:r>
                </w:p>
              </w:tc>
              <w:tc>
                <w:tcPr>
                  <w:tcW w:w="1860" w:type="dxa"/>
                  <w:vAlign w:val="center"/>
                </w:tcPr>
                <w:p w14:paraId="74068A3F">
                  <w:pPr>
                    <w:widowControl/>
                    <w:jc w:val="center"/>
                    <w:rPr>
                      <w:rFonts w:hint="eastAsia" w:eastAsia="宋体"/>
                      <w:color w:val="auto"/>
                      <w:kern w:val="0"/>
                      <w:szCs w:val="21"/>
                      <w:lang w:val="en-US" w:eastAsia="zh-CN"/>
                    </w:rPr>
                  </w:pPr>
                  <w:r>
                    <w:rPr>
                      <w:rFonts w:hint="eastAsia"/>
                      <w:color w:val="auto"/>
                      <w:kern w:val="0"/>
                      <w:szCs w:val="21"/>
                      <w:lang w:val="en-US" w:eastAsia="zh-CN"/>
                    </w:rPr>
                    <w:t>1台</w:t>
                  </w:r>
                </w:p>
              </w:tc>
              <w:tc>
                <w:tcPr>
                  <w:tcW w:w="2029" w:type="dxa"/>
                  <w:vAlign w:val="center"/>
                </w:tcPr>
                <w:p w14:paraId="3C2E0887">
                  <w:pPr>
                    <w:widowControl/>
                    <w:jc w:val="center"/>
                    <w:rPr>
                      <w:rFonts w:hint="default" w:eastAsia="宋体"/>
                      <w:color w:val="auto"/>
                      <w:kern w:val="0"/>
                      <w:szCs w:val="21"/>
                      <w:lang w:val="en-US" w:eastAsia="zh-CN"/>
                    </w:rPr>
                  </w:pPr>
                  <w:r>
                    <w:rPr>
                      <w:rFonts w:hint="eastAsia"/>
                      <w:color w:val="auto"/>
                      <w:kern w:val="0"/>
                      <w:szCs w:val="21"/>
                      <w:lang w:val="en-US" w:eastAsia="zh-CN"/>
                    </w:rPr>
                    <w:t>不变</w:t>
                  </w:r>
                </w:p>
              </w:tc>
            </w:tr>
            <w:tr w14:paraId="38181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736" w:type="dxa"/>
                  <w:vAlign w:val="center"/>
                </w:tcPr>
                <w:p w14:paraId="54A4D04B">
                  <w:pPr>
                    <w:widowControl/>
                    <w:jc w:val="center"/>
                    <w:rPr>
                      <w:rFonts w:hint="eastAsia" w:eastAsia="宋体"/>
                      <w:color w:val="auto"/>
                      <w:kern w:val="0"/>
                      <w:szCs w:val="21"/>
                      <w:lang w:val="en-US" w:eastAsia="zh-CN"/>
                    </w:rPr>
                  </w:pPr>
                  <w:r>
                    <w:rPr>
                      <w:rFonts w:hint="eastAsia"/>
                      <w:color w:val="auto"/>
                      <w:kern w:val="0"/>
                      <w:szCs w:val="21"/>
                      <w:lang w:val="en-US" w:eastAsia="zh-CN"/>
                    </w:rPr>
                    <w:t>4</w:t>
                  </w:r>
                </w:p>
              </w:tc>
              <w:tc>
                <w:tcPr>
                  <w:tcW w:w="1772" w:type="dxa"/>
                  <w:vAlign w:val="center"/>
                </w:tcPr>
                <w:p w14:paraId="035E68C7">
                  <w:pPr>
                    <w:widowControl/>
                    <w:jc w:val="center"/>
                    <w:rPr>
                      <w:rFonts w:hint="default"/>
                      <w:color w:val="auto"/>
                      <w:kern w:val="0"/>
                      <w:szCs w:val="21"/>
                      <w:lang w:val="en-US" w:eastAsia="zh-CN"/>
                    </w:rPr>
                  </w:pPr>
                  <w:r>
                    <w:rPr>
                      <w:rFonts w:hint="eastAsia"/>
                      <w:color w:val="auto"/>
                      <w:kern w:val="0"/>
                      <w:szCs w:val="21"/>
                      <w:lang w:val="en-US" w:eastAsia="zh-CN"/>
                    </w:rPr>
                    <w:t>1300细木工拼板机</w:t>
                  </w:r>
                </w:p>
              </w:tc>
              <w:tc>
                <w:tcPr>
                  <w:tcW w:w="1560" w:type="dxa"/>
                  <w:vAlign w:val="center"/>
                </w:tcPr>
                <w:p w14:paraId="4D1D3CD5">
                  <w:pPr>
                    <w:widowControl/>
                    <w:jc w:val="center"/>
                    <w:rPr>
                      <w:rFonts w:hint="default"/>
                      <w:color w:val="auto"/>
                      <w:kern w:val="0"/>
                      <w:szCs w:val="21"/>
                      <w:lang w:val="en-US" w:eastAsia="zh-CN"/>
                    </w:rPr>
                  </w:pPr>
                  <w:r>
                    <w:rPr>
                      <w:rFonts w:hint="eastAsia"/>
                      <w:color w:val="auto"/>
                      <w:kern w:val="0"/>
                      <w:szCs w:val="21"/>
                      <w:lang w:val="en-US" w:eastAsia="zh-CN"/>
                    </w:rPr>
                    <w:t>1台</w:t>
                  </w:r>
                </w:p>
              </w:tc>
              <w:tc>
                <w:tcPr>
                  <w:tcW w:w="1860" w:type="dxa"/>
                  <w:vAlign w:val="center"/>
                </w:tcPr>
                <w:p w14:paraId="1723FA65">
                  <w:pPr>
                    <w:widowControl/>
                    <w:jc w:val="center"/>
                    <w:rPr>
                      <w:rFonts w:hint="eastAsia" w:eastAsia="宋体"/>
                      <w:color w:val="auto"/>
                      <w:kern w:val="0"/>
                      <w:szCs w:val="21"/>
                      <w:lang w:val="en-US" w:eastAsia="zh-CN"/>
                    </w:rPr>
                  </w:pPr>
                  <w:r>
                    <w:rPr>
                      <w:rFonts w:hint="eastAsia"/>
                      <w:color w:val="auto"/>
                      <w:kern w:val="0"/>
                      <w:szCs w:val="21"/>
                      <w:lang w:val="en-US" w:eastAsia="zh-CN"/>
                    </w:rPr>
                    <w:t>1台</w:t>
                  </w:r>
                </w:p>
              </w:tc>
              <w:tc>
                <w:tcPr>
                  <w:tcW w:w="2029" w:type="dxa"/>
                  <w:vAlign w:val="center"/>
                </w:tcPr>
                <w:p w14:paraId="0A0D1B0E">
                  <w:pPr>
                    <w:widowControl/>
                    <w:jc w:val="center"/>
                    <w:rPr>
                      <w:rFonts w:hint="default" w:eastAsia="宋体"/>
                      <w:color w:val="auto"/>
                      <w:kern w:val="0"/>
                      <w:szCs w:val="21"/>
                      <w:lang w:val="en-US" w:eastAsia="zh-CN"/>
                    </w:rPr>
                  </w:pPr>
                  <w:r>
                    <w:rPr>
                      <w:rFonts w:hint="eastAsia"/>
                      <w:color w:val="auto"/>
                      <w:kern w:val="0"/>
                      <w:szCs w:val="21"/>
                      <w:lang w:val="en-US" w:eastAsia="zh-CN"/>
                    </w:rPr>
                    <w:t>不变</w:t>
                  </w:r>
                </w:p>
              </w:tc>
            </w:tr>
            <w:tr w14:paraId="409A2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736" w:type="dxa"/>
                  <w:vAlign w:val="center"/>
                </w:tcPr>
                <w:p w14:paraId="23E6B63A">
                  <w:pPr>
                    <w:widowControl/>
                    <w:jc w:val="center"/>
                    <w:rPr>
                      <w:rFonts w:hint="eastAsia" w:eastAsia="宋体"/>
                      <w:color w:val="auto"/>
                      <w:kern w:val="0"/>
                      <w:szCs w:val="21"/>
                      <w:lang w:val="en-US" w:eastAsia="zh-CN"/>
                    </w:rPr>
                  </w:pPr>
                  <w:r>
                    <w:rPr>
                      <w:rFonts w:hint="eastAsia"/>
                      <w:color w:val="auto"/>
                      <w:kern w:val="0"/>
                      <w:szCs w:val="21"/>
                      <w:lang w:val="en-US" w:eastAsia="zh-CN"/>
                    </w:rPr>
                    <w:t>5</w:t>
                  </w:r>
                </w:p>
              </w:tc>
              <w:tc>
                <w:tcPr>
                  <w:tcW w:w="1772" w:type="dxa"/>
                  <w:vAlign w:val="center"/>
                </w:tcPr>
                <w:p w14:paraId="74EFB526">
                  <w:pPr>
                    <w:widowControl/>
                    <w:jc w:val="center"/>
                    <w:rPr>
                      <w:rFonts w:hint="default"/>
                      <w:color w:val="auto"/>
                      <w:kern w:val="0"/>
                      <w:szCs w:val="21"/>
                      <w:lang w:val="en-US" w:eastAsia="zh-CN"/>
                    </w:rPr>
                  </w:pPr>
                  <w:r>
                    <w:rPr>
                      <w:rFonts w:hint="eastAsia"/>
                      <w:color w:val="auto"/>
                      <w:kern w:val="0"/>
                      <w:szCs w:val="21"/>
                      <w:lang w:val="en-US" w:eastAsia="zh-CN"/>
                    </w:rPr>
                    <w:t>2500拼板机切料机</w:t>
                  </w:r>
                </w:p>
              </w:tc>
              <w:tc>
                <w:tcPr>
                  <w:tcW w:w="1560" w:type="dxa"/>
                  <w:vAlign w:val="center"/>
                </w:tcPr>
                <w:p w14:paraId="5357D365">
                  <w:pPr>
                    <w:widowControl/>
                    <w:jc w:val="center"/>
                    <w:rPr>
                      <w:rFonts w:hint="default"/>
                      <w:color w:val="auto"/>
                      <w:kern w:val="0"/>
                      <w:szCs w:val="21"/>
                      <w:lang w:val="en-US" w:eastAsia="zh-CN"/>
                    </w:rPr>
                  </w:pPr>
                  <w:r>
                    <w:rPr>
                      <w:rFonts w:hint="eastAsia"/>
                      <w:color w:val="auto"/>
                      <w:kern w:val="0"/>
                      <w:szCs w:val="21"/>
                      <w:lang w:val="en-US" w:eastAsia="zh-CN"/>
                    </w:rPr>
                    <w:t>1台</w:t>
                  </w:r>
                </w:p>
              </w:tc>
              <w:tc>
                <w:tcPr>
                  <w:tcW w:w="1860" w:type="dxa"/>
                  <w:vAlign w:val="center"/>
                </w:tcPr>
                <w:p w14:paraId="33A447DC">
                  <w:pPr>
                    <w:widowControl/>
                    <w:jc w:val="center"/>
                    <w:rPr>
                      <w:rFonts w:hint="eastAsia" w:eastAsia="宋体"/>
                      <w:color w:val="auto"/>
                      <w:kern w:val="0"/>
                      <w:szCs w:val="21"/>
                      <w:lang w:val="en-US" w:eastAsia="zh-CN"/>
                    </w:rPr>
                  </w:pPr>
                  <w:r>
                    <w:rPr>
                      <w:rFonts w:hint="eastAsia"/>
                      <w:color w:val="auto"/>
                      <w:kern w:val="0"/>
                      <w:szCs w:val="21"/>
                      <w:lang w:val="en-US" w:eastAsia="zh-CN"/>
                    </w:rPr>
                    <w:t>16台</w:t>
                  </w:r>
                </w:p>
              </w:tc>
              <w:tc>
                <w:tcPr>
                  <w:tcW w:w="2029" w:type="dxa"/>
                  <w:vAlign w:val="center"/>
                </w:tcPr>
                <w:p w14:paraId="2A2503D5">
                  <w:pPr>
                    <w:widowControl/>
                    <w:jc w:val="center"/>
                    <w:rPr>
                      <w:rFonts w:hint="default" w:eastAsia="宋体"/>
                      <w:color w:val="auto"/>
                      <w:kern w:val="0"/>
                      <w:szCs w:val="21"/>
                      <w:lang w:val="en-US" w:eastAsia="zh-CN"/>
                    </w:rPr>
                  </w:pPr>
                  <w:r>
                    <w:rPr>
                      <w:rFonts w:hint="eastAsia"/>
                      <w:color w:val="auto"/>
                      <w:kern w:val="0"/>
                      <w:szCs w:val="21"/>
                      <w:lang w:val="en-US" w:eastAsia="zh-CN"/>
                    </w:rPr>
                    <w:t>不变</w:t>
                  </w:r>
                </w:p>
              </w:tc>
            </w:tr>
            <w:tr w14:paraId="753BB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736" w:type="dxa"/>
                  <w:vAlign w:val="center"/>
                </w:tcPr>
                <w:p w14:paraId="7B04ABF6">
                  <w:pPr>
                    <w:widowControl/>
                    <w:jc w:val="center"/>
                    <w:rPr>
                      <w:rFonts w:hint="eastAsia" w:eastAsia="宋体"/>
                      <w:color w:val="auto"/>
                      <w:kern w:val="0"/>
                      <w:szCs w:val="21"/>
                      <w:lang w:val="en-US" w:eastAsia="zh-CN"/>
                    </w:rPr>
                  </w:pPr>
                  <w:r>
                    <w:rPr>
                      <w:rFonts w:hint="eastAsia"/>
                      <w:color w:val="auto"/>
                      <w:kern w:val="0"/>
                      <w:szCs w:val="21"/>
                      <w:lang w:val="en-US" w:eastAsia="zh-CN"/>
                    </w:rPr>
                    <w:t>6</w:t>
                  </w:r>
                </w:p>
              </w:tc>
              <w:tc>
                <w:tcPr>
                  <w:tcW w:w="1772" w:type="dxa"/>
                  <w:vAlign w:val="center"/>
                </w:tcPr>
                <w:p w14:paraId="61DD72E1">
                  <w:pPr>
                    <w:widowControl/>
                    <w:jc w:val="center"/>
                    <w:rPr>
                      <w:rFonts w:hint="default"/>
                      <w:color w:val="auto"/>
                      <w:kern w:val="0"/>
                      <w:szCs w:val="21"/>
                      <w:lang w:val="en-US" w:eastAsia="zh-CN"/>
                    </w:rPr>
                  </w:pPr>
                  <w:r>
                    <w:rPr>
                      <w:rFonts w:hint="eastAsia"/>
                      <w:color w:val="auto"/>
                      <w:kern w:val="0"/>
                      <w:szCs w:val="21"/>
                      <w:lang w:val="en-US" w:eastAsia="zh-CN"/>
                    </w:rPr>
                    <w:t>400 吨预压机</w:t>
                  </w:r>
                </w:p>
              </w:tc>
              <w:tc>
                <w:tcPr>
                  <w:tcW w:w="1560" w:type="dxa"/>
                  <w:vAlign w:val="center"/>
                </w:tcPr>
                <w:p w14:paraId="0EB8A758">
                  <w:pPr>
                    <w:widowControl/>
                    <w:jc w:val="center"/>
                    <w:rPr>
                      <w:rFonts w:hint="default"/>
                      <w:color w:val="auto"/>
                      <w:kern w:val="0"/>
                      <w:szCs w:val="21"/>
                      <w:lang w:val="en-US" w:eastAsia="zh-CN"/>
                    </w:rPr>
                  </w:pPr>
                  <w:r>
                    <w:rPr>
                      <w:rFonts w:hint="eastAsia"/>
                      <w:color w:val="auto"/>
                      <w:kern w:val="0"/>
                      <w:szCs w:val="21"/>
                      <w:lang w:val="en-US" w:eastAsia="zh-CN"/>
                    </w:rPr>
                    <w:t>1台</w:t>
                  </w:r>
                </w:p>
              </w:tc>
              <w:tc>
                <w:tcPr>
                  <w:tcW w:w="1860" w:type="dxa"/>
                  <w:vAlign w:val="center"/>
                </w:tcPr>
                <w:p w14:paraId="727414A4">
                  <w:pPr>
                    <w:widowControl/>
                    <w:jc w:val="center"/>
                    <w:rPr>
                      <w:rFonts w:hint="eastAsia" w:eastAsia="宋体"/>
                      <w:color w:val="auto"/>
                      <w:kern w:val="0"/>
                      <w:szCs w:val="21"/>
                      <w:lang w:val="en-US" w:eastAsia="zh-CN"/>
                    </w:rPr>
                  </w:pPr>
                  <w:r>
                    <w:rPr>
                      <w:rFonts w:hint="eastAsia"/>
                      <w:color w:val="auto"/>
                      <w:kern w:val="0"/>
                      <w:szCs w:val="21"/>
                      <w:lang w:val="en-US" w:eastAsia="zh-CN"/>
                    </w:rPr>
                    <w:t>18台</w:t>
                  </w:r>
                </w:p>
              </w:tc>
              <w:tc>
                <w:tcPr>
                  <w:tcW w:w="2029" w:type="dxa"/>
                  <w:vAlign w:val="center"/>
                </w:tcPr>
                <w:p w14:paraId="3491C61D">
                  <w:pPr>
                    <w:widowControl/>
                    <w:jc w:val="center"/>
                    <w:rPr>
                      <w:rFonts w:hint="default" w:eastAsia="宋体"/>
                      <w:color w:val="auto"/>
                      <w:kern w:val="0"/>
                      <w:szCs w:val="21"/>
                      <w:lang w:val="en-US" w:eastAsia="zh-CN"/>
                    </w:rPr>
                  </w:pPr>
                  <w:r>
                    <w:rPr>
                      <w:rFonts w:hint="eastAsia"/>
                      <w:color w:val="auto"/>
                      <w:kern w:val="0"/>
                      <w:szCs w:val="21"/>
                      <w:lang w:val="en-US" w:eastAsia="zh-CN"/>
                    </w:rPr>
                    <w:t>不变</w:t>
                  </w:r>
                </w:p>
              </w:tc>
            </w:tr>
            <w:tr w14:paraId="31CAE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736" w:type="dxa"/>
                  <w:vAlign w:val="center"/>
                </w:tcPr>
                <w:p w14:paraId="3205FF27">
                  <w:pPr>
                    <w:widowControl/>
                    <w:jc w:val="center"/>
                    <w:rPr>
                      <w:rFonts w:hint="eastAsia" w:eastAsia="宋体"/>
                      <w:color w:val="auto"/>
                      <w:kern w:val="0"/>
                      <w:szCs w:val="21"/>
                      <w:lang w:val="en-US" w:eastAsia="zh-CN"/>
                    </w:rPr>
                  </w:pPr>
                  <w:r>
                    <w:rPr>
                      <w:rFonts w:hint="eastAsia"/>
                      <w:color w:val="auto"/>
                      <w:kern w:val="0"/>
                      <w:szCs w:val="21"/>
                      <w:lang w:val="en-US" w:eastAsia="zh-CN"/>
                    </w:rPr>
                    <w:t>7</w:t>
                  </w:r>
                </w:p>
              </w:tc>
              <w:tc>
                <w:tcPr>
                  <w:tcW w:w="1772" w:type="dxa"/>
                  <w:vAlign w:val="center"/>
                </w:tcPr>
                <w:p w14:paraId="113D793C">
                  <w:pPr>
                    <w:widowControl/>
                    <w:jc w:val="center"/>
                    <w:rPr>
                      <w:rFonts w:hint="default"/>
                      <w:color w:val="auto"/>
                      <w:kern w:val="0"/>
                      <w:szCs w:val="21"/>
                      <w:lang w:val="en-US" w:eastAsia="zh-CN"/>
                    </w:rPr>
                  </w:pPr>
                  <w:r>
                    <w:rPr>
                      <w:rFonts w:hint="eastAsia"/>
                      <w:color w:val="auto"/>
                      <w:kern w:val="0"/>
                      <w:szCs w:val="21"/>
                      <w:lang w:val="en-US" w:eastAsia="zh-CN"/>
                    </w:rPr>
                    <w:t>木材干燥室ZY-40</w:t>
                  </w:r>
                </w:p>
              </w:tc>
              <w:tc>
                <w:tcPr>
                  <w:tcW w:w="1560" w:type="dxa"/>
                  <w:vAlign w:val="center"/>
                </w:tcPr>
                <w:p w14:paraId="23C7548C">
                  <w:pPr>
                    <w:widowControl/>
                    <w:jc w:val="center"/>
                    <w:rPr>
                      <w:rFonts w:hint="default"/>
                      <w:color w:val="auto"/>
                      <w:kern w:val="0"/>
                      <w:szCs w:val="21"/>
                      <w:lang w:val="en-US" w:eastAsia="zh-CN"/>
                    </w:rPr>
                  </w:pPr>
                  <w:r>
                    <w:rPr>
                      <w:rFonts w:hint="eastAsia"/>
                      <w:color w:val="auto"/>
                      <w:kern w:val="0"/>
                      <w:szCs w:val="21"/>
                      <w:lang w:val="en-US" w:eastAsia="zh-CN"/>
                    </w:rPr>
                    <w:t>4台</w:t>
                  </w:r>
                </w:p>
              </w:tc>
              <w:tc>
                <w:tcPr>
                  <w:tcW w:w="1860" w:type="dxa"/>
                  <w:vAlign w:val="center"/>
                </w:tcPr>
                <w:p w14:paraId="0BE44DB6">
                  <w:pPr>
                    <w:widowControl/>
                    <w:jc w:val="center"/>
                    <w:rPr>
                      <w:rFonts w:hint="eastAsia" w:eastAsia="宋体"/>
                      <w:color w:val="auto"/>
                      <w:kern w:val="0"/>
                      <w:szCs w:val="21"/>
                      <w:lang w:val="en-US" w:eastAsia="zh-CN"/>
                    </w:rPr>
                  </w:pPr>
                  <w:r>
                    <w:rPr>
                      <w:rFonts w:hint="eastAsia"/>
                      <w:color w:val="auto"/>
                      <w:kern w:val="0"/>
                      <w:szCs w:val="21"/>
                      <w:lang w:val="en-US" w:eastAsia="zh-CN"/>
                    </w:rPr>
                    <w:t>1台</w:t>
                  </w:r>
                </w:p>
              </w:tc>
              <w:tc>
                <w:tcPr>
                  <w:tcW w:w="2029" w:type="dxa"/>
                  <w:vAlign w:val="center"/>
                </w:tcPr>
                <w:p w14:paraId="0ED9638F">
                  <w:pPr>
                    <w:widowControl/>
                    <w:jc w:val="center"/>
                    <w:rPr>
                      <w:rFonts w:hint="default" w:eastAsia="宋体"/>
                      <w:color w:val="auto"/>
                      <w:kern w:val="0"/>
                      <w:szCs w:val="21"/>
                      <w:lang w:val="en-US" w:eastAsia="zh-CN"/>
                    </w:rPr>
                  </w:pPr>
                  <w:r>
                    <w:rPr>
                      <w:rFonts w:hint="eastAsia"/>
                      <w:color w:val="auto"/>
                      <w:kern w:val="0"/>
                      <w:szCs w:val="21"/>
                      <w:lang w:val="en-US" w:eastAsia="zh-CN"/>
                    </w:rPr>
                    <w:t>不变</w:t>
                  </w:r>
                </w:p>
              </w:tc>
            </w:tr>
            <w:tr w14:paraId="4474A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736" w:type="dxa"/>
                  <w:vAlign w:val="center"/>
                </w:tcPr>
                <w:p w14:paraId="4B1A3A00">
                  <w:pPr>
                    <w:widowControl/>
                    <w:jc w:val="center"/>
                    <w:rPr>
                      <w:rFonts w:hint="eastAsia" w:eastAsia="宋体"/>
                      <w:color w:val="auto"/>
                      <w:kern w:val="0"/>
                      <w:szCs w:val="21"/>
                      <w:lang w:val="en-US" w:eastAsia="zh-CN"/>
                    </w:rPr>
                  </w:pPr>
                  <w:r>
                    <w:rPr>
                      <w:rFonts w:hint="eastAsia"/>
                      <w:color w:val="auto"/>
                      <w:kern w:val="0"/>
                      <w:szCs w:val="21"/>
                      <w:lang w:val="en-US" w:eastAsia="zh-CN"/>
                    </w:rPr>
                    <w:t>8</w:t>
                  </w:r>
                </w:p>
              </w:tc>
              <w:tc>
                <w:tcPr>
                  <w:tcW w:w="1772" w:type="dxa"/>
                  <w:vAlign w:val="center"/>
                </w:tcPr>
                <w:p w14:paraId="76CE8264">
                  <w:pPr>
                    <w:widowControl/>
                    <w:jc w:val="center"/>
                    <w:rPr>
                      <w:rFonts w:hint="default"/>
                      <w:color w:val="auto"/>
                      <w:kern w:val="0"/>
                      <w:szCs w:val="21"/>
                      <w:lang w:val="en-US" w:eastAsia="zh-CN"/>
                    </w:rPr>
                  </w:pPr>
                  <w:r>
                    <w:rPr>
                      <w:rFonts w:hint="eastAsia"/>
                      <w:color w:val="auto"/>
                      <w:kern w:val="0"/>
                      <w:szCs w:val="21"/>
                      <w:lang w:val="en-US" w:eastAsia="zh-CN"/>
                    </w:rPr>
                    <w:t>9320多片锯</w:t>
                  </w:r>
                </w:p>
              </w:tc>
              <w:tc>
                <w:tcPr>
                  <w:tcW w:w="1560" w:type="dxa"/>
                  <w:vAlign w:val="center"/>
                </w:tcPr>
                <w:p w14:paraId="227B0BE2">
                  <w:pPr>
                    <w:widowControl/>
                    <w:jc w:val="center"/>
                    <w:rPr>
                      <w:rFonts w:hint="default"/>
                      <w:color w:val="auto"/>
                      <w:kern w:val="0"/>
                      <w:szCs w:val="21"/>
                      <w:lang w:val="en-US" w:eastAsia="zh-CN"/>
                    </w:rPr>
                  </w:pPr>
                  <w:r>
                    <w:rPr>
                      <w:rFonts w:hint="eastAsia"/>
                      <w:color w:val="auto"/>
                      <w:kern w:val="0"/>
                      <w:szCs w:val="21"/>
                      <w:lang w:val="en-US" w:eastAsia="zh-CN"/>
                    </w:rPr>
                    <w:t>1台</w:t>
                  </w:r>
                </w:p>
              </w:tc>
              <w:tc>
                <w:tcPr>
                  <w:tcW w:w="1860" w:type="dxa"/>
                  <w:vAlign w:val="center"/>
                </w:tcPr>
                <w:p w14:paraId="4B3A897D">
                  <w:pPr>
                    <w:widowControl/>
                    <w:jc w:val="center"/>
                    <w:rPr>
                      <w:rFonts w:hint="eastAsia" w:eastAsia="宋体"/>
                      <w:color w:val="auto"/>
                      <w:kern w:val="0"/>
                      <w:szCs w:val="21"/>
                      <w:lang w:val="en-US" w:eastAsia="zh-CN"/>
                    </w:rPr>
                  </w:pPr>
                  <w:r>
                    <w:rPr>
                      <w:rFonts w:hint="eastAsia"/>
                      <w:color w:val="auto"/>
                      <w:kern w:val="0"/>
                      <w:szCs w:val="21"/>
                      <w:lang w:val="en-US" w:eastAsia="zh-CN"/>
                    </w:rPr>
                    <w:t>2台</w:t>
                  </w:r>
                </w:p>
              </w:tc>
              <w:tc>
                <w:tcPr>
                  <w:tcW w:w="2029" w:type="dxa"/>
                  <w:vAlign w:val="center"/>
                </w:tcPr>
                <w:p w14:paraId="45FD576F">
                  <w:pPr>
                    <w:widowControl/>
                    <w:jc w:val="center"/>
                    <w:rPr>
                      <w:rFonts w:hint="default" w:eastAsia="宋体"/>
                      <w:color w:val="auto"/>
                      <w:kern w:val="0"/>
                      <w:szCs w:val="21"/>
                      <w:lang w:val="en-US" w:eastAsia="zh-CN"/>
                    </w:rPr>
                  </w:pPr>
                  <w:r>
                    <w:rPr>
                      <w:rFonts w:hint="eastAsia"/>
                      <w:color w:val="auto"/>
                      <w:kern w:val="0"/>
                      <w:szCs w:val="21"/>
                      <w:lang w:val="en-US" w:eastAsia="zh-CN"/>
                    </w:rPr>
                    <w:t>不变</w:t>
                  </w:r>
                </w:p>
              </w:tc>
            </w:tr>
            <w:tr w14:paraId="23C86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736" w:type="dxa"/>
                  <w:vAlign w:val="center"/>
                </w:tcPr>
                <w:p w14:paraId="481C68C6">
                  <w:pPr>
                    <w:widowControl/>
                    <w:jc w:val="center"/>
                    <w:rPr>
                      <w:rFonts w:hint="eastAsia" w:eastAsia="宋体"/>
                      <w:color w:val="auto"/>
                      <w:kern w:val="0"/>
                      <w:szCs w:val="21"/>
                      <w:lang w:val="en-US" w:eastAsia="zh-CN"/>
                    </w:rPr>
                  </w:pPr>
                  <w:r>
                    <w:rPr>
                      <w:rFonts w:hint="eastAsia"/>
                      <w:color w:val="auto"/>
                      <w:kern w:val="0"/>
                      <w:szCs w:val="21"/>
                      <w:lang w:val="en-US" w:eastAsia="zh-CN"/>
                    </w:rPr>
                    <w:t>9</w:t>
                  </w:r>
                </w:p>
              </w:tc>
              <w:tc>
                <w:tcPr>
                  <w:tcW w:w="1772" w:type="dxa"/>
                  <w:vAlign w:val="center"/>
                </w:tcPr>
                <w:p w14:paraId="7F012842">
                  <w:pPr>
                    <w:widowControl/>
                    <w:jc w:val="center"/>
                    <w:rPr>
                      <w:rFonts w:hint="default"/>
                      <w:color w:val="auto"/>
                      <w:kern w:val="0"/>
                      <w:szCs w:val="21"/>
                      <w:lang w:val="en-US" w:eastAsia="zh-CN"/>
                    </w:rPr>
                  </w:pPr>
                  <w:r>
                    <w:rPr>
                      <w:rFonts w:hint="eastAsia"/>
                      <w:color w:val="auto"/>
                      <w:kern w:val="0"/>
                      <w:szCs w:val="21"/>
                      <w:lang w:val="en-US" w:eastAsia="zh-CN"/>
                    </w:rPr>
                    <w:t>砂光机</w:t>
                  </w:r>
                </w:p>
              </w:tc>
              <w:tc>
                <w:tcPr>
                  <w:tcW w:w="1560" w:type="dxa"/>
                  <w:vAlign w:val="center"/>
                </w:tcPr>
                <w:p w14:paraId="675378B6">
                  <w:pPr>
                    <w:widowControl/>
                    <w:jc w:val="center"/>
                    <w:rPr>
                      <w:rFonts w:hint="default"/>
                      <w:color w:val="auto"/>
                      <w:kern w:val="0"/>
                      <w:szCs w:val="21"/>
                      <w:lang w:val="en-US" w:eastAsia="zh-CN"/>
                    </w:rPr>
                  </w:pPr>
                  <w:r>
                    <w:rPr>
                      <w:rFonts w:hint="eastAsia"/>
                      <w:color w:val="auto"/>
                      <w:kern w:val="0"/>
                      <w:szCs w:val="21"/>
                      <w:lang w:val="en-US" w:eastAsia="zh-CN"/>
                    </w:rPr>
                    <w:t>2台</w:t>
                  </w:r>
                </w:p>
              </w:tc>
              <w:tc>
                <w:tcPr>
                  <w:tcW w:w="1860" w:type="dxa"/>
                  <w:vAlign w:val="center"/>
                </w:tcPr>
                <w:p w14:paraId="2C2C876E">
                  <w:pPr>
                    <w:widowControl/>
                    <w:jc w:val="center"/>
                    <w:rPr>
                      <w:rFonts w:hint="eastAsia" w:eastAsia="宋体"/>
                      <w:color w:val="auto"/>
                      <w:kern w:val="0"/>
                      <w:szCs w:val="21"/>
                      <w:lang w:val="en-US" w:eastAsia="zh-CN"/>
                    </w:rPr>
                  </w:pPr>
                  <w:r>
                    <w:rPr>
                      <w:rFonts w:hint="eastAsia"/>
                      <w:color w:val="auto"/>
                      <w:kern w:val="0"/>
                      <w:szCs w:val="21"/>
                      <w:lang w:val="en-US" w:eastAsia="zh-CN"/>
                    </w:rPr>
                    <w:t>12台</w:t>
                  </w:r>
                </w:p>
              </w:tc>
              <w:tc>
                <w:tcPr>
                  <w:tcW w:w="2029" w:type="dxa"/>
                  <w:vAlign w:val="center"/>
                </w:tcPr>
                <w:p w14:paraId="79BABE96">
                  <w:pPr>
                    <w:widowControl/>
                    <w:jc w:val="center"/>
                    <w:rPr>
                      <w:rFonts w:hint="default" w:eastAsia="宋体"/>
                      <w:color w:val="auto"/>
                      <w:kern w:val="0"/>
                      <w:szCs w:val="21"/>
                      <w:lang w:val="en-US" w:eastAsia="zh-CN"/>
                    </w:rPr>
                  </w:pPr>
                  <w:r>
                    <w:rPr>
                      <w:rFonts w:hint="eastAsia"/>
                      <w:color w:val="auto"/>
                      <w:kern w:val="0"/>
                      <w:szCs w:val="21"/>
                      <w:lang w:val="en-US" w:eastAsia="zh-CN"/>
                    </w:rPr>
                    <w:t>不变</w:t>
                  </w:r>
                </w:p>
              </w:tc>
            </w:tr>
            <w:tr w14:paraId="15B5B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736" w:type="dxa"/>
                  <w:vAlign w:val="center"/>
                </w:tcPr>
                <w:p w14:paraId="4B97EDC8">
                  <w:pPr>
                    <w:widowControl/>
                    <w:jc w:val="center"/>
                    <w:rPr>
                      <w:rFonts w:hint="default" w:eastAsia="宋体"/>
                      <w:color w:val="auto"/>
                      <w:kern w:val="0"/>
                      <w:szCs w:val="21"/>
                      <w:lang w:val="en-US" w:eastAsia="zh-CN"/>
                    </w:rPr>
                  </w:pPr>
                  <w:r>
                    <w:rPr>
                      <w:rFonts w:hint="eastAsia"/>
                      <w:color w:val="auto"/>
                      <w:kern w:val="0"/>
                      <w:szCs w:val="21"/>
                      <w:lang w:val="en-US" w:eastAsia="zh-CN"/>
                    </w:rPr>
                    <w:t>10</w:t>
                  </w:r>
                </w:p>
              </w:tc>
              <w:tc>
                <w:tcPr>
                  <w:tcW w:w="1772" w:type="dxa"/>
                  <w:vAlign w:val="center"/>
                </w:tcPr>
                <w:p w14:paraId="597B415A">
                  <w:pPr>
                    <w:widowControl/>
                    <w:jc w:val="center"/>
                    <w:rPr>
                      <w:rFonts w:hint="default"/>
                      <w:color w:val="auto"/>
                      <w:kern w:val="0"/>
                      <w:szCs w:val="21"/>
                      <w:lang w:val="en-US" w:eastAsia="zh-CN"/>
                    </w:rPr>
                  </w:pPr>
                  <w:r>
                    <w:rPr>
                      <w:rFonts w:hint="eastAsia"/>
                      <w:color w:val="auto"/>
                      <w:kern w:val="0"/>
                      <w:szCs w:val="21"/>
                      <w:lang w:val="en-US" w:eastAsia="zh-CN"/>
                    </w:rPr>
                    <w:t>抛光机</w:t>
                  </w:r>
                </w:p>
              </w:tc>
              <w:tc>
                <w:tcPr>
                  <w:tcW w:w="1560" w:type="dxa"/>
                  <w:vAlign w:val="center"/>
                </w:tcPr>
                <w:p w14:paraId="4EC19FCC">
                  <w:pPr>
                    <w:widowControl/>
                    <w:jc w:val="center"/>
                    <w:rPr>
                      <w:rFonts w:hint="default"/>
                      <w:color w:val="auto"/>
                      <w:kern w:val="0"/>
                      <w:szCs w:val="21"/>
                      <w:lang w:val="en-US" w:eastAsia="zh-CN"/>
                    </w:rPr>
                  </w:pPr>
                  <w:r>
                    <w:rPr>
                      <w:rFonts w:hint="eastAsia"/>
                      <w:color w:val="auto"/>
                      <w:kern w:val="0"/>
                      <w:szCs w:val="21"/>
                      <w:lang w:val="en-US" w:eastAsia="zh-CN"/>
                    </w:rPr>
                    <w:t>1台</w:t>
                  </w:r>
                </w:p>
              </w:tc>
              <w:tc>
                <w:tcPr>
                  <w:tcW w:w="1860" w:type="dxa"/>
                  <w:vAlign w:val="center"/>
                </w:tcPr>
                <w:p w14:paraId="42CFD8C4">
                  <w:pPr>
                    <w:widowControl/>
                    <w:jc w:val="center"/>
                    <w:rPr>
                      <w:rFonts w:hint="eastAsia" w:eastAsia="宋体"/>
                      <w:color w:val="auto"/>
                      <w:kern w:val="0"/>
                      <w:szCs w:val="21"/>
                      <w:lang w:val="en-US" w:eastAsia="zh-CN"/>
                    </w:rPr>
                  </w:pPr>
                  <w:r>
                    <w:rPr>
                      <w:rFonts w:hint="eastAsia"/>
                      <w:color w:val="auto"/>
                      <w:kern w:val="0"/>
                      <w:szCs w:val="21"/>
                      <w:lang w:val="en-US" w:eastAsia="zh-CN"/>
                    </w:rPr>
                    <w:t>2台</w:t>
                  </w:r>
                </w:p>
              </w:tc>
              <w:tc>
                <w:tcPr>
                  <w:tcW w:w="2029" w:type="dxa"/>
                  <w:vAlign w:val="center"/>
                </w:tcPr>
                <w:p w14:paraId="636D2EE1">
                  <w:pPr>
                    <w:widowControl/>
                    <w:jc w:val="center"/>
                    <w:rPr>
                      <w:rFonts w:hint="default" w:eastAsia="宋体"/>
                      <w:color w:val="auto"/>
                      <w:kern w:val="0"/>
                      <w:szCs w:val="21"/>
                      <w:lang w:val="en-US" w:eastAsia="zh-CN"/>
                    </w:rPr>
                  </w:pPr>
                  <w:r>
                    <w:rPr>
                      <w:rFonts w:hint="eastAsia"/>
                      <w:color w:val="auto"/>
                      <w:kern w:val="0"/>
                      <w:szCs w:val="21"/>
                      <w:lang w:val="en-US" w:eastAsia="zh-CN"/>
                    </w:rPr>
                    <w:t>不变</w:t>
                  </w:r>
                </w:p>
              </w:tc>
            </w:tr>
            <w:tr w14:paraId="17CCB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736" w:type="dxa"/>
                  <w:vAlign w:val="center"/>
                </w:tcPr>
                <w:p w14:paraId="1D13C555">
                  <w:pPr>
                    <w:widowControl/>
                    <w:jc w:val="center"/>
                    <w:rPr>
                      <w:rFonts w:hint="default" w:eastAsia="宋体"/>
                      <w:color w:val="auto"/>
                      <w:kern w:val="0"/>
                      <w:szCs w:val="21"/>
                      <w:lang w:val="en-US" w:eastAsia="zh-CN"/>
                    </w:rPr>
                  </w:pPr>
                  <w:r>
                    <w:rPr>
                      <w:rFonts w:hint="eastAsia"/>
                      <w:color w:val="auto"/>
                      <w:kern w:val="0"/>
                      <w:szCs w:val="21"/>
                      <w:lang w:val="en-US" w:eastAsia="zh-CN"/>
                    </w:rPr>
                    <w:t>12</w:t>
                  </w:r>
                </w:p>
              </w:tc>
              <w:tc>
                <w:tcPr>
                  <w:tcW w:w="1772" w:type="dxa"/>
                  <w:vAlign w:val="center"/>
                </w:tcPr>
                <w:p w14:paraId="12A432B5">
                  <w:pPr>
                    <w:widowControl/>
                    <w:jc w:val="center"/>
                    <w:rPr>
                      <w:rFonts w:hint="default"/>
                      <w:color w:val="auto"/>
                      <w:kern w:val="0"/>
                      <w:szCs w:val="21"/>
                      <w:lang w:val="en-US" w:eastAsia="zh-CN"/>
                    </w:rPr>
                  </w:pPr>
                  <w:r>
                    <w:rPr>
                      <w:rFonts w:hint="eastAsia"/>
                      <w:color w:val="auto"/>
                      <w:kern w:val="0"/>
                      <w:szCs w:val="21"/>
                      <w:lang w:val="en-US" w:eastAsia="zh-CN"/>
                    </w:rPr>
                    <w:t>生物质导热油锅炉</w:t>
                  </w:r>
                </w:p>
              </w:tc>
              <w:tc>
                <w:tcPr>
                  <w:tcW w:w="1560" w:type="dxa"/>
                  <w:vAlign w:val="center"/>
                </w:tcPr>
                <w:p w14:paraId="544C8E92">
                  <w:pPr>
                    <w:widowControl/>
                    <w:jc w:val="center"/>
                    <w:rPr>
                      <w:rFonts w:hint="default"/>
                      <w:color w:val="auto"/>
                      <w:kern w:val="0"/>
                      <w:szCs w:val="21"/>
                      <w:lang w:val="en-US" w:eastAsia="zh-CN"/>
                    </w:rPr>
                  </w:pPr>
                  <w:r>
                    <w:rPr>
                      <w:rFonts w:hint="eastAsia"/>
                      <w:color w:val="auto"/>
                      <w:kern w:val="0"/>
                      <w:szCs w:val="21"/>
                      <w:lang w:val="en-US" w:eastAsia="zh-CN"/>
                    </w:rPr>
                    <w:t>1台（2t/h）</w:t>
                  </w:r>
                </w:p>
              </w:tc>
              <w:tc>
                <w:tcPr>
                  <w:tcW w:w="1860" w:type="dxa"/>
                  <w:vAlign w:val="center"/>
                </w:tcPr>
                <w:p w14:paraId="02A75B23">
                  <w:pPr>
                    <w:widowControl/>
                    <w:jc w:val="center"/>
                    <w:rPr>
                      <w:rFonts w:hint="eastAsia" w:eastAsia="宋体"/>
                      <w:color w:val="auto"/>
                      <w:kern w:val="0"/>
                      <w:szCs w:val="21"/>
                      <w:lang w:val="en-US" w:eastAsia="zh-CN"/>
                    </w:rPr>
                  </w:pPr>
                  <w:r>
                    <w:rPr>
                      <w:rFonts w:hint="eastAsia"/>
                      <w:color w:val="auto"/>
                      <w:kern w:val="0"/>
                      <w:szCs w:val="21"/>
                      <w:lang w:val="en-US" w:eastAsia="zh-CN"/>
                    </w:rPr>
                    <w:t>1台（3t/h）</w:t>
                  </w:r>
                </w:p>
              </w:tc>
              <w:tc>
                <w:tcPr>
                  <w:tcW w:w="2029" w:type="dxa"/>
                  <w:vAlign w:val="center"/>
                </w:tcPr>
                <w:p w14:paraId="486FB0E5">
                  <w:pPr>
                    <w:widowControl/>
                    <w:jc w:val="center"/>
                    <w:rPr>
                      <w:rFonts w:hint="default" w:eastAsia="宋体"/>
                      <w:color w:val="auto"/>
                      <w:kern w:val="0"/>
                      <w:szCs w:val="21"/>
                      <w:lang w:val="en-US" w:eastAsia="zh-CN"/>
                    </w:rPr>
                  </w:pPr>
                  <w:r>
                    <w:rPr>
                      <w:rFonts w:hint="eastAsia"/>
                      <w:color w:val="auto"/>
                      <w:kern w:val="0"/>
                      <w:szCs w:val="21"/>
                      <w:lang w:val="en-US" w:eastAsia="zh-CN"/>
                    </w:rPr>
                    <w:t>由2t/h变更为3t/h</w:t>
                  </w:r>
                </w:p>
              </w:tc>
            </w:tr>
          </w:tbl>
          <w:p w14:paraId="2CD07909">
            <w:pPr>
              <w:adjustRightInd w:val="0"/>
              <w:snapToGrid w:val="0"/>
              <w:spacing w:before="120" w:beforeLines="50" w:line="360" w:lineRule="auto"/>
              <w:ind w:firstLine="422" w:firstLineChars="200"/>
              <w:rPr>
                <w:b/>
                <w:bCs/>
                <w:color w:val="auto"/>
                <w:szCs w:val="21"/>
              </w:rPr>
            </w:pPr>
            <w:r>
              <w:rPr>
                <w:b/>
                <w:bCs/>
                <w:color w:val="auto"/>
                <w:szCs w:val="21"/>
              </w:rPr>
              <w:t>5、人员及生产制度</w:t>
            </w:r>
          </w:p>
          <w:p w14:paraId="632BEED7">
            <w:pPr>
              <w:pStyle w:val="82"/>
              <w:adjustRightInd w:val="0"/>
              <w:snapToGrid w:val="0"/>
              <w:spacing w:before="0" w:beforeLines="0"/>
              <w:ind w:firstLine="420"/>
              <w:rPr>
                <w:rFonts w:hint="default" w:eastAsia="宋体" w:cs="Times New Roman"/>
                <w:color w:val="auto"/>
                <w:szCs w:val="21"/>
                <w:lang w:val="en-US" w:eastAsia="zh-CN"/>
              </w:rPr>
            </w:pPr>
            <w:r>
              <w:rPr>
                <w:rFonts w:hint="eastAsia" w:cs="Times New Roman"/>
                <w:color w:val="auto"/>
                <w:szCs w:val="21"/>
                <w:lang w:val="en-US" w:eastAsia="zh-CN"/>
              </w:rPr>
              <w:t>现有项目劳动定员68人，在厂内食宿，每天8小时，年工作300天</w:t>
            </w:r>
            <w:r>
              <w:rPr>
                <w:rFonts w:cs="Times New Roman"/>
                <w:color w:val="auto"/>
                <w:szCs w:val="21"/>
              </w:rPr>
              <w:t>。</w:t>
            </w:r>
            <w:r>
              <w:rPr>
                <w:rFonts w:hint="eastAsia" w:cs="Times New Roman"/>
                <w:color w:val="auto"/>
                <w:szCs w:val="21"/>
                <w:lang w:val="en-US" w:eastAsia="zh-CN"/>
              </w:rPr>
              <w:t>技改项目不改劳动定员及生产制度，由于锅炉额定功率增加，锅炉日运行时间为现有项目的2/3，约5.33小时。</w:t>
            </w:r>
          </w:p>
          <w:p w14:paraId="3A92F648">
            <w:pPr>
              <w:pStyle w:val="82"/>
              <w:adjustRightInd w:val="0"/>
              <w:snapToGrid w:val="0"/>
              <w:spacing w:before="0" w:beforeLines="0"/>
              <w:ind w:firstLine="422"/>
              <w:rPr>
                <w:rFonts w:cs="Times New Roman"/>
                <w:b/>
                <w:bCs/>
                <w:color w:val="auto"/>
                <w:szCs w:val="21"/>
              </w:rPr>
            </w:pPr>
            <w:r>
              <w:rPr>
                <w:rFonts w:cs="Times New Roman"/>
                <w:b/>
                <w:bCs/>
                <w:color w:val="auto"/>
                <w:szCs w:val="21"/>
              </w:rPr>
              <w:t>6、给排水情况</w:t>
            </w:r>
          </w:p>
          <w:p w14:paraId="7EE8E130">
            <w:pPr>
              <w:pStyle w:val="97"/>
              <w:adjustRightInd w:val="0"/>
              <w:snapToGrid w:val="0"/>
              <w:ind w:firstLine="420"/>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本技改项目仅对锅炉进行改造，</w:t>
            </w:r>
            <w:r>
              <w:rPr>
                <w:rFonts w:hint="eastAsia" w:cs="Times New Roman"/>
                <w:color w:val="auto"/>
                <w:kern w:val="2"/>
                <w:sz w:val="21"/>
                <w:szCs w:val="21"/>
                <w:lang w:val="en-US" w:eastAsia="zh-CN" w:bidi="ar-SA"/>
              </w:rPr>
              <w:t>企业</w:t>
            </w:r>
            <w:r>
              <w:rPr>
                <w:rFonts w:hint="eastAsia" w:ascii="Times New Roman" w:hAnsi="Times New Roman" w:eastAsia="宋体" w:cs="Times New Roman"/>
                <w:color w:val="auto"/>
                <w:kern w:val="2"/>
                <w:sz w:val="21"/>
                <w:szCs w:val="21"/>
                <w:lang w:val="en-US" w:eastAsia="zh-CN" w:bidi="ar-SA"/>
              </w:rPr>
              <w:t>主体生产工艺、生产设备、生产规模、员工人数和劳动制度等均不发生变化，项目的给排水情况也不发生改变，</w:t>
            </w:r>
            <w:r>
              <w:rPr>
                <w:rFonts w:hint="eastAsia" w:cs="Times New Roman"/>
                <w:color w:val="auto"/>
                <w:kern w:val="2"/>
                <w:sz w:val="21"/>
                <w:szCs w:val="21"/>
                <w:lang w:val="en-US" w:eastAsia="zh-CN" w:bidi="ar-SA"/>
              </w:rPr>
              <w:t>用水</w:t>
            </w:r>
            <w:r>
              <w:rPr>
                <w:rFonts w:hint="eastAsia" w:ascii="Times New Roman" w:hAnsi="Times New Roman" w:eastAsia="宋体" w:cs="Times New Roman"/>
                <w:color w:val="auto"/>
                <w:kern w:val="2"/>
                <w:sz w:val="21"/>
                <w:szCs w:val="21"/>
                <w:lang w:val="en-US" w:eastAsia="zh-CN" w:bidi="ar-SA"/>
              </w:rPr>
              <w:t>由市政自来水管网接入。项目水膜除尘</w:t>
            </w:r>
            <w:r>
              <w:rPr>
                <w:rFonts w:hint="eastAsia" w:cs="Times New Roman"/>
                <w:color w:val="auto"/>
                <w:kern w:val="2"/>
                <w:sz w:val="21"/>
                <w:szCs w:val="21"/>
                <w:lang w:val="en-US" w:eastAsia="zh-CN" w:bidi="ar-SA"/>
              </w:rPr>
              <w:t>废水</w:t>
            </w:r>
            <w:r>
              <w:rPr>
                <w:rFonts w:hint="eastAsia" w:ascii="Times New Roman" w:hAnsi="Times New Roman" w:eastAsia="宋体" w:cs="Times New Roman"/>
                <w:color w:val="auto"/>
                <w:kern w:val="2"/>
                <w:sz w:val="21"/>
                <w:szCs w:val="21"/>
                <w:lang w:val="en-US" w:eastAsia="zh-CN" w:bidi="ar-SA"/>
              </w:rPr>
              <w:t>经沉淀后循环使用，不外排。</w:t>
            </w:r>
          </w:p>
          <w:p w14:paraId="2BDAE7E2">
            <w:pPr>
              <w:adjustRightInd w:val="0"/>
              <w:snapToGrid w:val="0"/>
              <w:spacing w:line="360" w:lineRule="auto"/>
              <w:ind w:firstLine="422" w:firstLineChars="200"/>
              <w:rPr>
                <w:b/>
                <w:bCs/>
                <w:color w:val="auto"/>
                <w:szCs w:val="21"/>
              </w:rPr>
            </w:pPr>
            <w:r>
              <w:rPr>
                <w:rFonts w:hint="eastAsia"/>
                <w:b/>
                <w:bCs/>
                <w:color w:val="auto"/>
                <w:szCs w:val="21"/>
              </w:rPr>
              <w:t>7</w:t>
            </w:r>
            <w:r>
              <w:rPr>
                <w:b/>
                <w:bCs/>
                <w:color w:val="auto"/>
                <w:szCs w:val="21"/>
              </w:rPr>
              <w:t>、平面</w:t>
            </w:r>
            <w:r>
              <w:rPr>
                <w:rFonts w:hint="eastAsia"/>
                <w:b/>
                <w:bCs/>
                <w:color w:val="auto"/>
                <w:szCs w:val="21"/>
              </w:rPr>
              <w:t>布置</w:t>
            </w:r>
          </w:p>
          <w:p w14:paraId="2BE44E1F">
            <w:pPr>
              <w:adjustRightInd w:val="0"/>
              <w:snapToGrid w:val="0"/>
              <w:spacing w:line="360" w:lineRule="auto"/>
              <w:ind w:firstLine="420" w:firstLineChars="200"/>
              <w:rPr>
                <w:rFonts w:hint="eastAsia"/>
                <w:color w:val="auto"/>
                <w:szCs w:val="21"/>
              </w:rPr>
            </w:pPr>
            <w:r>
              <w:rPr>
                <w:rFonts w:hint="eastAsia"/>
                <w:color w:val="auto"/>
                <w:szCs w:val="21"/>
              </w:rPr>
              <w:t>本项目</w:t>
            </w:r>
            <w:r>
              <w:rPr>
                <w:rFonts w:hint="eastAsia"/>
                <w:color w:val="auto"/>
                <w:szCs w:val="21"/>
                <w:lang w:val="en-US" w:eastAsia="zh-CN"/>
              </w:rPr>
              <w:t>厂区主要有</w:t>
            </w:r>
            <w:r>
              <w:rPr>
                <w:rFonts w:hint="eastAsia" w:cs="Times New Roman"/>
                <w:color w:val="auto"/>
                <w:szCs w:val="21"/>
                <w:lang w:val="en-US" w:eastAsia="zh-CN"/>
              </w:rPr>
              <w:t>大芯板生产车间、复合指接板生产车间、锅炉房以及办公楼、宿舍楼等，</w:t>
            </w:r>
            <w:r>
              <w:rPr>
                <w:rFonts w:hint="eastAsia"/>
                <w:color w:val="auto"/>
                <w:szCs w:val="21"/>
                <w:lang w:val="en-US" w:eastAsia="zh-CN"/>
              </w:rPr>
              <w:t>布局有明显的功能分区，整体布局紧凑，物品进出及内部流动顺畅，项目厂区平面布置总体合理。本项目在锅炉房内进行技改，不改变项目原有布局，</w:t>
            </w:r>
            <w:r>
              <w:rPr>
                <w:rFonts w:hint="eastAsia"/>
                <w:color w:val="auto"/>
                <w:szCs w:val="21"/>
              </w:rPr>
              <w:t>项目总平面布置见附图</w:t>
            </w:r>
            <w:r>
              <w:rPr>
                <w:rFonts w:hint="eastAsia"/>
                <w:color w:val="auto"/>
                <w:szCs w:val="21"/>
                <w:lang w:val="en-US" w:eastAsia="zh-CN"/>
              </w:rPr>
              <w:t>4</w:t>
            </w:r>
            <w:r>
              <w:rPr>
                <w:rFonts w:hint="eastAsia"/>
                <w:color w:val="auto"/>
                <w:szCs w:val="21"/>
              </w:rPr>
              <w:t>。</w:t>
            </w:r>
          </w:p>
          <w:p w14:paraId="196BD828">
            <w:pPr>
              <w:adjustRightInd w:val="0"/>
              <w:snapToGrid w:val="0"/>
              <w:spacing w:line="360" w:lineRule="auto"/>
              <w:rPr>
                <w:rFonts w:hint="eastAsia"/>
                <w:color w:val="auto"/>
                <w:szCs w:val="21"/>
              </w:rPr>
            </w:pPr>
          </w:p>
          <w:p w14:paraId="0C4CB09D">
            <w:pPr>
              <w:adjustRightInd w:val="0"/>
              <w:snapToGrid w:val="0"/>
              <w:spacing w:line="360" w:lineRule="auto"/>
              <w:rPr>
                <w:rFonts w:hint="eastAsia"/>
                <w:color w:val="auto"/>
                <w:szCs w:val="21"/>
              </w:rPr>
            </w:pPr>
          </w:p>
          <w:p w14:paraId="1275C6FC">
            <w:pPr>
              <w:adjustRightInd w:val="0"/>
              <w:snapToGrid w:val="0"/>
              <w:spacing w:line="360" w:lineRule="auto"/>
              <w:rPr>
                <w:rFonts w:hint="eastAsia"/>
                <w:color w:val="auto"/>
                <w:szCs w:val="21"/>
              </w:rPr>
            </w:pPr>
          </w:p>
          <w:p w14:paraId="1EEECB0F">
            <w:pPr>
              <w:adjustRightInd w:val="0"/>
              <w:snapToGrid w:val="0"/>
              <w:spacing w:line="360" w:lineRule="auto"/>
              <w:rPr>
                <w:rFonts w:hint="eastAsia"/>
                <w:color w:val="auto"/>
                <w:szCs w:val="21"/>
              </w:rPr>
            </w:pPr>
          </w:p>
          <w:p w14:paraId="40C32F41">
            <w:pPr>
              <w:adjustRightInd w:val="0"/>
              <w:snapToGrid w:val="0"/>
              <w:spacing w:line="360" w:lineRule="auto"/>
              <w:rPr>
                <w:rFonts w:hint="eastAsia"/>
                <w:color w:val="auto"/>
                <w:szCs w:val="21"/>
              </w:rPr>
            </w:pPr>
          </w:p>
          <w:p w14:paraId="6AB57954">
            <w:pPr>
              <w:adjustRightInd w:val="0"/>
              <w:snapToGrid w:val="0"/>
              <w:spacing w:line="360" w:lineRule="auto"/>
              <w:rPr>
                <w:rFonts w:hint="eastAsia"/>
                <w:color w:val="auto"/>
                <w:szCs w:val="21"/>
              </w:rPr>
            </w:pPr>
          </w:p>
          <w:p w14:paraId="73B33877">
            <w:pPr>
              <w:adjustRightInd w:val="0"/>
              <w:snapToGrid w:val="0"/>
              <w:spacing w:line="360" w:lineRule="auto"/>
              <w:rPr>
                <w:rFonts w:hint="eastAsia"/>
                <w:color w:val="auto"/>
                <w:szCs w:val="21"/>
              </w:rPr>
            </w:pPr>
          </w:p>
          <w:p w14:paraId="75ADE256">
            <w:pPr>
              <w:adjustRightInd w:val="0"/>
              <w:snapToGrid w:val="0"/>
              <w:spacing w:line="360" w:lineRule="auto"/>
              <w:rPr>
                <w:rFonts w:hint="eastAsia"/>
                <w:color w:val="auto"/>
                <w:szCs w:val="21"/>
              </w:rPr>
            </w:pPr>
          </w:p>
          <w:p w14:paraId="2BE98B79">
            <w:pPr>
              <w:adjustRightInd w:val="0"/>
              <w:snapToGrid w:val="0"/>
              <w:spacing w:line="360" w:lineRule="auto"/>
              <w:rPr>
                <w:rFonts w:hint="eastAsia"/>
                <w:color w:val="auto"/>
                <w:szCs w:val="21"/>
              </w:rPr>
            </w:pPr>
          </w:p>
          <w:p w14:paraId="01212539">
            <w:pPr>
              <w:adjustRightInd w:val="0"/>
              <w:snapToGrid w:val="0"/>
              <w:spacing w:line="360" w:lineRule="auto"/>
              <w:rPr>
                <w:rFonts w:hint="eastAsia"/>
                <w:color w:val="auto"/>
                <w:szCs w:val="21"/>
              </w:rPr>
            </w:pPr>
          </w:p>
          <w:p w14:paraId="61F7B27F">
            <w:pPr>
              <w:adjustRightInd w:val="0"/>
              <w:snapToGrid w:val="0"/>
              <w:spacing w:line="360" w:lineRule="auto"/>
              <w:rPr>
                <w:rFonts w:hint="eastAsia"/>
                <w:color w:val="auto"/>
                <w:szCs w:val="21"/>
              </w:rPr>
            </w:pPr>
          </w:p>
          <w:p w14:paraId="2E4C5DDB">
            <w:pPr>
              <w:adjustRightInd w:val="0"/>
              <w:snapToGrid w:val="0"/>
              <w:spacing w:line="360" w:lineRule="auto"/>
              <w:rPr>
                <w:rFonts w:hint="eastAsia"/>
                <w:color w:val="auto"/>
                <w:szCs w:val="21"/>
              </w:rPr>
            </w:pPr>
          </w:p>
          <w:p w14:paraId="1F607EF5">
            <w:pPr>
              <w:adjustRightInd w:val="0"/>
              <w:snapToGrid w:val="0"/>
              <w:spacing w:line="360" w:lineRule="auto"/>
              <w:rPr>
                <w:rFonts w:hint="eastAsia"/>
                <w:color w:val="auto"/>
                <w:szCs w:val="21"/>
              </w:rPr>
            </w:pPr>
          </w:p>
          <w:p w14:paraId="45215F48">
            <w:pPr>
              <w:adjustRightInd w:val="0"/>
              <w:snapToGrid w:val="0"/>
              <w:spacing w:line="360" w:lineRule="auto"/>
              <w:rPr>
                <w:rFonts w:hint="eastAsia"/>
                <w:color w:val="auto"/>
                <w:szCs w:val="21"/>
              </w:rPr>
            </w:pPr>
          </w:p>
          <w:p w14:paraId="5BE40123">
            <w:pPr>
              <w:adjustRightInd w:val="0"/>
              <w:snapToGrid w:val="0"/>
              <w:spacing w:line="360" w:lineRule="auto"/>
              <w:rPr>
                <w:rFonts w:hint="eastAsia"/>
                <w:color w:val="auto"/>
                <w:szCs w:val="21"/>
              </w:rPr>
            </w:pPr>
          </w:p>
          <w:p w14:paraId="5B95A1DD">
            <w:pPr>
              <w:adjustRightInd w:val="0"/>
              <w:snapToGrid w:val="0"/>
              <w:spacing w:line="360" w:lineRule="auto"/>
              <w:rPr>
                <w:rFonts w:hint="eastAsia"/>
                <w:color w:val="auto"/>
                <w:szCs w:val="21"/>
              </w:rPr>
            </w:pPr>
          </w:p>
          <w:p w14:paraId="753D989B">
            <w:pPr>
              <w:adjustRightInd w:val="0"/>
              <w:snapToGrid w:val="0"/>
              <w:spacing w:line="360" w:lineRule="auto"/>
              <w:rPr>
                <w:rFonts w:hint="eastAsia"/>
                <w:color w:val="auto"/>
                <w:szCs w:val="21"/>
              </w:rPr>
            </w:pPr>
          </w:p>
          <w:p w14:paraId="1719B0D3">
            <w:pPr>
              <w:adjustRightInd w:val="0"/>
              <w:snapToGrid w:val="0"/>
              <w:spacing w:line="360" w:lineRule="auto"/>
              <w:rPr>
                <w:rFonts w:hint="eastAsia"/>
                <w:color w:val="auto"/>
                <w:szCs w:val="21"/>
              </w:rPr>
            </w:pPr>
          </w:p>
          <w:p w14:paraId="4D76D0A4">
            <w:pPr>
              <w:adjustRightInd w:val="0"/>
              <w:snapToGrid w:val="0"/>
              <w:spacing w:line="360" w:lineRule="auto"/>
              <w:rPr>
                <w:rFonts w:hint="eastAsia"/>
                <w:color w:val="auto"/>
                <w:szCs w:val="21"/>
              </w:rPr>
            </w:pPr>
          </w:p>
          <w:p w14:paraId="2A93FDC3">
            <w:pPr>
              <w:adjustRightInd w:val="0"/>
              <w:snapToGrid w:val="0"/>
              <w:spacing w:line="360" w:lineRule="auto"/>
              <w:rPr>
                <w:rFonts w:hint="eastAsia"/>
                <w:color w:val="auto"/>
                <w:szCs w:val="21"/>
              </w:rPr>
            </w:pPr>
          </w:p>
          <w:p w14:paraId="15B45293">
            <w:pPr>
              <w:adjustRightInd w:val="0"/>
              <w:snapToGrid w:val="0"/>
              <w:spacing w:line="360" w:lineRule="auto"/>
              <w:rPr>
                <w:rFonts w:hint="eastAsia"/>
                <w:color w:val="auto"/>
                <w:szCs w:val="21"/>
              </w:rPr>
            </w:pPr>
          </w:p>
          <w:p w14:paraId="56DF5282">
            <w:pPr>
              <w:adjustRightInd w:val="0"/>
              <w:snapToGrid w:val="0"/>
              <w:spacing w:line="360" w:lineRule="auto"/>
              <w:rPr>
                <w:rFonts w:hint="eastAsia"/>
                <w:color w:val="auto"/>
                <w:szCs w:val="21"/>
              </w:rPr>
            </w:pPr>
          </w:p>
          <w:p w14:paraId="72416A8F">
            <w:pPr>
              <w:adjustRightInd w:val="0"/>
              <w:snapToGrid w:val="0"/>
              <w:spacing w:line="360" w:lineRule="auto"/>
              <w:rPr>
                <w:rFonts w:hint="eastAsia"/>
                <w:color w:val="auto"/>
                <w:szCs w:val="21"/>
              </w:rPr>
            </w:pPr>
          </w:p>
        </w:tc>
      </w:tr>
      <w:tr w14:paraId="42BFF4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69" w:hRule="atLeast"/>
          <w:jc w:val="center"/>
        </w:trPr>
        <w:tc>
          <w:tcPr>
            <w:tcW w:w="804" w:type="dxa"/>
            <w:vAlign w:val="center"/>
          </w:tcPr>
          <w:p w14:paraId="7955A8D1">
            <w:pPr>
              <w:pStyle w:val="82"/>
              <w:adjustRightInd w:val="0"/>
              <w:snapToGrid w:val="0"/>
              <w:spacing w:before="120"/>
              <w:ind w:firstLine="0" w:firstLineChars="0"/>
              <w:jc w:val="center"/>
              <w:rPr>
                <w:rFonts w:cs="Times New Roman"/>
                <w:color w:val="auto"/>
              </w:rPr>
            </w:pPr>
            <w:r>
              <w:rPr>
                <w:rFonts w:cs="Times New Roman"/>
                <w:color w:val="auto"/>
              </w:rPr>
              <w:t>工艺流程和产排污环节</w:t>
            </w:r>
          </w:p>
        </w:tc>
        <w:tc>
          <w:tcPr>
            <w:tcW w:w="8138" w:type="dxa"/>
          </w:tcPr>
          <w:p w14:paraId="5C682D97">
            <w:pPr>
              <w:adjustRightInd w:val="0"/>
              <w:snapToGrid w:val="0"/>
              <w:spacing w:before="120" w:beforeLines="50" w:line="360" w:lineRule="auto"/>
              <w:ind w:firstLine="422" w:firstLineChars="200"/>
              <w:rPr>
                <w:b/>
                <w:color w:val="auto"/>
                <w:szCs w:val="21"/>
              </w:rPr>
            </w:pPr>
            <w:r>
              <w:rPr>
                <w:rFonts w:hint="eastAsia"/>
                <w:b/>
                <w:color w:val="auto"/>
                <w:szCs w:val="21"/>
                <w:lang w:eastAsia="zh-CN"/>
              </w:rPr>
              <w:t>（</w:t>
            </w:r>
            <w:r>
              <w:rPr>
                <w:rFonts w:hint="eastAsia"/>
                <w:b/>
                <w:color w:val="auto"/>
                <w:szCs w:val="21"/>
                <w:lang w:val="en-US" w:eastAsia="zh-CN"/>
              </w:rPr>
              <w:t>1</w:t>
            </w:r>
            <w:r>
              <w:rPr>
                <w:rFonts w:hint="eastAsia"/>
                <w:b/>
                <w:color w:val="auto"/>
                <w:szCs w:val="21"/>
                <w:lang w:eastAsia="zh-CN"/>
              </w:rPr>
              <w:t>）</w:t>
            </w:r>
            <w:r>
              <w:rPr>
                <w:b/>
                <w:color w:val="auto"/>
                <w:szCs w:val="21"/>
              </w:rPr>
              <w:t>工艺流程</w:t>
            </w:r>
          </w:p>
          <w:p w14:paraId="3B19DBB8">
            <w:pPr>
              <w:jc w:val="center"/>
              <w:rPr>
                <w:color w:val="auto"/>
              </w:rPr>
            </w:pPr>
            <w:r>
              <w:rPr>
                <w:color w:val="auto"/>
                <w:sz w:val="21"/>
              </w:rPr>
              <mc:AlternateContent>
                <mc:Choice Requires="wps">
                  <w:drawing>
                    <wp:anchor distT="0" distB="0" distL="114300" distR="114300" simplePos="0" relativeHeight="251672576" behindDoc="0" locked="0" layoutInCell="1" allowOverlap="1">
                      <wp:simplePos x="0" y="0"/>
                      <wp:positionH relativeFrom="column">
                        <wp:posOffset>2311400</wp:posOffset>
                      </wp:positionH>
                      <wp:positionV relativeFrom="paragraph">
                        <wp:posOffset>132715</wp:posOffset>
                      </wp:positionV>
                      <wp:extent cx="4445" cy="1583690"/>
                      <wp:effectExtent l="38100" t="0" r="6985" b="243205"/>
                      <wp:wrapNone/>
                      <wp:docPr id="24" name="肘形连接符 24"/>
                      <wp:cNvGraphicFramePr/>
                      <a:graphic xmlns:a="http://schemas.openxmlformats.org/drawingml/2006/main">
                        <a:graphicData uri="http://schemas.microsoft.com/office/word/2010/wordprocessingShape">
                          <wps:wsp>
                            <wps:cNvCnPr>
                              <a:stCxn id="116" idx="2"/>
                              <a:endCxn id="108" idx="2"/>
                            </wps:cNvCnPr>
                            <wps:spPr>
                              <a:xfrm rot="5400000">
                                <a:off x="3831590" y="1380490"/>
                                <a:ext cx="4445" cy="1583690"/>
                              </a:xfrm>
                              <a:prstGeom prst="bentConnector3">
                                <a:avLst>
                                  <a:gd name="adj1" fmla="val 5450000"/>
                                </a:avLst>
                              </a:prstGeom>
                              <a:ln w="3175">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182pt;margin-top:10.45pt;height:124.7pt;width:0.35pt;rotation:5898240f;z-index:251672576;mso-width-relative:page;mso-height-relative:page;" filled="f" stroked="t" coordsize="21600,21600" o:gfxdata="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8&#10;2sC41gAAAAoBAAAPAAAAAAAAAAEAIAAAACIAAABkcnMvZG93bnJldi54bWxQSwECFAAUAAAACACH&#10;TuJADkMLl18CAACTBAAADgAAAAAAAAABACAAAAAlAQAAZHJzL2Uyb0RvYy54bWxQSwUGAAAAAAYA&#10;BgBZAQAA9gUAAAAA&#10;" adj="1177200">
                      <v:fill on="f" focussize="0,0"/>
                      <v:stroke weight="0.25pt" color="#000000 [3213]" miterlimit="8" joinstyle="miter" endarrow="block"/>
                      <v:imagedata o:title=""/>
                      <o:lock v:ext="edit" aspectratio="f"/>
                    </v:shape>
                  </w:pict>
                </mc:Fallback>
              </mc:AlternateContent>
            </w:r>
            <w:r>
              <w:rPr>
                <w:color w:val="auto"/>
                <w:sz w:val="21"/>
              </w:rPr>
              <mc:AlternateContent>
                <mc:Choice Requires="wps">
                  <w:drawing>
                    <wp:anchor distT="0" distB="0" distL="114300" distR="114300" simplePos="0" relativeHeight="251668480" behindDoc="0" locked="0" layoutInCell="1" allowOverlap="1">
                      <wp:simplePos x="0" y="0"/>
                      <wp:positionH relativeFrom="column">
                        <wp:posOffset>1413510</wp:posOffset>
                      </wp:positionH>
                      <wp:positionV relativeFrom="paragraph">
                        <wp:posOffset>127000</wp:posOffset>
                      </wp:positionV>
                      <wp:extent cx="1019175" cy="24765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019175" cy="2476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C610232">
                                  <w:pPr>
                                    <w:jc w:val="center"/>
                                    <w:rPr>
                                      <w:rFonts w:hint="default" w:eastAsia="宋体"/>
                                      <w:lang w:val="en-US" w:eastAsia="zh-CN"/>
                                    </w:rPr>
                                  </w:pPr>
                                  <w:r>
                                    <w:rPr>
                                      <w:rFonts w:hint="eastAsia"/>
                                      <w:lang w:val="en-US" w:eastAsia="zh-CN"/>
                                    </w:rPr>
                                    <w:t>G1、S1、S2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3pt;margin-top:10pt;height:19.5pt;width:80.25pt;z-index:251668480;mso-width-relative:page;mso-height-relative:page;" fillcolor="#FFFFFF [3201]" filled="t" stroked="f" coordsize="21600,21600" o:gfxdata="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oHHY9UAAAAJAQAADwAA&#10;AAAAAAABACAAAAAiAAAAZHJzL2Rvd25yZXYueG1sUEsBAhQAFAAAAAgAh07iQP/ETTdSAgAAkwQA&#10;AA4AAAAAAAAAAQAgAAAAJAEAAGRycy9lMm9Eb2MueG1sUEsFBgAAAAAGAAYAWQEAAOgFAAAAAA==&#10;">
                      <v:fill on="t" focussize="0,0"/>
                      <v:stroke on="f" weight="0.5pt"/>
                      <v:imagedata o:title=""/>
                      <o:lock v:ext="edit" aspectratio="f"/>
                      <v:textbox>
                        <w:txbxContent>
                          <w:p w14:paraId="4C610232">
                            <w:pPr>
                              <w:jc w:val="center"/>
                              <w:rPr>
                                <w:rFonts w:hint="default" w:eastAsia="宋体"/>
                                <w:lang w:val="en-US" w:eastAsia="zh-CN"/>
                              </w:rPr>
                            </w:pPr>
                            <w:r>
                              <w:rPr>
                                <w:rFonts w:hint="eastAsia"/>
                                <w:lang w:val="en-US" w:eastAsia="zh-CN"/>
                              </w:rPr>
                              <w:t>G1、S1、S2</w:t>
                            </w:r>
                          </w:p>
                        </w:txbxContent>
                      </v:textbox>
                    </v:shape>
                  </w:pict>
                </mc:Fallback>
              </mc:AlternateContent>
            </w:r>
          </w:p>
          <w:p w14:paraId="2971B819">
            <w:pPr>
              <w:pStyle w:val="15"/>
              <w:adjustRightInd w:val="0"/>
              <w:snapToGrid w:val="0"/>
              <w:spacing w:line="360" w:lineRule="auto"/>
              <w:jc w:val="center"/>
              <w:rPr>
                <w:rFonts w:ascii="Times New Roman" w:hAnsi="Times New Roman" w:eastAsia="宋体"/>
                <w:b/>
                <w:color w:val="auto"/>
                <w:sz w:val="21"/>
                <w:szCs w:val="21"/>
              </w:rPr>
            </w:pPr>
            <w:r>
              <w:rPr>
                <w:color w:val="auto"/>
                <w:sz w:val="21"/>
              </w:rPr>
              <mc:AlternateContent>
                <mc:Choice Requires="wps">
                  <w:drawing>
                    <wp:anchor distT="0" distB="0" distL="114300" distR="114300" simplePos="0" relativeHeight="251662336" behindDoc="0" locked="0" layoutInCell="1" allowOverlap="1">
                      <wp:simplePos x="0" y="0"/>
                      <wp:positionH relativeFrom="column">
                        <wp:posOffset>1975485</wp:posOffset>
                      </wp:positionH>
                      <wp:positionV relativeFrom="paragraph">
                        <wp:posOffset>212725</wp:posOffset>
                      </wp:positionV>
                      <wp:extent cx="809625" cy="47625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809625" cy="476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9FD582">
                                  <w:pPr>
                                    <w:jc w:val="center"/>
                                    <w:rPr>
                                      <w:rFonts w:hint="default" w:eastAsia="宋体"/>
                                      <w:lang w:val="en-US" w:eastAsia="zh-CN"/>
                                    </w:rPr>
                                  </w:pPr>
                                  <w:r>
                                    <w:rPr>
                                      <w:rFonts w:hint="eastAsia"/>
                                      <w:lang w:val="en-US" w:eastAsia="zh-CN"/>
                                    </w:rPr>
                                    <w:t>导热油（管道内）</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5.55pt;margin-top:16.75pt;height:37.5pt;width:63.75pt;z-index:251662336;mso-width-relative:page;mso-height-relative:page;" filled="f" stroked="f" coordsize="21600,21600" o:gfxdata="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jPcfINoAAAAKAQAADwAAAAAAAAABACAAAAAiAAAAZHJz&#10;L2Rvd25yZXYueG1sUEsBAhQAFAAAAAgAh07iQBPe9Zw7AgAAZwQAAA4AAAAAAAAAAQAgAAAAKQEA&#10;AGRycy9lMm9Eb2MueG1sUEsFBgAAAAAGAAYAWQEAANYFAAAAAA==&#10;">
                      <v:fill on="f" focussize="0,0"/>
                      <v:stroke on="f" weight="0.5pt"/>
                      <v:imagedata o:title=""/>
                      <o:lock v:ext="edit" aspectratio="f"/>
                      <v:textbox>
                        <w:txbxContent>
                          <w:p w14:paraId="129FD582">
                            <w:pPr>
                              <w:jc w:val="center"/>
                              <w:rPr>
                                <w:rFonts w:hint="default" w:eastAsia="宋体"/>
                                <w:lang w:val="en-US" w:eastAsia="zh-CN"/>
                              </w:rPr>
                            </w:pPr>
                            <w:r>
                              <w:rPr>
                                <w:rFonts w:hint="eastAsia"/>
                                <w:lang w:val="en-US" w:eastAsia="zh-CN"/>
                              </w:rPr>
                              <w:t>导热油（管道内）</w:t>
                            </w:r>
                          </w:p>
                        </w:txbxContent>
                      </v:textbox>
                    </v:shape>
                  </w:pict>
                </mc:Fallback>
              </mc:AlternateContent>
            </w:r>
          </w:p>
          <w:p w14:paraId="6F4F6C74">
            <w:pPr>
              <w:pStyle w:val="15"/>
              <w:adjustRightInd w:val="0"/>
              <w:snapToGrid w:val="0"/>
              <w:spacing w:line="360" w:lineRule="auto"/>
              <w:jc w:val="center"/>
              <w:rPr>
                <w:rFonts w:ascii="Times New Roman" w:hAnsi="Times New Roman" w:eastAsia="宋体"/>
                <w:b/>
                <w:color w:val="auto"/>
                <w:sz w:val="21"/>
                <w:szCs w:val="21"/>
              </w:rPr>
            </w:pPr>
            <w:r>
              <w:rPr>
                <w:color w:val="auto"/>
                <w:sz w:val="21"/>
              </w:rPr>
              <mc:AlternateContent>
                <mc:Choice Requires="wps">
                  <w:drawing>
                    <wp:anchor distT="0" distB="0" distL="114300" distR="114300" simplePos="0" relativeHeight="251667456" behindDoc="0" locked="0" layoutInCell="1" allowOverlap="1">
                      <wp:simplePos x="0" y="0"/>
                      <wp:positionH relativeFrom="column">
                        <wp:posOffset>1586230</wp:posOffset>
                      </wp:positionH>
                      <wp:positionV relativeFrom="paragraph">
                        <wp:posOffset>15240</wp:posOffset>
                      </wp:positionV>
                      <wp:extent cx="152400" cy="281305"/>
                      <wp:effectExtent l="4445" t="0" r="5080" b="4445"/>
                      <wp:wrapNone/>
                      <wp:docPr id="111" name="直接箭头连接符 111"/>
                      <wp:cNvGraphicFramePr/>
                      <a:graphic xmlns:a="http://schemas.openxmlformats.org/drawingml/2006/main">
                        <a:graphicData uri="http://schemas.microsoft.com/office/word/2010/wordprocessingShape">
                          <wps:wsp>
                            <wps:cNvCnPr/>
                            <wps:spPr>
                              <a:xfrm flipV="1">
                                <a:off x="0" y="0"/>
                                <a:ext cx="152400" cy="281305"/>
                              </a:xfrm>
                              <a:prstGeom prst="straightConnector1">
                                <a:avLst/>
                              </a:prstGeom>
                              <a:ln w="9525">
                                <a:solidFill>
                                  <a:schemeClr val="tx1"/>
                                </a:solidFill>
                                <a:prstDash val="dash"/>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124.9pt;margin-top:1.2pt;height:22.15pt;width:12pt;z-index:251667456;mso-width-relative:page;mso-height-relative:page;" filled="f" stroked="t" coordsize="21600,21600" o:gfxdata="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yIz4&#10;3tQAAAAIAQAADwAAAAAAAAABACAAAAAiAAAAZHJzL2Rvd25yZXYueG1sUEsBAhQAFAAAAAgAh07i&#10;QOV8D3gmAgAAHAQAAA4AAAAAAAAAAQAgAAAAIwEAAGRycy9lMm9Eb2MueG1sUEsFBgAAAAAGAAYA&#10;WQEAALsFAAAAAA==&#10;">
                      <v:fill on="f" focussize="0,0"/>
                      <v:stroke color="#000000 [3213]" miterlimit="8" joinstyle="miter" dashstyle="dash" endarrow="block"/>
                      <v:imagedata o:title=""/>
                      <o:lock v:ext="edit" aspectratio="f"/>
                    </v:shape>
                  </w:pict>
                </mc:Fallback>
              </mc:AlternateContent>
            </w:r>
          </w:p>
          <w:p w14:paraId="69A705B7">
            <w:pPr>
              <w:pStyle w:val="15"/>
              <w:adjustRightInd w:val="0"/>
              <w:snapToGrid w:val="0"/>
              <w:spacing w:line="360" w:lineRule="auto"/>
              <w:jc w:val="center"/>
              <w:rPr>
                <w:rFonts w:ascii="Times New Roman" w:hAnsi="Times New Roman" w:eastAsia="宋体"/>
                <w:b/>
                <w:color w:val="auto"/>
                <w:sz w:val="21"/>
                <w:szCs w:val="21"/>
              </w:rPr>
            </w:pPr>
            <w:r>
              <w:rPr>
                <w:color w:val="auto"/>
                <w:sz w:val="21"/>
              </w:rPr>
              <mc:AlternateContent>
                <mc:Choice Requires="wps">
                  <w:drawing>
                    <wp:anchor distT="0" distB="0" distL="114300" distR="114300" simplePos="0" relativeHeight="251669504" behindDoc="0" locked="0" layoutInCell="1" allowOverlap="1">
                      <wp:simplePos x="0" y="0"/>
                      <wp:positionH relativeFrom="column">
                        <wp:posOffset>2700020</wp:posOffset>
                      </wp:positionH>
                      <wp:positionV relativeFrom="paragraph">
                        <wp:posOffset>61595</wp:posOffset>
                      </wp:positionV>
                      <wp:extent cx="809625" cy="247650"/>
                      <wp:effectExtent l="4445" t="4445" r="5080" b="5080"/>
                      <wp:wrapNone/>
                      <wp:docPr id="116" name="文本框 116"/>
                      <wp:cNvGraphicFramePr/>
                      <a:graphic xmlns:a="http://schemas.openxmlformats.org/drawingml/2006/main">
                        <a:graphicData uri="http://schemas.microsoft.com/office/word/2010/wordprocessingShape">
                          <wps:wsp>
                            <wps:cNvSpPr txBox="1"/>
                            <wps:spPr>
                              <a:xfrm>
                                <a:off x="0" y="0"/>
                                <a:ext cx="809625" cy="2476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9141DEB">
                                  <w:pPr>
                                    <w:jc w:val="center"/>
                                    <w:rPr>
                                      <w:rFonts w:hint="default" w:eastAsia="宋体"/>
                                      <w:lang w:val="en-US" w:eastAsia="zh-CN"/>
                                    </w:rPr>
                                  </w:pPr>
                                  <w:r>
                                    <w:rPr>
                                      <w:rFonts w:hint="eastAsia"/>
                                      <w:lang w:val="en-US" w:eastAsia="zh-CN"/>
                                    </w:rPr>
                                    <w:t>车间供热</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2.6pt;margin-top:4.85pt;height:19.5pt;width:63.75pt;z-index:251669504;mso-width-relative:page;mso-height-relative:page;" fillcolor="#FFFFFF [3201]" filled="t" stroked="t" coordsize="21600,21600" o:gfxdata="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5Ohyu1QAA&#10;AAgBAAAPAAAAAAAAAAEAIAAAACIAAABkcnMvZG93bnJldi54bWxQSwECFAAUAAAACACHTuJA0QGZ&#10;5loCAAC6BAAADgAAAAAAAAABACAAAAAkAQAAZHJzL2Uyb0RvYy54bWxQSwUGAAAAAAYABgBZAQAA&#10;8AUAAAAA&#10;">
                      <v:fill on="t" focussize="0,0"/>
                      <v:stroke weight="0.5pt" color="#000000 [3204]" joinstyle="round"/>
                      <v:imagedata o:title=""/>
                      <o:lock v:ext="edit" aspectratio="f"/>
                      <v:textbox>
                        <w:txbxContent>
                          <w:p w14:paraId="49141DEB">
                            <w:pPr>
                              <w:jc w:val="center"/>
                              <w:rPr>
                                <w:rFonts w:hint="default" w:eastAsia="宋体"/>
                                <w:lang w:val="en-US" w:eastAsia="zh-CN"/>
                              </w:rPr>
                            </w:pPr>
                            <w:r>
                              <w:rPr>
                                <w:rFonts w:hint="eastAsia"/>
                                <w:lang w:val="en-US" w:eastAsia="zh-CN"/>
                              </w:rPr>
                              <w:t>车间供热</w:t>
                            </w:r>
                          </w:p>
                        </w:txbxContent>
                      </v:textbox>
                    </v:shape>
                  </w:pict>
                </mc:Fallback>
              </mc:AlternateContent>
            </w:r>
            <w:r>
              <w:rPr>
                <w:color w:val="auto"/>
                <w:sz w:val="21"/>
              </w:rPr>
              <mc:AlternateContent>
                <mc:Choice Requires="wps">
                  <w:drawing>
                    <wp:anchor distT="0" distB="0" distL="114300" distR="114300" simplePos="0" relativeHeight="251664384" behindDoc="0" locked="0" layoutInCell="1" allowOverlap="1">
                      <wp:simplePos x="0" y="0"/>
                      <wp:positionH relativeFrom="column">
                        <wp:posOffset>-53340</wp:posOffset>
                      </wp:positionH>
                      <wp:positionV relativeFrom="paragraph">
                        <wp:posOffset>19685</wp:posOffset>
                      </wp:positionV>
                      <wp:extent cx="866775" cy="49911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866775" cy="4991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FAF545">
                                  <w:pPr>
                                    <w:jc w:val="center"/>
                                    <w:rPr>
                                      <w:rFonts w:hint="default" w:eastAsia="宋体"/>
                                      <w:lang w:val="en-US" w:eastAsia="zh-CN"/>
                                    </w:rPr>
                                  </w:pPr>
                                  <w:r>
                                    <w:rPr>
                                      <w:rFonts w:hint="eastAsia"/>
                                      <w:lang w:val="en-US" w:eastAsia="zh-CN"/>
                                    </w:rPr>
                                    <w:t>生物质成型颗粒</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pt;margin-top:1.55pt;height:39.3pt;width:68.25pt;z-index:251664384;mso-width-relative:page;mso-height-relative:page;" filled="f" stroked="f" coordsize="21600,21600" o:gfxdata="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xPcSIdcAAAAHAQAADwAAAAAAAAABACAAAAAiAAAAZHJz&#10;L2Rvd25yZXYueG1sUEsBAhQAFAAAAAgAh07iQG1yZXU+AgAAZwQAAA4AAAAAAAAAAQAgAAAAJgEA&#10;AGRycy9lMm9Eb2MueG1sUEsFBgAAAAAGAAYAWQEAANYFAAAAAA==&#10;">
                      <v:fill on="f" focussize="0,0"/>
                      <v:stroke on="f" weight="0.5pt"/>
                      <v:imagedata o:title=""/>
                      <o:lock v:ext="edit" aspectratio="f"/>
                      <v:textbox>
                        <w:txbxContent>
                          <w:p w14:paraId="31FAF545">
                            <w:pPr>
                              <w:jc w:val="center"/>
                              <w:rPr>
                                <w:rFonts w:hint="default" w:eastAsia="宋体"/>
                                <w:lang w:val="en-US" w:eastAsia="zh-CN"/>
                              </w:rPr>
                            </w:pPr>
                            <w:r>
                              <w:rPr>
                                <w:rFonts w:hint="eastAsia"/>
                                <w:lang w:val="en-US" w:eastAsia="zh-CN"/>
                              </w:rPr>
                              <w:t>生物质成型颗粒</w:t>
                            </w:r>
                          </w:p>
                        </w:txbxContent>
                      </v:textbox>
                    </v:shape>
                  </w:pict>
                </mc:Fallback>
              </mc:AlternateContent>
            </w:r>
            <w:r>
              <w:rPr>
                <w:color w:val="auto"/>
                <w:sz w:val="21"/>
              </w:rPr>
              <mc:AlternateContent>
                <mc:Choice Requires="wps">
                  <w:drawing>
                    <wp:anchor distT="0" distB="0" distL="114300" distR="114300" simplePos="0" relativeHeight="251666432" behindDoc="0" locked="0" layoutInCell="1" allowOverlap="1">
                      <wp:simplePos x="0" y="0"/>
                      <wp:positionH relativeFrom="column">
                        <wp:posOffset>1976755</wp:posOffset>
                      </wp:positionH>
                      <wp:positionV relativeFrom="paragraph">
                        <wp:posOffset>179705</wp:posOffset>
                      </wp:positionV>
                      <wp:extent cx="716280" cy="635"/>
                      <wp:effectExtent l="0" t="37465" r="7620" b="38100"/>
                      <wp:wrapNone/>
                      <wp:docPr id="110" name="直接箭头连接符 110"/>
                      <wp:cNvGraphicFramePr/>
                      <a:graphic xmlns:a="http://schemas.openxmlformats.org/drawingml/2006/main">
                        <a:graphicData uri="http://schemas.microsoft.com/office/word/2010/wordprocessingShape">
                          <wps:wsp>
                            <wps:cNvCnPr/>
                            <wps:spPr>
                              <a:xfrm>
                                <a:off x="0" y="0"/>
                                <a:ext cx="716280" cy="635"/>
                              </a:xfrm>
                              <a:prstGeom prst="straightConnector1">
                                <a:avLst/>
                              </a:prstGeom>
                              <a:ln w="3175">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55.65pt;margin-top:14.15pt;height:0.05pt;width:56.4pt;z-index:251666432;mso-width-relative:page;mso-height-relative:page;" filled="f" stroked="t" coordsize="21600,21600" o:gfxdata="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XwPC71wAAAAkB&#10;AAAPAAAAAAAAAAEAIAAAACIAAABkcnMvZG93bnJldi54bWxQSwECFAAUAAAACACHTuJA3mz9iRwC&#10;AAAQBAAADgAAAAAAAAABACAAAAAmAQAAZHJzL2Uyb0RvYy54bWxQSwUGAAAAAAYABgBZAQAAtAUA&#10;AAAA&#10;">
                      <v:fill on="f" focussize="0,0"/>
                      <v:stroke weight="0.25pt" color="#000000 [3213]" miterlimit="8" joinstyle="miter" endarrow="block"/>
                      <v:imagedata o:title=""/>
                      <o:lock v:ext="edit" aspectratio="f"/>
                    </v:shape>
                  </w:pict>
                </mc:Fallback>
              </mc:AlternateContent>
            </w:r>
            <w:r>
              <w:rPr>
                <w:color w:val="auto"/>
                <w:sz w:val="21"/>
              </w:rPr>
              <mc:AlternateContent>
                <mc:Choice Requires="wps">
                  <w:drawing>
                    <wp:anchor distT="0" distB="0" distL="114300" distR="114300" simplePos="0" relativeHeight="251665408" behindDoc="0" locked="0" layoutInCell="1" allowOverlap="1">
                      <wp:simplePos x="0" y="0"/>
                      <wp:positionH relativeFrom="column">
                        <wp:posOffset>1061720</wp:posOffset>
                      </wp:positionH>
                      <wp:positionV relativeFrom="paragraph">
                        <wp:posOffset>66040</wp:posOffset>
                      </wp:positionV>
                      <wp:extent cx="919480" cy="247650"/>
                      <wp:effectExtent l="4445" t="4445" r="9525" b="5080"/>
                      <wp:wrapNone/>
                      <wp:docPr id="108" name="文本框 108"/>
                      <wp:cNvGraphicFramePr/>
                      <a:graphic xmlns:a="http://schemas.openxmlformats.org/drawingml/2006/main">
                        <a:graphicData uri="http://schemas.microsoft.com/office/word/2010/wordprocessingShape">
                          <wps:wsp>
                            <wps:cNvSpPr txBox="1"/>
                            <wps:spPr>
                              <a:xfrm>
                                <a:off x="0" y="0"/>
                                <a:ext cx="919480" cy="2476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279D03C">
                                  <w:pPr>
                                    <w:jc w:val="center"/>
                                    <w:rPr>
                                      <w:rFonts w:hint="default" w:eastAsia="宋体"/>
                                      <w:lang w:val="en-US" w:eastAsia="zh-CN"/>
                                    </w:rPr>
                                  </w:pPr>
                                  <w:r>
                                    <w:rPr>
                                      <w:rFonts w:hint="eastAsia"/>
                                      <w:lang w:val="en-US" w:eastAsia="zh-CN"/>
                                    </w:rPr>
                                    <w:t>生物质锅炉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3.6pt;margin-top:5.2pt;height:19.5pt;width:72.4pt;z-index:251665408;mso-width-relative:page;mso-height-relative:page;" fillcolor="#FFFFFF [3201]" filled="t" stroked="t" coordsize="21600,21600" o:gfxdata="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Xy7UcdUAAAAJ&#10;AQAADwAAAAAAAAABACAAAAAiAAAAZHJzL2Rvd25yZXYueG1sUEsBAhQAFAAAAAgAh07iQJBUyQdY&#10;AgAAugQAAA4AAAAAAAAAAQAgAAAAJAEAAGRycy9lMm9Eb2MueG1sUEsFBgAAAAAGAAYAWQEAAO4F&#10;AAAAAA==&#10;">
                      <v:fill on="t" focussize="0,0"/>
                      <v:stroke weight="0.5pt" color="#000000 [3204]" joinstyle="round"/>
                      <v:imagedata o:title=""/>
                      <o:lock v:ext="edit" aspectratio="f"/>
                      <v:textbox>
                        <w:txbxContent>
                          <w:p w14:paraId="5279D03C">
                            <w:pPr>
                              <w:jc w:val="center"/>
                              <w:rPr>
                                <w:rFonts w:hint="default" w:eastAsia="宋体"/>
                                <w:lang w:val="en-US" w:eastAsia="zh-CN"/>
                              </w:rPr>
                            </w:pPr>
                            <w:r>
                              <w:rPr>
                                <w:rFonts w:hint="eastAsia"/>
                                <w:lang w:val="en-US" w:eastAsia="zh-CN"/>
                              </w:rPr>
                              <w:t>生物质锅炉</w:t>
                            </w:r>
                          </w:p>
                        </w:txbxContent>
                      </v:textbox>
                    </v:shape>
                  </w:pict>
                </mc:Fallback>
              </mc:AlternateContent>
            </w:r>
            <w:r>
              <w:rPr>
                <w:color w:val="auto"/>
                <w:sz w:val="21"/>
              </w:rPr>
              <mc:AlternateContent>
                <mc:Choice Requires="wps">
                  <w:drawing>
                    <wp:anchor distT="0" distB="0" distL="114300" distR="114300" simplePos="0" relativeHeight="251663360" behindDoc="0" locked="0" layoutInCell="1" allowOverlap="1">
                      <wp:simplePos x="0" y="0"/>
                      <wp:positionH relativeFrom="column">
                        <wp:posOffset>738505</wp:posOffset>
                      </wp:positionH>
                      <wp:positionV relativeFrom="paragraph">
                        <wp:posOffset>183515</wp:posOffset>
                      </wp:positionV>
                      <wp:extent cx="304165" cy="5715"/>
                      <wp:effectExtent l="0" t="36830" r="635" b="33655"/>
                      <wp:wrapNone/>
                      <wp:docPr id="53" name="直接箭头连接符 53"/>
                      <wp:cNvGraphicFramePr/>
                      <a:graphic xmlns:a="http://schemas.openxmlformats.org/drawingml/2006/main">
                        <a:graphicData uri="http://schemas.microsoft.com/office/word/2010/wordprocessingShape">
                          <wps:wsp>
                            <wps:cNvCnPr/>
                            <wps:spPr>
                              <a:xfrm flipV="1">
                                <a:off x="0" y="0"/>
                                <a:ext cx="304165" cy="5715"/>
                              </a:xfrm>
                              <a:prstGeom prst="straightConnector1">
                                <a:avLst/>
                              </a:prstGeom>
                              <a:ln w="3175">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58.15pt;margin-top:14.45pt;height:0.45pt;width:23.95pt;z-index:251663360;mso-width-relative:page;mso-height-relative:page;" filled="f" stroked="t" coordsize="21600,21600" o:gfxdata="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D/C1LNQA&#10;AAAJAQAADwAAAAAAAAABACAAAAAiAAAAZHJzL2Rvd25yZXYueG1sUEsBAhQAFAAAAAgAh07iQHgb&#10;++4jAgAAGQQAAA4AAAAAAAAAAQAgAAAAIwEAAGRycy9lMm9Eb2MueG1sUEsFBgAAAAAGAAYAWQEA&#10;ALgFAAAAAA==&#10;">
                      <v:fill on="f" focussize="0,0"/>
                      <v:stroke weight="0.25pt" color="#000000 [3213]" miterlimit="8" joinstyle="miter" endarrow="block"/>
                      <v:imagedata o:title=""/>
                      <o:lock v:ext="edit" aspectratio="f"/>
                    </v:shape>
                  </w:pict>
                </mc:Fallback>
              </mc:AlternateContent>
            </w:r>
          </w:p>
          <w:p w14:paraId="1967F586">
            <w:pPr>
              <w:pStyle w:val="15"/>
              <w:adjustRightInd w:val="0"/>
              <w:snapToGrid w:val="0"/>
              <w:spacing w:line="360" w:lineRule="auto"/>
              <w:jc w:val="center"/>
              <w:rPr>
                <w:rFonts w:ascii="Times New Roman" w:hAnsi="Times New Roman" w:eastAsia="宋体"/>
                <w:b/>
                <w:color w:val="auto"/>
                <w:sz w:val="21"/>
                <w:szCs w:val="21"/>
              </w:rPr>
            </w:pPr>
            <w:r>
              <w:rPr>
                <w:color w:val="auto"/>
                <w:sz w:val="21"/>
              </w:rPr>
              <mc:AlternateContent>
                <mc:Choice Requires="wps">
                  <w:drawing>
                    <wp:anchor distT="0" distB="0" distL="114300" distR="114300" simplePos="0" relativeHeight="251670528" behindDoc="0" locked="0" layoutInCell="1" allowOverlap="1">
                      <wp:simplePos x="0" y="0"/>
                      <wp:positionH relativeFrom="column">
                        <wp:posOffset>1955800</wp:posOffset>
                      </wp:positionH>
                      <wp:positionV relativeFrom="paragraph">
                        <wp:posOffset>74295</wp:posOffset>
                      </wp:positionV>
                      <wp:extent cx="819785" cy="286385"/>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819785" cy="2863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6BBD99">
                                  <w:pPr>
                                    <w:jc w:val="both"/>
                                    <w:rPr>
                                      <w:rFonts w:hint="default" w:eastAsia="宋体"/>
                                      <w:lang w:val="en-US" w:eastAsia="zh-CN"/>
                                    </w:rPr>
                                  </w:pPr>
                                  <w:r>
                                    <w:rPr>
                                      <w:rFonts w:hint="eastAsia"/>
                                      <w:lang w:val="en-US" w:eastAsia="zh-CN"/>
                                    </w:rPr>
                                    <w:t>循环使用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4pt;margin-top:5.85pt;height:22.55pt;width:64.55pt;z-index:251670528;mso-width-relative:page;mso-height-relative:page;" filled="f" stroked="f" coordsize="21600,21600" o:gfxdata="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&#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3PZDDaAAAACQEAAA8AAAAAAAAAAQAgAAAAIgAAAGRy&#10;cy9kb3ducmV2LnhtbFBLAQIUABQAAAAIAIdO4kAd/vk/PAIAAGkEAAAOAAAAAAAAAAEAIAAAACkB&#10;AABkcnMvZTJvRG9jLnhtbFBLBQYAAAAABgAGAFkBAADXBQAAAAA=&#10;">
                      <v:fill on="f" focussize="0,0"/>
                      <v:stroke on="f" weight="0.5pt"/>
                      <v:imagedata o:title=""/>
                      <o:lock v:ext="edit" aspectratio="f"/>
                      <v:textbox>
                        <w:txbxContent>
                          <w:p w14:paraId="386BBD99">
                            <w:pPr>
                              <w:jc w:val="both"/>
                              <w:rPr>
                                <w:rFonts w:hint="default" w:eastAsia="宋体"/>
                                <w:lang w:val="en-US" w:eastAsia="zh-CN"/>
                              </w:rPr>
                            </w:pPr>
                            <w:r>
                              <w:rPr>
                                <w:rFonts w:hint="eastAsia"/>
                                <w:lang w:val="en-US" w:eastAsia="zh-CN"/>
                              </w:rPr>
                              <w:t>循环使用</w:t>
                            </w:r>
                          </w:p>
                        </w:txbxContent>
                      </v:textbox>
                    </v:shape>
                  </w:pict>
                </mc:Fallback>
              </mc:AlternateContent>
            </w:r>
          </w:p>
          <w:p w14:paraId="75C9FE98">
            <w:pPr>
              <w:pStyle w:val="15"/>
              <w:adjustRightInd w:val="0"/>
              <w:snapToGrid w:val="0"/>
              <w:spacing w:line="360" w:lineRule="auto"/>
              <w:jc w:val="center"/>
              <w:rPr>
                <w:rFonts w:ascii="Times New Roman" w:hAnsi="Times New Roman" w:eastAsia="宋体"/>
                <w:b/>
                <w:color w:val="auto"/>
                <w:sz w:val="21"/>
                <w:szCs w:val="21"/>
              </w:rPr>
            </w:pPr>
            <w:r>
              <w:rPr>
                <w:color w:val="auto"/>
                <w:sz w:val="21"/>
              </w:rPr>
              <mc:AlternateContent>
                <mc:Choice Requires="wps">
                  <w:drawing>
                    <wp:anchor distT="0" distB="0" distL="114300" distR="114300" simplePos="0" relativeHeight="251671552" behindDoc="0" locked="0" layoutInCell="1" allowOverlap="1">
                      <wp:simplePos x="0" y="0"/>
                      <wp:positionH relativeFrom="column">
                        <wp:posOffset>3604895</wp:posOffset>
                      </wp:positionH>
                      <wp:positionV relativeFrom="paragraph">
                        <wp:posOffset>81915</wp:posOffset>
                      </wp:positionV>
                      <wp:extent cx="1013460" cy="538480"/>
                      <wp:effectExtent l="4445" t="4445" r="10795" b="9525"/>
                      <wp:wrapNone/>
                      <wp:docPr id="119" name="文本框 119"/>
                      <wp:cNvGraphicFramePr/>
                      <a:graphic xmlns:a="http://schemas.openxmlformats.org/drawingml/2006/main">
                        <a:graphicData uri="http://schemas.microsoft.com/office/word/2010/wordprocessingShape">
                          <wps:wsp>
                            <wps:cNvSpPr txBox="1"/>
                            <wps:spPr>
                              <a:xfrm>
                                <a:off x="5377815" y="2106295"/>
                                <a:ext cx="1013460" cy="5384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B555889">
                                  <w:pPr>
                                    <w:rPr>
                                      <w:rFonts w:hint="eastAsia"/>
                                      <w:sz w:val="18"/>
                                      <w:szCs w:val="18"/>
                                      <w:lang w:val="en-US" w:eastAsia="zh-CN"/>
                                    </w:rPr>
                                  </w:pPr>
                                  <w:r>
                                    <w:rPr>
                                      <w:rFonts w:hint="eastAsia"/>
                                      <w:sz w:val="18"/>
                                      <w:szCs w:val="18"/>
                                      <w:lang w:val="en-US" w:eastAsia="zh-CN"/>
                                    </w:rPr>
                                    <w:t>G1：锅炉废气</w:t>
                                  </w:r>
                                </w:p>
                                <w:p w14:paraId="70554316">
                                  <w:pPr>
                                    <w:rPr>
                                      <w:rFonts w:hint="eastAsia"/>
                                      <w:sz w:val="18"/>
                                      <w:szCs w:val="18"/>
                                      <w:lang w:val="en-US" w:eastAsia="zh-CN"/>
                                    </w:rPr>
                                  </w:pPr>
                                  <w:r>
                                    <w:rPr>
                                      <w:rFonts w:hint="eastAsia"/>
                                      <w:sz w:val="18"/>
                                      <w:szCs w:val="18"/>
                                      <w:lang w:val="en-US" w:eastAsia="zh-CN"/>
                                    </w:rPr>
                                    <w:t>S1：锅炉灰渣</w:t>
                                  </w:r>
                                </w:p>
                                <w:p w14:paraId="3E99D463">
                                  <w:pPr>
                                    <w:rPr>
                                      <w:rFonts w:hint="default"/>
                                      <w:sz w:val="18"/>
                                      <w:szCs w:val="18"/>
                                      <w:lang w:val="en-US" w:eastAsia="zh-CN"/>
                                    </w:rPr>
                                  </w:pPr>
                                  <w:r>
                                    <w:rPr>
                                      <w:rFonts w:hint="eastAsia"/>
                                      <w:sz w:val="18"/>
                                      <w:szCs w:val="18"/>
                                      <w:lang w:val="en-US" w:eastAsia="zh-CN"/>
                                    </w:rPr>
                                    <w:t>S2：废导热油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3.85pt;margin-top:6.45pt;height:42.4pt;width:79.8pt;z-index:251671552;mso-width-relative:page;mso-height-relative:page;" fillcolor="#FFFFFF [3201]" filled="t" stroked="t" coordsize="21600,21600" o:gfxdata="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ISdp41QAAAAkBAAAPAAAAAAAAAAEAIAAAACIAAABkcnMvZG93bnJldi54bWxQSwEC&#10;FAAUAAAACACHTuJA4mqOq2kCAADHBAAADgAAAAAAAAABACAAAAAkAQAAZHJzL2Uyb0RvYy54bWxQ&#10;SwUGAAAAAAYABgBZAQAA/wUAAAAA&#10;">
                      <v:fill on="t" focussize="0,0"/>
                      <v:stroke weight="0.5pt" color="#000000 [3204]" joinstyle="round"/>
                      <v:imagedata o:title=""/>
                      <o:lock v:ext="edit" aspectratio="f"/>
                      <v:textbox>
                        <w:txbxContent>
                          <w:p w14:paraId="1B555889">
                            <w:pPr>
                              <w:rPr>
                                <w:rFonts w:hint="eastAsia"/>
                                <w:sz w:val="18"/>
                                <w:szCs w:val="18"/>
                                <w:lang w:val="en-US" w:eastAsia="zh-CN"/>
                              </w:rPr>
                            </w:pPr>
                            <w:r>
                              <w:rPr>
                                <w:rFonts w:hint="eastAsia"/>
                                <w:sz w:val="18"/>
                                <w:szCs w:val="18"/>
                                <w:lang w:val="en-US" w:eastAsia="zh-CN"/>
                              </w:rPr>
                              <w:t>G1：锅炉废气</w:t>
                            </w:r>
                          </w:p>
                          <w:p w14:paraId="70554316">
                            <w:pPr>
                              <w:rPr>
                                <w:rFonts w:hint="eastAsia"/>
                                <w:sz w:val="18"/>
                                <w:szCs w:val="18"/>
                                <w:lang w:val="en-US" w:eastAsia="zh-CN"/>
                              </w:rPr>
                            </w:pPr>
                            <w:r>
                              <w:rPr>
                                <w:rFonts w:hint="eastAsia"/>
                                <w:sz w:val="18"/>
                                <w:szCs w:val="18"/>
                                <w:lang w:val="en-US" w:eastAsia="zh-CN"/>
                              </w:rPr>
                              <w:t>S1：锅炉灰渣</w:t>
                            </w:r>
                          </w:p>
                          <w:p w14:paraId="3E99D463">
                            <w:pPr>
                              <w:rPr>
                                <w:rFonts w:hint="default"/>
                                <w:sz w:val="18"/>
                                <w:szCs w:val="18"/>
                                <w:lang w:val="en-US" w:eastAsia="zh-CN"/>
                              </w:rPr>
                            </w:pPr>
                            <w:r>
                              <w:rPr>
                                <w:rFonts w:hint="eastAsia"/>
                                <w:sz w:val="18"/>
                                <w:szCs w:val="18"/>
                                <w:lang w:val="en-US" w:eastAsia="zh-CN"/>
                              </w:rPr>
                              <w:t>S2：废导热油</w:t>
                            </w:r>
                          </w:p>
                        </w:txbxContent>
                      </v:textbox>
                    </v:shape>
                  </w:pict>
                </mc:Fallback>
              </mc:AlternateContent>
            </w:r>
          </w:p>
          <w:p w14:paraId="583B216D">
            <w:pPr>
              <w:pStyle w:val="15"/>
              <w:adjustRightInd w:val="0"/>
              <w:snapToGrid w:val="0"/>
              <w:spacing w:line="360" w:lineRule="auto"/>
              <w:jc w:val="center"/>
              <w:rPr>
                <w:rFonts w:ascii="Times New Roman" w:hAnsi="Times New Roman" w:eastAsia="宋体"/>
                <w:b/>
                <w:color w:val="auto"/>
                <w:sz w:val="21"/>
                <w:szCs w:val="21"/>
              </w:rPr>
            </w:pPr>
          </w:p>
          <w:p w14:paraId="5D91F6D6">
            <w:pPr>
              <w:pStyle w:val="15"/>
              <w:adjustRightInd w:val="0"/>
              <w:snapToGrid w:val="0"/>
              <w:spacing w:line="360" w:lineRule="auto"/>
              <w:jc w:val="center"/>
              <w:rPr>
                <w:rFonts w:ascii="Times New Roman" w:hAnsi="Times New Roman" w:eastAsia="宋体"/>
                <w:b/>
                <w:color w:val="auto"/>
                <w:sz w:val="21"/>
                <w:szCs w:val="21"/>
              </w:rPr>
            </w:pPr>
          </w:p>
          <w:p w14:paraId="4BFB4B8D">
            <w:pPr>
              <w:pStyle w:val="15"/>
              <w:adjustRightInd w:val="0"/>
              <w:snapToGrid w:val="0"/>
              <w:spacing w:line="360" w:lineRule="auto"/>
              <w:jc w:val="center"/>
              <w:rPr>
                <w:rFonts w:ascii="Times New Roman" w:hAnsi="Times New Roman" w:eastAsia="宋体"/>
                <w:b/>
                <w:bCs/>
                <w:color w:val="auto"/>
                <w:sz w:val="21"/>
                <w:szCs w:val="21"/>
              </w:rPr>
            </w:pPr>
            <w:r>
              <w:rPr>
                <w:rFonts w:ascii="Times New Roman" w:hAnsi="Times New Roman" w:eastAsia="宋体"/>
                <w:b/>
                <w:color w:val="auto"/>
                <w:sz w:val="21"/>
                <w:szCs w:val="21"/>
              </w:rPr>
              <w:t>图</w:t>
            </w:r>
            <w:r>
              <w:rPr>
                <w:rFonts w:hint="eastAsia" w:ascii="Times New Roman" w:hAnsi="Times New Roman" w:eastAsia="宋体"/>
                <w:b/>
                <w:color w:val="auto"/>
                <w:sz w:val="21"/>
                <w:szCs w:val="21"/>
              </w:rPr>
              <w:t xml:space="preserve">2-2 </w:t>
            </w:r>
            <w:r>
              <w:rPr>
                <w:rFonts w:ascii="Times New Roman" w:hAnsi="Times New Roman" w:eastAsia="宋体"/>
                <w:b/>
                <w:color w:val="auto"/>
                <w:sz w:val="21"/>
                <w:szCs w:val="21"/>
              </w:rPr>
              <w:t xml:space="preserve"> </w:t>
            </w:r>
            <w:r>
              <w:rPr>
                <w:rFonts w:hint="eastAsia" w:ascii="Times New Roman" w:hAnsi="Times New Roman" w:eastAsia="宋体"/>
                <w:b/>
                <w:bCs/>
                <w:color w:val="auto"/>
                <w:sz w:val="21"/>
                <w:szCs w:val="21"/>
              </w:rPr>
              <w:t>本项目</w:t>
            </w:r>
            <w:r>
              <w:rPr>
                <w:rFonts w:ascii="Times New Roman" w:hAnsi="Times New Roman" w:eastAsia="宋体"/>
                <w:b/>
                <w:bCs/>
                <w:color w:val="auto"/>
                <w:sz w:val="21"/>
                <w:szCs w:val="21"/>
              </w:rPr>
              <w:t>生产工艺</w:t>
            </w:r>
            <w:r>
              <w:rPr>
                <w:rFonts w:hint="eastAsia" w:ascii="Times New Roman" w:hAnsi="Times New Roman" w:eastAsia="宋体"/>
                <w:b/>
                <w:bCs/>
                <w:color w:val="auto"/>
                <w:sz w:val="21"/>
                <w:szCs w:val="21"/>
                <w:lang w:val="en-US" w:eastAsia="zh-CN"/>
              </w:rPr>
              <w:t>流程及产污环节</w:t>
            </w:r>
            <w:r>
              <w:rPr>
                <w:rFonts w:ascii="Times New Roman" w:hAnsi="Times New Roman" w:eastAsia="宋体"/>
                <w:b/>
                <w:bCs/>
                <w:color w:val="auto"/>
                <w:sz w:val="21"/>
                <w:szCs w:val="21"/>
              </w:rPr>
              <w:t>图</w:t>
            </w:r>
          </w:p>
          <w:p w14:paraId="4EA56FAD">
            <w:pPr>
              <w:spacing w:line="360" w:lineRule="auto"/>
              <w:ind w:firstLine="422" w:firstLineChars="200"/>
              <w:rPr>
                <w:rFonts w:hint="eastAsia"/>
                <w:color w:val="auto"/>
                <w:lang w:val="en-US" w:eastAsia="zh-CN"/>
              </w:rPr>
            </w:pPr>
            <w:r>
              <w:rPr>
                <w:rFonts w:hint="eastAsia" w:ascii="Times New Roman" w:hAnsi="Times New Roman" w:eastAsia="宋体"/>
                <w:b/>
                <w:bCs/>
                <w:color w:val="auto"/>
                <w:kern w:val="0"/>
                <w:sz w:val="21"/>
                <w:szCs w:val="21"/>
              </w:rPr>
              <w:t>工艺简述：</w:t>
            </w:r>
            <w:r>
              <w:rPr>
                <w:rFonts w:hint="eastAsia"/>
                <w:color w:val="auto"/>
                <w:lang w:val="en-US" w:eastAsia="zh-CN"/>
              </w:rPr>
              <w:t>项目锅炉使用生物质成型颗粒作为燃料，锅炉介质为导热油，燃料燃烧后释放的热量通过锅炉换热将导热油加热输送到车间使用，供热后的导热油再通过循环泵返回导热油炉内继续加热，循环使用。锅炉系统导热油装机量为3吨，长时间使用导热性能会降低，从而需更换导热油，更换周期为5年。锅炉系统运行过程中会产生生物质燃烧废气（主要为颗粒物、SO</w:t>
            </w:r>
            <w:r>
              <w:rPr>
                <w:rFonts w:hint="eastAsia"/>
                <w:color w:val="auto"/>
                <w:vertAlign w:val="subscript"/>
                <w:lang w:val="en-US" w:eastAsia="zh-CN"/>
              </w:rPr>
              <w:t>2</w:t>
            </w:r>
            <w:r>
              <w:rPr>
                <w:rFonts w:hint="eastAsia"/>
                <w:color w:val="auto"/>
                <w:lang w:val="en-US" w:eastAsia="zh-CN"/>
              </w:rPr>
              <w:t>、NO</w:t>
            </w:r>
            <w:r>
              <w:rPr>
                <w:rFonts w:hint="eastAsia"/>
                <w:color w:val="auto"/>
                <w:vertAlign w:val="subscript"/>
                <w:lang w:val="en-US" w:eastAsia="zh-CN"/>
              </w:rPr>
              <w:t>X</w:t>
            </w:r>
            <w:r>
              <w:rPr>
                <w:rFonts w:hint="eastAsia"/>
                <w:color w:val="auto"/>
                <w:lang w:val="en-US" w:eastAsia="zh-CN"/>
              </w:rPr>
              <w:t>、CO、烟气黑度）、锅炉灰渣。</w:t>
            </w:r>
          </w:p>
          <w:p w14:paraId="3ECE16FB">
            <w:pPr>
              <w:keepNext w:val="0"/>
              <w:keepLines w:val="0"/>
              <w:pageBreakBefore w:val="0"/>
              <w:kinsoku/>
              <w:wordWrap/>
              <w:overflowPunct/>
              <w:topLinePunct w:val="0"/>
              <w:autoSpaceDE/>
              <w:autoSpaceDN/>
              <w:bidi w:val="0"/>
              <w:adjustRightInd/>
              <w:spacing w:line="360" w:lineRule="auto"/>
              <w:ind w:firstLine="422" w:firstLineChars="200"/>
              <w:textAlignment w:val="auto"/>
              <w:rPr>
                <w:rFonts w:hint="default"/>
                <w:b/>
                <w:bCs/>
                <w:color w:val="auto"/>
                <w:lang w:val="en-US" w:eastAsia="zh-CN"/>
              </w:rPr>
            </w:pPr>
            <w:r>
              <w:rPr>
                <w:rFonts w:hint="eastAsia"/>
                <w:b/>
                <w:bCs/>
                <w:color w:val="auto"/>
                <w:kern w:val="0"/>
                <w:sz w:val="21"/>
                <w:szCs w:val="21"/>
                <w:lang w:val="en-US" w:eastAsia="zh-CN"/>
              </w:rPr>
              <w:t>（2）主要产排污环节</w:t>
            </w:r>
          </w:p>
          <w:p w14:paraId="7B9FB418">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color w:val="auto"/>
                <w:szCs w:val="21"/>
              </w:rPr>
            </w:pPr>
            <w:r>
              <w:rPr>
                <w:rFonts w:hint="eastAsia"/>
                <w:color w:val="auto"/>
                <w:szCs w:val="21"/>
              </w:rPr>
              <w:t>从上述工艺流程可知，本项目运营期间所产生的污染物为：</w:t>
            </w:r>
          </w:p>
          <w:p w14:paraId="334B5477">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color w:val="auto"/>
                <w:szCs w:val="21"/>
              </w:rPr>
            </w:pPr>
            <w:r>
              <w:rPr>
                <w:rFonts w:hint="eastAsia"/>
                <w:color w:val="auto"/>
                <w:szCs w:val="21"/>
              </w:rPr>
              <w:t>①废气：</w:t>
            </w:r>
            <w:r>
              <w:rPr>
                <w:rFonts w:hint="eastAsia"/>
                <w:color w:val="auto"/>
                <w:szCs w:val="21"/>
                <w:lang w:val="en-US" w:eastAsia="zh-CN"/>
              </w:rPr>
              <w:t>锅炉废气（</w:t>
            </w:r>
            <w:r>
              <w:rPr>
                <w:rFonts w:hint="eastAsia"/>
                <w:color w:val="auto"/>
                <w:lang w:val="en-US" w:eastAsia="zh-CN"/>
              </w:rPr>
              <w:t>颗粒物、SO</w:t>
            </w:r>
            <w:r>
              <w:rPr>
                <w:rFonts w:hint="eastAsia"/>
                <w:color w:val="auto"/>
                <w:vertAlign w:val="subscript"/>
                <w:lang w:val="en-US" w:eastAsia="zh-CN"/>
              </w:rPr>
              <w:t>2</w:t>
            </w:r>
            <w:r>
              <w:rPr>
                <w:rFonts w:hint="eastAsia"/>
                <w:color w:val="auto"/>
                <w:lang w:val="en-US" w:eastAsia="zh-CN"/>
              </w:rPr>
              <w:t>、NO</w:t>
            </w:r>
            <w:r>
              <w:rPr>
                <w:rFonts w:hint="eastAsia"/>
                <w:color w:val="auto"/>
                <w:vertAlign w:val="subscript"/>
                <w:lang w:val="en-US" w:eastAsia="zh-CN"/>
              </w:rPr>
              <w:t>X</w:t>
            </w:r>
            <w:r>
              <w:rPr>
                <w:rFonts w:hint="eastAsia"/>
                <w:color w:val="auto"/>
                <w:lang w:val="en-US" w:eastAsia="zh-CN"/>
              </w:rPr>
              <w:t>、CO、烟气黑度</w:t>
            </w:r>
            <w:r>
              <w:rPr>
                <w:rFonts w:hint="eastAsia"/>
                <w:color w:val="auto"/>
                <w:szCs w:val="21"/>
                <w:lang w:val="en-US" w:eastAsia="zh-CN"/>
              </w:rPr>
              <w:t>）</w:t>
            </w:r>
            <w:r>
              <w:rPr>
                <w:rFonts w:hint="eastAsia"/>
                <w:color w:val="auto"/>
                <w:szCs w:val="21"/>
              </w:rPr>
              <w:t>；</w:t>
            </w:r>
          </w:p>
          <w:p w14:paraId="3A79C69B">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color w:val="auto"/>
                <w:szCs w:val="21"/>
              </w:rPr>
            </w:pPr>
            <w:r>
              <w:rPr>
                <w:rFonts w:hint="eastAsia"/>
                <w:color w:val="auto"/>
                <w:szCs w:val="21"/>
              </w:rPr>
              <w:t>②噪声：</w:t>
            </w:r>
            <w:r>
              <w:rPr>
                <w:rFonts w:hint="eastAsia"/>
                <w:color w:val="auto"/>
                <w:szCs w:val="21"/>
                <w:lang w:val="en-US" w:eastAsia="zh-CN"/>
              </w:rPr>
              <w:t>锅炉</w:t>
            </w:r>
            <w:r>
              <w:rPr>
                <w:rFonts w:hint="eastAsia"/>
                <w:color w:val="auto"/>
                <w:kern w:val="0"/>
                <w:szCs w:val="21"/>
              </w:rPr>
              <w:t>等生产设备运行噪声</w:t>
            </w:r>
            <w:r>
              <w:rPr>
                <w:rFonts w:hint="eastAsia"/>
                <w:color w:val="auto"/>
                <w:szCs w:val="21"/>
              </w:rPr>
              <w:t>；</w:t>
            </w:r>
          </w:p>
          <w:p w14:paraId="432C1F5B">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default" w:eastAsia="宋体"/>
                <w:color w:val="auto"/>
                <w:szCs w:val="21"/>
                <w:lang w:val="en-US" w:eastAsia="zh-CN"/>
              </w:rPr>
            </w:pPr>
            <w:r>
              <w:rPr>
                <w:rFonts w:hint="eastAsia"/>
                <w:color w:val="auto"/>
                <w:szCs w:val="21"/>
              </w:rPr>
              <w:t>③</w:t>
            </w:r>
            <w:r>
              <w:rPr>
                <w:rFonts w:hint="eastAsia"/>
                <w:color w:val="auto"/>
                <w:szCs w:val="21"/>
                <w:lang w:val="en-US" w:eastAsia="zh-CN"/>
              </w:rPr>
              <w:t>废水：水膜除尘废水；</w:t>
            </w:r>
          </w:p>
          <w:p w14:paraId="3862A531">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eastAsia="宋体"/>
                <w:color w:val="auto"/>
                <w:szCs w:val="21"/>
                <w:lang w:eastAsia="zh-CN"/>
              </w:rPr>
            </w:pPr>
            <w:r>
              <w:rPr>
                <w:rFonts w:hint="eastAsia" w:ascii="宋体" w:hAnsi="宋体" w:eastAsia="宋体" w:cs="宋体"/>
                <w:color w:val="auto"/>
                <w:szCs w:val="21"/>
              </w:rPr>
              <w:t>④</w:t>
            </w:r>
            <w:r>
              <w:rPr>
                <w:rFonts w:hint="eastAsia"/>
                <w:color w:val="auto"/>
                <w:szCs w:val="21"/>
              </w:rPr>
              <w:t>固废：</w:t>
            </w:r>
            <w:r>
              <w:rPr>
                <w:rFonts w:hint="eastAsia"/>
                <w:color w:val="auto"/>
                <w:szCs w:val="21"/>
                <w:lang w:val="en-US" w:eastAsia="zh-CN"/>
              </w:rPr>
              <w:t>锅炉灰渣、废导热油</w:t>
            </w:r>
            <w:r>
              <w:rPr>
                <w:rFonts w:hint="eastAsia"/>
                <w:color w:val="auto"/>
                <w:szCs w:val="21"/>
                <w:lang w:eastAsia="zh-CN"/>
              </w:rPr>
              <w:t>。</w:t>
            </w:r>
          </w:p>
          <w:p w14:paraId="2EE364C2">
            <w:pPr>
              <w:rPr>
                <w:color w:val="auto"/>
                <w:szCs w:val="21"/>
              </w:rPr>
            </w:pPr>
          </w:p>
          <w:p w14:paraId="17483907">
            <w:pPr>
              <w:rPr>
                <w:color w:val="auto"/>
                <w:szCs w:val="21"/>
              </w:rPr>
            </w:pPr>
          </w:p>
          <w:p w14:paraId="394C8923">
            <w:pPr>
              <w:rPr>
                <w:color w:val="auto"/>
                <w:szCs w:val="21"/>
              </w:rPr>
            </w:pPr>
          </w:p>
          <w:p w14:paraId="0BF14316">
            <w:pPr>
              <w:rPr>
                <w:color w:val="auto"/>
                <w:szCs w:val="21"/>
              </w:rPr>
            </w:pPr>
          </w:p>
          <w:p w14:paraId="500245E4">
            <w:pPr>
              <w:rPr>
                <w:color w:val="auto"/>
                <w:szCs w:val="21"/>
              </w:rPr>
            </w:pPr>
          </w:p>
          <w:p w14:paraId="4E811AE6">
            <w:pPr>
              <w:rPr>
                <w:color w:val="auto"/>
                <w:szCs w:val="21"/>
              </w:rPr>
            </w:pPr>
          </w:p>
          <w:p w14:paraId="67AC1FF0">
            <w:pPr>
              <w:rPr>
                <w:color w:val="auto"/>
                <w:szCs w:val="21"/>
              </w:rPr>
            </w:pPr>
          </w:p>
          <w:p w14:paraId="1A0E5B84">
            <w:pPr>
              <w:rPr>
                <w:color w:val="auto"/>
                <w:szCs w:val="21"/>
              </w:rPr>
            </w:pPr>
          </w:p>
          <w:p w14:paraId="207E3836">
            <w:pPr>
              <w:rPr>
                <w:color w:val="auto"/>
                <w:szCs w:val="21"/>
              </w:rPr>
            </w:pPr>
          </w:p>
          <w:p w14:paraId="0B02D52F">
            <w:pPr>
              <w:rPr>
                <w:color w:val="auto"/>
                <w:szCs w:val="21"/>
              </w:rPr>
            </w:pPr>
          </w:p>
          <w:p w14:paraId="6E7E85D3">
            <w:pPr>
              <w:rPr>
                <w:color w:val="auto"/>
                <w:szCs w:val="21"/>
              </w:rPr>
            </w:pPr>
          </w:p>
          <w:p w14:paraId="5A808104">
            <w:pPr>
              <w:rPr>
                <w:color w:val="auto"/>
                <w:szCs w:val="21"/>
              </w:rPr>
            </w:pPr>
          </w:p>
          <w:p w14:paraId="611328B2">
            <w:pPr>
              <w:rPr>
                <w:color w:val="auto"/>
                <w:szCs w:val="21"/>
              </w:rPr>
            </w:pPr>
          </w:p>
          <w:p w14:paraId="19B266DC">
            <w:pPr>
              <w:rPr>
                <w:color w:val="auto"/>
                <w:szCs w:val="21"/>
              </w:rPr>
            </w:pPr>
          </w:p>
          <w:p w14:paraId="3FB39547">
            <w:pPr>
              <w:rPr>
                <w:color w:val="auto"/>
                <w:szCs w:val="21"/>
              </w:rPr>
            </w:pPr>
          </w:p>
          <w:p w14:paraId="33DE516D">
            <w:pPr>
              <w:rPr>
                <w:color w:val="auto"/>
                <w:szCs w:val="21"/>
              </w:rPr>
            </w:pPr>
          </w:p>
          <w:p w14:paraId="009303BC">
            <w:pPr>
              <w:rPr>
                <w:color w:val="auto"/>
                <w:szCs w:val="21"/>
              </w:rPr>
            </w:pPr>
          </w:p>
          <w:p w14:paraId="5AE2127B">
            <w:pPr>
              <w:rPr>
                <w:color w:val="auto"/>
                <w:szCs w:val="21"/>
              </w:rPr>
            </w:pPr>
          </w:p>
          <w:p w14:paraId="65D8F8C4">
            <w:pPr>
              <w:rPr>
                <w:color w:val="auto"/>
                <w:szCs w:val="21"/>
              </w:rPr>
            </w:pPr>
          </w:p>
          <w:p w14:paraId="31C5F61B">
            <w:pPr>
              <w:rPr>
                <w:color w:val="auto"/>
                <w:szCs w:val="21"/>
              </w:rPr>
            </w:pPr>
          </w:p>
          <w:p w14:paraId="0D77EBC4">
            <w:pPr>
              <w:rPr>
                <w:color w:val="auto"/>
                <w:szCs w:val="21"/>
              </w:rPr>
            </w:pPr>
          </w:p>
          <w:p w14:paraId="60113EBA">
            <w:pPr>
              <w:rPr>
                <w:color w:val="auto"/>
                <w:szCs w:val="21"/>
              </w:rPr>
            </w:pPr>
          </w:p>
        </w:tc>
      </w:tr>
      <w:tr w14:paraId="2E1C69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48" w:hRule="atLeast"/>
          <w:jc w:val="center"/>
        </w:trPr>
        <w:tc>
          <w:tcPr>
            <w:tcW w:w="804" w:type="dxa"/>
            <w:vAlign w:val="center"/>
          </w:tcPr>
          <w:p w14:paraId="05C3C7D7">
            <w:pPr>
              <w:pStyle w:val="82"/>
              <w:adjustRightInd w:val="0"/>
              <w:snapToGrid w:val="0"/>
              <w:spacing w:before="120"/>
              <w:ind w:firstLine="0" w:firstLineChars="0"/>
              <w:jc w:val="center"/>
              <w:rPr>
                <w:rFonts w:cs="Times New Roman"/>
                <w:color w:val="auto"/>
              </w:rPr>
            </w:pPr>
            <w:r>
              <w:rPr>
                <w:rFonts w:cs="Times New Roman"/>
                <w:color w:val="auto"/>
              </w:rPr>
              <w:t>与项目有关的原有环境污染问题</w:t>
            </w:r>
          </w:p>
        </w:tc>
        <w:tc>
          <w:tcPr>
            <w:tcW w:w="8138" w:type="dxa"/>
            <w:vAlign w:val="center"/>
          </w:tcPr>
          <w:p w14:paraId="184529F8">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22" w:firstLineChars="200"/>
              <w:textAlignment w:val="auto"/>
              <w:rPr>
                <w:rFonts w:hint="default" w:ascii="Times New Roman" w:hAnsi="Times New Roman" w:eastAsia="宋体" w:cs="宋体"/>
                <w:b/>
                <w:bCs/>
                <w:color w:val="auto"/>
                <w:sz w:val="21"/>
                <w:szCs w:val="21"/>
                <w:highlight w:val="none"/>
                <w:lang w:val="en-US" w:eastAsia="zh-CN"/>
              </w:rPr>
            </w:pPr>
            <w:r>
              <w:rPr>
                <w:rFonts w:hint="eastAsia" w:cs="宋体"/>
                <w:b/>
                <w:bCs/>
                <w:color w:val="auto"/>
                <w:sz w:val="21"/>
                <w:szCs w:val="21"/>
                <w:highlight w:val="none"/>
                <w:lang w:val="en-US" w:eastAsia="zh-CN"/>
              </w:rPr>
              <w:t>1、现有项目环保手续履行情况</w:t>
            </w:r>
          </w:p>
          <w:p w14:paraId="241AD3B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bCs/>
                <w:color w:val="auto"/>
                <w:sz w:val="21"/>
                <w:szCs w:val="21"/>
                <w:highlight w:val="none"/>
                <w:lang w:val="en-US" w:eastAsia="zh-CN"/>
              </w:rPr>
            </w:pPr>
            <w:r>
              <w:rPr>
                <w:rFonts w:hint="eastAsia" w:cs="宋体"/>
                <w:b/>
                <w:bCs/>
                <w:color w:val="auto"/>
                <w:sz w:val="21"/>
                <w:szCs w:val="21"/>
                <w:highlight w:val="none"/>
                <w:lang w:val="en-US" w:eastAsia="zh-CN"/>
              </w:rPr>
              <w:t>表2-5 现有项目环保手续履行情况一览表</w:t>
            </w:r>
          </w:p>
          <w:tbl>
            <w:tblPr>
              <w:tblStyle w:val="36"/>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010"/>
              <w:gridCol w:w="1934"/>
              <w:gridCol w:w="2101"/>
            </w:tblGrid>
            <w:tr w14:paraId="7FDE2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57" w:type="pct"/>
                  <w:vAlign w:val="center"/>
                </w:tcPr>
                <w:p w14:paraId="1CFBE2DD">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序号</w:t>
                  </w:r>
                </w:p>
              </w:tc>
              <w:tc>
                <w:tcPr>
                  <w:tcW w:w="1940" w:type="pct"/>
                  <w:vAlign w:val="center"/>
                </w:tcPr>
                <w:p w14:paraId="41656A3F">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环保手续</w:t>
                  </w:r>
                </w:p>
              </w:tc>
              <w:tc>
                <w:tcPr>
                  <w:tcW w:w="1247" w:type="pct"/>
                  <w:vAlign w:val="center"/>
                </w:tcPr>
                <w:p w14:paraId="3D967351">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时间</w:t>
                  </w:r>
                </w:p>
              </w:tc>
              <w:tc>
                <w:tcPr>
                  <w:tcW w:w="1354" w:type="pct"/>
                  <w:vAlign w:val="center"/>
                </w:tcPr>
                <w:p w14:paraId="24E3F3C7">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批复文号/编号</w:t>
                  </w:r>
                </w:p>
              </w:tc>
            </w:tr>
            <w:tr w14:paraId="78F4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457" w:type="pct"/>
                  <w:vAlign w:val="center"/>
                </w:tcPr>
                <w:p w14:paraId="21A8DACF">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w:t>
                  </w:r>
                </w:p>
              </w:tc>
              <w:tc>
                <w:tcPr>
                  <w:tcW w:w="1940" w:type="pct"/>
                  <w:vAlign w:val="center"/>
                </w:tcPr>
                <w:p w14:paraId="44D780C8">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《乐昌市华翔木业厂年产8万张大芯板及2万张复合指接板建设项目环境影响报告表》</w:t>
                  </w:r>
                </w:p>
              </w:tc>
              <w:tc>
                <w:tcPr>
                  <w:tcW w:w="1247" w:type="pct"/>
                  <w:vAlign w:val="center"/>
                </w:tcPr>
                <w:p w14:paraId="2041DEB9">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2009.8.5</w:t>
                  </w:r>
                </w:p>
              </w:tc>
              <w:tc>
                <w:tcPr>
                  <w:tcW w:w="1354" w:type="pct"/>
                  <w:vAlign w:val="center"/>
                </w:tcPr>
                <w:p w14:paraId="51755A6C">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乐环函</w:t>
                  </w:r>
                  <w:r>
                    <w:rPr>
                      <w:rFonts w:hint="default" w:ascii="Times New Roman" w:hAnsi="Times New Roman" w:eastAsia="仿宋" w:cs="Times New Roman"/>
                      <w:b w:val="0"/>
                      <w:bCs w:val="0"/>
                      <w:color w:val="auto"/>
                      <w:sz w:val="21"/>
                      <w:szCs w:val="21"/>
                      <w:lang w:val="en-US" w:eastAsia="zh-CN"/>
                    </w:rPr>
                    <w:t>[20</w:t>
                  </w:r>
                  <w:r>
                    <w:rPr>
                      <w:rFonts w:hint="eastAsia" w:eastAsia="仿宋" w:cs="Times New Roman"/>
                      <w:b w:val="0"/>
                      <w:bCs w:val="0"/>
                      <w:color w:val="auto"/>
                      <w:sz w:val="21"/>
                      <w:szCs w:val="21"/>
                      <w:lang w:val="en-US" w:eastAsia="zh-CN"/>
                    </w:rPr>
                    <w:t>09</w:t>
                  </w:r>
                  <w:r>
                    <w:rPr>
                      <w:rFonts w:hint="default" w:ascii="Times New Roman" w:hAnsi="Times New Roman" w:eastAsia="仿宋" w:cs="Times New Roman"/>
                      <w:b w:val="0"/>
                      <w:bCs w:val="0"/>
                      <w:color w:val="auto"/>
                      <w:sz w:val="21"/>
                      <w:szCs w:val="21"/>
                      <w:lang w:val="en-US" w:eastAsia="zh-CN"/>
                    </w:rPr>
                    <w:t>]</w:t>
                  </w:r>
                  <w:r>
                    <w:rPr>
                      <w:rFonts w:hint="eastAsia" w:eastAsia="仿宋" w:cs="Times New Roman"/>
                      <w:b w:val="0"/>
                      <w:bCs w:val="0"/>
                      <w:color w:val="auto"/>
                      <w:sz w:val="21"/>
                      <w:szCs w:val="21"/>
                      <w:lang w:val="en-US" w:eastAsia="zh-CN"/>
                    </w:rPr>
                    <w:t>71</w:t>
                  </w:r>
                  <w:r>
                    <w:rPr>
                      <w:rFonts w:hint="default" w:ascii="Times New Roman" w:hAnsi="Times New Roman" w:eastAsia="仿宋" w:cs="Times New Roman"/>
                      <w:b w:val="0"/>
                      <w:bCs w:val="0"/>
                      <w:color w:val="auto"/>
                      <w:sz w:val="21"/>
                      <w:szCs w:val="21"/>
                      <w:lang w:val="en-US" w:eastAsia="zh-CN"/>
                    </w:rPr>
                    <w:t>号</w:t>
                  </w:r>
                </w:p>
              </w:tc>
            </w:tr>
            <w:tr w14:paraId="64BA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57" w:type="pct"/>
                  <w:vAlign w:val="center"/>
                </w:tcPr>
                <w:p w14:paraId="0FFB5BC0">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2</w:t>
                  </w:r>
                </w:p>
              </w:tc>
              <w:tc>
                <w:tcPr>
                  <w:tcW w:w="1940" w:type="pct"/>
                  <w:vAlign w:val="center"/>
                </w:tcPr>
                <w:p w14:paraId="64D161FE">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《乐昌市华翔木业厂年产8万张大芯板及2万张复合指接板建设项目</w:t>
                  </w:r>
                  <w:r>
                    <w:rPr>
                      <w:rFonts w:hint="eastAsia" w:cs="Times New Roman"/>
                      <w:b w:val="0"/>
                      <w:bCs w:val="0"/>
                      <w:color w:val="auto"/>
                      <w:sz w:val="21"/>
                      <w:szCs w:val="21"/>
                      <w:lang w:val="en-US" w:eastAsia="zh-CN"/>
                    </w:rPr>
                    <w:t>验收监测表</w:t>
                  </w:r>
                  <w:r>
                    <w:rPr>
                      <w:rFonts w:hint="eastAsia" w:ascii="Times New Roman" w:hAnsi="Times New Roman" w:eastAsia="宋体" w:cs="Times New Roman"/>
                      <w:b w:val="0"/>
                      <w:bCs w:val="0"/>
                      <w:color w:val="auto"/>
                      <w:sz w:val="21"/>
                      <w:szCs w:val="21"/>
                      <w:lang w:val="en-US" w:eastAsia="zh-CN"/>
                    </w:rPr>
                    <w:t>》</w:t>
                  </w:r>
                </w:p>
              </w:tc>
              <w:tc>
                <w:tcPr>
                  <w:tcW w:w="1247" w:type="pct"/>
                  <w:vAlign w:val="center"/>
                </w:tcPr>
                <w:p w14:paraId="036E92F2">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2010.9.14</w:t>
                  </w:r>
                </w:p>
              </w:tc>
              <w:tc>
                <w:tcPr>
                  <w:tcW w:w="1354" w:type="pct"/>
                  <w:vAlign w:val="center"/>
                </w:tcPr>
                <w:p w14:paraId="71B8C454">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乐环函</w:t>
                  </w:r>
                  <w:r>
                    <w:rPr>
                      <w:rFonts w:hint="default" w:ascii="Times New Roman" w:hAnsi="Times New Roman" w:eastAsia="仿宋" w:cs="Times New Roman"/>
                      <w:b w:val="0"/>
                      <w:bCs w:val="0"/>
                      <w:color w:val="auto"/>
                      <w:sz w:val="21"/>
                      <w:szCs w:val="21"/>
                      <w:lang w:val="en-US" w:eastAsia="zh-CN"/>
                    </w:rPr>
                    <w:t>[2010]39号</w:t>
                  </w:r>
                </w:p>
              </w:tc>
            </w:tr>
            <w:tr w14:paraId="1427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457" w:type="pct"/>
                  <w:vAlign w:val="center"/>
                </w:tcPr>
                <w:p w14:paraId="0818BE67">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3</w:t>
                  </w:r>
                </w:p>
              </w:tc>
              <w:tc>
                <w:tcPr>
                  <w:tcW w:w="1940" w:type="pct"/>
                  <w:vAlign w:val="center"/>
                </w:tcPr>
                <w:p w14:paraId="084B52B8">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排污许可登记</w:t>
                  </w:r>
                </w:p>
              </w:tc>
              <w:tc>
                <w:tcPr>
                  <w:tcW w:w="1247" w:type="pct"/>
                  <w:vAlign w:val="center"/>
                </w:tcPr>
                <w:p w14:paraId="5E43CCF7">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2021.8.13</w:t>
                  </w:r>
                </w:p>
              </w:tc>
              <w:tc>
                <w:tcPr>
                  <w:tcW w:w="1354" w:type="pct"/>
                  <w:vAlign w:val="center"/>
                </w:tcPr>
                <w:p w14:paraId="74D083EB">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91440281557302452A002W</w:t>
                  </w:r>
                </w:p>
              </w:tc>
            </w:tr>
          </w:tbl>
          <w:p w14:paraId="1C5EA7C4">
            <w:pPr>
              <w:pStyle w:val="16"/>
              <w:keepNext w:val="0"/>
              <w:keepLines w:val="0"/>
              <w:pageBreakBefore w:val="0"/>
              <w:widowControl w:val="0"/>
              <w:kinsoku/>
              <w:wordWrap/>
              <w:overflowPunct/>
              <w:topLinePunct w:val="0"/>
              <w:autoSpaceDE/>
              <w:autoSpaceDN/>
              <w:bidi w:val="0"/>
              <w:adjustRightInd/>
              <w:snapToGrid/>
              <w:spacing w:before="157" w:beforeLines="50" w:line="360" w:lineRule="auto"/>
              <w:ind w:firstLine="420"/>
              <w:jc w:val="both"/>
              <w:textAlignment w:val="auto"/>
              <w:rPr>
                <w:rFonts w:hint="default" w:ascii="Times New Roman" w:hAnsi="Times New Roman" w:eastAsia="宋体" w:cs="宋体"/>
                <w:b/>
                <w:bCs/>
                <w:color w:val="auto"/>
                <w:kern w:val="2"/>
                <w:sz w:val="21"/>
                <w:szCs w:val="21"/>
                <w:highlight w:val="none"/>
                <w:lang w:val="en-US" w:eastAsia="zh-CN" w:bidi="ar-SA"/>
              </w:rPr>
            </w:pPr>
            <w:r>
              <w:rPr>
                <w:rFonts w:hint="eastAsia" w:ascii="Times New Roman" w:hAnsi="Times New Roman" w:eastAsia="宋体" w:cs="宋体"/>
                <w:b/>
                <w:bCs/>
                <w:color w:val="auto"/>
                <w:kern w:val="2"/>
                <w:sz w:val="21"/>
                <w:szCs w:val="21"/>
                <w:highlight w:val="none"/>
                <w:lang w:val="en-US" w:eastAsia="zh-CN" w:bidi="ar-SA"/>
              </w:rPr>
              <w:t>2、现有项目污染物排放情况</w:t>
            </w:r>
          </w:p>
          <w:p w14:paraId="01F57AE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cs="宋体"/>
                <w:b/>
                <w:bCs/>
                <w:color w:val="auto"/>
                <w:sz w:val="21"/>
                <w:szCs w:val="21"/>
                <w:highlight w:val="none"/>
                <w:lang w:val="en-US" w:eastAsia="zh-CN"/>
              </w:rPr>
            </w:pPr>
            <w:r>
              <w:rPr>
                <w:rFonts w:hint="eastAsia" w:cs="宋体"/>
                <w:b/>
                <w:bCs/>
                <w:color w:val="auto"/>
                <w:sz w:val="21"/>
                <w:szCs w:val="21"/>
                <w:highlight w:val="none"/>
                <w:lang w:val="en-US" w:eastAsia="zh-CN"/>
              </w:rPr>
              <w:t xml:space="preserve">    （1）废气</w:t>
            </w:r>
          </w:p>
          <w:p w14:paraId="5529105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现有项目废气污染物主要为锅炉废气（颗粒物、二氧化硫、氮氧化物、一氧化氮、烟气黑度）、砂光/抛光/切边废气（颗粒物）、热压废气（VOCs）。</w:t>
            </w:r>
          </w:p>
          <w:p w14:paraId="217FD01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①锅炉废气</w:t>
            </w:r>
          </w:p>
          <w:p w14:paraId="086C74A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color w:val="auto"/>
                <w:szCs w:val="21"/>
                <w:lang w:val="en-US" w:eastAsia="zh-CN"/>
              </w:rPr>
            </w:pPr>
            <w:r>
              <w:rPr>
                <w:rFonts w:hint="eastAsia" w:cs="宋体"/>
                <w:b w:val="0"/>
                <w:bCs w:val="0"/>
                <w:color w:val="auto"/>
                <w:sz w:val="21"/>
                <w:szCs w:val="21"/>
                <w:highlight w:val="none"/>
                <w:lang w:val="en-US" w:eastAsia="zh-CN"/>
              </w:rPr>
              <w:t>现有项目锅炉消耗</w:t>
            </w:r>
            <w:r>
              <w:rPr>
                <w:rFonts w:hint="eastAsia"/>
                <w:color w:val="auto"/>
                <w:szCs w:val="21"/>
                <w:lang w:val="en-US" w:eastAsia="zh-CN"/>
              </w:rPr>
              <w:t>生物质成型颗粒1000t/a，</w:t>
            </w:r>
            <w:r>
              <w:rPr>
                <w:rFonts w:hint="eastAsia" w:cs="宋体"/>
                <w:b w:val="0"/>
                <w:bCs w:val="0"/>
                <w:color w:val="auto"/>
                <w:sz w:val="21"/>
                <w:szCs w:val="21"/>
                <w:highlight w:val="none"/>
                <w:lang w:val="en-US" w:eastAsia="zh-CN"/>
              </w:rPr>
              <w:t>污染物为颗粒物、二氧化硫、氮氧化物、一氧化氮、烟气黑度，根据建设单位提供的2025年7月常规监测报告，各污染物排放均可达到</w:t>
            </w:r>
            <w:r>
              <w:rPr>
                <w:rFonts w:hint="eastAsia"/>
                <w:color w:val="auto"/>
                <w:szCs w:val="21"/>
                <w:lang w:val="en-US" w:eastAsia="zh-CN"/>
              </w:rPr>
              <w:t>广东省《锅炉大气污染物排放标准》（DB44/765-2019）表2新建燃生物质成型燃料锅炉大气污染物排放浓度限值。</w:t>
            </w:r>
          </w:p>
          <w:p w14:paraId="2D9EED75">
            <w:pPr>
              <w:pStyle w:val="19"/>
              <w:jc w:val="center"/>
              <w:rPr>
                <w:rFonts w:hint="eastAsia" w:ascii="Times New Roman" w:hAnsi="Times New Roman" w:eastAsia="宋体" w:cs="宋体"/>
                <w:b/>
                <w:bCs/>
                <w:color w:val="auto"/>
                <w:kern w:val="2"/>
                <w:sz w:val="21"/>
                <w:szCs w:val="21"/>
                <w:highlight w:val="none"/>
                <w:lang w:val="en-US" w:eastAsia="zh-CN" w:bidi="ar-SA"/>
              </w:rPr>
            </w:pPr>
            <w:r>
              <w:rPr>
                <w:rFonts w:hint="eastAsia" w:ascii="Times New Roman" w:hAnsi="Times New Roman" w:eastAsia="宋体" w:cs="宋体"/>
                <w:b/>
                <w:bCs/>
                <w:color w:val="auto"/>
                <w:kern w:val="2"/>
                <w:sz w:val="21"/>
                <w:szCs w:val="21"/>
                <w:highlight w:val="none"/>
                <w:lang w:val="en-US" w:eastAsia="zh-CN" w:bidi="ar-SA"/>
              </w:rPr>
              <w:t>表2-6 现有项目锅炉废气检测结果</w:t>
            </w:r>
          </w:p>
          <w:tbl>
            <w:tblPr>
              <w:tblStyle w:val="36"/>
              <w:tblW w:w="7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658"/>
              <w:gridCol w:w="1202"/>
              <w:gridCol w:w="1202"/>
              <w:gridCol w:w="1203"/>
              <w:gridCol w:w="1327"/>
            </w:tblGrid>
            <w:tr w14:paraId="7F2D7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30" w:type="dxa"/>
                  <w:vMerge w:val="restart"/>
                  <w:vAlign w:val="center"/>
                </w:tcPr>
                <w:p w14:paraId="151D8EA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
                      <w:bCs/>
                      <w:color w:val="auto"/>
                      <w:szCs w:val="21"/>
                      <w:vertAlign w:val="baseline"/>
                      <w:lang w:val="en-US" w:eastAsia="zh-CN"/>
                    </w:rPr>
                  </w:pPr>
                  <w:r>
                    <w:rPr>
                      <w:rFonts w:hint="eastAsia" w:cs="Times New Roman"/>
                      <w:b/>
                      <w:bCs/>
                      <w:color w:val="auto"/>
                      <w:szCs w:val="21"/>
                      <w:vertAlign w:val="baseline"/>
                      <w:lang w:val="en-US" w:eastAsia="zh-CN"/>
                    </w:rPr>
                    <w:t>检测项目</w:t>
                  </w:r>
                </w:p>
              </w:tc>
              <w:tc>
                <w:tcPr>
                  <w:tcW w:w="1658" w:type="dxa"/>
                  <w:vMerge w:val="restart"/>
                  <w:vAlign w:val="center"/>
                </w:tcPr>
                <w:p w14:paraId="644EC6D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
                      <w:bCs/>
                      <w:color w:val="auto"/>
                      <w:szCs w:val="21"/>
                      <w:vertAlign w:val="baseline"/>
                      <w:lang w:val="en-US" w:eastAsia="zh-CN"/>
                    </w:rPr>
                  </w:pPr>
                  <w:r>
                    <w:rPr>
                      <w:rFonts w:hint="eastAsia" w:cs="Times New Roman"/>
                      <w:b/>
                      <w:bCs/>
                      <w:color w:val="auto"/>
                      <w:szCs w:val="21"/>
                      <w:vertAlign w:val="baseline"/>
                      <w:lang w:val="en-US" w:eastAsia="zh-CN"/>
                    </w:rPr>
                    <w:t>标杆流量m</w:t>
                  </w:r>
                  <w:r>
                    <w:rPr>
                      <w:rFonts w:hint="eastAsia" w:cs="Times New Roman"/>
                      <w:b/>
                      <w:bCs/>
                      <w:color w:val="auto"/>
                      <w:szCs w:val="21"/>
                      <w:vertAlign w:val="superscript"/>
                      <w:lang w:val="en-US" w:eastAsia="zh-CN"/>
                    </w:rPr>
                    <w:t>3</w:t>
                  </w:r>
                  <w:r>
                    <w:rPr>
                      <w:rFonts w:hint="eastAsia" w:cs="Times New Roman"/>
                      <w:b/>
                      <w:bCs/>
                      <w:color w:val="auto"/>
                      <w:szCs w:val="21"/>
                      <w:vertAlign w:val="baseline"/>
                      <w:lang w:val="en-US" w:eastAsia="zh-CN"/>
                    </w:rPr>
                    <w:t>/h</w:t>
                  </w:r>
                </w:p>
              </w:tc>
              <w:tc>
                <w:tcPr>
                  <w:tcW w:w="3607" w:type="dxa"/>
                  <w:gridSpan w:val="3"/>
                  <w:vAlign w:val="center"/>
                </w:tcPr>
                <w:p w14:paraId="1F11856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
                      <w:bCs/>
                      <w:color w:val="auto"/>
                      <w:szCs w:val="21"/>
                      <w:vertAlign w:val="baseline"/>
                      <w:lang w:val="en-US" w:eastAsia="zh-CN"/>
                    </w:rPr>
                  </w:pPr>
                  <w:r>
                    <w:rPr>
                      <w:rFonts w:hint="eastAsia" w:cs="Times New Roman"/>
                      <w:b/>
                      <w:bCs/>
                      <w:color w:val="auto"/>
                      <w:szCs w:val="21"/>
                      <w:vertAlign w:val="baseline"/>
                      <w:lang w:val="en-US" w:eastAsia="zh-CN"/>
                    </w:rPr>
                    <w:t>检测结果</w:t>
                  </w:r>
                </w:p>
              </w:tc>
              <w:tc>
                <w:tcPr>
                  <w:tcW w:w="1327" w:type="dxa"/>
                  <w:vMerge w:val="restart"/>
                  <w:vAlign w:val="center"/>
                </w:tcPr>
                <w:p w14:paraId="146DE2A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
                      <w:bCs/>
                      <w:color w:val="auto"/>
                      <w:szCs w:val="21"/>
                      <w:vertAlign w:val="baseline"/>
                      <w:lang w:val="en-US" w:eastAsia="zh-CN"/>
                    </w:rPr>
                  </w:pPr>
                  <w:r>
                    <w:rPr>
                      <w:rFonts w:hint="eastAsia" w:cs="Times New Roman"/>
                      <w:b/>
                      <w:bCs/>
                      <w:color w:val="auto"/>
                      <w:szCs w:val="21"/>
                      <w:vertAlign w:val="baseline"/>
                      <w:lang w:val="en-US" w:eastAsia="zh-CN"/>
                    </w:rPr>
                    <w:t>标准值mg/m</w:t>
                  </w:r>
                  <w:r>
                    <w:rPr>
                      <w:rFonts w:hint="eastAsia" w:cs="Times New Roman"/>
                      <w:b/>
                      <w:bCs/>
                      <w:color w:val="auto"/>
                      <w:szCs w:val="21"/>
                      <w:vertAlign w:val="superscript"/>
                      <w:lang w:val="en-US" w:eastAsia="zh-CN"/>
                    </w:rPr>
                    <w:t>3</w:t>
                  </w:r>
                </w:p>
              </w:tc>
            </w:tr>
            <w:tr w14:paraId="7421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30" w:type="dxa"/>
                  <w:vMerge w:val="continue"/>
                  <w:vAlign w:val="center"/>
                </w:tcPr>
                <w:p w14:paraId="075105A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s="Times New Roman"/>
                      <w:b/>
                      <w:bCs/>
                      <w:color w:val="auto"/>
                      <w:szCs w:val="21"/>
                      <w:vertAlign w:val="baseline"/>
                      <w:lang w:val="en-US" w:eastAsia="zh-CN"/>
                    </w:rPr>
                  </w:pPr>
                </w:p>
              </w:tc>
              <w:tc>
                <w:tcPr>
                  <w:tcW w:w="1658" w:type="dxa"/>
                  <w:vMerge w:val="continue"/>
                  <w:vAlign w:val="center"/>
                </w:tcPr>
                <w:p w14:paraId="0D625AD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s="Times New Roman"/>
                      <w:b/>
                      <w:bCs/>
                      <w:color w:val="auto"/>
                      <w:szCs w:val="21"/>
                      <w:vertAlign w:val="baseline"/>
                      <w:lang w:val="en-US" w:eastAsia="zh-CN"/>
                    </w:rPr>
                  </w:pPr>
                </w:p>
              </w:tc>
              <w:tc>
                <w:tcPr>
                  <w:tcW w:w="1202" w:type="dxa"/>
                  <w:vAlign w:val="center"/>
                </w:tcPr>
                <w:p w14:paraId="6F1E13C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
                      <w:bCs/>
                      <w:color w:val="auto"/>
                      <w:szCs w:val="21"/>
                      <w:vertAlign w:val="baseline"/>
                      <w:lang w:val="en-US" w:eastAsia="zh-CN"/>
                    </w:rPr>
                  </w:pPr>
                  <w:r>
                    <w:rPr>
                      <w:rFonts w:hint="eastAsia" w:cs="Times New Roman"/>
                      <w:b/>
                      <w:bCs/>
                      <w:color w:val="auto"/>
                      <w:szCs w:val="21"/>
                      <w:vertAlign w:val="baseline"/>
                      <w:lang w:val="en-US" w:eastAsia="zh-CN"/>
                    </w:rPr>
                    <w:t>实测浓度mg/m</w:t>
                  </w:r>
                  <w:r>
                    <w:rPr>
                      <w:rFonts w:hint="eastAsia" w:cs="Times New Roman"/>
                      <w:b/>
                      <w:bCs/>
                      <w:color w:val="auto"/>
                      <w:szCs w:val="21"/>
                      <w:vertAlign w:val="superscript"/>
                      <w:lang w:val="en-US" w:eastAsia="zh-CN"/>
                    </w:rPr>
                    <w:t>3</w:t>
                  </w:r>
                </w:p>
              </w:tc>
              <w:tc>
                <w:tcPr>
                  <w:tcW w:w="1202" w:type="dxa"/>
                  <w:vAlign w:val="center"/>
                </w:tcPr>
                <w:p w14:paraId="23C5ED5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
                      <w:bCs/>
                      <w:color w:val="auto"/>
                      <w:szCs w:val="21"/>
                      <w:vertAlign w:val="baseline"/>
                      <w:lang w:val="en-US" w:eastAsia="zh-CN"/>
                    </w:rPr>
                  </w:pPr>
                  <w:r>
                    <w:rPr>
                      <w:rFonts w:hint="eastAsia" w:cs="Times New Roman"/>
                      <w:b/>
                      <w:bCs/>
                      <w:color w:val="auto"/>
                      <w:szCs w:val="21"/>
                      <w:vertAlign w:val="baseline"/>
                      <w:lang w:val="en-US" w:eastAsia="zh-CN"/>
                    </w:rPr>
                    <w:t>折算浓度mg/m</w:t>
                  </w:r>
                  <w:r>
                    <w:rPr>
                      <w:rFonts w:hint="eastAsia" w:cs="Times New Roman"/>
                      <w:b/>
                      <w:bCs/>
                      <w:color w:val="auto"/>
                      <w:szCs w:val="21"/>
                      <w:vertAlign w:val="superscript"/>
                      <w:lang w:val="en-US" w:eastAsia="zh-CN"/>
                    </w:rPr>
                    <w:t>3</w:t>
                  </w:r>
                </w:p>
              </w:tc>
              <w:tc>
                <w:tcPr>
                  <w:tcW w:w="1203" w:type="dxa"/>
                  <w:vAlign w:val="center"/>
                </w:tcPr>
                <w:p w14:paraId="202F46D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
                      <w:bCs/>
                      <w:color w:val="auto"/>
                      <w:szCs w:val="21"/>
                      <w:vertAlign w:val="baseline"/>
                      <w:lang w:val="en-US" w:eastAsia="zh-CN"/>
                    </w:rPr>
                  </w:pPr>
                  <w:r>
                    <w:rPr>
                      <w:rFonts w:hint="eastAsia" w:cs="Times New Roman"/>
                      <w:b/>
                      <w:bCs/>
                      <w:color w:val="auto"/>
                      <w:szCs w:val="21"/>
                      <w:vertAlign w:val="baseline"/>
                      <w:lang w:val="en-US" w:eastAsia="zh-CN"/>
                    </w:rPr>
                    <w:t>排放速率kg/h</w:t>
                  </w:r>
                </w:p>
              </w:tc>
              <w:tc>
                <w:tcPr>
                  <w:tcW w:w="1327" w:type="dxa"/>
                  <w:vMerge w:val="continue"/>
                  <w:vAlign w:val="center"/>
                </w:tcPr>
                <w:p w14:paraId="208B63E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s="Times New Roman"/>
                      <w:b/>
                      <w:bCs/>
                      <w:color w:val="auto"/>
                      <w:szCs w:val="21"/>
                      <w:vertAlign w:val="baseline"/>
                      <w:lang w:val="en-US" w:eastAsia="zh-CN"/>
                    </w:rPr>
                  </w:pPr>
                </w:p>
              </w:tc>
            </w:tr>
            <w:tr w14:paraId="35BBD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30" w:type="dxa"/>
                  <w:vAlign w:val="center"/>
                </w:tcPr>
                <w:p w14:paraId="7C9A12F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颗粒物</w:t>
                  </w:r>
                </w:p>
              </w:tc>
              <w:tc>
                <w:tcPr>
                  <w:tcW w:w="1658" w:type="dxa"/>
                  <w:vAlign w:val="center"/>
                </w:tcPr>
                <w:p w14:paraId="3033EEA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6090</w:t>
                  </w:r>
                </w:p>
              </w:tc>
              <w:tc>
                <w:tcPr>
                  <w:tcW w:w="1202" w:type="dxa"/>
                  <w:vAlign w:val="center"/>
                </w:tcPr>
                <w:p w14:paraId="76D7A57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7.8</w:t>
                  </w:r>
                </w:p>
              </w:tc>
              <w:tc>
                <w:tcPr>
                  <w:tcW w:w="1202" w:type="dxa"/>
                  <w:vAlign w:val="center"/>
                </w:tcPr>
                <w:p w14:paraId="7F10AB2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19.5</w:t>
                  </w:r>
                </w:p>
              </w:tc>
              <w:tc>
                <w:tcPr>
                  <w:tcW w:w="1203" w:type="dxa"/>
                  <w:vAlign w:val="center"/>
                </w:tcPr>
                <w:p w14:paraId="735881B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0.048</w:t>
                  </w:r>
                </w:p>
              </w:tc>
              <w:tc>
                <w:tcPr>
                  <w:tcW w:w="1327" w:type="dxa"/>
                  <w:vAlign w:val="center"/>
                </w:tcPr>
                <w:p w14:paraId="5F9458E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20</w:t>
                  </w:r>
                </w:p>
              </w:tc>
            </w:tr>
            <w:tr w14:paraId="0537D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30" w:type="dxa"/>
                  <w:vAlign w:val="center"/>
                </w:tcPr>
                <w:p w14:paraId="760F95D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二氧化硫</w:t>
                  </w:r>
                </w:p>
              </w:tc>
              <w:tc>
                <w:tcPr>
                  <w:tcW w:w="1658" w:type="dxa"/>
                  <w:vAlign w:val="center"/>
                </w:tcPr>
                <w:p w14:paraId="37BA503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6090</w:t>
                  </w:r>
                </w:p>
              </w:tc>
              <w:tc>
                <w:tcPr>
                  <w:tcW w:w="1202" w:type="dxa"/>
                  <w:vAlign w:val="center"/>
                </w:tcPr>
                <w:p w14:paraId="3DEE579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3</w:t>
                  </w:r>
                </w:p>
              </w:tc>
              <w:tc>
                <w:tcPr>
                  <w:tcW w:w="1202" w:type="dxa"/>
                  <w:vAlign w:val="center"/>
                </w:tcPr>
                <w:p w14:paraId="04D7371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8</w:t>
                  </w:r>
                </w:p>
              </w:tc>
              <w:tc>
                <w:tcPr>
                  <w:tcW w:w="1203" w:type="dxa"/>
                  <w:vAlign w:val="center"/>
                </w:tcPr>
                <w:p w14:paraId="4EB615E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0.018</w:t>
                  </w:r>
                </w:p>
              </w:tc>
              <w:tc>
                <w:tcPr>
                  <w:tcW w:w="1327" w:type="dxa"/>
                  <w:vAlign w:val="center"/>
                </w:tcPr>
                <w:p w14:paraId="0FF8EB4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lang w:val="en-US" w:eastAsia="zh-CN"/>
                    </w:rPr>
                  </w:pPr>
                  <w:r>
                    <w:rPr>
                      <w:rFonts w:hint="eastAsia" w:cs="Times New Roman"/>
                      <w:color w:val="auto"/>
                      <w:szCs w:val="21"/>
                      <w:lang w:val="en-US" w:eastAsia="zh-CN"/>
                    </w:rPr>
                    <w:t>35</w:t>
                  </w:r>
                </w:p>
              </w:tc>
            </w:tr>
            <w:tr w14:paraId="2D49C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30" w:type="dxa"/>
                  <w:vAlign w:val="center"/>
                </w:tcPr>
                <w:p w14:paraId="5E70D72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氮氧化物</w:t>
                  </w:r>
                </w:p>
              </w:tc>
              <w:tc>
                <w:tcPr>
                  <w:tcW w:w="1658" w:type="dxa"/>
                  <w:vAlign w:val="center"/>
                </w:tcPr>
                <w:p w14:paraId="2A66E0C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6090</w:t>
                  </w:r>
                </w:p>
              </w:tc>
              <w:tc>
                <w:tcPr>
                  <w:tcW w:w="1202" w:type="dxa"/>
                  <w:vAlign w:val="center"/>
                </w:tcPr>
                <w:p w14:paraId="32334F2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48</w:t>
                  </w:r>
                </w:p>
              </w:tc>
              <w:tc>
                <w:tcPr>
                  <w:tcW w:w="1202" w:type="dxa"/>
                  <w:vAlign w:val="center"/>
                </w:tcPr>
                <w:p w14:paraId="16C3A19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120</w:t>
                  </w:r>
                </w:p>
              </w:tc>
              <w:tc>
                <w:tcPr>
                  <w:tcW w:w="1203" w:type="dxa"/>
                  <w:vAlign w:val="center"/>
                </w:tcPr>
                <w:p w14:paraId="6265321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0.29</w:t>
                  </w:r>
                </w:p>
              </w:tc>
              <w:tc>
                <w:tcPr>
                  <w:tcW w:w="1327" w:type="dxa"/>
                  <w:vAlign w:val="center"/>
                </w:tcPr>
                <w:p w14:paraId="6C2D7F8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lang w:val="en-US" w:eastAsia="zh-CN"/>
                    </w:rPr>
                  </w:pPr>
                  <w:r>
                    <w:rPr>
                      <w:rFonts w:hint="eastAsia" w:cs="Times New Roman"/>
                      <w:color w:val="auto"/>
                      <w:szCs w:val="21"/>
                      <w:lang w:val="en-US" w:eastAsia="zh-CN"/>
                    </w:rPr>
                    <w:t>150</w:t>
                  </w:r>
                </w:p>
              </w:tc>
            </w:tr>
            <w:tr w14:paraId="73C79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30" w:type="dxa"/>
                  <w:vAlign w:val="center"/>
                </w:tcPr>
                <w:p w14:paraId="1797DD9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一氧化碳</w:t>
                  </w:r>
                </w:p>
              </w:tc>
              <w:tc>
                <w:tcPr>
                  <w:tcW w:w="1658" w:type="dxa"/>
                  <w:vAlign w:val="center"/>
                </w:tcPr>
                <w:p w14:paraId="03231DF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6090</w:t>
                  </w:r>
                </w:p>
              </w:tc>
              <w:tc>
                <w:tcPr>
                  <w:tcW w:w="1202" w:type="dxa"/>
                  <w:vAlign w:val="center"/>
                </w:tcPr>
                <w:p w14:paraId="032F148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61</w:t>
                  </w:r>
                </w:p>
              </w:tc>
              <w:tc>
                <w:tcPr>
                  <w:tcW w:w="1202" w:type="dxa"/>
                  <w:vAlign w:val="center"/>
                </w:tcPr>
                <w:p w14:paraId="654F20A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152</w:t>
                  </w:r>
                </w:p>
              </w:tc>
              <w:tc>
                <w:tcPr>
                  <w:tcW w:w="1203" w:type="dxa"/>
                  <w:vAlign w:val="center"/>
                </w:tcPr>
                <w:p w14:paraId="3495A6B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0.37</w:t>
                  </w:r>
                </w:p>
              </w:tc>
              <w:tc>
                <w:tcPr>
                  <w:tcW w:w="1327" w:type="dxa"/>
                  <w:vAlign w:val="center"/>
                </w:tcPr>
                <w:p w14:paraId="243870A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lang w:val="en-US" w:eastAsia="zh-CN"/>
                    </w:rPr>
                  </w:pPr>
                  <w:r>
                    <w:rPr>
                      <w:rFonts w:hint="eastAsia" w:cs="Times New Roman"/>
                      <w:color w:val="auto"/>
                      <w:szCs w:val="21"/>
                      <w:lang w:val="en-US" w:eastAsia="zh-CN"/>
                    </w:rPr>
                    <w:t>200</w:t>
                  </w:r>
                </w:p>
              </w:tc>
            </w:tr>
            <w:tr w14:paraId="47E99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88" w:type="dxa"/>
                  <w:gridSpan w:val="2"/>
                  <w:vAlign w:val="center"/>
                </w:tcPr>
                <w:p w14:paraId="2C2147B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烟气黑度（级）</w:t>
                  </w:r>
                </w:p>
              </w:tc>
              <w:tc>
                <w:tcPr>
                  <w:tcW w:w="3607" w:type="dxa"/>
                  <w:gridSpan w:val="3"/>
                  <w:vAlign w:val="center"/>
                </w:tcPr>
                <w:p w14:paraId="1A89F56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Cs w:val="21"/>
                      <w:vertAlign w:val="baseline"/>
                      <w:lang w:val="en-US" w:eastAsia="zh-CN"/>
                    </w:rPr>
                  </w:pPr>
                  <w:r>
                    <w:rPr>
                      <w:rFonts w:hint="default" w:ascii="Times New Roman" w:hAnsi="Times New Roman" w:cs="Times New Roman"/>
                      <w:color w:val="auto"/>
                      <w:szCs w:val="21"/>
                      <w:vertAlign w:val="baseline"/>
                      <w:lang w:val="en-US" w:eastAsia="zh-CN"/>
                    </w:rPr>
                    <w:t>&lt;</w:t>
                  </w:r>
                  <w:r>
                    <w:rPr>
                      <w:rFonts w:hint="eastAsia" w:cs="Times New Roman"/>
                      <w:color w:val="auto"/>
                      <w:szCs w:val="21"/>
                      <w:vertAlign w:val="baseline"/>
                      <w:lang w:val="en-US" w:eastAsia="zh-CN"/>
                    </w:rPr>
                    <w:t>1级</w:t>
                  </w:r>
                </w:p>
              </w:tc>
              <w:tc>
                <w:tcPr>
                  <w:tcW w:w="1327" w:type="dxa"/>
                  <w:vAlign w:val="center"/>
                </w:tcPr>
                <w:p w14:paraId="5146A95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lang w:val="en-US" w:eastAsia="zh-CN"/>
                    </w:rPr>
                  </w:pPr>
                  <w:r>
                    <w:rPr>
                      <w:rFonts w:hint="default" w:ascii="Times New Roman" w:hAnsi="Times New Roman" w:eastAsia="宋体" w:cs="Times New Roman"/>
                      <w:color w:val="auto"/>
                      <w:szCs w:val="21"/>
                      <w:vertAlign w:val="baseline"/>
                      <w:lang w:val="en-US" w:eastAsia="zh-CN"/>
                    </w:rPr>
                    <w:t>≤</w:t>
                  </w:r>
                  <w:r>
                    <w:rPr>
                      <w:rFonts w:hint="eastAsia" w:ascii="Times New Roman" w:hAnsi="Times New Roman" w:eastAsia="宋体" w:cs="Times New Roman"/>
                      <w:color w:val="auto"/>
                      <w:szCs w:val="21"/>
                      <w:vertAlign w:val="baseline"/>
                      <w:lang w:val="en-US" w:eastAsia="zh-CN"/>
                    </w:rPr>
                    <w:t>1</w:t>
                  </w:r>
                  <w:r>
                    <w:rPr>
                      <w:rFonts w:hint="eastAsia" w:cs="Times New Roman"/>
                      <w:color w:val="auto"/>
                      <w:szCs w:val="21"/>
                      <w:vertAlign w:val="baseline"/>
                      <w:lang w:val="en-US" w:eastAsia="zh-CN"/>
                    </w:rPr>
                    <w:t>级</w:t>
                  </w:r>
                </w:p>
              </w:tc>
            </w:tr>
          </w:tbl>
          <w:p w14:paraId="02F381CA">
            <w:pPr>
              <w:pStyle w:val="45"/>
              <w:keepNext/>
              <w:keepLines/>
              <w:pageBreakBefore w:val="0"/>
              <w:widowControl w:val="0"/>
              <w:kinsoku/>
              <w:wordWrap/>
              <w:overflowPunct/>
              <w:topLinePunct w:val="0"/>
              <w:autoSpaceDE/>
              <w:autoSpaceDN/>
              <w:bidi w:val="0"/>
              <w:adjustRightInd/>
              <w:snapToGrid/>
              <w:spacing w:before="157" w:beforeLines="50" w:line="360" w:lineRule="auto"/>
              <w:ind w:left="0" w:leftChars="0" w:firstLine="420" w:firstLineChars="200"/>
              <w:jc w:val="both"/>
              <w:textAlignment w:val="auto"/>
              <w:rPr>
                <w:rFonts w:hint="default" w:ascii="Times New Roman" w:eastAsia="宋体" w:cs="Times New Roman"/>
                <w:color w:val="auto"/>
                <w:kern w:val="2"/>
                <w:sz w:val="21"/>
                <w:szCs w:val="21"/>
                <w:lang w:val="en-US" w:eastAsia="zh-CN" w:bidi="ar-SA"/>
              </w:rPr>
            </w:pPr>
            <w:r>
              <w:rPr>
                <w:rFonts w:hint="eastAsia" w:ascii="Times New Roman" w:eastAsia="宋体" w:cs="Times New Roman"/>
                <w:color w:val="auto"/>
                <w:kern w:val="2"/>
                <w:sz w:val="21"/>
                <w:szCs w:val="21"/>
                <w:lang w:val="en-US" w:eastAsia="zh-CN" w:bidi="ar-SA"/>
              </w:rPr>
              <w:t>现有项目锅炉废气经“</w:t>
            </w:r>
            <w:r>
              <w:rPr>
                <w:rFonts w:hint="default" w:ascii="Times New Roman" w:hAnsi="Times New Roman" w:eastAsia="宋体" w:cs="Times New Roman"/>
                <w:color w:val="auto"/>
                <w:sz w:val="21"/>
                <w:szCs w:val="21"/>
                <w:highlight w:val="none"/>
                <w:lang w:val="en-US" w:eastAsia="zh-CN"/>
              </w:rPr>
              <w:t>旋风除尘+水膜除尘+静电除尘</w:t>
            </w:r>
            <w:r>
              <w:rPr>
                <w:rFonts w:hint="eastAsia" w:ascii="Times New Roman" w:eastAsia="宋体" w:cs="Times New Roman"/>
                <w:color w:val="auto"/>
                <w:kern w:val="2"/>
                <w:sz w:val="21"/>
                <w:szCs w:val="21"/>
                <w:lang w:val="en-US" w:eastAsia="zh-CN" w:bidi="ar-SA"/>
              </w:rPr>
              <w:t>”处理后通过25m高排气筒排放，根据监测结果，项目年运行2400h，则锅炉废气颗粒物排放量为0.1152t/a、二氧化硫排放量为0.0432t/a、氮氧化物排放量为0.696t/a、一氧化碳排放量为0.888t/a。</w:t>
            </w:r>
          </w:p>
          <w:p w14:paraId="6B59865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②砂光</w:t>
            </w:r>
            <w:r>
              <w:rPr>
                <w:rFonts w:hint="eastAsia" w:ascii="宋体" w:hAnsi="宋体" w:cs="宋体"/>
                <w:b w:val="0"/>
                <w:bCs w:val="0"/>
                <w:color w:val="auto"/>
                <w:sz w:val="21"/>
                <w:szCs w:val="21"/>
                <w:highlight w:val="none"/>
                <w:lang w:val="en-US" w:eastAsia="zh-CN"/>
              </w:rPr>
              <w:t>/抛光</w:t>
            </w:r>
            <w:r>
              <w:rPr>
                <w:rFonts w:hint="eastAsia" w:ascii="宋体" w:hAnsi="宋体" w:eastAsia="宋体" w:cs="宋体"/>
                <w:b w:val="0"/>
                <w:bCs w:val="0"/>
                <w:color w:val="auto"/>
                <w:sz w:val="21"/>
                <w:szCs w:val="21"/>
                <w:highlight w:val="none"/>
                <w:lang w:val="en-US" w:eastAsia="zh-CN"/>
              </w:rPr>
              <w:t>/切边废气</w:t>
            </w:r>
          </w:p>
          <w:p w14:paraId="56577C5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现有项目在砂光、抛光、切边过程会产生大量粉尘，建设单位在产尘点安装集气罩、专用管道及抽风设备，将产生的粉尘收集送入布袋除尘器进行处理，处理后通过15m高排气筒排放，根据原环评核算，粉尘排放浓度为10mg/m</w:t>
            </w:r>
            <w:r>
              <w:rPr>
                <w:rFonts w:hint="eastAsia" w:cs="宋体"/>
                <w:b w:val="0"/>
                <w:bCs w:val="0"/>
                <w:color w:val="auto"/>
                <w:sz w:val="21"/>
                <w:szCs w:val="21"/>
                <w:highlight w:val="none"/>
                <w:vertAlign w:val="superscript"/>
                <w:lang w:val="en-US" w:eastAsia="zh-CN"/>
              </w:rPr>
              <w:t>3</w:t>
            </w:r>
            <w:r>
              <w:rPr>
                <w:rFonts w:hint="eastAsia" w:cs="宋体"/>
                <w:b w:val="0"/>
                <w:bCs w:val="0"/>
                <w:color w:val="auto"/>
                <w:sz w:val="21"/>
                <w:szCs w:val="21"/>
                <w:highlight w:val="none"/>
                <w:lang w:val="en-US" w:eastAsia="zh-CN"/>
              </w:rPr>
              <w:t>，排放量为0.432t/a，排放速率为0.18kg/h，满足广东省地方标准《大气污染物排放限值》（DB44/27-2001）第二时段二级标准。</w:t>
            </w:r>
          </w:p>
          <w:p w14:paraId="5C60D16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③热压废气</w:t>
            </w:r>
          </w:p>
          <w:p w14:paraId="1A2FF5A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现有项目使用环保胶水20t/a，根据建设单位提供资料，现有项目胶水为环保植物胶水，不含甲醛。热压过程污染物主要为少量VOCs，产生的VOCs采用集气罩收集后送入UV光解装置，处理后通过15m高排气筒排放。根据建设单位提供的2025年7月常规监测报告，VOCs实测排放浓度为2.13mg/m</w:t>
            </w:r>
            <w:r>
              <w:rPr>
                <w:rFonts w:hint="eastAsia" w:cs="宋体"/>
                <w:b w:val="0"/>
                <w:bCs w:val="0"/>
                <w:color w:val="auto"/>
                <w:sz w:val="21"/>
                <w:szCs w:val="21"/>
                <w:highlight w:val="none"/>
                <w:vertAlign w:val="superscript"/>
                <w:lang w:val="en-US" w:eastAsia="zh-CN"/>
              </w:rPr>
              <w:t>3</w:t>
            </w:r>
            <w:r>
              <w:rPr>
                <w:rFonts w:hint="eastAsia" w:cs="宋体"/>
                <w:b w:val="0"/>
                <w:bCs w:val="0"/>
                <w:color w:val="auto"/>
                <w:sz w:val="21"/>
                <w:szCs w:val="21"/>
                <w:highlight w:val="none"/>
                <w:lang w:val="en-US" w:eastAsia="zh-CN"/>
              </w:rPr>
              <w:t>，排放速率为0.016kg/h。检测结果见下表：</w:t>
            </w:r>
          </w:p>
          <w:p w14:paraId="4D9FD7C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bCs/>
                <w:color w:val="auto"/>
                <w:sz w:val="21"/>
                <w:szCs w:val="21"/>
                <w:highlight w:val="none"/>
                <w:lang w:val="en-US" w:eastAsia="zh-CN"/>
              </w:rPr>
            </w:pPr>
            <w:r>
              <w:rPr>
                <w:rFonts w:hint="eastAsia" w:cs="宋体"/>
                <w:b/>
                <w:bCs/>
                <w:color w:val="auto"/>
                <w:sz w:val="21"/>
                <w:szCs w:val="21"/>
                <w:highlight w:val="none"/>
                <w:lang w:val="en-US" w:eastAsia="zh-CN"/>
              </w:rPr>
              <w:t>表2-8 现有项目热压废气检测结果</w:t>
            </w:r>
          </w:p>
          <w:tbl>
            <w:tblPr>
              <w:tblStyle w:val="36"/>
              <w:tblW w:w="7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1192"/>
              <w:gridCol w:w="1309"/>
              <w:gridCol w:w="1309"/>
              <w:gridCol w:w="1309"/>
              <w:gridCol w:w="1310"/>
            </w:tblGrid>
            <w:tr w14:paraId="28DD7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308" w:type="dxa"/>
                  <w:vMerge w:val="restart"/>
                  <w:vAlign w:val="center"/>
                </w:tcPr>
                <w:p w14:paraId="3C8A3A4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
                      <w:bCs/>
                      <w:color w:val="auto"/>
                      <w:szCs w:val="21"/>
                      <w:vertAlign w:val="baseline"/>
                      <w:lang w:val="en-US" w:eastAsia="zh-CN"/>
                    </w:rPr>
                  </w:pPr>
                  <w:r>
                    <w:rPr>
                      <w:rFonts w:hint="eastAsia" w:cs="Times New Roman"/>
                      <w:b/>
                      <w:bCs/>
                      <w:color w:val="auto"/>
                      <w:szCs w:val="21"/>
                      <w:vertAlign w:val="baseline"/>
                      <w:lang w:val="en-US" w:eastAsia="zh-CN"/>
                    </w:rPr>
                    <w:t>检测项目</w:t>
                  </w:r>
                </w:p>
              </w:tc>
              <w:tc>
                <w:tcPr>
                  <w:tcW w:w="1192" w:type="dxa"/>
                  <w:vMerge w:val="restart"/>
                  <w:vAlign w:val="center"/>
                </w:tcPr>
                <w:p w14:paraId="674BE17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
                      <w:bCs/>
                      <w:color w:val="auto"/>
                      <w:szCs w:val="21"/>
                      <w:vertAlign w:val="baseline"/>
                      <w:lang w:val="en-US" w:eastAsia="zh-CN"/>
                    </w:rPr>
                  </w:pPr>
                  <w:r>
                    <w:rPr>
                      <w:rFonts w:hint="eastAsia" w:cs="Times New Roman"/>
                      <w:b/>
                      <w:bCs/>
                      <w:color w:val="auto"/>
                      <w:szCs w:val="21"/>
                      <w:vertAlign w:val="baseline"/>
                      <w:lang w:val="en-US" w:eastAsia="zh-CN"/>
                    </w:rPr>
                    <w:t>标杆流量m</w:t>
                  </w:r>
                  <w:r>
                    <w:rPr>
                      <w:rFonts w:hint="eastAsia" w:cs="Times New Roman"/>
                      <w:b/>
                      <w:bCs/>
                      <w:color w:val="auto"/>
                      <w:szCs w:val="21"/>
                      <w:vertAlign w:val="superscript"/>
                      <w:lang w:val="en-US" w:eastAsia="zh-CN"/>
                    </w:rPr>
                    <w:t>3</w:t>
                  </w:r>
                  <w:r>
                    <w:rPr>
                      <w:rFonts w:hint="eastAsia" w:cs="Times New Roman"/>
                      <w:b/>
                      <w:bCs/>
                      <w:color w:val="auto"/>
                      <w:szCs w:val="21"/>
                      <w:vertAlign w:val="baseline"/>
                      <w:lang w:val="en-US" w:eastAsia="zh-CN"/>
                    </w:rPr>
                    <w:t>/h</w:t>
                  </w:r>
                </w:p>
              </w:tc>
              <w:tc>
                <w:tcPr>
                  <w:tcW w:w="2618" w:type="dxa"/>
                  <w:gridSpan w:val="2"/>
                  <w:vAlign w:val="center"/>
                </w:tcPr>
                <w:p w14:paraId="3895940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
                      <w:bCs/>
                      <w:color w:val="auto"/>
                      <w:szCs w:val="21"/>
                      <w:vertAlign w:val="baseline"/>
                      <w:lang w:val="en-US" w:eastAsia="zh-CN"/>
                    </w:rPr>
                  </w:pPr>
                  <w:r>
                    <w:rPr>
                      <w:rFonts w:hint="eastAsia" w:cs="Times New Roman"/>
                      <w:b/>
                      <w:bCs/>
                      <w:color w:val="auto"/>
                      <w:szCs w:val="21"/>
                      <w:vertAlign w:val="baseline"/>
                      <w:lang w:val="en-US" w:eastAsia="zh-CN"/>
                    </w:rPr>
                    <w:t>检测结果</w:t>
                  </w:r>
                </w:p>
              </w:tc>
              <w:tc>
                <w:tcPr>
                  <w:tcW w:w="2619" w:type="dxa"/>
                  <w:gridSpan w:val="2"/>
                  <w:vAlign w:val="center"/>
                </w:tcPr>
                <w:p w14:paraId="6240CBC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
                      <w:bCs/>
                      <w:color w:val="auto"/>
                      <w:szCs w:val="21"/>
                      <w:vertAlign w:val="baseline"/>
                      <w:lang w:val="en-US" w:eastAsia="zh-CN"/>
                    </w:rPr>
                  </w:pPr>
                  <w:r>
                    <w:rPr>
                      <w:rFonts w:hint="eastAsia" w:cs="Times New Roman"/>
                      <w:b/>
                      <w:bCs/>
                      <w:color w:val="auto"/>
                      <w:szCs w:val="21"/>
                      <w:vertAlign w:val="baseline"/>
                      <w:lang w:val="en-US" w:eastAsia="zh-CN"/>
                    </w:rPr>
                    <w:t>限值</w:t>
                  </w:r>
                </w:p>
              </w:tc>
            </w:tr>
            <w:tr w14:paraId="6FBE1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308" w:type="dxa"/>
                  <w:vMerge w:val="continue"/>
                  <w:vAlign w:val="center"/>
                </w:tcPr>
                <w:p w14:paraId="69F7EEF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s="Times New Roman"/>
                      <w:b/>
                      <w:bCs/>
                      <w:color w:val="auto"/>
                      <w:szCs w:val="21"/>
                      <w:vertAlign w:val="baseline"/>
                      <w:lang w:val="en-US" w:eastAsia="zh-CN"/>
                    </w:rPr>
                  </w:pPr>
                </w:p>
              </w:tc>
              <w:tc>
                <w:tcPr>
                  <w:tcW w:w="1192" w:type="dxa"/>
                  <w:vMerge w:val="continue"/>
                  <w:vAlign w:val="center"/>
                </w:tcPr>
                <w:p w14:paraId="75F7C21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s="Times New Roman"/>
                      <w:b/>
                      <w:bCs/>
                      <w:color w:val="auto"/>
                      <w:szCs w:val="21"/>
                      <w:vertAlign w:val="baseline"/>
                      <w:lang w:val="en-US" w:eastAsia="zh-CN"/>
                    </w:rPr>
                  </w:pPr>
                </w:p>
              </w:tc>
              <w:tc>
                <w:tcPr>
                  <w:tcW w:w="1309" w:type="dxa"/>
                  <w:vAlign w:val="center"/>
                </w:tcPr>
                <w:p w14:paraId="2762D65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
                      <w:bCs/>
                      <w:color w:val="auto"/>
                      <w:szCs w:val="21"/>
                      <w:vertAlign w:val="baseline"/>
                      <w:lang w:val="en-US" w:eastAsia="zh-CN"/>
                    </w:rPr>
                  </w:pPr>
                  <w:r>
                    <w:rPr>
                      <w:rFonts w:hint="eastAsia" w:cs="Times New Roman"/>
                      <w:b/>
                      <w:bCs/>
                      <w:color w:val="auto"/>
                      <w:szCs w:val="21"/>
                      <w:vertAlign w:val="baseline"/>
                      <w:lang w:val="en-US" w:eastAsia="zh-CN"/>
                    </w:rPr>
                    <w:t>排放浓度mg/m</w:t>
                  </w:r>
                  <w:r>
                    <w:rPr>
                      <w:rFonts w:hint="eastAsia" w:cs="Times New Roman"/>
                      <w:b/>
                      <w:bCs/>
                      <w:color w:val="auto"/>
                      <w:szCs w:val="21"/>
                      <w:vertAlign w:val="superscript"/>
                      <w:lang w:val="en-US" w:eastAsia="zh-CN"/>
                    </w:rPr>
                    <w:t>3</w:t>
                  </w:r>
                </w:p>
              </w:tc>
              <w:tc>
                <w:tcPr>
                  <w:tcW w:w="1309" w:type="dxa"/>
                  <w:vAlign w:val="center"/>
                </w:tcPr>
                <w:p w14:paraId="6A3A8A9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
                      <w:bCs/>
                      <w:color w:val="auto"/>
                      <w:szCs w:val="21"/>
                      <w:vertAlign w:val="baseline"/>
                      <w:lang w:val="en-US" w:eastAsia="zh-CN"/>
                    </w:rPr>
                  </w:pPr>
                  <w:r>
                    <w:rPr>
                      <w:rFonts w:hint="eastAsia" w:cs="Times New Roman"/>
                      <w:b/>
                      <w:bCs/>
                      <w:color w:val="auto"/>
                      <w:szCs w:val="21"/>
                      <w:vertAlign w:val="baseline"/>
                      <w:lang w:val="en-US" w:eastAsia="zh-CN"/>
                    </w:rPr>
                    <w:t>排放速率kg/h</w:t>
                  </w:r>
                </w:p>
              </w:tc>
              <w:tc>
                <w:tcPr>
                  <w:tcW w:w="1309" w:type="dxa"/>
                  <w:vAlign w:val="center"/>
                </w:tcPr>
                <w:p w14:paraId="17073F6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
                      <w:bCs/>
                      <w:color w:val="auto"/>
                      <w:szCs w:val="21"/>
                      <w:vertAlign w:val="baseline"/>
                      <w:lang w:val="en-US" w:eastAsia="zh-CN"/>
                    </w:rPr>
                  </w:pPr>
                  <w:r>
                    <w:rPr>
                      <w:rFonts w:hint="eastAsia" w:cs="Times New Roman"/>
                      <w:b/>
                      <w:bCs/>
                      <w:color w:val="auto"/>
                      <w:szCs w:val="21"/>
                      <w:vertAlign w:val="baseline"/>
                      <w:lang w:val="en-US" w:eastAsia="zh-CN"/>
                    </w:rPr>
                    <w:t>排放浓度mg/m</w:t>
                  </w:r>
                  <w:r>
                    <w:rPr>
                      <w:rFonts w:hint="eastAsia" w:cs="Times New Roman"/>
                      <w:b/>
                      <w:bCs/>
                      <w:color w:val="auto"/>
                      <w:szCs w:val="21"/>
                      <w:vertAlign w:val="superscript"/>
                      <w:lang w:val="en-US" w:eastAsia="zh-CN"/>
                    </w:rPr>
                    <w:t>3</w:t>
                  </w:r>
                </w:p>
              </w:tc>
              <w:tc>
                <w:tcPr>
                  <w:tcW w:w="1310" w:type="dxa"/>
                  <w:vAlign w:val="center"/>
                </w:tcPr>
                <w:p w14:paraId="297EB63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s="Times New Roman"/>
                      <w:b/>
                      <w:bCs/>
                      <w:color w:val="auto"/>
                      <w:szCs w:val="21"/>
                      <w:vertAlign w:val="baseline"/>
                      <w:lang w:val="en-US" w:eastAsia="zh-CN"/>
                    </w:rPr>
                  </w:pPr>
                  <w:r>
                    <w:rPr>
                      <w:rFonts w:hint="eastAsia" w:cs="Times New Roman"/>
                      <w:b/>
                      <w:bCs/>
                      <w:color w:val="auto"/>
                      <w:szCs w:val="21"/>
                      <w:vertAlign w:val="baseline"/>
                      <w:lang w:val="en-US" w:eastAsia="zh-CN"/>
                    </w:rPr>
                    <w:t>排放速率kg/h</w:t>
                  </w:r>
                </w:p>
              </w:tc>
            </w:tr>
            <w:tr w14:paraId="37DED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308" w:type="dxa"/>
                  <w:vAlign w:val="center"/>
                </w:tcPr>
                <w:p w14:paraId="6194B75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VOCs</w:t>
                  </w:r>
                </w:p>
              </w:tc>
              <w:tc>
                <w:tcPr>
                  <w:tcW w:w="1192" w:type="dxa"/>
                  <w:vAlign w:val="center"/>
                </w:tcPr>
                <w:p w14:paraId="787F6A9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7465</w:t>
                  </w:r>
                </w:p>
              </w:tc>
              <w:tc>
                <w:tcPr>
                  <w:tcW w:w="1309" w:type="dxa"/>
                  <w:vAlign w:val="center"/>
                </w:tcPr>
                <w:p w14:paraId="23A7466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2.13</w:t>
                  </w:r>
                </w:p>
              </w:tc>
              <w:tc>
                <w:tcPr>
                  <w:tcW w:w="1309" w:type="dxa"/>
                  <w:vAlign w:val="center"/>
                </w:tcPr>
                <w:p w14:paraId="3201884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0.016</w:t>
                  </w:r>
                </w:p>
              </w:tc>
              <w:tc>
                <w:tcPr>
                  <w:tcW w:w="1309" w:type="dxa"/>
                  <w:vAlign w:val="center"/>
                </w:tcPr>
                <w:p w14:paraId="3C3FE84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30</w:t>
                  </w:r>
                </w:p>
              </w:tc>
              <w:tc>
                <w:tcPr>
                  <w:tcW w:w="1310" w:type="dxa"/>
                  <w:vAlign w:val="center"/>
                </w:tcPr>
                <w:p w14:paraId="7A396AA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2.9</w:t>
                  </w:r>
                </w:p>
              </w:tc>
            </w:tr>
          </w:tbl>
          <w:p w14:paraId="01B16D92">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20" w:firstLineChars="200"/>
              <w:jc w:val="both"/>
              <w:textAlignment w:val="auto"/>
              <w:rPr>
                <w:rFonts w:hint="default"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根据检测结果可知，热压废气排放浓度、排放速率均满足广东省地方标准《家具制造行业挥发性有机化合物排放标准》（DB44/814-2010）</w:t>
            </w:r>
            <w:r>
              <w:rPr>
                <w:rFonts w:hint="eastAsia" w:ascii="宋体" w:hAnsi="宋体" w:eastAsia="宋体" w:cs="宋体"/>
                <w:b w:val="0"/>
                <w:bCs w:val="0"/>
                <w:color w:val="auto"/>
                <w:sz w:val="21"/>
                <w:szCs w:val="21"/>
                <w:highlight w:val="none"/>
                <w:lang w:val="en-US" w:eastAsia="zh-CN"/>
              </w:rPr>
              <w:t>Ⅱ时段限值要求。</w:t>
            </w:r>
          </w:p>
          <w:p w14:paraId="217410C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④无组织废气</w:t>
            </w:r>
          </w:p>
          <w:p w14:paraId="25B5281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现有项目无组织废气主要为生产过程未收集到的粉尘废气、VOCs。根据建设单位提供的2025年7月常规监测报告，无组织废气检测结果见下表：</w:t>
            </w:r>
          </w:p>
          <w:p w14:paraId="1A4AC09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bCs/>
                <w:color w:val="auto"/>
                <w:sz w:val="21"/>
                <w:szCs w:val="21"/>
                <w:highlight w:val="none"/>
                <w:lang w:val="en-US" w:eastAsia="zh-CN"/>
              </w:rPr>
            </w:pPr>
            <w:r>
              <w:rPr>
                <w:rFonts w:hint="eastAsia" w:cs="宋体"/>
                <w:b/>
                <w:bCs/>
                <w:color w:val="auto"/>
                <w:sz w:val="21"/>
                <w:szCs w:val="21"/>
                <w:highlight w:val="none"/>
                <w:lang w:val="en-US" w:eastAsia="zh-CN"/>
              </w:rPr>
              <w:t>表2-9 无组织废气检测结果</w:t>
            </w:r>
          </w:p>
          <w:tbl>
            <w:tblPr>
              <w:tblStyle w:val="36"/>
              <w:tblW w:w="7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0"/>
              <w:gridCol w:w="2468"/>
              <w:gridCol w:w="2769"/>
            </w:tblGrid>
            <w:tr w14:paraId="1A78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00" w:type="dxa"/>
                  <w:vMerge w:val="restart"/>
                  <w:vAlign w:val="center"/>
                </w:tcPr>
                <w:p w14:paraId="060404B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
                      <w:bCs/>
                      <w:color w:val="auto"/>
                      <w:szCs w:val="21"/>
                      <w:vertAlign w:val="baseline"/>
                      <w:lang w:val="en-US" w:eastAsia="zh-CN"/>
                    </w:rPr>
                  </w:pPr>
                  <w:r>
                    <w:rPr>
                      <w:rFonts w:hint="eastAsia" w:cs="Times New Roman"/>
                      <w:b/>
                      <w:bCs/>
                      <w:color w:val="auto"/>
                      <w:szCs w:val="21"/>
                      <w:vertAlign w:val="baseline"/>
                      <w:lang w:val="en-US" w:eastAsia="zh-CN"/>
                    </w:rPr>
                    <w:t>检测点位</w:t>
                  </w:r>
                </w:p>
              </w:tc>
              <w:tc>
                <w:tcPr>
                  <w:tcW w:w="5237" w:type="dxa"/>
                  <w:gridSpan w:val="2"/>
                  <w:vAlign w:val="center"/>
                </w:tcPr>
                <w:p w14:paraId="32DBCBE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
                      <w:bCs/>
                      <w:color w:val="auto"/>
                      <w:szCs w:val="21"/>
                      <w:vertAlign w:val="baseline"/>
                      <w:lang w:val="en-US" w:eastAsia="zh-CN"/>
                    </w:rPr>
                  </w:pPr>
                  <w:r>
                    <w:rPr>
                      <w:rFonts w:hint="eastAsia" w:cs="Times New Roman"/>
                      <w:b/>
                      <w:bCs/>
                      <w:color w:val="auto"/>
                      <w:szCs w:val="21"/>
                      <w:vertAlign w:val="baseline"/>
                      <w:lang w:val="en-US" w:eastAsia="zh-CN"/>
                    </w:rPr>
                    <w:t>检测结果（mg/m</w:t>
                  </w:r>
                  <w:r>
                    <w:rPr>
                      <w:rFonts w:hint="eastAsia" w:cs="Times New Roman"/>
                      <w:b/>
                      <w:bCs/>
                      <w:color w:val="auto"/>
                      <w:szCs w:val="21"/>
                      <w:vertAlign w:val="superscript"/>
                      <w:lang w:val="en-US" w:eastAsia="zh-CN"/>
                    </w:rPr>
                    <w:t>3</w:t>
                  </w:r>
                  <w:r>
                    <w:rPr>
                      <w:rFonts w:hint="eastAsia" w:cs="Times New Roman"/>
                      <w:b/>
                      <w:bCs/>
                      <w:color w:val="auto"/>
                      <w:szCs w:val="21"/>
                      <w:vertAlign w:val="baseline"/>
                      <w:lang w:val="en-US" w:eastAsia="zh-CN"/>
                    </w:rPr>
                    <w:t>）</w:t>
                  </w:r>
                </w:p>
              </w:tc>
            </w:tr>
            <w:tr w14:paraId="1304F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00" w:type="dxa"/>
                  <w:vMerge w:val="continue"/>
                  <w:vAlign w:val="center"/>
                </w:tcPr>
                <w:p w14:paraId="06F5E9E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s="Times New Roman"/>
                      <w:b/>
                      <w:bCs/>
                      <w:color w:val="auto"/>
                      <w:szCs w:val="21"/>
                      <w:vertAlign w:val="baseline"/>
                      <w:lang w:val="en-US" w:eastAsia="zh-CN"/>
                    </w:rPr>
                  </w:pPr>
                </w:p>
              </w:tc>
              <w:tc>
                <w:tcPr>
                  <w:tcW w:w="2468" w:type="dxa"/>
                  <w:vAlign w:val="center"/>
                </w:tcPr>
                <w:p w14:paraId="1EB4B9A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
                      <w:bCs/>
                      <w:color w:val="auto"/>
                      <w:szCs w:val="21"/>
                      <w:vertAlign w:val="baseline"/>
                      <w:lang w:val="en-US" w:eastAsia="zh-CN"/>
                    </w:rPr>
                  </w:pPr>
                  <w:r>
                    <w:rPr>
                      <w:rFonts w:hint="eastAsia" w:cs="Times New Roman"/>
                      <w:b/>
                      <w:bCs/>
                      <w:color w:val="auto"/>
                      <w:szCs w:val="21"/>
                      <w:vertAlign w:val="baseline"/>
                      <w:lang w:val="en-US" w:eastAsia="zh-CN"/>
                    </w:rPr>
                    <w:t>颗粒物</w:t>
                  </w:r>
                </w:p>
              </w:tc>
              <w:tc>
                <w:tcPr>
                  <w:tcW w:w="2769" w:type="dxa"/>
                  <w:vAlign w:val="center"/>
                </w:tcPr>
                <w:p w14:paraId="0410312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
                      <w:bCs/>
                      <w:color w:val="auto"/>
                      <w:szCs w:val="21"/>
                      <w:vertAlign w:val="baseline"/>
                      <w:lang w:val="en-US" w:eastAsia="zh-CN"/>
                    </w:rPr>
                  </w:pPr>
                  <w:r>
                    <w:rPr>
                      <w:rFonts w:hint="eastAsia" w:cs="Times New Roman"/>
                      <w:b/>
                      <w:bCs/>
                      <w:color w:val="auto"/>
                      <w:szCs w:val="21"/>
                      <w:vertAlign w:val="baseline"/>
                      <w:lang w:val="en-US" w:eastAsia="zh-CN"/>
                    </w:rPr>
                    <w:t>VOCs</w:t>
                  </w:r>
                </w:p>
              </w:tc>
            </w:tr>
            <w:tr w14:paraId="1AC1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00" w:type="dxa"/>
                  <w:vAlign w:val="center"/>
                </w:tcPr>
                <w:p w14:paraId="330050A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厂界上风向</w:t>
                  </w:r>
                </w:p>
              </w:tc>
              <w:tc>
                <w:tcPr>
                  <w:tcW w:w="2468" w:type="dxa"/>
                  <w:vAlign w:val="center"/>
                </w:tcPr>
                <w:p w14:paraId="18B8B67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0.078</w:t>
                  </w:r>
                </w:p>
              </w:tc>
              <w:tc>
                <w:tcPr>
                  <w:tcW w:w="2769" w:type="dxa"/>
                  <w:vAlign w:val="center"/>
                </w:tcPr>
                <w:p w14:paraId="2DBFBC5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0.02</w:t>
                  </w:r>
                </w:p>
              </w:tc>
            </w:tr>
            <w:tr w14:paraId="112FF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00" w:type="dxa"/>
                  <w:vAlign w:val="center"/>
                </w:tcPr>
                <w:p w14:paraId="5806C8D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厂界下风向1#</w:t>
                  </w:r>
                </w:p>
              </w:tc>
              <w:tc>
                <w:tcPr>
                  <w:tcW w:w="2468" w:type="dxa"/>
                  <w:vAlign w:val="center"/>
                </w:tcPr>
                <w:p w14:paraId="0C61B51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0.186</w:t>
                  </w:r>
                </w:p>
              </w:tc>
              <w:tc>
                <w:tcPr>
                  <w:tcW w:w="2769" w:type="dxa"/>
                  <w:vAlign w:val="center"/>
                </w:tcPr>
                <w:p w14:paraId="599E8BC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0.03</w:t>
                  </w:r>
                </w:p>
              </w:tc>
            </w:tr>
            <w:tr w14:paraId="128A7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00" w:type="dxa"/>
                  <w:vAlign w:val="center"/>
                </w:tcPr>
                <w:p w14:paraId="5527301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s="Times New Roman"/>
                      <w:color w:val="auto"/>
                      <w:szCs w:val="21"/>
                      <w:vertAlign w:val="baseline"/>
                      <w:lang w:val="en-US" w:eastAsia="zh-CN"/>
                    </w:rPr>
                  </w:pPr>
                  <w:r>
                    <w:rPr>
                      <w:rFonts w:hint="eastAsia" w:cs="Times New Roman"/>
                      <w:color w:val="auto"/>
                      <w:szCs w:val="21"/>
                      <w:vertAlign w:val="baseline"/>
                      <w:lang w:val="en-US" w:eastAsia="zh-CN"/>
                    </w:rPr>
                    <w:t>厂界下风向2#</w:t>
                  </w:r>
                </w:p>
              </w:tc>
              <w:tc>
                <w:tcPr>
                  <w:tcW w:w="2468" w:type="dxa"/>
                  <w:vAlign w:val="center"/>
                </w:tcPr>
                <w:p w14:paraId="3104B93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0.277</w:t>
                  </w:r>
                </w:p>
              </w:tc>
              <w:tc>
                <w:tcPr>
                  <w:tcW w:w="2769" w:type="dxa"/>
                  <w:vAlign w:val="center"/>
                </w:tcPr>
                <w:p w14:paraId="66CF3AB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0.02</w:t>
                  </w:r>
                </w:p>
              </w:tc>
            </w:tr>
            <w:tr w14:paraId="2C333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00" w:type="dxa"/>
                  <w:vAlign w:val="center"/>
                </w:tcPr>
                <w:p w14:paraId="7C81103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s="Times New Roman"/>
                      <w:color w:val="auto"/>
                      <w:szCs w:val="21"/>
                      <w:vertAlign w:val="baseline"/>
                      <w:lang w:val="en-US" w:eastAsia="zh-CN"/>
                    </w:rPr>
                  </w:pPr>
                  <w:r>
                    <w:rPr>
                      <w:rFonts w:hint="eastAsia" w:cs="Times New Roman"/>
                      <w:color w:val="auto"/>
                      <w:szCs w:val="21"/>
                      <w:vertAlign w:val="baseline"/>
                      <w:lang w:val="en-US" w:eastAsia="zh-CN"/>
                    </w:rPr>
                    <w:t>厂界下风向3#</w:t>
                  </w:r>
                </w:p>
              </w:tc>
              <w:tc>
                <w:tcPr>
                  <w:tcW w:w="2468" w:type="dxa"/>
                  <w:vAlign w:val="center"/>
                </w:tcPr>
                <w:p w14:paraId="18C2040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0.392</w:t>
                  </w:r>
                </w:p>
              </w:tc>
              <w:tc>
                <w:tcPr>
                  <w:tcW w:w="2769" w:type="dxa"/>
                  <w:vAlign w:val="center"/>
                </w:tcPr>
                <w:p w14:paraId="1C982F2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0.02</w:t>
                  </w:r>
                </w:p>
              </w:tc>
            </w:tr>
            <w:tr w14:paraId="314A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00" w:type="dxa"/>
                  <w:vAlign w:val="center"/>
                </w:tcPr>
                <w:p w14:paraId="1AF3F64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标准限值</w:t>
                  </w:r>
                </w:p>
              </w:tc>
              <w:tc>
                <w:tcPr>
                  <w:tcW w:w="2468" w:type="dxa"/>
                  <w:vAlign w:val="center"/>
                </w:tcPr>
                <w:p w14:paraId="3B80E4A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1.0</w:t>
                  </w:r>
                </w:p>
              </w:tc>
              <w:tc>
                <w:tcPr>
                  <w:tcW w:w="2769" w:type="dxa"/>
                  <w:vAlign w:val="center"/>
                </w:tcPr>
                <w:p w14:paraId="35B5085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2.0</w:t>
                  </w:r>
                </w:p>
              </w:tc>
            </w:tr>
          </w:tbl>
          <w:p w14:paraId="3EF787D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default"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根据上表可知，厂界无组织颗粒物排放浓度满足广东省地方标准《大气污染物排放限值》（DB44/27-2001）第二时段无组织排放监控点浓度限值；VOCs排放浓度满足《家具制造行业挥发性有机化合物排放标准》（DB44/814-2010）表2无组织排放监控点浓度限值。</w:t>
            </w:r>
          </w:p>
          <w:p w14:paraId="035E9000">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default" w:ascii="Times New Roman" w:hAnsi="Times New Roman" w:eastAsia="宋体" w:cs="宋体"/>
                <w:b/>
                <w:bCs/>
                <w:color w:val="auto"/>
                <w:sz w:val="21"/>
                <w:szCs w:val="21"/>
                <w:highlight w:val="none"/>
                <w:lang w:val="en-US"/>
              </w:rPr>
            </w:pPr>
            <w:r>
              <w:rPr>
                <w:rFonts w:hint="eastAsia" w:cs="宋体"/>
                <w:b/>
                <w:bCs/>
                <w:color w:val="auto"/>
                <w:sz w:val="21"/>
                <w:szCs w:val="21"/>
                <w:highlight w:val="none"/>
                <w:lang w:val="en-US" w:eastAsia="zh-CN"/>
              </w:rPr>
              <w:t>（2）废水</w:t>
            </w:r>
          </w:p>
          <w:p w14:paraId="76E474E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现有项目废水主要为生活污水，现有项目劳动定员68人，生活污水产生量约2500m</w:t>
            </w:r>
            <w:r>
              <w:rPr>
                <w:rFonts w:hint="eastAsia" w:cs="宋体"/>
                <w:b w:val="0"/>
                <w:bCs w:val="0"/>
                <w:color w:val="auto"/>
                <w:sz w:val="21"/>
                <w:szCs w:val="21"/>
                <w:highlight w:val="none"/>
                <w:vertAlign w:val="superscript"/>
                <w:lang w:val="en-US" w:eastAsia="zh-CN"/>
              </w:rPr>
              <w:t>3</w:t>
            </w:r>
            <w:r>
              <w:rPr>
                <w:rFonts w:hint="eastAsia" w:cs="宋体"/>
                <w:b w:val="0"/>
                <w:bCs w:val="0"/>
                <w:color w:val="auto"/>
                <w:sz w:val="21"/>
                <w:szCs w:val="21"/>
                <w:highlight w:val="none"/>
                <w:lang w:val="en-US" w:eastAsia="zh-CN"/>
              </w:rPr>
              <w:t>/a，生活污水经化粪池处理后用于厂区绿化或附近农村菜地浇灌，不外排。水膜除尘用水经沉淀后循环使用，不外排。</w:t>
            </w:r>
          </w:p>
          <w:p w14:paraId="1A991173">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default" w:ascii="Times New Roman" w:hAnsi="Times New Roman" w:eastAsia="宋体" w:cs="宋体"/>
                <w:b/>
                <w:bCs/>
                <w:color w:val="auto"/>
                <w:sz w:val="21"/>
                <w:szCs w:val="21"/>
                <w:highlight w:val="none"/>
                <w:lang w:val="en-US"/>
              </w:rPr>
            </w:pPr>
            <w:r>
              <w:rPr>
                <w:rFonts w:hint="eastAsia" w:cs="宋体"/>
                <w:b/>
                <w:bCs/>
                <w:color w:val="auto"/>
                <w:sz w:val="21"/>
                <w:szCs w:val="21"/>
                <w:highlight w:val="none"/>
                <w:lang w:val="en-US" w:eastAsia="zh-CN"/>
              </w:rPr>
              <w:t xml:space="preserve"> （3）噪声</w:t>
            </w:r>
          </w:p>
          <w:p w14:paraId="24444E2B">
            <w:pPr>
              <w:spacing w:line="360" w:lineRule="auto"/>
              <w:ind w:firstLine="420" w:firstLineChars="200"/>
              <w:jc w:val="left"/>
              <w:rPr>
                <w:rFonts w:hint="eastAsia"/>
                <w:color w:val="auto"/>
                <w:szCs w:val="21"/>
                <w:lang w:val="en-US" w:eastAsia="zh-CN"/>
              </w:rPr>
            </w:pPr>
            <w:r>
              <w:rPr>
                <w:rFonts w:hint="eastAsia" w:cs="Times New Roman"/>
                <w:color w:val="auto"/>
                <w:szCs w:val="21"/>
                <w:lang w:val="en-US" w:eastAsia="zh-CN"/>
              </w:rPr>
              <w:t>主要为设备运行噪声，</w:t>
            </w:r>
            <w:r>
              <w:rPr>
                <w:rFonts w:hint="eastAsia" w:cs="宋体"/>
                <w:b w:val="0"/>
                <w:bCs w:val="0"/>
                <w:color w:val="auto"/>
                <w:sz w:val="21"/>
                <w:szCs w:val="21"/>
                <w:highlight w:val="none"/>
                <w:lang w:val="en-US" w:eastAsia="zh-CN"/>
              </w:rPr>
              <w:t>根据建设单位提供的2025年7月常规监测报告</w:t>
            </w:r>
            <w:r>
              <w:rPr>
                <w:rFonts w:hint="eastAsia" w:cs="Times New Roman"/>
                <w:color w:val="auto"/>
                <w:szCs w:val="21"/>
                <w:lang w:val="en-US" w:eastAsia="zh-CN"/>
              </w:rPr>
              <w:t>，厂界</w:t>
            </w:r>
            <w:r>
              <w:rPr>
                <w:rFonts w:hint="eastAsia" w:cs="Times New Roman"/>
                <w:color w:val="auto"/>
                <w:szCs w:val="21"/>
                <w:vertAlign w:val="baseline"/>
                <w:lang w:val="en-US" w:eastAsia="zh-CN"/>
              </w:rPr>
              <w:t>东、南、西、北</w:t>
            </w:r>
            <w:r>
              <w:rPr>
                <w:rFonts w:hint="eastAsia" w:cs="Times New Roman"/>
                <w:color w:val="auto"/>
                <w:szCs w:val="21"/>
                <w:lang w:val="en-US" w:eastAsia="zh-CN"/>
              </w:rPr>
              <w:t>噪声均满足</w:t>
            </w:r>
            <w:r>
              <w:rPr>
                <w:rFonts w:hint="default"/>
                <w:color w:val="auto"/>
                <w:szCs w:val="21"/>
                <w:lang w:val="en-US" w:eastAsia="zh-CN"/>
              </w:rPr>
              <w:t>《工业企业厂界环境噪声排放标准》</w:t>
            </w:r>
            <w:r>
              <w:rPr>
                <w:rFonts w:hint="eastAsia"/>
                <w:color w:val="auto"/>
                <w:szCs w:val="21"/>
                <w:lang w:val="en-US" w:eastAsia="zh-CN"/>
              </w:rPr>
              <w:t>（</w:t>
            </w:r>
            <w:r>
              <w:rPr>
                <w:rFonts w:hint="default"/>
                <w:color w:val="auto"/>
                <w:szCs w:val="21"/>
                <w:lang w:val="en-US" w:eastAsia="zh-CN"/>
              </w:rPr>
              <w:t>GB12348-2008</w:t>
            </w:r>
            <w:r>
              <w:rPr>
                <w:rFonts w:hint="eastAsia"/>
                <w:color w:val="auto"/>
                <w:szCs w:val="21"/>
                <w:lang w:val="en-US" w:eastAsia="zh-CN"/>
              </w:rPr>
              <w:t>）2</w:t>
            </w:r>
            <w:r>
              <w:rPr>
                <w:rFonts w:hint="default"/>
                <w:color w:val="auto"/>
                <w:szCs w:val="21"/>
                <w:lang w:val="en-US" w:eastAsia="zh-CN"/>
              </w:rPr>
              <w:t>类标准</w:t>
            </w:r>
            <w:r>
              <w:rPr>
                <w:rFonts w:hint="eastAsia"/>
                <w:color w:val="auto"/>
                <w:szCs w:val="21"/>
                <w:lang w:val="en-US" w:eastAsia="zh-CN"/>
              </w:rPr>
              <w:t>。</w:t>
            </w:r>
          </w:p>
          <w:p w14:paraId="33E890F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b/>
                <w:bCs/>
                <w:color w:val="auto"/>
                <w:szCs w:val="21"/>
                <w:lang w:val="en-US" w:eastAsia="zh-CN"/>
              </w:rPr>
            </w:pPr>
            <w:r>
              <w:rPr>
                <w:rFonts w:hint="eastAsia"/>
                <w:b/>
                <w:bCs/>
                <w:color w:val="auto"/>
                <w:szCs w:val="21"/>
                <w:lang w:val="en-US" w:eastAsia="zh-CN"/>
              </w:rPr>
              <w:t>表2-8 现有项目噪声检测结果 单位：dB（A）</w:t>
            </w:r>
          </w:p>
          <w:tbl>
            <w:tblPr>
              <w:tblStyle w:val="36"/>
              <w:tblW w:w="7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3"/>
              <w:gridCol w:w="2175"/>
              <w:gridCol w:w="2115"/>
              <w:gridCol w:w="1379"/>
            </w:tblGrid>
            <w:tr w14:paraId="6142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53" w:type="dxa"/>
                  <w:vMerge w:val="restart"/>
                  <w:vAlign w:val="center"/>
                </w:tcPr>
                <w:p w14:paraId="357B677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
                      <w:bCs/>
                      <w:color w:val="auto"/>
                      <w:szCs w:val="21"/>
                      <w:vertAlign w:val="baseline"/>
                      <w:lang w:val="en-US" w:eastAsia="zh-CN"/>
                    </w:rPr>
                  </w:pPr>
                  <w:r>
                    <w:rPr>
                      <w:rFonts w:hint="eastAsia" w:cs="Times New Roman"/>
                      <w:b/>
                      <w:bCs/>
                      <w:color w:val="auto"/>
                      <w:szCs w:val="21"/>
                      <w:vertAlign w:val="baseline"/>
                      <w:lang w:val="en-US" w:eastAsia="zh-CN"/>
                    </w:rPr>
                    <w:t>监测位置及编号</w:t>
                  </w:r>
                </w:p>
              </w:tc>
              <w:tc>
                <w:tcPr>
                  <w:tcW w:w="2175" w:type="dxa"/>
                  <w:vAlign w:val="center"/>
                </w:tcPr>
                <w:p w14:paraId="6202D63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
                      <w:bCs/>
                      <w:color w:val="auto"/>
                      <w:szCs w:val="21"/>
                      <w:vertAlign w:val="baseline"/>
                      <w:lang w:val="en-US" w:eastAsia="zh-CN"/>
                    </w:rPr>
                  </w:pPr>
                  <w:r>
                    <w:rPr>
                      <w:rFonts w:hint="eastAsia" w:cs="Times New Roman"/>
                      <w:b/>
                      <w:bCs/>
                      <w:color w:val="auto"/>
                      <w:szCs w:val="21"/>
                      <w:vertAlign w:val="baseline"/>
                      <w:lang w:val="en-US" w:eastAsia="zh-CN"/>
                    </w:rPr>
                    <w:t>检测结果</w:t>
                  </w:r>
                </w:p>
              </w:tc>
              <w:tc>
                <w:tcPr>
                  <w:tcW w:w="2115" w:type="dxa"/>
                  <w:vAlign w:val="center"/>
                </w:tcPr>
                <w:p w14:paraId="7DE1266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
                      <w:bCs/>
                      <w:color w:val="auto"/>
                      <w:szCs w:val="21"/>
                      <w:vertAlign w:val="baseline"/>
                      <w:lang w:val="en-US" w:eastAsia="zh-CN"/>
                    </w:rPr>
                  </w:pPr>
                  <w:r>
                    <w:rPr>
                      <w:rFonts w:hint="eastAsia" w:cs="Times New Roman"/>
                      <w:b/>
                      <w:bCs/>
                      <w:color w:val="auto"/>
                      <w:szCs w:val="21"/>
                      <w:vertAlign w:val="baseline"/>
                      <w:lang w:val="en-US" w:eastAsia="zh-CN"/>
                    </w:rPr>
                    <w:t>标准</w:t>
                  </w:r>
                </w:p>
              </w:tc>
              <w:tc>
                <w:tcPr>
                  <w:tcW w:w="1379" w:type="dxa"/>
                  <w:vMerge w:val="restart"/>
                  <w:vAlign w:val="center"/>
                </w:tcPr>
                <w:p w14:paraId="2007AC9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
                      <w:bCs/>
                      <w:color w:val="auto"/>
                      <w:szCs w:val="21"/>
                      <w:vertAlign w:val="baseline"/>
                      <w:lang w:val="en-US" w:eastAsia="zh-CN"/>
                    </w:rPr>
                  </w:pPr>
                  <w:r>
                    <w:rPr>
                      <w:rFonts w:hint="eastAsia" w:cs="Times New Roman"/>
                      <w:b/>
                      <w:bCs/>
                      <w:color w:val="auto"/>
                      <w:szCs w:val="21"/>
                      <w:vertAlign w:val="baseline"/>
                      <w:lang w:val="en-US" w:eastAsia="zh-CN"/>
                    </w:rPr>
                    <w:t>达标情况</w:t>
                  </w:r>
                </w:p>
              </w:tc>
            </w:tr>
            <w:tr w14:paraId="0C06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53" w:type="dxa"/>
                  <w:vMerge w:val="continue"/>
                  <w:vAlign w:val="center"/>
                </w:tcPr>
                <w:p w14:paraId="55A2618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p>
              </w:tc>
              <w:tc>
                <w:tcPr>
                  <w:tcW w:w="2175" w:type="dxa"/>
                  <w:vAlign w:val="center"/>
                </w:tcPr>
                <w:p w14:paraId="511F05F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
                      <w:bCs/>
                      <w:color w:val="auto"/>
                      <w:szCs w:val="21"/>
                      <w:vertAlign w:val="baseline"/>
                      <w:lang w:val="en-US" w:eastAsia="zh-CN"/>
                    </w:rPr>
                  </w:pPr>
                  <w:r>
                    <w:rPr>
                      <w:rFonts w:hint="eastAsia" w:cs="Times New Roman"/>
                      <w:b/>
                      <w:bCs/>
                      <w:color w:val="auto"/>
                      <w:szCs w:val="21"/>
                      <w:vertAlign w:val="baseline"/>
                      <w:lang w:val="en-US" w:eastAsia="zh-CN"/>
                    </w:rPr>
                    <w:t>昼间</w:t>
                  </w:r>
                </w:p>
              </w:tc>
              <w:tc>
                <w:tcPr>
                  <w:tcW w:w="2115" w:type="dxa"/>
                  <w:vAlign w:val="center"/>
                </w:tcPr>
                <w:p w14:paraId="6C527BD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
                      <w:bCs/>
                      <w:color w:val="auto"/>
                      <w:szCs w:val="21"/>
                      <w:vertAlign w:val="baseline"/>
                      <w:lang w:val="en-US" w:eastAsia="zh-CN"/>
                    </w:rPr>
                  </w:pPr>
                  <w:r>
                    <w:rPr>
                      <w:rFonts w:hint="eastAsia" w:cs="Times New Roman"/>
                      <w:b/>
                      <w:bCs/>
                      <w:color w:val="auto"/>
                      <w:szCs w:val="21"/>
                      <w:vertAlign w:val="baseline"/>
                      <w:lang w:val="en-US" w:eastAsia="zh-CN"/>
                    </w:rPr>
                    <w:t>昼间</w:t>
                  </w:r>
                </w:p>
              </w:tc>
              <w:tc>
                <w:tcPr>
                  <w:tcW w:w="1379" w:type="dxa"/>
                  <w:vMerge w:val="continue"/>
                  <w:vAlign w:val="center"/>
                </w:tcPr>
                <w:p w14:paraId="56B98A1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p>
              </w:tc>
            </w:tr>
            <w:tr w14:paraId="5CAB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53" w:type="dxa"/>
                  <w:vAlign w:val="center"/>
                </w:tcPr>
                <w:p w14:paraId="10CBD19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厂界外东侧1米处</w:t>
                  </w:r>
                </w:p>
              </w:tc>
              <w:tc>
                <w:tcPr>
                  <w:tcW w:w="2175" w:type="dxa"/>
                  <w:vAlign w:val="center"/>
                </w:tcPr>
                <w:p w14:paraId="24616AE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55</w:t>
                  </w:r>
                </w:p>
              </w:tc>
              <w:tc>
                <w:tcPr>
                  <w:tcW w:w="2115" w:type="dxa"/>
                  <w:vAlign w:val="center"/>
                </w:tcPr>
                <w:p w14:paraId="7DC176A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60</w:t>
                  </w:r>
                </w:p>
              </w:tc>
              <w:tc>
                <w:tcPr>
                  <w:tcW w:w="1379" w:type="dxa"/>
                  <w:vAlign w:val="center"/>
                </w:tcPr>
                <w:p w14:paraId="0EAC604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lang w:val="en-US" w:eastAsia="zh-CN"/>
                    </w:rPr>
                  </w:pPr>
                  <w:r>
                    <w:rPr>
                      <w:rFonts w:hint="eastAsia" w:cs="Times New Roman"/>
                      <w:color w:val="auto"/>
                      <w:szCs w:val="21"/>
                      <w:lang w:val="en-US" w:eastAsia="zh-CN"/>
                    </w:rPr>
                    <w:t>达标</w:t>
                  </w:r>
                </w:p>
              </w:tc>
            </w:tr>
            <w:tr w14:paraId="1DB4D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53" w:type="dxa"/>
                  <w:vAlign w:val="center"/>
                </w:tcPr>
                <w:p w14:paraId="251285C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厂界外南侧1米处</w:t>
                  </w:r>
                </w:p>
              </w:tc>
              <w:tc>
                <w:tcPr>
                  <w:tcW w:w="2175" w:type="dxa"/>
                  <w:vAlign w:val="center"/>
                </w:tcPr>
                <w:p w14:paraId="7C7B99B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58</w:t>
                  </w:r>
                </w:p>
              </w:tc>
              <w:tc>
                <w:tcPr>
                  <w:tcW w:w="2115" w:type="dxa"/>
                  <w:vAlign w:val="center"/>
                </w:tcPr>
                <w:p w14:paraId="6C324EE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60</w:t>
                  </w:r>
                </w:p>
              </w:tc>
              <w:tc>
                <w:tcPr>
                  <w:tcW w:w="1379" w:type="dxa"/>
                  <w:vAlign w:val="center"/>
                </w:tcPr>
                <w:p w14:paraId="6490817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s="Times New Roman"/>
                      <w:color w:val="auto"/>
                      <w:szCs w:val="21"/>
                      <w:lang w:val="en-US" w:eastAsia="zh-CN"/>
                    </w:rPr>
                  </w:pPr>
                  <w:r>
                    <w:rPr>
                      <w:rFonts w:hint="eastAsia" w:cs="Times New Roman"/>
                      <w:color w:val="auto"/>
                      <w:szCs w:val="21"/>
                      <w:lang w:val="en-US" w:eastAsia="zh-CN"/>
                    </w:rPr>
                    <w:t>达标</w:t>
                  </w:r>
                </w:p>
              </w:tc>
            </w:tr>
            <w:tr w14:paraId="1795D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53" w:type="dxa"/>
                  <w:vAlign w:val="center"/>
                </w:tcPr>
                <w:p w14:paraId="672DFD5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s="Times New Roman"/>
                      <w:color w:val="auto"/>
                      <w:szCs w:val="21"/>
                      <w:vertAlign w:val="baseline"/>
                      <w:lang w:val="en-US" w:eastAsia="zh-CN"/>
                    </w:rPr>
                  </w:pPr>
                  <w:r>
                    <w:rPr>
                      <w:rFonts w:hint="eastAsia" w:cs="Times New Roman"/>
                      <w:color w:val="auto"/>
                      <w:szCs w:val="21"/>
                      <w:vertAlign w:val="baseline"/>
                      <w:lang w:val="en-US" w:eastAsia="zh-CN"/>
                    </w:rPr>
                    <w:t>厂界外西侧1米处</w:t>
                  </w:r>
                </w:p>
              </w:tc>
              <w:tc>
                <w:tcPr>
                  <w:tcW w:w="2175" w:type="dxa"/>
                  <w:vAlign w:val="center"/>
                </w:tcPr>
                <w:p w14:paraId="4E1CF7C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58</w:t>
                  </w:r>
                </w:p>
              </w:tc>
              <w:tc>
                <w:tcPr>
                  <w:tcW w:w="2115" w:type="dxa"/>
                  <w:vAlign w:val="center"/>
                </w:tcPr>
                <w:p w14:paraId="0C737F1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60</w:t>
                  </w:r>
                </w:p>
              </w:tc>
              <w:tc>
                <w:tcPr>
                  <w:tcW w:w="1379" w:type="dxa"/>
                  <w:vAlign w:val="center"/>
                </w:tcPr>
                <w:p w14:paraId="453A6D6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s="Times New Roman"/>
                      <w:color w:val="auto"/>
                      <w:szCs w:val="21"/>
                      <w:lang w:val="en-US" w:eastAsia="zh-CN"/>
                    </w:rPr>
                  </w:pPr>
                  <w:r>
                    <w:rPr>
                      <w:rFonts w:hint="eastAsia" w:cs="Times New Roman"/>
                      <w:color w:val="auto"/>
                      <w:szCs w:val="21"/>
                      <w:lang w:val="en-US" w:eastAsia="zh-CN"/>
                    </w:rPr>
                    <w:t>达标</w:t>
                  </w:r>
                </w:p>
              </w:tc>
            </w:tr>
            <w:tr w14:paraId="666A3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53" w:type="dxa"/>
                  <w:vAlign w:val="center"/>
                </w:tcPr>
                <w:p w14:paraId="2A550DF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s="Times New Roman"/>
                      <w:color w:val="auto"/>
                      <w:szCs w:val="21"/>
                      <w:vertAlign w:val="baseline"/>
                      <w:lang w:val="en-US" w:eastAsia="zh-CN"/>
                    </w:rPr>
                  </w:pPr>
                  <w:r>
                    <w:rPr>
                      <w:rFonts w:hint="eastAsia" w:cs="Times New Roman"/>
                      <w:color w:val="auto"/>
                      <w:szCs w:val="21"/>
                      <w:vertAlign w:val="baseline"/>
                      <w:lang w:val="en-US" w:eastAsia="zh-CN"/>
                    </w:rPr>
                    <w:t>厂界外北侧1米处</w:t>
                  </w:r>
                </w:p>
              </w:tc>
              <w:tc>
                <w:tcPr>
                  <w:tcW w:w="2175" w:type="dxa"/>
                  <w:vAlign w:val="center"/>
                </w:tcPr>
                <w:p w14:paraId="4E110DF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58</w:t>
                  </w:r>
                </w:p>
              </w:tc>
              <w:tc>
                <w:tcPr>
                  <w:tcW w:w="2115" w:type="dxa"/>
                  <w:vAlign w:val="center"/>
                </w:tcPr>
                <w:p w14:paraId="68085AB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s="Times New Roman"/>
                      <w:color w:val="auto"/>
                      <w:szCs w:val="21"/>
                      <w:vertAlign w:val="baseline"/>
                      <w:lang w:val="en-US" w:eastAsia="zh-CN"/>
                    </w:rPr>
                  </w:pPr>
                  <w:r>
                    <w:rPr>
                      <w:rFonts w:hint="eastAsia" w:cs="Times New Roman"/>
                      <w:color w:val="auto"/>
                      <w:szCs w:val="21"/>
                      <w:vertAlign w:val="baseline"/>
                      <w:lang w:val="en-US" w:eastAsia="zh-CN"/>
                    </w:rPr>
                    <w:t>60</w:t>
                  </w:r>
                </w:p>
              </w:tc>
              <w:tc>
                <w:tcPr>
                  <w:tcW w:w="1379" w:type="dxa"/>
                  <w:vAlign w:val="center"/>
                </w:tcPr>
                <w:p w14:paraId="3629213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s="Times New Roman"/>
                      <w:color w:val="auto"/>
                      <w:szCs w:val="21"/>
                      <w:lang w:val="en-US" w:eastAsia="zh-CN"/>
                    </w:rPr>
                  </w:pPr>
                  <w:r>
                    <w:rPr>
                      <w:rFonts w:hint="eastAsia" w:cs="Times New Roman"/>
                      <w:color w:val="auto"/>
                      <w:szCs w:val="21"/>
                      <w:lang w:val="en-US" w:eastAsia="zh-CN"/>
                    </w:rPr>
                    <w:t>达标</w:t>
                  </w:r>
                </w:p>
              </w:tc>
            </w:tr>
          </w:tbl>
          <w:p w14:paraId="50901A79">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22" w:firstLineChars="200"/>
              <w:textAlignment w:val="auto"/>
              <w:rPr>
                <w:rFonts w:hint="default" w:ascii="Times New Roman" w:hAnsi="Times New Roman" w:eastAsia="宋体" w:cs="宋体"/>
                <w:b/>
                <w:bCs/>
                <w:color w:val="auto"/>
                <w:sz w:val="21"/>
                <w:szCs w:val="21"/>
                <w:highlight w:val="none"/>
                <w:lang w:val="en-US"/>
              </w:rPr>
            </w:pPr>
            <w:r>
              <w:rPr>
                <w:rFonts w:hint="eastAsia" w:cs="宋体"/>
                <w:b/>
                <w:bCs/>
                <w:color w:val="auto"/>
                <w:sz w:val="21"/>
                <w:szCs w:val="21"/>
                <w:highlight w:val="none"/>
                <w:lang w:val="en-US" w:eastAsia="zh-CN"/>
              </w:rPr>
              <w:t xml:space="preserve"> （4）固体废物</w:t>
            </w:r>
          </w:p>
          <w:p w14:paraId="766ABD2E">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cs="Times New Roman"/>
                <w:b/>
                <w:bCs/>
                <w:color w:val="auto"/>
                <w:szCs w:val="21"/>
                <w:lang w:val="en-US" w:eastAsia="zh-CN"/>
              </w:rPr>
            </w:pPr>
            <w:r>
              <w:rPr>
                <w:rFonts w:hint="eastAsia" w:cs="Times New Roman"/>
                <w:b/>
                <w:bCs/>
                <w:color w:val="auto"/>
                <w:szCs w:val="21"/>
                <w:lang w:val="en-US" w:eastAsia="zh-CN"/>
              </w:rPr>
              <w:t xml:space="preserve">  </w:t>
            </w:r>
            <w:r>
              <w:rPr>
                <w:rFonts w:hint="eastAsia" w:cs="Times New Roman"/>
                <w:b w:val="0"/>
                <w:bCs w:val="0"/>
                <w:color w:val="auto"/>
                <w:szCs w:val="21"/>
                <w:lang w:val="en-US" w:eastAsia="zh-CN"/>
              </w:rPr>
              <w:t xml:space="preserve">  根据建设单位提供资料，现有项目固废产生情况见下表：</w:t>
            </w:r>
          </w:p>
          <w:p w14:paraId="6CF6A98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cs="Times New Roman"/>
                <w:b/>
                <w:bCs/>
                <w:color w:val="auto"/>
                <w:szCs w:val="21"/>
                <w:lang w:val="en-US" w:eastAsia="zh-CN"/>
              </w:rPr>
            </w:pPr>
            <w:r>
              <w:rPr>
                <w:rFonts w:hint="eastAsia" w:cs="Times New Roman"/>
                <w:b/>
                <w:bCs/>
                <w:color w:val="auto"/>
                <w:szCs w:val="21"/>
                <w:lang w:val="en-US" w:eastAsia="zh-CN"/>
              </w:rPr>
              <w:t>表2-9 现有项目固废处置情况表</w:t>
            </w:r>
          </w:p>
          <w:tbl>
            <w:tblPr>
              <w:tblStyle w:val="36"/>
              <w:tblW w:w="7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0"/>
              <w:gridCol w:w="1740"/>
              <w:gridCol w:w="1568"/>
              <w:gridCol w:w="2324"/>
            </w:tblGrid>
            <w:tr w14:paraId="0124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90" w:type="dxa"/>
                  <w:vAlign w:val="center"/>
                </w:tcPr>
                <w:p w14:paraId="2ADEE70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
                      <w:bCs/>
                      <w:color w:val="auto"/>
                      <w:szCs w:val="21"/>
                      <w:vertAlign w:val="baseline"/>
                      <w:lang w:val="en-US" w:eastAsia="zh-CN"/>
                    </w:rPr>
                  </w:pPr>
                  <w:r>
                    <w:rPr>
                      <w:rFonts w:hint="eastAsia" w:cs="Times New Roman"/>
                      <w:b/>
                      <w:bCs/>
                      <w:color w:val="auto"/>
                      <w:szCs w:val="21"/>
                      <w:vertAlign w:val="baseline"/>
                      <w:lang w:val="en-US" w:eastAsia="zh-CN"/>
                    </w:rPr>
                    <w:t>固废名称</w:t>
                  </w:r>
                </w:p>
              </w:tc>
              <w:tc>
                <w:tcPr>
                  <w:tcW w:w="1740" w:type="dxa"/>
                  <w:vAlign w:val="center"/>
                </w:tcPr>
                <w:p w14:paraId="439C8BD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
                      <w:bCs/>
                      <w:color w:val="auto"/>
                      <w:szCs w:val="21"/>
                      <w:vertAlign w:val="baseline"/>
                      <w:lang w:val="en-US" w:eastAsia="zh-CN"/>
                    </w:rPr>
                  </w:pPr>
                  <w:r>
                    <w:rPr>
                      <w:rFonts w:hint="eastAsia" w:cs="Times New Roman"/>
                      <w:b/>
                      <w:bCs/>
                      <w:color w:val="auto"/>
                      <w:szCs w:val="21"/>
                      <w:vertAlign w:val="baseline"/>
                      <w:lang w:val="en-US" w:eastAsia="zh-CN"/>
                    </w:rPr>
                    <w:t>属性</w:t>
                  </w:r>
                </w:p>
              </w:tc>
              <w:tc>
                <w:tcPr>
                  <w:tcW w:w="1568" w:type="dxa"/>
                  <w:vAlign w:val="center"/>
                </w:tcPr>
                <w:p w14:paraId="5AEFABB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
                      <w:bCs/>
                      <w:color w:val="auto"/>
                      <w:szCs w:val="21"/>
                      <w:vertAlign w:val="baseline"/>
                      <w:lang w:val="en-US" w:eastAsia="zh-CN"/>
                    </w:rPr>
                  </w:pPr>
                  <w:r>
                    <w:rPr>
                      <w:rFonts w:hint="eastAsia" w:cs="Times New Roman"/>
                      <w:b/>
                      <w:bCs/>
                      <w:color w:val="auto"/>
                      <w:szCs w:val="21"/>
                      <w:vertAlign w:val="baseline"/>
                      <w:lang w:val="en-US" w:eastAsia="zh-CN"/>
                    </w:rPr>
                    <w:t>产生量</w:t>
                  </w:r>
                </w:p>
              </w:tc>
              <w:tc>
                <w:tcPr>
                  <w:tcW w:w="2324" w:type="dxa"/>
                  <w:vAlign w:val="center"/>
                </w:tcPr>
                <w:p w14:paraId="13CEB9A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
                      <w:bCs/>
                      <w:color w:val="auto"/>
                      <w:szCs w:val="21"/>
                      <w:vertAlign w:val="baseline"/>
                      <w:lang w:val="en-US" w:eastAsia="zh-CN"/>
                    </w:rPr>
                  </w:pPr>
                  <w:r>
                    <w:rPr>
                      <w:rFonts w:hint="eastAsia" w:cs="Times New Roman"/>
                      <w:b/>
                      <w:bCs/>
                      <w:color w:val="auto"/>
                      <w:szCs w:val="21"/>
                      <w:vertAlign w:val="baseline"/>
                      <w:lang w:val="en-US" w:eastAsia="zh-CN"/>
                    </w:rPr>
                    <w:t>去向</w:t>
                  </w:r>
                </w:p>
              </w:tc>
            </w:tr>
            <w:tr w14:paraId="1992A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90" w:type="dxa"/>
                  <w:vAlign w:val="center"/>
                </w:tcPr>
                <w:p w14:paraId="35969A2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废边角料</w:t>
                  </w:r>
                </w:p>
              </w:tc>
              <w:tc>
                <w:tcPr>
                  <w:tcW w:w="1740" w:type="dxa"/>
                  <w:vAlign w:val="center"/>
                </w:tcPr>
                <w:p w14:paraId="7612F49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一般固废</w:t>
                  </w:r>
                </w:p>
              </w:tc>
              <w:tc>
                <w:tcPr>
                  <w:tcW w:w="1568" w:type="dxa"/>
                  <w:vAlign w:val="center"/>
                </w:tcPr>
                <w:p w14:paraId="3898BDF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100t/a</w:t>
                  </w:r>
                </w:p>
              </w:tc>
              <w:tc>
                <w:tcPr>
                  <w:tcW w:w="2324" w:type="dxa"/>
                  <w:vAlign w:val="center"/>
                </w:tcPr>
                <w:p w14:paraId="4CD9D30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外售综合利用</w:t>
                  </w:r>
                </w:p>
              </w:tc>
            </w:tr>
            <w:tr w14:paraId="39313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90" w:type="dxa"/>
                  <w:vAlign w:val="center"/>
                </w:tcPr>
                <w:p w14:paraId="7EC78D9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锅炉灰渣</w:t>
                  </w:r>
                </w:p>
              </w:tc>
              <w:tc>
                <w:tcPr>
                  <w:tcW w:w="1740" w:type="dxa"/>
                  <w:vAlign w:val="center"/>
                </w:tcPr>
                <w:p w14:paraId="0733484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s="Times New Roman"/>
                      <w:color w:val="auto"/>
                      <w:szCs w:val="21"/>
                      <w:vertAlign w:val="baseline"/>
                      <w:lang w:val="en-US" w:eastAsia="zh-CN"/>
                    </w:rPr>
                  </w:pPr>
                  <w:r>
                    <w:rPr>
                      <w:rFonts w:hint="eastAsia" w:cs="Times New Roman"/>
                      <w:color w:val="auto"/>
                      <w:szCs w:val="21"/>
                      <w:vertAlign w:val="baseline"/>
                      <w:lang w:val="en-US" w:eastAsia="zh-CN"/>
                    </w:rPr>
                    <w:t>一般固废</w:t>
                  </w:r>
                </w:p>
              </w:tc>
              <w:tc>
                <w:tcPr>
                  <w:tcW w:w="1568" w:type="dxa"/>
                  <w:vAlign w:val="center"/>
                </w:tcPr>
                <w:p w14:paraId="46F39C7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5t/a</w:t>
                  </w:r>
                </w:p>
              </w:tc>
              <w:tc>
                <w:tcPr>
                  <w:tcW w:w="2324" w:type="dxa"/>
                  <w:vAlign w:val="center"/>
                </w:tcPr>
                <w:p w14:paraId="21833EC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s="Times New Roman"/>
                      <w:color w:val="auto"/>
                      <w:szCs w:val="21"/>
                      <w:vertAlign w:val="baseline"/>
                      <w:lang w:val="en-US" w:eastAsia="zh-CN"/>
                    </w:rPr>
                  </w:pPr>
                  <w:r>
                    <w:rPr>
                      <w:rFonts w:hint="eastAsia" w:ascii="Times New Roman" w:hAnsi="Times New Roman" w:cs="Times New Roman"/>
                      <w:color w:val="auto"/>
                      <w:lang w:val="en-US" w:eastAsia="zh-CN"/>
                    </w:rPr>
                    <w:t>送周边农户做有机肥料</w:t>
                  </w:r>
                </w:p>
              </w:tc>
            </w:tr>
            <w:tr w14:paraId="5BC5A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90" w:type="dxa"/>
                  <w:vAlign w:val="center"/>
                </w:tcPr>
                <w:p w14:paraId="448AE1E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废导热油</w:t>
                  </w:r>
                </w:p>
              </w:tc>
              <w:tc>
                <w:tcPr>
                  <w:tcW w:w="1740" w:type="dxa"/>
                  <w:vAlign w:val="center"/>
                </w:tcPr>
                <w:p w14:paraId="53A388A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危险废物</w:t>
                  </w:r>
                </w:p>
              </w:tc>
              <w:tc>
                <w:tcPr>
                  <w:tcW w:w="1568" w:type="dxa"/>
                  <w:vAlign w:val="center"/>
                </w:tcPr>
                <w:p w14:paraId="0458A46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3t/5a</w:t>
                  </w:r>
                </w:p>
              </w:tc>
              <w:tc>
                <w:tcPr>
                  <w:tcW w:w="2324" w:type="dxa"/>
                  <w:vAlign w:val="center"/>
                </w:tcPr>
                <w:p w14:paraId="5D1AC89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lang w:val="en-US" w:eastAsia="zh-CN"/>
                    </w:rPr>
                  </w:pPr>
                  <w:r>
                    <w:rPr>
                      <w:rFonts w:hint="eastAsia" w:cs="Times New Roman"/>
                      <w:color w:val="auto"/>
                      <w:lang w:val="en-US" w:eastAsia="zh-CN"/>
                    </w:rPr>
                    <w:t>委托有资质单位处置</w:t>
                  </w:r>
                </w:p>
              </w:tc>
            </w:tr>
            <w:tr w14:paraId="7E319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30" w:type="dxa"/>
                  <w:gridSpan w:val="2"/>
                  <w:vAlign w:val="center"/>
                </w:tcPr>
                <w:p w14:paraId="3DE2319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生活垃圾</w:t>
                  </w:r>
                </w:p>
              </w:tc>
              <w:tc>
                <w:tcPr>
                  <w:tcW w:w="1568" w:type="dxa"/>
                  <w:vAlign w:val="center"/>
                </w:tcPr>
                <w:p w14:paraId="1ACF1D5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3.2t/a</w:t>
                  </w:r>
                </w:p>
              </w:tc>
              <w:tc>
                <w:tcPr>
                  <w:tcW w:w="2324" w:type="dxa"/>
                  <w:vAlign w:val="center"/>
                </w:tcPr>
                <w:p w14:paraId="7A98ED4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lang w:val="en-US" w:eastAsia="zh-CN"/>
                    </w:rPr>
                  </w:pPr>
                  <w:r>
                    <w:rPr>
                      <w:rFonts w:hint="eastAsia" w:cs="Times New Roman"/>
                      <w:color w:val="auto"/>
                      <w:szCs w:val="21"/>
                      <w:lang w:val="en-US" w:eastAsia="zh-CN"/>
                    </w:rPr>
                    <w:t>由环卫部门清运</w:t>
                  </w:r>
                </w:p>
              </w:tc>
            </w:tr>
            <w:tr w14:paraId="7D7B6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22" w:type="dxa"/>
                  <w:gridSpan w:val="4"/>
                  <w:vAlign w:val="center"/>
                </w:tcPr>
                <w:p w14:paraId="344AB413">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cs="Times New Roman"/>
                      <w:color w:val="auto"/>
                      <w:szCs w:val="21"/>
                      <w:lang w:val="en-US" w:eastAsia="zh-CN"/>
                    </w:rPr>
                  </w:pPr>
                  <w:r>
                    <w:rPr>
                      <w:rFonts w:hint="eastAsia" w:cs="Times New Roman"/>
                      <w:color w:val="auto"/>
                      <w:szCs w:val="21"/>
                      <w:lang w:val="en-US" w:eastAsia="zh-CN"/>
                    </w:rPr>
                    <w:t>注：锅炉灰渣包括炉渣、除尘灰渣。</w:t>
                  </w:r>
                </w:p>
              </w:tc>
            </w:tr>
          </w:tbl>
          <w:p w14:paraId="1D949F5B">
            <w:pPr>
              <w:pStyle w:val="19"/>
              <w:keepNext w:val="0"/>
              <w:keepLines w:val="0"/>
              <w:pageBreakBefore w:val="0"/>
              <w:widowControl w:val="0"/>
              <w:kinsoku/>
              <w:wordWrap/>
              <w:overflowPunct/>
              <w:topLinePunct w:val="0"/>
              <w:autoSpaceDE w:val="0"/>
              <w:autoSpaceDN w:val="0"/>
              <w:bidi w:val="0"/>
              <w:adjustRightInd w:val="0"/>
              <w:snapToGrid/>
              <w:spacing w:before="157" w:beforeLines="50" w:line="360" w:lineRule="auto"/>
              <w:ind w:firstLine="422" w:firstLineChars="200"/>
              <w:textAlignment w:val="baseline"/>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（5）</w:t>
            </w:r>
            <w:r>
              <w:rPr>
                <w:rFonts w:hint="eastAsia" w:ascii="Times New Roman" w:hAnsi="Times New Roman" w:cs="Times New Roman"/>
                <w:b/>
                <w:bCs/>
                <w:color w:val="auto"/>
                <w:sz w:val="21"/>
                <w:szCs w:val="21"/>
                <w:highlight w:val="none"/>
                <w:lang w:val="en-US" w:eastAsia="zh-CN"/>
              </w:rPr>
              <w:t>现有项目污染物排放汇总</w:t>
            </w:r>
          </w:p>
          <w:p w14:paraId="6B3C68D9">
            <w:pPr>
              <w:pStyle w:val="19"/>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baseline"/>
              <w:rPr>
                <w:rFonts w:hint="eastAsia"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表2-10 现有项目污染物排放量汇总表</w:t>
            </w:r>
          </w:p>
          <w:tbl>
            <w:tblPr>
              <w:tblStyle w:val="36"/>
              <w:tblW w:w="46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918"/>
              <w:gridCol w:w="2307"/>
              <w:gridCol w:w="2096"/>
            </w:tblGrid>
            <w:tr w14:paraId="20B1B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pct"/>
                  <w:vAlign w:val="center"/>
                </w:tcPr>
                <w:p w14:paraId="5241907B">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b/>
                      <w:bCs/>
                      <w:color w:val="auto"/>
                      <w:sz w:val="21"/>
                      <w:szCs w:val="21"/>
                      <w:vertAlign w:val="baseline"/>
                      <w:lang w:val="en-US" w:eastAsia="zh-CN"/>
                    </w:rPr>
                  </w:pPr>
                  <w:r>
                    <w:rPr>
                      <w:rFonts w:hint="eastAsia" w:ascii="Times New Roman" w:hAnsi="Times New Roman" w:cs="Times New Roman"/>
                      <w:b/>
                      <w:bCs/>
                      <w:color w:val="auto"/>
                      <w:sz w:val="21"/>
                      <w:szCs w:val="21"/>
                      <w:vertAlign w:val="baseline"/>
                      <w:lang w:val="en-US" w:eastAsia="zh-CN"/>
                    </w:rPr>
                    <w:t>类别</w:t>
                  </w:r>
                </w:p>
              </w:tc>
              <w:tc>
                <w:tcPr>
                  <w:tcW w:w="1295" w:type="pct"/>
                  <w:vAlign w:val="center"/>
                </w:tcPr>
                <w:p w14:paraId="607D007D">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b/>
                      <w:bCs/>
                      <w:color w:val="auto"/>
                      <w:sz w:val="21"/>
                      <w:szCs w:val="21"/>
                      <w:vertAlign w:val="baseline"/>
                      <w:lang w:val="en-US" w:eastAsia="zh-CN"/>
                    </w:rPr>
                  </w:pPr>
                  <w:r>
                    <w:rPr>
                      <w:rFonts w:hint="eastAsia" w:ascii="Times New Roman" w:hAnsi="Times New Roman" w:cs="Times New Roman"/>
                      <w:b/>
                      <w:bCs/>
                      <w:color w:val="auto"/>
                      <w:sz w:val="21"/>
                      <w:szCs w:val="21"/>
                      <w:vertAlign w:val="baseline"/>
                      <w:lang w:val="en-US" w:eastAsia="zh-CN"/>
                    </w:rPr>
                    <w:t>排放口/编号</w:t>
                  </w:r>
                </w:p>
              </w:tc>
              <w:tc>
                <w:tcPr>
                  <w:tcW w:w="1558" w:type="pct"/>
                  <w:vAlign w:val="center"/>
                </w:tcPr>
                <w:p w14:paraId="5DA4E8CF">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b/>
                      <w:bCs/>
                      <w:color w:val="auto"/>
                      <w:sz w:val="21"/>
                      <w:szCs w:val="21"/>
                      <w:vertAlign w:val="baseline"/>
                      <w:lang w:val="en-US" w:eastAsia="zh-CN"/>
                    </w:rPr>
                  </w:pPr>
                  <w:r>
                    <w:rPr>
                      <w:rFonts w:hint="eastAsia" w:ascii="Times New Roman" w:hAnsi="Times New Roman" w:cs="Times New Roman"/>
                      <w:b/>
                      <w:bCs/>
                      <w:color w:val="auto"/>
                      <w:sz w:val="21"/>
                      <w:szCs w:val="21"/>
                      <w:vertAlign w:val="baseline"/>
                      <w:lang w:val="en-US" w:eastAsia="zh-CN"/>
                    </w:rPr>
                    <w:t>污染物</w:t>
                  </w:r>
                </w:p>
              </w:tc>
              <w:tc>
                <w:tcPr>
                  <w:tcW w:w="1416" w:type="pct"/>
                  <w:vAlign w:val="center"/>
                </w:tcPr>
                <w:p w14:paraId="1DCE2A58">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b/>
                      <w:bCs/>
                      <w:color w:val="auto"/>
                      <w:sz w:val="21"/>
                      <w:szCs w:val="21"/>
                      <w:vertAlign w:val="baseline"/>
                      <w:lang w:val="en-US" w:eastAsia="zh-CN"/>
                    </w:rPr>
                  </w:pPr>
                  <w:r>
                    <w:rPr>
                      <w:rFonts w:hint="eastAsia" w:ascii="Times New Roman" w:hAnsi="Times New Roman" w:cs="Times New Roman"/>
                      <w:b/>
                      <w:bCs/>
                      <w:color w:val="auto"/>
                      <w:sz w:val="21"/>
                      <w:szCs w:val="21"/>
                      <w:vertAlign w:val="baseline"/>
                      <w:lang w:val="en-US" w:eastAsia="zh-CN"/>
                    </w:rPr>
                    <w:t>排放量（t/a）</w:t>
                  </w:r>
                </w:p>
              </w:tc>
            </w:tr>
            <w:tr w14:paraId="6AD2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pct"/>
                  <w:vMerge w:val="restart"/>
                  <w:vAlign w:val="center"/>
                </w:tcPr>
                <w:p w14:paraId="294CCB0E">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废气</w:t>
                  </w:r>
                </w:p>
              </w:tc>
              <w:tc>
                <w:tcPr>
                  <w:tcW w:w="1295" w:type="pct"/>
                  <w:vMerge w:val="restart"/>
                  <w:vAlign w:val="center"/>
                </w:tcPr>
                <w:p w14:paraId="1EABECFB">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锅炉废气排放口</w:t>
                  </w:r>
                  <w:r>
                    <w:rPr>
                      <w:rFonts w:hint="eastAsia" w:cs="Times New Roman"/>
                      <w:color w:val="auto"/>
                      <w:sz w:val="21"/>
                      <w:szCs w:val="21"/>
                      <w:vertAlign w:val="baseline"/>
                      <w:lang w:val="en-US" w:eastAsia="zh-CN"/>
                    </w:rPr>
                    <w:t>DA001</w:t>
                  </w:r>
                </w:p>
              </w:tc>
              <w:tc>
                <w:tcPr>
                  <w:tcW w:w="1558" w:type="pct"/>
                  <w:vAlign w:val="center"/>
                </w:tcPr>
                <w:p w14:paraId="06CDE6B5">
                  <w:pPr>
                    <w:keepNext w:val="0"/>
                    <w:keepLines w:val="0"/>
                    <w:widowControl/>
                    <w:suppressLineNumbers w:val="0"/>
                    <w:jc w:val="center"/>
                    <w:textAlignment w:val="center"/>
                    <w:rPr>
                      <w:rFonts w:hint="default" w:ascii="Times New Roman" w:hAnsi="Times New Roman" w:cs="Times New Roman"/>
                      <w:color w:val="auto"/>
                      <w:sz w:val="21"/>
                      <w:szCs w:val="21"/>
                      <w:vertAlign w:val="baseline"/>
                      <w:lang w:val="en-US" w:eastAsia="zh-CN"/>
                    </w:rPr>
                  </w:pPr>
                  <w:r>
                    <w:rPr>
                      <w:rFonts w:hint="eastAsia" w:cs="Times New Roman"/>
                      <w:color w:val="auto"/>
                      <w:sz w:val="21"/>
                      <w:szCs w:val="21"/>
                      <w:vertAlign w:val="baseline"/>
                      <w:lang w:val="en-US" w:eastAsia="zh-CN"/>
                    </w:rPr>
                    <w:t>二氧化硫</w:t>
                  </w:r>
                </w:p>
              </w:tc>
              <w:tc>
                <w:tcPr>
                  <w:tcW w:w="1416" w:type="pct"/>
                  <w:vAlign w:val="center"/>
                </w:tcPr>
                <w:p w14:paraId="1E926B7B">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eastAsia" w:cs="Times New Roman"/>
                      <w:color w:val="auto"/>
                      <w:sz w:val="21"/>
                      <w:szCs w:val="21"/>
                      <w:vertAlign w:val="baseline"/>
                      <w:lang w:val="en-US" w:eastAsia="zh-CN"/>
                    </w:rPr>
                    <w:t>0.0432</w:t>
                  </w:r>
                </w:p>
              </w:tc>
            </w:tr>
            <w:tr w14:paraId="2C0E2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pct"/>
                  <w:vMerge w:val="continue"/>
                  <w:vAlign w:val="center"/>
                </w:tcPr>
                <w:p w14:paraId="4EC78775">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vertAlign w:val="baseline"/>
                      <w:lang w:val="en-US" w:eastAsia="zh-CN"/>
                    </w:rPr>
                  </w:pPr>
                </w:p>
              </w:tc>
              <w:tc>
                <w:tcPr>
                  <w:tcW w:w="1295" w:type="pct"/>
                  <w:vMerge w:val="continue"/>
                  <w:vAlign w:val="center"/>
                </w:tcPr>
                <w:p w14:paraId="731B4B15">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vertAlign w:val="baseline"/>
                      <w:lang w:val="en-US" w:eastAsia="zh-CN"/>
                    </w:rPr>
                  </w:pPr>
                </w:p>
              </w:tc>
              <w:tc>
                <w:tcPr>
                  <w:tcW w:w="1558" w:type="pct"/>
                  <w:vAlign w:val="center"/>
                </w:tcPr>
                <w:p w14:paraId="0146847D">
                  <w:pPr>
                    <w:keepNext w:val="0"/>
                    <w:keepLines w:val="0"/>
                    <w:widowControl/>
                    <w:suppressLineNumbers w:val="0"/>
                    <w:jc w:val="center"/>
                    <w:textAlignment w:val="center"/>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颗粒物</w:t>
                  </w:r>
                </w:p>
              </w:tc>
              <w:tc>
                <w:tcPr>
                  <w:tcW w:w="1416" w:type="pct"/>
                  <w:vAlign w:val="center"/>
                </w:tcPr>
                <w:p w14:paraId="352788D6">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eastAsia" w:cs="Times New Roman"/>
                      <w:color w:val="auto"/>
                      <w:sz w:val="21"/>
                      <w:szCs w:val="21"/>
                      <w:vertAlign w:val="baseline"/>
                      <w:lang w:val="en-US" w:eastAsia="zh-CN"/>
                    </w:rPr>
                    <w:t>0.1152</w:t>
                  </w:r>
                </w:p>
              </w:tc>
            </w:tr>
            <w:tr w14:paraId="6EAF9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pct"/>
                  <w:vMerge w:val="continue"/>
                  <w:vAlign w:val="center"/>
                </w:tcPr>
                <w:p w14:paraId="2C11BB87">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vertAlign w:val="baseline"/>
                      <w:lang w:val="en-US" w:eastAsia="zh-CN"/>
                    </w:rPr>
                  </w:pPr>
                </w:p>
              </w:tc>
              <w:tc>
                <w:tcPr>
                  <w:tcW w:w="1295" w:type="pct"/>
                  <w:vMerge w:val="continue"/>
                  <w:vAlign w:val="center"/>
                </w:tcPr>
                <w:p w14:paraId="579A71F4">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vertAlign w:val="baseline"/>
                      <w:lang w:val="en-US" w:eastAsia="zh-CN"/>
                    </w:rPr>
                  </w:pPr>
                </w:p>
              </w:tc>
              <w:tc>
                <w:tcPr>
                  <w:tcW w:w="1558" w:type="pct"/>
                  <w:vAlign w:val="center"/>
                </w:tcPr>
                <w:p w14:paraId="6F943950">
                  <w:pPr>
                    <w:keepNext w:val="0"/>
                    <w:keepLines w:val="0"/>
                    <w:widowControl/>
                    <w:suppressLineNumbers w:val="0"/>
                    <w:jc w:val="center"/>
                    <w:textAlignment w:val="center"/>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氮氧化物</w:t>
                  </w:r>
                </w:p>
              </w:tc>
              <w:tc>
                <w:tcPr>
                  <w:tcW w:w="1416" w:type="pct"/>
                  <w:vAlign w:val="center"/>
                </w:tcPr>
                <w:p w14:paraId="50E4F7DF">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eastAsia" w:cs="Times New Roman"/>
                      <w:color w:val="auto"/>
                      <w:sz w:val="21"/>
                      <w:szCs w:val="21"/>
                      <w:vertAlign w:val="baseline"/>
                      <w:lang w:val="en-US" w:eastAsia="zh-CN"/>
                    </w:rPr>
                    <w:t>0.696</w:t>
                  </w:r>
                </w:p>
              </w:tc>
            </w:tr>
            <w:tr w14:paraId="5244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pct"/>
                  <w:vMerge w:val="continue"/>
                  <w:vAlign w:val="center"/>
                </w:tcPr>
                <w:p w14:paraId="2782C19E">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vertAlign w:val="baseline"/>
                      <w:lang w:val="en-US" w:eastAsia="zh-CN"/>
                    </w:rPr>
                  </w:pPr>
                </w:p>
              </w:tc>
              <w:tc>
                <w:tcPr>
                  <w:tcW w:w="1295" w:type="pct"/>
                  <w:vMerge w:val="continue"/>
                  <w:vAlign w:val="center"/>
                </w:tcPr>
                <w:p w14:paraId="603DF892">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vertAlign w:val="baseline"/>
                      <w:lang w:val="en-US" w:eastAsia="zh-CN"/>
                    </w:rPr>
                  </w:pPr>
                </w:p>
              </w:tc>
              <w:tc>
                <w:tcPr>
                  <w:tcW w:w="1558" w:type="pct"/>
                  <w:vAlign w:val="center"/>
                </w:tcPr>
                <w:p w14:paraId="2DD0E9DD">
                  <w:pPr>
                    <w:keepNext w:val="0"/>
                    <w:keepLines w:val="0"/>
                    <w:widowControl/>
                    <w:suppressLineNumbers w:val="0"/>
                    <w:jc w:val="center"/>
                    <w:textAlignment w:val="center"/>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一氧化碳</w:t>
                  </w:r>
                </w:p>
              </w:tc>
              <w:tc>
                <w:tcPr>
                  <w:tcW w:w="1416" w:type="pct"/>
                  <w:vAlign w:val="center"/>
                </w:tcPr>
                <w:p w14:paraId="0CE7E6B1">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eastAsia" w:cs="Times New Roman"/>
                      <w:color w:val="auto"/>
                      <w:sz w:val="21"/>
                      <w:szCs w:val="21"/>
                      <w:vertAlign w:val="baseline"/>
                      <w:lang w:val="en-US" w:eastAsia="zh-CN"/>
                    </w:rPr>
                    <w:t>0.888</w:t>
                  </w:r>
                </w:p>
              </w:tc>
            </w:tr>
            <w:tr w14:paraId="5CFBC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pct"/>
                  <w:vMerge w:val="continue"/>
                  <w:vAlign w:val="center"/>
                </w:tcPr>
                <w:p w14:paraId="0DA838D4">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vertAlign w:val="baseline"/>
                      <w:lang w:val="en-US" w:eastAsia="zh-CN"/>
                    </w:rPr>
                  </w:pPr>
                </w:p>
              </w:tc>
              <w:tc>
                <w:tcPr>
                  <w:tcW w:w="1295" w:type="pct"/>
                  <w:vAlign w:val="center"/>
                </w:tcPr>
                <w:p w14:paraId="6E2381FD">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eastAsia" w:cs="Times New Roman"/>
                      <w:color w:val="auto"/>
                      <w:sz w:val="21"/>
                      <w:szCs w:val="21"/>
                      <w:vertAlign w:val="baseline"/>
                      <w:lang w:val="en-US" w:eastAsia="zh-CN"/>
                    </w:rPr>
                    <w:t>粉尘废气排放口DA002</w:t>
                  </w:r>
                </w:p>
              </w:tc>
              <w:tc>
                <w:tcPr>
                  <w:tcW w:w="1558" w:type="pct"/>
                  <w:vAlign w:val="center"/>
                </w:tcPr>
                <w:p w14:paraId="0BB29722">
                  <w:pPr>
                    <w:keepNext w:val="0"/>
                    <w:keepLines w:val="0"/>
                    <w:widowControl/>
                    <w:suppressLineNumbers w:val="0"/>
                    <w:jc w:val="center"/>
                    <w:textAlignment w:val="center"/>
                    <w:rPr>
                      <w:rFonts w:hint="default" w:ascii="Times New Roman" w:hAnsi="Times New Roman" w:cs="Times New Roman"/>
                      <w:color w:val="auto"/>
                      <w:sz w:val="21"/>
                      <w:szCs w:val="21"/>
                      <w:vertAlign w:val="baseline"/>
                      <w:lang w:val="en-US" w:eastAsia="zh-CN"/>
                    </w:rPr>
                  </w:pPr>
                  <w:r>
                    <w:rPr>
                      <w:rFonts w:hint="eastAsia" w:cs="Times New Roman"/>
                      <w:color w:val="auto"/>
                      <w:sz w:val="21"/>
                      <w:szCs w:val="21"/>
                      <w:vertAlign w:val="baseline"/>
                      <w:lang w:val="en-US" w:eastAsia="zh-CN"/>
                    </w:rPr>
                    <w:t>颗粒物</w:t>
                  </w:r>
                </w:p>
              </w:tc>
              <w:tc>
                <w:tcPr>
                  <w:tcW w:w="1416" w:type="pct"/>
                  <w:vAlign w:val="center"/>
                </w:tcPr>
                <w:p w14:paraId="1845D87F">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0.432</w:t>
                  </w:r>
                </w:p>
              </w:tc>
            </w:tr>
            <w:tr w14:paraId="304BB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pct"/>
                  <w:vMerge w:val="continue"/>
                  <w:vAlign w:val="center"/>
                </w:tcPr>
                <w:p w14:paraId="5122A946">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vertAlign w:val="baseline"/>
                      <w:lang w:val="en-US" w:eastAsia="zh-CN"/>
                    </w:rPr>
                  </w:pPr>
                </w:p>
              </w:tc>
              <w:tc>
                <w:tcPr>
                  <w:tcW w:w="1295" w:type="pct"/>
                  <w:vAlign w:val="center"/>
                </w:tcPr>
                <w:p w14:paraId="55613BFD">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热压废气排放口DA003</w:t>
                  </w:r>
                </w:p>
              </w:tc>
              <w:tc>
                <w:tcPr>
                  <w:tcW w:w="1558" w:type="pct"/>
                  <w:vAlign w:val="center"/>
                </w:tcPr>
                <w:p w14:paraId="23C3716B">
                  <w:pPr>
                    <w:keepNext w:val="0"/>
                    <w:keepLines w:val="0"/>
                    <w:widowControl/>
                    <w:suppressLineNumbers w:val="0"/>
                    <w:jc w:val="center"/>
                    <w:textAlignment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VOCs</w:t>
                  </w:r>
                </w:p>
              </w:tc>
              <w:tc>
                <w:tcPr>
                  <w:tcW w:w="1416" w:type="pct"/>
                  <w:vAlign w:val="center"/>
                </w:tcPr>
                <w:p w14:paraId="054C84FD">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0.038</w:t>
                  </w:r>
                </w:p>
              </w:tc>
            </w:tr>
            <w:tr w14:paraId="3CFE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pct"/>
                  <w:vAlign w:val="center"/>
                </w:tcPr>
                <w:p w14:paraId="04FE25DC">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废水</w:t>
                  </w:r>
                </w:p>
              </w:tc>
              <w:tc>
                <w:tcPr>
                  <w:tcW w:w="1295" w:type="pct"/>
                  <w:vAlign w:val="center"/>
                </w:tcPr>
                <w:p w14:paraId="7BD7CCEC">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eastAsia" w:cs="Times New Roman"/>
                      <w:color w:val="auto"/>
                      <w:sz w:val="21"/>
                      <w:szCs w:val="21"/>
                      <w:vertAlign w:val="baseline"/>
                      <w:lang w:val="en-US" w:eastAsia="zh-CN"/>
                    </w:rPr>
                    <w:t>/</w:t>
                  </w:r>
                </w:p>
              </w:tc>
              <w:tc>
                <w:tcPr>
                  <w:tcW w:w="1558" w:type="pct"/>
                  <w:vAlign w:val="center"/>
                </w:tcPr>
                <w:p w14:paraId="43DAA34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w:t>
                  </w:r>
                </w:p>
              </w:tc>
              <w:tc>
                <w:tcPr>
                  <w:tcW w:w="1416" w:type="pct"/>
                  <w:vAlign w:val="center"/>
                </w:tcPr>
                <w:p w14:paraId="560A7549">
                  <w:pPr>
                    <w:keepNext w:val="0"/>
                    <w:keepLines w:val="0"/>
                    <w:widowControl/>
                    <w:suppressLineNumbers w:val="0"/>
                    <w:jc w:val="center"/>
                    <w:textAlignment w:val="center"/>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w:t>
                  </w:r>
                </w:p>
              </w:tc>
            </w:tr>
            <w:tr w14:paraId="56E4D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pct"/>
                  <w:vMerge w:val="restart"/>
                  <w:vAlign w:val="center"/>
                </w:tcPr>
                <w:p w14:paraId="430F85F4">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固体废物</w:t>
                  </w:r>
                </w:p>
              </w:tc>
              <w:tc>
                <w:tcPr>
                  <w:tcW w:w="1295" w:type="pct"/>
                  <w:vMerge w:val="restart"/>
                  <w:vAlign w:val="center"/>
                </w:tcPr>
                <w:p w14:paraId="41B5EC35">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一般固废</w:t>
                  </w:r>
                </w:p>
              </w:tc>
              <w:tc>
                <w:tcPr>
                  <w:tcW w:w="1558" w:type="pct"/>
                  <w:vAlign w:val="center"/>
                </w:tcPr>
                <w:p w14:paraId="500A262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color w:val="auto"/>
                      <w:szCs w:val="21"/>
                      <w:vertAlign w:val="baseline"/>
                      <w:lang w:val="en-US" w:eastAsia="zh-CN"/>
                    </w:rPr>
                    <w:t>废边角料</w:t>
                  </w:r>
                </w:p>
              </w:tc>
              <w:tc>
                <w:tcPr>
                  <w:tcW w:w="1416" w:type="pct"/>
                  <w:vAlign w:val="center"/>
                </w:tcPr>
                <w:p w14:paraId="1E1E2EF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szCs w:val="21"/>
                      <w:vertAlign w:val="baseline"/>
                      <w:lang w:val="en-US" w:eastAsia="zh-CN"/>
                    </w:rPr>
                    <w:t>100</w:t>
                  </w:r>
                </w:p>
              </w:tc>
            </w:tr>
            <w:tr w14:paraId="58E7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pct"/>
                  <w:vMerge w:val="continue"/>
                  <w:vAlign w:val="center"/>
                </w:tcPr>
                <w:p w14:paraId="4AC3A0AA">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color w:val="auto"/>
                      <w:sz w:val="21"/>
                      <w:szCs w:val="21"/>
                      <w:vertAlign w:val="baseline"/>
                      <w:lang w:val="en-US" w:eastAsia="zh-CN"/>
                    </w:rPr>
                  </w:pPr>
                </w:p>
              </w:tc>
              <w:tc>
                <w:tcPr>
                  <w:tcW w:w="1295" w:type="pct"/>
                  <w:vMerge w:val="continue"/>
                  <w:vAlign w:val="center"/>
                </w:tcPr>
                <w:p w14:paraId="1CF4FE67">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color w:val="auto"/>
                      <w:sz w:val="21"/>
                      <w:szCs w:val="21"/>
                      <w:vertAlign w:val="baseline"/>
                      <w:lang w:val="en-US" w:eastAsia="zh-CN"/>
                    </w:rPr>
                  </w:pPr>
                </w:p>
              </w:tc>
              <w:tc>
                <w:tcPr>
                  <w:tcW w:w="1558" w:type="pct"/>
                  <w:vAlign w:val="center"/>
                </w:tcPr>
                <w:p w14:paraId="53B35BF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b w:val="0"/>
                      <w:bCs w:val="0"/>
                      <w:color w:val="auto"/>
                      <w:sz w:val="21"/>
                      <w:szCs w:val="21"/>
                      <w:lang w:val="en-US" w:eastAsia="zh-CN"/>
                    </w:rPr>
                  </w:pPr>
                  <w:r>
                    <w:rPr>
                      <w:rFonts w:hint="eastAsia" w:cs="Times New Roman"/>
                      <w:color w:val="auto"/>
                      <w:szCs w:val="21"/>
                      <w:vertAlign w:val="baseline"/>
                      <w:lang w:val="en-US" w:eastAsia="zh-CN"/>
                    </w:rPr>
                    <w:t>锅炉灰渣</w:t>
                  </w:r>
                </w:p>
              </w:tc>
              <w:tc>
                <w:tcPr>
                  <w:tcW w:w="1416" w:type="pct"/>
                  <w:vAlign w:val="center"/>
                </w:tcPr>
                <w:p w14:paraId="743F69B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kern w:val="2"/>
                      <w:sz w:val="21"/>
                      <w:szCs w:val="21"/>
                      <w:vertAlign w:val="baseline"/>
                      <w:lang w:val="en-US" w:eastAsia="zh-CN" w:bidi="ar-SA"/>
                    </w:rPr>
                  </w:pPr>
                  <w:r>
                    <w:rPr>
                      <w:rFonts w:hint="eastAsia" w:cs="Times New Roman"/>
                      <w:color w:val="auto"/>
                      <w:szCs w:val="21"/>
                      <w:vertAlign w:val="baseline"/>
                      <w:lang w:val="en-US" w:eastAsia="zh-CN"/>
                    </w:rPr>
                    <w:t>5</w:t>
                  </w:r>
                </w:p>
              </w:tc>
            </w:tr>
            <w:tr w14:paraId="1D40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pct"/>
                  <w:vMerge w:val="continue"/>
                  <w:vAlign w:val="center"/>
                </w:tcPr>
                <w:p w14:paraId="0EF7C47F">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color w:val="auto"/>
                      <w:sz w:val="21"/>
                      <w:szCs w:val="21"/>
                      <w:vertAlign w:val="baseline"/>
                      <w:lang w:val="en-US" w:eastAsia="zh-CN"/>
                    </w:rPr>
                  </w:pPr>
                </w:p>
              </w:tc>
              <w:tc>
                <w:tcPr>
                  <w:tcW w:w="1295" w:type="pct"/>
                  <w:vAlign w:val="center"/>
                </w:tcPr>
                <w:p w14:paraId="1ADB30AF">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eastAsia" w:cs="Times New Roman"/>
                      <w:color w:val="auto"/>
                      <w:sz w:val="21"/>
                      <w:szCs w:val="21"/>
                      <w:vertAlign w:val="baseline"/>
                      <w:lang w:val="en-US" w:eastAsia="zh-CN"/>
                    </w:rPr>
                    <w:t>危险废物</w:t>
                  </w:r>
                </w:p>
              </w:tc>
              <w:tc>
                <w:tcPr>
                  <w:tcW w:w="2307" w:type="dxa"/>
                  <w:vAlign w:val="center"/>
                </w:tcPr>
                <w:p w14:paraId="4637A63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s="Times New Roman"/>
                      <w:color w:val="auto"/>
                      <w:szCs w:val="21"/>
                      <w:vertAlign w:val="baseline"/>
                      <w:lang w:val="en-US" w:eastAsia="zh-CN"/>
                    </w:rPr>
                  </w:pPr>
                  <w:r>
                    <w:rPr>
                      <w:rFonts w:hint="eastAsia" w:cs="Times New Roman"/>
                      <w:color w:val="auto"/>
                      <w:szCs w:val="21"/>
                      <w:vertAlign w:val="baseline"/>
                      <w:lang w:val="en-US" w:eastAsia="zh-CN"/>
                    </w:rPr>
                    <w:t>危险废物</w:t>
                  </w:r>
                </w:p>
              </w:tc>
              <w:tc>
                <w:tcPr>
                  <w:tcW w:w="2096" w:type="dxa"/>
                  <w:vAlign w:val="center"/>
                </w:tcPr>
                <w:p w14:paraId="65C26A2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s="Times New Roman"/>
                      <w:color w:val="auto"/>
                      <w:szCs w:val="21"/>
                      <w:vertAlign w:val="baseline"/>
                      <w:lang w:val="en-US" w:eastAsia="zh-CN"/>
                    </w:rPr>
                  </w:pPr>
                  <w:r>
                    <w:rPr>
                      <w:rFonts w:hint="eastAsia" w:cs="Times New Roman"/>
                      <w:color w:val="auto"/>
                      <w:szCs w:val="21"/>
                      <w:vertAlign w:val="baseline"/>
                      <w:lang w:val="en-US" w:eastAsia="zh-CN"/>
                    </w:rPr>
                    <w:t>3t/5a</w:t>
                  </w:r>
                </w:p>
              </w:tc>
            </w:tr>
            <w:tr w14:paraId="6BF0E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9" w:type="pct"/>
                  <w:vMerge w:val="continue"/>
                  <w:vAlign w:val="center"/>
                </w:tcPr>
                <w:p w14:paraId="41C41BB0">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color w:val="auto"/>
                      <w:sz w:val="21"/>
                      <w:szCs w:val="21"/>
                      <w:vertAlign w:val="baseline"/>
                      <w:lang w:val="en-US" w:eastAsia="zh-CN"/>
                    </w:rPr>
                  </w:pPr>
                </w:p>
              </w:tc>
              <w:tc>
                <w:tcPr>
                  <w:tcW w:w="2854" w:type="pct"/>
                  <w:gridSpan w:val="2"/>
                  <w:vAlign w:val="center"/>
                </w:tcPr>
                <w:p w14:paraId="0C46C43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生活垃圾</w:t>
                  </w:r>
                </w:p>
              </w:tc>
              <w:tc>
                <w:tcPr>
                  <w:tcW w:w="1416" w:type="pct"/>
                  <w:vAlign w:val="center"/>
                </w:tcPr>
                <w:p w14:paraId="169636C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3.2</w:t>
                  </w:r>
                </w:p>
              </w:tc>
            </w:tr>
          </w:tbl>
          <w:p w14:paraId="10CF403D">
            <w:pPr>
              <w:pStyle w:val="19"/>
              <w:keepNext w:val="0"/>
              <w:keepLines w:val="0"/>
              <w:pageBreakBefore w:val="0"/>
              <w:widowControl w:val="0"/>
              <w:kinsoku/>
              <w:wordWrap/>
              <w:overflowPunct/>
              <w:topLinePunct w:val="0"/>
              <w:autoSpaceDE w:val="0"/>
              <w:autoSpaceDN w:val="0"/>
              <w:bidi w:val="0"/>
              <w:adjustRightInd w:val="0"/>
              <w:snapToGrid/>
              <w:spacing w:before="157" w:beforeLines="50" w:line="360" w:lineRule="auto"/>
              <w:ind w:firstLine="422" w:firstLineChars="200"/>
              <w:textAlignment w:val="baseline"/>
              <w:rPr>
                <w:rFonts w:hint="eastAsia"/>
                <w:color w:val="auto"/>
                <w:lang w:val="en-US" w:eastAsia="zh-CN"/>
              </w:rPr>
            </w:pPr>
            <w:r>
              <w:rPr>
                <w:rFonts w:hint="default" w:ascii="Times New Roman" w:hAnsi="Times New Roman" w:cs="Times New Roman"/>
                <w:b/>
                <w:bCs/>
                <w:color w:val="auto"/>
                <w:sz w:val="21"/>
                <w:szCs w:val="21"/>
                <w:highlight w:val="none"/>
                <w:lang w:val="en-US" w:eastAsia="zh-CN"/>
              </w:rPr>
              <w:t>2、现有项目存在环</w:t>
            </w:r>
            <w:r>
              <w:rPr>
                <w:rFonts w:hint="eastAsia" w:cs="宋体"/>
                <w:b/>
                <w:bCs/>
                <w:color w:val="auto"/>
                <w:sz w:val="21"/>
                <w:szCs w:val="21"/>
                <w:highlight w:val="none"/>
                <w:lang w:val="en-US" w:eastAsia="zh-CN"/>
              </w:rPr>
              <w:t>境问题及整改措施</w:t>
            </w:r>
          </w:p>
          <w:p w14:paraId="3538224E">
            <w:pPr>
              <w:spacing w:line="360" w:lineRule="auto"/>
              <w:ind w:firstLine="420" w:firstLineChars="200"/>
              <w:rPr>
                <w:rFonts w:hint="eastAsia"/>
                <w:color w:val="auto"/>
                <w:lang w:val="en-US" w:eastAsia="zh-CN"/>
              </w:rPr>
            </w:pPr>
            <w:r>
              <w:rPr>
                <w:color w:val="auto"/>
              </w:rPr>
              <w:t>根据</w:t>
            </w:r>
            <w:r>
              <w:rPr>
                <w:rFonts w:hint="eastAsia"/>
                <w:color w:val="auto"/>
              </w:rPr>
              <w:t>调查，现有项目环保手续完善，</w:t>
            </w:r>
            <w:r>
              <w:rPr>
                <w:color w:val="auto"/>
              </w:rPr>
              <w:t>废气、废水、噪声均按</w:t>
            </w:r>
            <w:r>
              <w:rPr>
                <w:rFonts w:hint="eastAsia"/>
                <w:color w:val="auto"/>
              </w:rPr>
              <w:t>环保</w:t>
            </w:r>
            <w:r>
              <w:rPr>
                <w:color w:val="auto"/>
              </w:rPr>
              <w:t>要求落实各项污染物治理措施要求，污染物排放达到相关标准。</w:t>
            </w:r>
            <w:r>
              <w:rPr>
                <w:rFonts w:hint="eastAsia"/>
                <w:color w:val="auto"/>
                <w:lang w:val="en-US" w:eastAsia="zh-CN"/>
              </w:rPr>
              <w:t>现有项目存在的主要环境问题为：</w:t>
            </w:r>
          </w:p>
          <w:p w14:paraId="01B9074C">
            <w:pPr>
              <w:numPr>
                <w:ilvl w:val="0"/>
                <w:numId w:val="2"/>
              </w:numPr>
              <w:spacing w:line="360" w:lineRule="auto"/>
              <w:ind w:firstLine="420" w:firstLineChars="200"/>
              <w:rPr>
                <w:rFonts w:hint="eastAsia"/>
                <w:color w:val="auto"/>
                <w:szCs w:val="21"/>
                <w:lang w:val="en-US" w:eastAsia="zh-CN"/>
              </w:rPr>
            </w:pPr>
            <w:r>
              <w:rPr>
                <w:rFonts w:hint="eastAsia"/>
                <w:color w:val="auto"/>
                <w:lang w:val="en-US" w:eastAsia="zh-CN"/>
              </w:rPr>
              <w:t>现有项目锅炉为2t/h，烟囱高度为25m，根据</w:t>
            </w:r>
            <w:r>
              <w:rPr>
                <w:rFonts w:hint="eastAsia"/>
                <w:color w:val="auto"/>
                <w:szCs w:val="21"/>
                <w:lang w:val="en-US" w:eastAsia="zh-CN"/>
              </w:rPr>
              <w:t xml:space="preserve">广东省《锅炉大气污染物排放标准》（DB44/765-2019）表4，烟囱最低高度为30m，不符合标准要求。本次技改锅炉变更为3t/h，烟囱高度30m，技改后烟囱高度符合广东省《锅炉大气污染物排放标准》（DB44/765-2019）标准要求。    </w:t>
            </w:r>
          </w:p>
          <w:p w14:paraId="6D7C5511">
            <w:pPr>
              <w:numPr>
                <w:ilvl w:val="0"/>
                <w:numId w:val="2"/>
              </w:numPr>
              <w:spacing w:line="360" w:lineRule="auto"/>
              <w:ind w:firstLine="420" w:firstLineChars="200"/>
              <w:rPr>
                <w:rFonts w:hint="default" w:eastAsia="宋体" w:cs="Times New Roman"/>
                <w:color w:val="auto"/>
                <w:szCs w:val="21"/>
                <w:lang w:val="en-US" w:eastAsia="zh-CN"/>
              </w:rPr>
            </w:pPr>
            <w:r>
              <w:rPr>
                <w:rFonts w:hint="eastAsia" w:cs="Times New Roman"/>
                <w:color w:val="auto"/>
                <w:szCs w:val="21"/>
                <w:lang w:val="en-US" w:eastAsia="zh-CN"/>
              </w:rPr>
              <w:t>现有工程与《固定污染源挥发性有机物综合排放标准》（DB44/ 2367-2022）的相符性</w:t>
            </w:r>
          </w:p>
          <w:p w14:paraId="6F8C0569">
            <w:pPr>
              <w:numPr>
                <w:ilvl w:val="0"/>
                <w:numId w:val="0"/>
              </w:numPr>
              <w:spacing w:line="360" w:lineRule="auto"/>
              <w:jc w:val="center"/>
              <w:rPr>
                <w:rFonts w:hint="eastAsia"/>
                <w:b/>
                <w:bCs/>
                <w:color w:val="auto"/>
                <w:szCs w:val="21"/>
                <w:lang w:val="en-US" w:eastAsia="zh-CN"/>
              </w:rPr>
            </w:pPr>
            <w:r>
              <w:rPr>
                <w:rFonts w:hint="eastAsia"/>
                <w:b/>
                <w:bCs/>
                <w:color w:val="auto"/>
                <w:szCs w:val="21"/>
                <w:lang w:val="en-US" w:eastAsia="zh-CN"/>
              </w:rPr>
              <w:t>表2-11 现有工程与《固定污染源挥发性有机物综合排放标准》相符性</w:t>
            </w:r>
          </w:p>
          <w:tbl>
            <w:tblPr>
              <w:tblStyle w:val="36"/>
              <w:tblW w:w="7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4318"/>
              <w:gridCol w:w="2077"/>
              <w:gridCol w:w="895"/>
            </w:tblGrid>
            <w:tr w14:paraId="76435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noWrap w:val="0"/>
                  <w:vAlign w:val="center"/>
                </w:tcPr>
                <w:p w14:paraId="314841CF">
                  <w:pPr>
                    <w:bidi w:val="0"/>
                    <w:spacing w:line="240" w:lineRule="auto"/>
                    <w:jc w:val="center"/>
                    <w:rPr>
                      <w:rFonts w:hint="default" w:ascii="Times New Roman" w:hAnsi="Times New Roman" w:eastAsia="宋体" w:cs="Times New Roman"/>
                      <w:b/>
                      <w:bCs/>
                      <w:color w:val="auto"/>
                      <w:kern w:val="0"/>
                      <w:sz w:val="24"/>
                      <w:szCs w:val="24"/>
                      <w:vertAlign w:val="baseline"/>
                      <w:lang w:val="en-US" w:eastAsia="zh-CN" w:bidi="ar"/>
                    </w:rPr>
                  </w:pPr>
                  <w:r>
                    <w:rPr>
                      <w:rFonts w:hint="eastAsia" w:ascii="Times New Roman" w:hAnsi="Times New Roman" w:eastAsia="宋体" w:cs="Times New Roman"/>
                      <w:b/>
                      <w:bCs/>
                      <w:color w:val="auto"/>
                      <w:kern w:val="0"/>
                      <w:sz w:val="21"/>
                      <w:szCs w:val="21"/>
                      <w:vertAlign w:val="baseline"/>
                      <w:lang w:val="en-US" w:eastAsia="zh-CN" w:bidi="ar"/>
                    </w:rPr>
                    <w:t>序号</w:t>
                  </w:r>
                </w:p>
              </w:tc>
              <w:tc>
                <w:tcPr>
                  <w:tcW w:w="4318" w:type="dxa"/>
                  <w:noWrap w:val="0"/>
                  <w:vAlign w:val="center"/>
                </w:tcPr>
                <w:p w14:paraId="43A4A3BF">
                  <w:pPr>
                    <w:bidi w:val="0"/>
                    <w:spacing w:line="240" w:lineRule="auto"/>
                    <w:jc w:val="center"/>
                    <w:rPr>
                      <w:rFonts w:hint="default" w:ascii="Times New Roman" w:hAnsi="Times New Roman" w:eastAsia="宋体" w:cs="Times New Roman"/>
                      <w:b/>
                      <w:bCs/>
                      <w:color w:val="auto"/>
                      <w:kern w:val="0"/>
                      <w:sz w:val="24"/>
                      <w:szCs w:val="24"/>
                      <w:vertAlign w:val="baseline"/>
                      <w:lang w:val="en-US" w:eastAsia="zh-CN" w:bidi="ar"/>
                    </w:rPr>
                  </w:pPr>
                  <w:r>
                    <w:rPr>
                      <w:rFonts w:hint="eastAsia" w:ascii="Times New Roman" w:hAnsi="Times New Roman" w:eastAsia="宋体" w:cs="Times New Roman"/>
                      <w:b/>
                      <w:bCs/>
                      <w:color w:val="auto"/>
                      <w:kern w:val="0"/>
                      <w:sz w:val="21"/>
                      <w:szCs w:val="21"/>
                      <w:vertAlign w:val="baseline"/>
                      <w:lang w:val="en-US" w:eastAsia="zh-CN" w:bidi="ar"/>
                    </w:rPr>
                    <w:t>标准要求</w:t>
                  </w:r>
                </w:p>
              </w:tc>
              <w:tc>
                <w:tcPr>
                  <w:tcW w:w="2077" w:type="dxa"/>
                  <w:noWrap w:val="0"/>
                  <w:vAlign w:val="center"/>
                </w:tcPr>
                <w:p w14:paraId="319C248D">
                  <w:pPr>
                    <w:bidi w:val="0"/>
                    <w:spacing w:line="240" w:lineRule="auto"/>
                    <w:jc w:val="center"/>
                    <w:rPr>
                      <w:rFonts w:hint="default" w:ascii="Times New Roman" w:hAnsi="Times New Roman" w:eastAsia="宋体" w:cs="Times New Roman"/>
                      <w:b/>
                      <w:bCs/>
                      <w:color w:val="auto"/>
                      <w:kern w:val="0"/>
                      <w:sz w:val="24"/>
                      <w:szCs w:val="24"/>
                      <w:vertAlign w:val="baseline"/>
                      <w:lang w:val="en-US" w:eastAsia="zh-CN" w:bidi="ar"/>
                    </w:rPr>
                  </w:pPr>
                  <w:r>
                    <w:rPr>
                      <w:rFonts w:hint="eastAsia" w:ascii="Times New Roman" w:hAnsi="Times New Roman" w:eastAsia="宋体" w:cs="Times New Roman"/>
                      <w:b/>
                      <w:bCs/>
                      <w:color w:val="auto"/>
                      <w:kern w:val="0"/>
                      <w:sz w:val="21"/>
                      <w:szCs w:val="21"/>
                      <w:vertAlign w:val="baseline"/>
                      <w:lang w:val="en-US" w:eastAsia="zh-CN" w:bidi="ar"/>
                    </w:rPr>
                    <w:t>本项目情况</w:t>
                  </w:r>
                </w:p>
              </w:tc>
              <w:tc>
                <w:tcPr>
                  <w:tcW w:w="895" w:type="dxa"/>
                  <w:noWrap w:val="0"/>
                  <w:vAlign w:val="center"/>
                </w:tcPr>
                <w:p w14:paraId="188D2DB2">
                  <w:pPr>
                    <w:bidi w:val="0"/>
                    <w:spacing w:line="240" w:lineRule="auto"/>
                    <w:jc w:val="center"/>
                    <w:rPr>
                      <w:rFonts w:hint="default" w:ascii="Times New Roman" w:hAnsi="Times New Roman" w:eastAsia="宋体" w:cs="Times New Roman"/>
                      <w:b/>
                      <w:bCs/>
                      <w:color w:val="auto"/>
                      <w:kern w:val="0"/>
                      <w:sz w:val="21"/>
                      <w:szCs w:val="21"/>
                      <w:vertAlign w:val="baseline"/>
                      <w:lang w:val="en-US" w:eastAsia="zh-CN" w:bidi="ar"/>
                    </w:rPr>
                  </w:pPr>
                  <w:r>
                    <w:rPr>
                      <w:rFonts w:hint="eastAsia" w:ascii="Times New Roman" w:hAnsi="Times New Roman" w:eastAsia="宋体" w:cs="Times New Roman"/>
                      <w:b/>
                      <w:bCs/>
                      <w:color w:val="auto"/>
                      <w:kern w:val="0"/>
                      <w:sz w:val="21"/>
                      <w:szCs w:val="21"/>
                      <w:vertAlign w:val="baseline"/>
                      <w:lang w:val="en-US" w:eastAsia="zh-CN" w:bidi="ar"/>
                    </w:rPr>
                    <w:t>相符性</w:t>
                  </w:r>
                </w:p>
              </w:tc>
            </w:tr>
            <w:tr w14:paraId="306F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654" w:type="dxa"/>
                  <w:noWrap w:val="0"/>
                  <w:vAlign w:val="center"/>
                </w:tcPr>
                <w:p w14:paraId="4B0E75E6">
                  <w:pPr>
                    <w:bidi w:val="0"/>
                    <w:spacing w:line="240" w:lineRule="auto"/>
                    <w:jc w:val="center"/>
                    <w:rPr>
                      <w:rFonts w:hint="default" w:ascii="Times New Roman" w:hAnsi="Times New Roman" w:eastAsia="宋体" w:cs="Times New Roman"/>
                      <w:b/>
                      <w:bCs/>
                      <w:color w:val="auto"/>
                      <w:kern w:val="0"/>
                      <w:sz w:val="24"/>
                      <w:szCs w:val="24"/>
                      <w:vertAlign w:val="baseline"/>
                      <w:lang w:val="en-US" w:eastAsia="zh-CN" w:bidi="ar"/>
                    </w:rPr>
                  </w:pPr>
                  <w:r>
                    <w:rPr>
                      <w:rFonts w:hint="eastAsia" w:ascii="Times New Roman" w:hAnsi="Times New Roman" w:eastAsia="宋体" w:cs="Times New Roman"/>
                      <w:b/>
                      <w:bCs/>
                      <w:color w:val="auto"/>
                      <w:kern w:val="0"/>
                      <w:sz w:val="21"/>
                      <w:szCs w:val="21"/>
                      <w:vertAlign w:val="baseline"/>
                      <w:lang w:val="en-US" w:eastAsia="zh-CN" w:bidi="ar"/>
                    </w:rPr>
                    <w:t>1</w:t>
                  </w:r>
                </w:p>
              </w:tc>
              <w:tc>
                <w:tcPr>
                  <w:tcW w:w="4318" w:type="dxa"/>
                  <w:noWrap w:val="0"/>
                  <w:vAlign w:val="center"/>
                </w:tcPr>
                <w:p w14:paraId="618938A7">
                  <w:pPr>
                    <w:bidi w:val="0"/>
                    <w:spacing w:line="240" w:lineRule="auto"/>
                    <w:jc w:val="center"/>
                    <w:rPr>
                      <w:rFonts w:hint="eastAsia" w:ascii="Times New Roman" w:hAnsi="Times New Roman" w:eastAsia="宋体" w:cs="Times New Roman"/>
                      <w:b/>
                      <w:bCs/>
                      <w:color w:val="auto"/>
                      <w:kern w:val="0"/>
                      <w:sz w:val="24"/>
                      <w:szCs w:val="24"/>
                      <w:vertAlign w:val="baseline"/>
                      <w:lang w:val="en-US" w:eastAsia="zh-CN" w:bidi="ar"/>
                    </w:rPr>
                  </w:pPr>
                  <w:r>
                    <w:rPr>
                      <w:rFonts w:hint="default"/>
                      <w:color w:val="auto"/>
                    </w:rPr>
                    <w:t>VOCs 物料储存无组织排放控制要求。VOCs 物料应储存于密闭的容器、包装袋、储罐、储库、料仓中。盛装 VOCs物料的容器或包装袋应存放于室内，或存放于设置有雨棚、遮阳和防渗设施的专用场地。盛装VOCs物料的容器或包装袋在非取用状态时应加盖、封口，保持密闭。VOCs 物料储库、料仓应满足对密闭空间的要求，即利用完整的围护结构将污染物质、作业场所等与周围空间阻隔所形成的封闭区域或封闭式建筑物。该封闭区域或封闭式建筑物除人员、车辆、设备、物料进出时，以及依法设立的排气筒、通风口外，门窗及其他开口（孔）部位应随时保持关闭状态</w:t>
                  </w:r>
                  <w:r>
                    <w:rPr>
                      <w:rFonts w:hint="eastAsia" w:ascii="Times New Roman" w:hAnsi="Times New Roman" w:eastAsia="宋体" w:cs="Times New Roman"/>
                      <w:color w:val="auto"/>
                      <w:kern w:val="0"/>
                      <w:szCs w:val="21"/>
                      <w:lang w:eastAsia="zh-CN" w:bidi="ar"/>
                    </w:rPr>
                    <w:t>。</w:t>
                  </w:r>
                </w:p>
              </w:tc>
              <w:tc>
                <w:tcPr>
                  <w:tcW w:w="2077" w:type="dxa"/>
                  <w:noWrap w:val="0"/>
                  <w:vAlign w:val="center"/>
                </w:tcPr>
                <w:p w14:paraId="03ECE9AB">
                  <w:pPr>
                    <w:bidi w:val="0"/>
                    <w:spacing w:line="240" w:lineRule="auto"/>
                    <w:jc w:val="both"/>
                    <w:rPr>
                      <w:rFonts w:hint="default" w:ascii="Times New Roman" w:hAnsi="Times New Roman" w:eastAsia="宋体" w:cs="Times New Roman"/>
                      <w:b/>
                      <w:bCs/>
                      <w:color w:val="auto"/>
                      <w:kern w:val="0"/>
                      <w:sz w:val="24"/>
                      <w:szCs w:val="24"/>
                      <w:vertAlign w:val="baseline"/>
                      <w:lang w:val="en-US" w:eastAsia="zh-CN" w:bidi="ar"/>
                    </w:rPr>
                  </w:pPr>
                  <w:r>
                    <w:rPr>
                      <w:rFonts w:hint="eastAsia"/>
                      <w:color w:val="auto"/>
                      <w:lang w:val="en-US" w:eastAsia="zh-CN"/>
                    </w:rPr>
                    <w:t>现有</w:t>
                  </w:r>
                  <w:r>
                    <w:rPr>
                      <w:rFonts w:hint="default"/>
                      <w:color w:val="auto"/>
                    </w:rPr>
                    <w:t>项目VOCs物料均储存于密闭的容器中，盛装VOCs物料的容器在非取用状态时均加盖保持密闭。物料仓库均具有完整的围护结构将污染物质、作业场所等与周围空间阻隔；除人员、车辆、设备、物料进出时，仓库门窗及其他开口（孔）部位均随时保持关闭状态。</w:t>
                  </w:r>
                </w:p>
              </w:tc>
              <w:tc>
                <w:tcPr>
                  <w:tcW w:w="895" w:type="dxa"/>
                  <w:noWrap w:val="0"/>
                  <w:vAlign w:val="center"/>
                </w:tcPr>
                <w:p w14:paraId="7FD1BF89">
                  <w:pPr>
                    <w:bidi w:val="0"/>
                    <w:spacing w:line="240" w:lineRule="auto"/>
                    <w:jc w:val="center"/>
                    <w:rPr>
                      <w:rFonts w:hint="default" w:ascii="Times New Roman" w:hAnsi="Times New Roman" w:eastAsia="宋体" w:cs="Times New Roman"/>
                      <w:b/>
                      <w:bCs/>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相符</w:t>
                  </w:r>
                </w:p>
              </w:tc>
            </w:tr>
            <w:tr w14:paraId="7984C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54" w:type="dxa"/>
                  <w:noWrap w:val="0"/>
                  <w:vAlign w:val="center"/>
                </w:tcPr>
                <w:p w14:paraId="5135D9B0">
                  <w:pPr>
                    <w:bidi w:val="0"/>
                    <w:spacing w:line="24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2</w:t>
                  </w:r>
                </w:p>
              </w:tc>
              <w:tc>
                <w:tcPr>
                  <w:tcW w:w="4318" w:type="dxa"/>
                  <w:noWrap w:val="0"/>
                  <w:vAlign w:val="center"/>
                </w:tcPr>
                <w:p w14:paraId="644BBB8F">
                  <w:pPr>
                    <w:bidi w:val="0"/>
                    <w:spacing w:line="240" w:lineRule="auto"/>
                    <w:jc w:val="both"/>
                    <w:rPr>
                      <w:rFonts w:hint="default"/>
                      <w:color w:val="auto"/>
                    </w:rPr>
                  </w:pPr>
                  <w:r>
                    <w:rPr>
                      <w:rFonts w:hint="eastAsia"/>
                      <w:color w:val="auto"/>
                    </w:rPr>
                    <w:t>VOCs 物料转移和输送无组织排放控制要求。液态VOCs 物料应采用密闭管道输送。采用非管道输送方式转移液态VOCs物料时，应采用密闭容器、罐车。挥发性有机液体应采用底部装载方式；若采用顶部浸没式装载，出料管口距离槽（罐）底部高度应小于200mm。</w:t>
                  </w:r>
                </w:p>
              </w:tc>
              <w:tc>
                <w:tcPr>
                  <w:tcW w:w="2077" w:type="dxa"/>
                  <w:noWrap w:val="0"/>
                  <w:vAlign w:val="center"/>
                </w:tcPr>
                <w:p w14:paraId="6B115C4A">
                  <w:pPr>
                    <w:bidi w:val="0"/>
                    <w:spacing w:line="240" w:lineRule="auto"/>
                    <w:jc w:val="center"/>
                    <w:rPr>
                      <w:rFonts w:hint="default" w:ascii="Times New Roman" w:hAnsi="Times New Roman" w:eastAsia="宋体" w:cs="Times New Roman"/>
                      <w:b w:val="0"/>
                      <w:bCs w:val="0"/>
                      <w:color w:val="auto"/>
                      <w:kern w:val="0"/>
                      <w:sz w:val="24"/>
                      <w:szCs w:val="24"/>
                      <w:vertAlign w:val="baseline"/>
                      <w:lang w:val="en-US" w:eastAsia="zh-CN" w:bidi="ar"/>
                    </w:rPr>
                  </w:pPr>
                  <w:r>
                    <w:rPr>
                      <w:rFonts w:hint="eastAsia"/>
                      <w:color w:val="auto"/>
                      <w:lang w:val="en-US" w:eastAsia="zh-CN"/>
                    </w:rPr>
                    <w:t>现有</w:t>
                  </w:r>
                  <w:r>
                    <w:rPr>
                      <w:rFonts w:hint="default"/>
                      <w:color w:val="auto"/>
                    </w:rPr>
                    <w:t>项目VOCs 物料</w:t>
                  </w:r>
                  <w:r>
                    <w:rPr>
                      <w:rFonts w:hint="eastAsia"/>
                      <w:color w:val="auto"/>
                    </w:rPr>
                    <w:t>采用加盖密封原料桶转移，不会排放VOCs。</w:t>
                  </w:r>
                </w:p>
              </w:tc>
              <w:tc>
                <w:tcPr>
                  <w:tcW w:w="895" w:type="dxa"/>
                  <w:noWrap w:val="0"/>
                  <w:vAlign w:val="center"/>
                </w:tcPr>
                <w:p w14:paraId="0989AE98">
                  <w:pPr>
                    <w:bidi w:val="0"/>
                    <w:spacing w:line="24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符合</w:t>
                  </w:r>
                </w:p>
              </w:tc>
            </w:tr>
            <w:tr w14:paraId="79F84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noWrap w:val="0"/>
                  <w:vAlign w:val="center"/>
                </w:tcPr>
                <w:p w14:paraId="595DEEBA">
                  <w:pPr>
                    <w:bidi w:val="0"/>
                    <w:spacing w:line="24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3</w:t>
                  </w:r>
                </w:p>
              </w:tc>
              <w:tc>
                <w:tcPr>
                  <w:tcW w:w="4318" w:type="dxa"/>
                  <w:noWrap w:val="0"/>
                  <w:vAlign w:val="center"/>
                </w:tcPr>
                <w:p w14:paraId="5B927569">
                  <w:pPr>
                    <w:bidi w:val="0"/>
                    <w:spacing w:line="240" w:lineRule="auto"/>
                    <w:jc w:val="both"/>
                    <w:rPr>
                      <w:rFonts w:hint="default"/>
                      <w:color w:val="auto"/>
                    </w:rPr>
                  </w:pPr>
                  <w:r>
                    <w:rPr>
                      <w:rFonts w:hint="eastAsia"/>
                      <w:color w:val="auto"/>
                    </w:rPr>
                    <w:t>工艺过程VOCs无组织排放控制要求。含 VOCs产品的使用过程：VOCs 质量占比大于等于10%的含VOCs 产品，其使用过程应采用密闭设备或在密闭空间内操作，废气应排至 VOCs 废气收集处理系统；无法密闭的，应采取局部气体收集措施，废气应排至VOCs废气收集处理系统。企业应建立台账，记录含VOCs原辅材料和含VOCs产品的名称、使用量、回收量、废弃量、去向以及VOCs含量等信息。台账保存期限不</w:t>
                  </w:r>
                  <w:r>
                    <w:rPr>
                      <w:rFonts w:hint="eastAsia"/>
                      <w:color w:val="auto"/>
                      <w:lang w:eastAsia="zh-CN"/>
                    </w:rPr>
                    <w:t>少于</w:t>
                  </w:r>
                  <w:r>
                    <w:rPr>
                      <w:rFonts w:hint="eastAsia"/>
                      <w:color w:val="auto"/>
                    </w:rPr>
                    <w:t xml:space="preserve"> 3年。</w:t>
                  </w:r>
                </w:p>
              </w:tc>
              <w:tc>
                <w:tcPr>
                  <w:tcW w:w="2077" w:type="dxa"/>
                  <w:noWrap w:val="0"/>
                  <w:vAlign w:val="center"/>
                </w:tcPr>
                <w:p w14:paraId="63BC1C34">
                  <w:pPr>
                    <w:bidi w:val="0"/>
                    <w:spacing w:line="240" w:lineRule="auto"/>
                    <w:jc w:val="center"/>
                    <w:rPr>
                      <w:rFonts w:hint="default"/>
                      <w:color w:val="auto"/>
                    </w:rPr>
                  </w:pPr>
                  <w:r>
                    <w:rPr>
                      <w:rFonts w:hint="eastAsia"/>
                      <w:color w:val="auto"/>
                      <w:lang w:val="en-US" w:eastAsia="zh-CN"/>
                    </w:rPr>
                    <w:t>现有项目热压工序VOCs采用集气罩收集，末端治理措施为UV光解</w:t>
                  </w:r>
                  <w:r>
                    <w:rPr>
                      <w:rFonts w:hint="eastAsia"/>
                      <w:color w:val="auto"/>
                      <w:highlight w:val="none"/>
                    </w:rPr>
                    <w:t>。企业</w:t>
                  </w:r>
                  <w:r>
                    <w:rPr>
                      <w:rFonts w:hint="eastAsia"/>
                      <w:color w:val="auto"/>
                      <w:highlight w:val="none"/>
                      <w:lang w:val="en-US" w:eastAsia="zh-CN"/>
                    </w:rPr>
                    <w:t>已</w:t>
                  </w:r>
                  <w:r>
                    <w:rPr>
                      <w:rFonts w:hint="eastAsia"/>
                      <w:color w:val="auto"/>
                      <w:highlight w:val="none"/>
                    </w:rPr>
                    <w:t>建立VO</w:t>
                  </w:r>
                  <w:r>
                    <w:rPr>
                      <w:rFonts w:hint="eastAsia"/>
                      <w:color w:val="auto"/>
                    </w:rPr>
                    <w:t>Cs 台账并如实记录，台账保存3年以上。</w:t>
                  </w:r>
                </w:p>
              </w:tc>
              <w:tc>
                <w:tcPr>
                  <w:tcW w:w="895" w:type="dxa"/>
                  <w:noWrap w:val="0"/>
                  <w:vAlign w:val="center"/>
                </w:tcPr>
                <w:p w14:paraId="574ECB0E">
                  <w:pPr>
                    <w:bidi w:val="0"/>
                    <w:spacing w:line="24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建议对末端治理设施进行改造。</w:t>
                  </w:r>
                </w:p>
              </w:tc>
            </w:tr>
          </w:tbl>
          <w:p w14:paraId="73908478">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firstLine="420" w:firstLineChars="200"/>
              <w:textAlignment w:val="auto"/>
              <w:rPr>
                <w:rFonts w:hint="default" w:eastAsia="宋体" w:cs="Times New Roman"/>
                <w:color w:val="auto"/>
                <w:szCs w:val="21"/>
                <w:lang w:val="en-US" w:eastAsia="zh-CN"/>
              </w:rPr>
            </w:pPr>
            <w:r>
              <w:rPr>
                <w:rFonts w:hint="eastAsia"/>
                <w:color w:val="auto"/>
                <w:szCs w:val="21"/>
                <w:lang w:val="en-US" w:eastAsia="zh-CN"/>
              </w:rPr>
              <w:t>综上分析，现有项目热压工序产生的VOCs采用UV光解单一处理装置，属于低效VOCs处理设施，建议对其进行改造，采用活性炭吸附处理设施；</w:t>
            </w:r>
          </w:p>
          <w:p w14:paraId="54746188">
            <w:pPr>
              <w:numPr>
                <w:ilvl w:val="0"/>
                <w:numId w:val="2"/>
              </w:numPr>
              <w:spacing w:line="360" w:lineRule="auto"/>
              <w:ind w:firstLine="420" w:firstLineChars="200"/>
              <w:rPr>
                <w:rFonts w:hint="default" w:eastAsia="宋体" w:cs="Times New Roman"/>
                <w:color w:val="auto"/>
                <w:szCs w:val="21"/>
                <w:lang w:val="en-US" w:eastAsia="zh-CN"/>
              </w:rPr>
            </w:pPr>
            <w:r>
              <w:rPr>
                <w:rFonts w:hint="eastAsia"/>
                <w:color w:val="auto"/>
                <w:szCs w:val="21"/>
                <w:lang w:val="en-US" w:eastAsia="zh-CN"/>
              </w:rPr>
              <w:t>砂光/抛光/切边废气排放口未开展自行监测，建议后续运营中按照1次/年频次进行监测；</w:t>
            </w:r>
          </w:p>
          <w:p w14:paraId="2696098A">
            <w:pPr>
              <w:numPr>
                <w:ilvl w:val="0"/>
                <w:numId w:val="2"/>
              </w:numPr>
              <w:spacing w:line="360" w:lineRule="auto"/>
              <w:ind w:firstLine="420" w:firstLineChars="200"/>
              <w:rPr>
                <w:rFonts w:hint="eastAsia"/>
                <w:color w:val="auto"/>
                <w:lang w:val="en-US" w:eastAsia="zh-CN"/>
              </w:rPr>
            </w:pPr>
            <w:r>
              <w:rPr>
                <w:rFonts w:hint="eastAsia"/>
                <w:color w:val="auto"/>
                <w:szCs w:val="21"/>
                <w:lang w:val="en-US" w:eastAsia="zh-CN"/>
              </w:rPr>
              <w:t>锅炉房内设置有1台4t/h生物质备用锅炉，备用锅炉废气经水膜除尘处理后通过20m高烟囱排放。该备用锅炉未办理环评手续，根据广东省《锅炉大气污染物排放标准》（DB44/765-2019）表4，4t/h锅炉烟囱最低高度为35m，每个锅炉房只能设一根烟囱。本报告要求此备用锅炉尽快完善环评手续，并对废气处理设施进行整改，安装布袋除尘器等高效除尘设施，锅炉烟囱高度不低于35m，锅炉房保留一根烟囱。</w:t>
            </w:r>
          </w:p>
          <w:p w14:paraId="79177BAE">
            <w:pPr>
              <w:rPr>
                <w:rFonts w:hint="eastAsia"/>
                <w:color w:val="auto"/>
                <w:lang w:val="en-US" w:eastAsia="zh-CN"/>
              </w:rPr>
            </w:pPr>
          </w:p>
        </w:tc>
      </w:tr>
    </w:tbl>
    <w:p w14:paraId="70ECB6E2">
      <w:pPr>
        <w:pStyle w:val="31"/>
        <w:adjustRightInd w:val="0"/>
        <w:snapToGrid w:val="0"/>
        <w:jc w:val="center"/>
        <w:rPr>
          <w:rFonts w:ascii="Times New Roman" w:hAnsi="Times New Roman" w:eastAsia="黑体" w:cs="Times New Roman"/>
          <w:snapToGrid w:val="0"/>
          <w:color w:val="auto"/>
          <w:sz w:val="36"/>
          <w:szCs w:val="36"/>
        </w:rPr>
        <w:sectPr>
          <w:footerReference r:id="rId7" w:type="default"/>
          <w:pgSz w:w="11906" w:h="16838"/>
          <w:pgMar w:top="1417" w:right="1797" w:bottom="1417" w:left="1797" w:header="851" w:footer="851" w:gutter="0"/>
          <w:cols w:space="720" w:num="1"/>
          <w:docGrid w:linePitch="312" w:charSpace="0"/>
        </w:sectPr>
      </w:pPr>
    </w:p>
    <w:p w14:paraId="24532B95">
      <w:pPr>
        <w:pStyle w:val="31"/>
        <w:adjustRightInd w:val="0"/>
        <w:snapToGrid w:val="0"/>
        <w:spacing w:before="0" w:beforeAutospacing="0" w:after="0" w:afterAutospacing="0" w:line="14" w:lineRule="auto"/>
        <w:jc w:val="center"/>
        <w:rPr>
          <w:rFonts w:ascii="Times New Roman" w:hAnsi="Times New Roman" w:eastAsia="黑体" w:cs="Times New Roman"/>
          <w:snapToGrid w:val="0"/>
          <w:color w:val="auto"/>
          <w:sz w:val="30"/>
          <w:szCs w:val="30"/>
        </w:rPr>
      </w:pPr>
    </w:p>
    <w:p w14:paraId="168E0C47">
      <w:pPr>
        <w:pStyle w:val="31"/>
        <w:adjustRightInd w:val="0"/>
        <w:snapToGrid w:val="0"/>
        <w:jc w:val="center"/>
        <w:outlineLvl w:val="0"/>
        <w:rPr>
          <w:rFonts w:ascii="Times New Roman" w:hAnsi="Times New Roman" w:eastAsia="黑体" w:cs="Times New Roman"/>
          <w:snapToGrid w:val="0"/>
          <w:color w:val="auto"/>
          <w:sz w:val="30"/>
          <w:szCs w:val="30"/>
        </w:rPr>
      </w:pPr>
      <w:bookmarkStart w:id="9" w:name="_Toc17429"/>
      <w:bookmarkStart w:id="10" w:name="_Toc31568_WPSOffice_Level1"/>
      <w:bookmarkStart w:id="11" w:name="_Toc30287"/>
      <w:bookmarkStart w:id="12" w:name="_Toc17146_WPSOffice_Level1"/>
      <w:bookmarkStart w:id="13" w:name="_Toc7168_WPSOffice_Level1"/>
      <w:bookmarkStart w:id="14" w:name="_Toc11017"/>
      <w:bookmarkStart w:id="15" w:name="_Toc24522_WPSOffice_Level1"/>
      <w:r>
        <w:rPr>
          <w:rFonts w:ascii="Times New Roman" w:hAnsi="Times New Roman" w:eastAsia="黑体" w:cs="Times New Roman"/>
          <w:snapToGrid w:val="0"/>
          <w:color w:val="auto"/>
          <w:sz w:val="30"/>
          <w:szCs w:val="30"/>
        </w:rPr>
        <w:t>三、区域环境质量现状、环境保护目标及评价标准</w:t>
      </w:r>
      <w:bookmarkEnd w:id="9"/>
      <w:bookmarkEnd w:id="10"/>
      <w:bookmarkEnd w:id="11"/>
      <w:bookmarkEnd w:id="12"/>
      <w:bookmarkEnd w:id="13"/>
      <w:bookmarkEnd w:id="14"/>
      <w:bookmarkEnd w:id="15"/>
    </w:p>
    <w:tbl>
      <w:tblPr>
        <w:tblStyle w:val="35"/>
        <w:tblW w:w="90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154"/>
      </w:tblGrid>
      <w:tr w14:paraId="652F6B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846" w:type="dxa"/>
            <w:vAlign w:val="center"/>
          </w:tcPr>
          <w:p w14:paraId="4C4BBA7B">
            <w:pPr>
              <w:adjustRightInd w:val="0"/>
              <w:snapToGrid w:val="0"/>
              <w:jc w:val="center"/>
              <w:rPr>
                <w:color w:val="auto"/>
                <w:kern w:val="0"/>
                <w:szCs w:val="21"/>
              </w:rPr>
            </w:pPr>
            <w:r>
              <w:rPr>
                <w:color w:val="auto"/>
                <w:kern w:val="0"/>
                <w:szCs w:val="21"/>
              </w:rPr>
              <w:t>区域</w:t>
            </w:r>
          </w:p>
          <w:p w14:paraId="1F365FF5">
            <w:pPr>
              <w:adjustRightInd w:val="0"/>
              <w:snapToGrid w:val="0"/>
              <w:jc w:val="center"/>
              <w:rPr>
                <w:color w:val="auto"/>
                <w:kern w:val="0"/>
                <w:szCs w:val="21"/>
              </w:rPr>
            </w:pPr>
            <w:r>
              <w:rPr>
                <w:color w:val="auto"/>
                <w:kern w:val="0"/>
                <w:szCs w:val="21"/>
              </w:rPr>
              <w:t>环境</w:t>
            </w:r>
          </w:p>
          <w:p w14:paraId="416F108C">
            <w:pPr>
              <w:adjustRightInd w:val="0"/>
              <w:snapToGrid w:val="0"/>
              <w:jc w:val="center"/>
              <w:rPr>
                <w:color w:val="auto"/>
                <w:kern w:val="0"/>
                <w:szCs w:val="21"/>
              </w:rPr>
            </w:pPr>
            <w:r>
              <w:rPr>
                <w:color w:val="auto"/>
                <w:kern w:val="0"/>
                <w:szCs w:val="21"/>
              </w:rPr>
              <w:t>质量</w:t>
            </w:r>
          </w:p>
          <w:p w14:paraId="4C7AAEE0">
            <w:pPr>
              <w:adjustRightInd w:val="0"/>
              <w:snapToGrid w:val="0"/>
              <w:jc w:val="center"/>
              <w:rPr>
                <w:color w:val="auto"/>
                <w:kern w:val="0"/>
                <w:szCs w:val="21"/>
              </w:rPr>
            </w:pPr>
            <w:r>
              <w:rPr>
                <w:color w:val="auto"/>
                <w:kern w:val="0"/>
                <w:szCs w:val="21"/>
              </w:rPr>
              <w:t>现状</w:t>
            </w:r>
          </w:p>
        </w:tc>
        <w:tc>
          <w:tcPr>
            <w:tcW w:w="8154" w:type="dxa"/>
          </w:tcPr>
          <w:p w14:paraId="351AC84B">
            <w:pPr>
              <w:pStyle w:val="82"/>
              <w:keepNext w:val="0"/>
              <w:keepLines w:val="0"/>
              <w:pageBreakBefore w:val="0"/>
              <w:widowControl w:val="0"/>
              <w:kinsoku/>
              <w:wordWrap/>
              <w:overflowPunct/>
              <w:topLinePunct w:val="0"/>
              <w:autoSpaceDE/>
              <w:autoSpaceDN/>
              <w:bidi w:val="0"/>
              <w:adjustRightInd w:val="0"/>
              <w:snapToGrid w:val="0"/>
              <w:spacing w:before="157" w:beforeLines="50"/>
              <w:ind w:firstLine="422" w:firstLineChars="200"/>
              <w:textAlignment w:val="auto"/>
              <w:rPr>
                <w:rFonts w:cs="Times New Roman"/>
                <w:b/>
                <w:color w:val="auto"/>
              </w:rPr>
            </w:pPr>
            <w:r>
              <w:rPr>
                <w:rFonts w:hint="eastAsia" w:cs="Times New Roman"/>
                <w:b/>
                <w:color w:val="auto"/>
                <w:lang w:val="en-US" w:eastAsia="zh-CN"/>
              </w:rPr>
              <w:t>1</w:t>
            </w:r>
            <w:r>
              <w:rPr>
                <w:rFonts w:cs="Times New Roman"/>
                <w:b/>
                <w:color w:val="auto"/>
              </w:rPr>
              <w:t>、大气环境质量现状</w:t>
            </w:r>
          </w:p>
          <w:p w14:paraId="78445CE7">
            <w:pPr>
              <w:adjustRightInd w:val="0"/>
              <w:snapToGrid w:val="0"/>
              <w:spacing w:line="360" w:lineRule="auto"/>
              <w:ind w:firstLine="420" w:firstLineChars="200"/>
              <w:rPr>
                <w:bCs/>
                <w:color w:val="auto"/>
                <w:szCs w:val="21"/>
              </w:rPr>
            </w:pPr>
            <w:r>
              <w:rPr>
                <w:bCs/>
                <w:color w:val="auto"/>
                <w:szCs w:val="21"/>
              </w:rPr>
              <w:t>根据《韶关市生态环境保护战略规划（2020-2035）》，本项目选址区域空气环境质量功能区划为二类功能区，因此，项目所在区域环境空气质量执行国家《环境空气质量标准》（GB3095-2012）及2018年修改单中的二级标准。</w:t>
            </w:r>
          </w:p>
          <w:p w14:paraId="1DC6FA9F">
            <w:pPr>
              <w:adjustRightInd w:val="0"/>
              <w:snapToGrid w:val="0"/>
              <w:spacing w:line="360" w:lineRule="auto"/>
              <w:ind w:firstLine="420" w:firstLineChars="200"/>
              <w:rPr>
                <w:bCs/>
                <w:color w:val="auto"/>
                <w:szCs w:val="21"/>
              </w:rPr>
            </w:pPr>
            <w:r>
              <w:rPr>
                <w:bCs/>
                <w:color w:val="auto"/>
                <w:szCs w:val="21"/>
              </w:rPr>
              <w:t>由《韶关市生态环境状况公报（202</w:t>
            </w:r>
            <w:r>
              <w:rPr>
                <w:rFonts w:hint="eastAsia"/>
                <w:bCs/>
                <w:color w:val="auto"/>
                <w:szCs w:val="21"/>
                <w:lang w:val="en-US" w:eastAsia="zh-CN"/>
              </w:rPr>
              <w:t>4</w:t>
            </w:r>
            <w:r>
              <w:rPr>
                <w:bCs/>
                <w:color w:val="auto"/>
                <w:szCs w:val="21"/>
              </w:rPr>
              <w:t>年）》可知，202</w:t>
            </w:r>
            <w:r>
              <w:rPr>
                <w:rFonts w:hint="eastAsia"/>
                <w:bCs/>
                <w:color w:val="auto"/>
                <w:szCs w:val="21"/>
                <w:lang w:val="en-US" w:eastAsia="zh-CN"/>
              </w:rPr>
              <w:t>4</w:t>
            </w:r>
            <w:r>
              <w:rPr>
                <w:bCs/>
                <w:color w:val="auto"/>
                <w:szCs w:val="21"/>
              </w:rPr>
              <w:t>年</w:t>
            </w:r>
            <w:r>
              <w:rPr>
                <w:rFonts w:hint="eastAsia"/>
                <w:bCs/>
                <w:color w:val="auto"/>
                <w:szCs w:val="21"/>
                <w:lang w:val="en-US" w:eastAsia="zh-CN"/>
              </w:rPr>
              <w:t>乐昌</w:t>
            </w:r>
            <w:r>
              <w:rPr>
                <w:bCs/>
                <w:color w:val="auto"/>
                <w:szCs w:val="21"/>
              </w:rPr>
              <w:t>市环境空气质量各项指标均符合国家《环境空气质量标准》（GB3095-2012）及2018年修改单中的二级标准，故项目所在地环境空气质量现状较好。</w:t>
            </w:r>
          </w:p>
          <w:p w14:paraId="3D146884">
            <w:pPr>
              <w:pStyle w:val="15"/>
              <w:keepNext/>
              <w:jc w:val="center"/>
              <w:rPr>
                <w:rFonts w:ascii="Times New Roman" w:hAnsi="Times New Roman" w:eastAsia="宋体"/>
                <w:b/>
                <w:color w:val="auto"/>
                <w:sz w:val="21"/>
                <w:szCs w:val="21"/>
              </w:rPr>
            </w:pPr>
            <w:r>
              <w:rPr>
                <w:rFonts w:ascii="Times New Roman" w:hAnsi="Times New Roman" w:eastAsia="宋体"/>
                <w:b/>
                <w:color w:val="auto"/>
                <w:sz w:val="21"/>
                <w:szCs w:val="21"/>
              </w:rPr>
              <w:t>表</w:t>
            </w:r>
            <w:r>
              <w:rPr>
                <w:rFonts w:hint="eastAsia" w:ascii="Times New Roman" w:hAnsi="Times New Roman" w:eastAsia="宋体"/>
                <w:b/>
                <w:color w:val="auto"/>
                <w:sz w:val="21"/>
                <w:szCs w:val="21"/>
              </w:rPr>
              <w:t xml:space="preserve">3-1  </w:t>
            </w:r>
            <w:r>
              <w:rPr>
                <w:rFonts w:ascii="Times New Roman" w:hAnsi="Times New Roman" w:eastAsia="宋体"/>
                <w:b/>
                <w:color w:val="auto"/>
                <w:sz w:val="21"/>
                <w:szCs w:val="21"/>
              </w:rPr>
              <w:t>202</w:t>
            </w:r>
            <w:r>
              <w:rPr>
                <w:rFonts w:hint="eastAsia" w:ascii="Times New Roman" w:hAnsi="Times New Roman" w:eastAsia="宋体"/>
                <w:b/>
                <w:color w:val="auto"/>
                <w:sz w:val="21"/>
                <w:szCs w:val="21"/>
                <w:lang w:val="en-US" w:eastAsia="zh-CN"/>
              </w:rPr>
              <w:t xml:space="preserve">4 </w:t>
            </w:r>
            <w:r>
              <w:rPr>
                <w:rFonts w:ascii="Times New Roman" w:hAnsi="Times New Roman" w:eastAsia="宋体"/>
                <w:b/>
                <w:color w:val="auto"/>
                <w:sz w:val="21"/>
                <w:szCs w:val="21"/>
              </w:rPr>
              <w:t>年</w:t>
            </w:r>
            <w:r>
              <w:rPr>
                <w:rFonts w:hint="eastAsia" w:ascii="Times New Roman" w:hAnsi="Times New Roman" w:eastAsia="宋体"/>
                <w:b/>
                <w:color w:val="auto"/>
                <w:sz w:val="21"/>
                <w:szCs w:val="21"/>
                <w:lang w:val="en-US" w:eastAsia="zh-CN"/>
              </w:rPr>
              <w:t>乐昌</w:t>
            </w:r>
            <w:r>
              <w:rPr>
                <w:rFonts w:ascii="Times New Roman" w:hAnsi="Times New Roman" w:eastAsia="宋体"/>
                <w:b/>
                <w:color w:val="auto"/>
                <w:sz w:val="21"/>
                <w:szCs w:val="21"/>
              </w:rPr>
              <w:t>市环境空气质量状况 （</w:t>
            </w:r>
            <w:r>
              <w:rPr>
                <w:rFonts w:ascii="Times New Roman" w:hAnsi="Times New Roman" w:eastAsia="宋体"/>
                <w:b/>
                <w:color w:val="auto"/>
                <w:kern w:val="0"/>
                <w:sz w:val="21"/>
                <w:szCs w:val="21"/>
              </w:rPr>
              <w:t>μg/m</w:t>
            </w:r>
            <w:r>
              <w:rPr>
                <w:rFonts w:ascii="Times New Roman" w:hAnsi="Times New Roman" w:eastAsia="宋体"/>
                <w:b/>
                <w:color w:val="auto"/>
                <w:kern w:val="0"/>
                <w:sz w:val="21"/>
                <w:szCs w:val="21"/>
                <w:vertAlign w:val="superscript"/>
              </w:rPr>
              <w:t>3</w:t>
            </w:r>
            <w:r>
              <w:rPr>
                <w:rFonts w:ascii="Times New Roman" w:hAnsi="Times New Roman" w:eastAsia="宋体"/>
                <w:b/>
                <w:color w:val="auto"/>
                <w:sz w:val="21"/>
                <w:szCs w:val="21"/>
              </w:rPr>
              <w:t>）</w:t>
            </w:r>
          </w:p>
          <w:tbl>
            <w:tblPr>
              <w:tblStyle w:val="36"/>
              <w:tblW w:w="7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276"/>
              <w:gridCol w:w="2265"/>
              <w:gridCol w:w="1595"/>
              <w:gridCol w:w="1595"/>
            </w:tblGrid>
            <w:tr w14:paraId="3B0E5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vAlign w:val="center"/>
                </w:tcPr>
                <w:p w14:paraId="62A781D6">
                  <w:pPr>
                    <w:jc w:val="center"/>
                    <w:rPr>
                      <w:b/>
                      <w:color w:val="auto"/>
                    </w:rPr>
                  </w:pPr>
                  <w:r>
                    <w:rPr>
                      <w:b/>
                      <w:color w:val="auto"/>
                    </w:rPr>
                    <w:t>类别</w:t>
                  </w:r>
                </w:p>
              </w:tc>
              <w:tc>
                <w:tcPr>
                  <w:tcW w:w="1276" w:type="dxa"/>
                  <w:vAlign w:val="center"/>
                </w:tcPr>
                <w:p w14:paraId="0066AE23">
                  <w:pPr>
                    <w:jc w:val="center"/>
                    <w:rPr>
                      <w:b/>
                      <w:color w:val="auto"/>
                    </w:rPr>
                  </w:pPr>
                  <w:r>
                    <w:rPr>
                      <w:b/>
                      <w:color w:val="auto"/>
                    </w:rPr>
                    <w:t>监测项目</w:t>
                  </w:r>
                </w:p>
              </w:tc>
              <w:tc>
                <w:tcPr>
                  <w:tcW w:w="2265" w:type="dxa"/>
                  <w:vAlign w:val="center"/>
                </w:tcPr>
                <w:p w14:paraId="084AAD7B">
                  <w:pPr>
                    <w:jc w:val="center"/>
                    <w:rPr>
                      <w:b/>
                      <w:color w:val="auto"/>
                    </w:rPr>
                  </w:pPr>
                  <w:r>
                    <w:rPr>
                      <w:b/>
                      <w:color w:val="auto"/>
                    </w:rPr>
                    <w:t>现状浓度</w:t>
                  </w:r>
                </w:p>
              </w:tc>
              <w:tc>
                <w:tcPr>
                  <w:tcW w:w="1595" w:type="dxa"/>
                  <w:vAlign w:val="center"/>
                </w:tcPr>
                <w:p w14:paraId="15AF1948">
                  <w:pPr>
                    <w:jc w:val="center"/>
                    <w:rPr>
                      <w:b/>
                      <w:color w:val="auto"/>
                    </w:rPr>
                  </w:pPr>
                  <w:r>
                    <w:rPr>
                      <w:b/>
                      <w:color w:val="auto"/>
                    </w:rPr>
                    <w:t>标准值</w:t>
                  </w:r>
                </w:p>
              </w:tc>
              <w:tc>
                <w:tcPr>
                  <w:tcW w:w="1595" w:type="dxa"/>
                  <w:vAlign w:val="center"/>
                </w:tcPr>
                <w:p w14:paraId="6696EE93">
                  <w:pPr>
                    <w:jc w:val="center"/>
                    <w:rPr>
                      <w:b/>
                      <w:color w:val="auto"/>
                    </w:rPr>
                  </w:pPr>
                  <w:r>
                    <w:rPr>
                      <w:b/>
                      <w:color w:val="auto"/>
                    </w:rPr>
                    <w:t>是否达标</w:t>
                  </w:r>
                </w:p>
              </w:tc>
            </w:tr>
            <w:tr w14:paraId="64993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vMerge w:val="restart"/>
                  <w:vAlign w:val="center"/>
                </w:tcPr>
                <w:p w14:paraId="749F9C9A">
                  <w:pPr>
                    <w:jc w:val="center"/>
                    <w:rPr>
                      <w:b/>
                      <w:color w:val="auto"/>
                    </w:rPr>
                  </w:pPr>
                  <w:r>
                    <w:rPr>
                      <w:b/>
                      <w:color w:val="auto"/>
                    </w:rPr>
                    <w:t>年均浓度</w:t>
                  </w:r>
                </w:p>
              </w:tc>
              <w:tc>
                <w:tcPr>
                  <w:tcW w:w="1276" w:type="dxa"/>
                  <w:vAlign w:val="center"/>
                </w:tcPr>
                <w:p w14:paraId="2F319E5F">
                  <w:pPr>
                    <w:jc w:val="center"/>
                    <w:rPr>
                      <w:b/>
                      <w:color w:val="auto"/>
                    </w:rPr>
                  </w:pPr>
                  <w:r>
                    <w:rPr>
                      <w:b/>
                      <w:color w:val="auto"/>
                    </w:rPr>
                    <w:t>SO</w:t>
                  </w:r>
                  <w:r>
                    <w:rPr>
                      <w:b/>
                      <w:color w:val="auto"/>
                      <w:vertAlign w:val="subscript"/>
                    </w:rPr>
                    <w:t>2</w:t>
                  </w:r>
                </w:p>
              </w:tc>
              <w:tc>
                <w:tcPr>
                  <w:tcW w:w="2265" w:type="dxa"/>
                  <w:vAlign w:val="center"/>
                </w:tcPr>
                <w:p w14:paraId="21334748">
                  <w:pPr>
                    <w:jc w:val="center"/>
                    <w:rPr>
                      <w:rFonts w:hint="eastAsia" w:eastAsia="宋体"/>
                      <w:color w:val="auto"/>
                      <w:lang w:eastAsia="zh-CN"/>
                    </w:rPr>
                  </w:pPr>
                  <w:r>
                    <w:rPr>
                      <w:rFonts w:hint="eastAsia"/>
                      <w:color w:val="auto"/>
                      <w:lang w:val="en-US" w:eastAsia="zh-CN"/>
                    </w:rPr>
                    <w:t>6</w:t>
                  </w:r>
                </w:p>
              </w:tc>
              <w:tc>
                <w:tcPr>
                  <w:tcW w:w="1595" w:type="dxa"/>
                  <w:vAlign w:val="center"/>
                </w:tcPr>
                <w:p w14:paraId="42020FBC">
                  <w:pPr>
                    <w:jc w:val="center"/>
                    <w:rPr>
                      <w:color w:val="auto"/>
                    </w:rPr>
                  </w:pPr>
                  <w:r>
                    <w:rPr>
                      <w:color w:val="auto"/>
                    </w:rPr>
                    <w:t>60</w:t>
                  </w:r>
                </w:p>
              </w:tc>
              <w:tc>
                <w:tcPr>
                  <w:tcW w:w="1595" w:type="dxa"/>
                  <w:vAlign w:val="center"/>
                </w:tcPr>
                <w:p w14:paraId="3962A4B0">
                  <w:pPr>
                    <w:jc w:val="center"/>
                    <w:rPr>
                      <w:color w:val="auto"/>
                    </w:rPr>
                  </w:pPr>
                  <w:r>
                    <w:rPr>
                      <w:color w:val="auto"/>
                    </w:rPr>
                    <w:t>达标</w:t>
                  </w:r>
                </w:p>
              </w:tc>
            </w:tr>
            <w:tr w14:paraId="5179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3" w:type="dxa"/>
                  <w:vMerge w:val="continue"/>
                  <w:vAlign w:val="center"/>
                </w:tcPr>
                <w:p w14:paraId="248332CF">
                  <w:pPr>
                    <w:jc w:val="center"/>
                    <w:rPr>
                      <w:b/>
                      <w:color w:val="auto"/>
                    </w:rPr>
                  </w:pPr>
                </w:p>
              </w:tc>
              <w:tc>
                <w:tcPr>
                  <w:tcW w:w="1276" w:type="dxa"/>
                  <w:vAlign w:val="center"/>
                </w:tcPr>
                <w:p w14:paraId="0D710DE2">
                  <w:pPr>
                    <w:jc w:val="center"/>
                    <w:rPr>
                      <w:b/>
                      <w:color w:val="auto"/>
                    </w:rPr>
                  </w:pPr>
                  <w:r>
                    <w:rPr>
                      <w:b/>
                      <w:color w:val="auto"/>
                      <w:kern w:val="0"/>
                      <w:szCs w:val="21"/>
                    </w:rPr>
                    <w:t>NO</w:t>
                  </w:r>
                  <w:r>
                    <w:rPr>
                      <w:b/>
                      <w:color w:val="auto"/>
                      <w:kern w:val="0"/>
                      <w:szCs w:val="21"/>
                      <w:vertAlign w:val="subscript"/>
                    </w:rPr>
                    <w:t>2</w:t>
                  </w:r>
                </w:p>
              </w:tc>
              <w:tc>
                <w:tcPr>
                  <w:tcW w:w="2265" w:type="dxa"/>
                  <w:vAlign w:val="center"/>
                </w:tcPr>
                <w:p w14:paraId="45DF425B">
                  <w:pPr>
                    <w:jc w:val="center"/>
                    <w:rPr>
                      <w:rFonts w:hint="eastAsia" w:eastAsia="宋体"/>
                      <w:color w:val="auto"/>
                      <w:lang w:eastAsia="zh-CN"/>
                    </w:rPr>
                  </w:pPr>
                  <w:r>
                    <w:rPr>
                      <w:color w:val="auto"/>
                    </w:rPr>
                    <w:t>1</w:t>
                  </w:r>
                  <w:r>
                    <w:rPr>
                      <w:rFonts w:hint="eastAsia"/>
                      <w:color w:val="auto"/>
                      <w:lang w:val="en-US" w:eastAsia="zh-CN"/>
                    </w:rPr>
                    <w:t>2</w:t>
                  </w:r>
                </w:p>
              </w:tc>
              <w:tc>
                <w:tcPr>
                  <w:tcW w:w="1595" w:type="dxa"/>
                  <w:vAlign w:val="center"/>
                </w:tcPr>
                <w:p w14:paraId="4EE6D495">
                  <w:pPr>
                    <w:jc w:val="center"/>
                    <w:rPr>
                      <w:color w:val="auto"/>
                    </w:rPr>
                  </w:pPr>
                  <w:r>
                    <w:rPr>
                      <w:color w:val="auto"/>
                    </w:rPr>
                    <w:t>40</w:t>
                  </w:r>
                </w:p>
              </w:tc>
              <w:tc>
                <w:tcPr>
                  <w:tcW w:w="1595" w:type="dxa"/>
                  <w:vAlign w:val="center"/>
                </w:tcPr>
                <w:p w14:paraId="5C03E6C2">
                  <w:pPr>
                    <w:jc w:val="center"/>
                    <w:rPr>
                      <w:color w:val="auto"/>
                    </w:rPr>
                  </w:pPr>
                  <w:r>
                    <w:rPr>
                      <w:color w:val="auto"/>
                    </w:rPr>
                    <w:t>达标</w:t>
                  </w:r>
                </w:p>
              </w:tc>
            </w:tr>
            <w:tr w14:paraId="3C80C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vMerge w:val="continue"/>
                  <w:vAlign w:val="center"/>
                </w:tcPr>
                <w:p w14:paraId="57D7D53E">
                  <w:pPr>
                    <w:jc w:val="center"/>
                    <w:rPr>
                      <w:b/>
                      <w:color w:val="auto"/>
                    </w:rPr>
                  </w:pPr>
                </w:p>
              </w:tc>
              <w:tc>
                <w:tcPr>
                  <w:tcW w:w="1276" w:type="dxa"/>
                  <w:vAlign w:val="center"/>
                </w:tcPr>
                <w:p w14:paraId="785751DF">
                  <w:pPr>
                    <w:jc w:val="center"/>
                    <w:rPr>
                      <w:b/>
                      <w:color w:val="auto"/>
                    </w:rPr>
                  </w:pPr>
                  <w:r>
                    <w:rPr>
                      <w:b/>
                      <w:color w:val="auto"/>
                      <w:kern w:val="0"/>
                      <w:szCs w:val="21"/>
                    </w:rPr>
                    <w:t>PM</w:t>
                  </w:r>
                  <w:r>
                    <w:rPr>
                      <w:b/>
                      <w:color w:val="auto"/>
                      <w:kern w:val="0"/>
                      <w:szCs w:val="21"/>
                      <w:vertAlign w:val="subscript"/>
                    </w:rPr>
                    <w:t>2.5</w:t>
                  </w:r>
                </w:p>
              </w:tc>
              <w:tc>
                <w:tcPr>
                  <w:tcW w:w="2265" w:type="dxa"/>
                  <w:vAlign w:val="center"/>
                </w:tcPr>
                <w:p w14:paraId="17EA8426">
                  <w:pPr>
                    <w:jc w:val="center"/>
                    <w:rPr>
                      <w:rFonts w:hint="default" w:eastAsia="宋体"/>
                      <w:color w:val="auto"/>
                      <w:lang w:val="en-US" w:eastAsia="zh-CN"/>
                    </w:rPr>
                  </w:pPr>
                  <w:r>
                    <w:rPr>
                      <w:rFonts w:hint="eastAsia"/>
                      <w:color w:val="auto"/>
                      <w:lang w:val="en-US" w:eastAsia="zh-CN"/>
                    </w:rPr>
                    <w:t>21</w:t>
                  </w:r>
                </w:p>
              </w:tc>
              <w:tc>
                <w:tcPr>
                  <w:tcW w:w="1595" w:type="dxa"/>
                  <w:vAlign w:val="center"/>
                </w:tcPr>
                <w:p w14:paraId="2A698F45">
                  <w:pPr>
                    <w:jc w:val="center"/>
                    <w:rPr>
                      <w:color w:val="auto"/>
                    </w:rPr>
                  </w:pPr>
                  <w:r>
                    <w:rPr>
                      <w:color w:val="auto"/>
                    </w:rPr>
                    <w:t>35</w:t>
                  </w:r>
                </w:p>
              </w:tc>
              <w:tc>
                <w:tcPr>
                  <w:tcW w:w="1595" w:type="dxa"/>
                  <w:vAlign w:val="center"/>
                </w:tcPr>
                <w:p w14:paraId="45586BB5">
                  <w:pPr>
                    <w:jc w:val="center"/>
                    <w:rPr>
                      <w:color w:val="auto"/>
                    </w:rPr>
                  </w:pPr>
                  <w:r>
                    <w:rPr>
                      <w:color w:val="auto"/>
                    </w:rPr>
                    <w:t>达标</w:t>
                  </w:r>
                </w:p>
              </w:tc>
            </w:tr>
            <w:tr w14:paraId="2F0FF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vMerge w:val="continue"/>
                  <w:vAlign w:val="center"/>
                </w:tcPr>
                <w:p w14:paraId="06616C9E">
                  <w:pPr>
                    <w:jc w:val="center"/>
                    <w:rPr>
                      <w:b/>
                      <w:color w:val="auto"/>
                    </w:rPr>
                  </w:pPr>
                </w:p>
              </w:tc>
              <w:tc>
                <w:tcPr>
                  <w:tcW w:w="1276" w:type="dxa"/>
                  <w:vAlign w:val="center"/>
                </w:tcPr>
                <w:p w14:paraId="076B5C8A">
                  <w:pPr>
                    <w:jc w:val="center"/>
                    <w:rPr>
                      <w:b/>
                      <w:color w:val="auto"/>
                    </w:rPr>
                  </w:pPr>
                  <w:r>
                    <w:rPr>
                      <w:b/>
                      <w:color w:val="auto"/>
                      <w:kern w:val="0"/>
                      <w:szCs w:val="21"/>
                    </w:rPr>
                    <w:t>PM</w:t>
                  </w:r>
                  <w:r>
                    <w:rPr>
                      <w:b/>
                      <w:color w:val="auto"/>
                      <w:kern w:val="0"/>
                      <w:szCs w:val="21"/>
                      <w:vertAlign w:val="subscript"/>
                    </w:rPr>
                    <w:t>10</w:t>
                  </w:r>
                </w:p>
              </w:tc>
              <w:tc>
                <w:tcPr>
                  <w:tcW w:w="2265" w:type="dxa"/>
                  <w:vAlign w:val="center"/>
                </w:tcPr>
                <w:p w14:paraId="1E725467">
                  <w:pPr>
                    <w:jc w:val="center"/>
                    <w:rPr>
                      <w:rFonts w:hint="default" w:eastAsia="宋体"/>
                      <w:color w:val="auto"/>
                      <w:lang w:val="en-US" w:eastAsia="zh-CN"/>
                    </w:rPr>
                  </w:pPr>
                  <w:r>
                    <w:rPr>
                      <w:rFonts w:hint="eastAsia"/>
                      <w:color w:val="auto"/>
                      <w:lang w:val="en-US" w:eastAsia="zh-CN"/>
                    </w:rPr>
                    <w:t>31</w:t>
                  </w:r>
                </w:p>
              </w:tc>
              <w:tc>
                <w:tcPr>
                  <w:tcW w:w="1595" w:type="dxa"/>
                  <w:vAlign w:val="center"/>
                </w:tcPr>
                <w:p w14:paraId="4A1AD4E3">
                  <w:pPr>
                    <w:jc w:val="center"/>
                    <w:rPr>
                      <w:color w:val="auto"/>
                    </w:rPr>
                  </w:pPr>
                  <w:r>
                    <w:rPr>
                      <w:color w:val="auto"/>
                    </w:rPr>
                    <w:t>70</w:t>
                  </w:r>
                </w:p>
              </w:tc>
              <w:tc>
                <w:tcPr>
                  <w:tcW w:w="1595" w:type="dxa"/>
                  <w:vAlign w:val="center"/>
                </w:tcPr>
                <w:p w14:paraId="2EF1B760">
                  <w:pPr>
                    <w:jc w:val="center"/>
                    <w:rPr>
                      <w:color w:val="auto"/>
                    </w:rPr>
                  </w:pPr>
                  <w:r>
                    <w:rPr>
                      <w:color w:val="auto"/>
                    </w:rPr>
                    <w:t>达标</w:t>
                  </w:r>
                </w:p>
              </w:tc>
            </w:tr>
            <w:tr w14:paraId="451E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vMerge w:val="restart"/>
                  <w:vAlign w:val="center"/>
                </w:tcPr>
                <w:p w14:paraId="4161B76C">
                  <w:pPr>
                    <w:jc w:val="center"/>
                    <w:rPr>
                      <w:b/>
                      <w:color w:val="auto"/>
                    </w:rPr>
                  </w:pPr>
                  <w:r>
                    <w:rPr>
                      <w:b/>
                      <w:color w:val="auto"/>
                    </w:rPr>
                    <w:t>日均浓度</w:t>
                  </w:r>
                </w:p>
              </w:tc>
              <w:tc>
                <w:tcPr>
                  <w:tcW w:w="1276" w:type="dxa"/>
                  <w:vAlign w:val="center"/>
                </w:tcPr>
                <w:p w14:paraId="1E7B1C67">
                  <w:pPr>
                    <w:jc w:val="center"/>
                    <w:rPr>
                      <w:b/>
                      <w:color w:val="auto"/>
                    </w:rPr>
                  </w:pPr>
                  <w:r>
                    <w:rPr>
                      <w:b/>
                      <w:color w:val="auto"/>
                      <w:kern w:val="0"/>
                      <w:szCs w:val="21"/>
                    </w:rPr>
                    <w:t>CO</w:t>
                  </w:r>
                </w:p>
              </w:tc>
              <w:tc>
                <w:tcPr>
                  <w:tcW w:w="2265" w:type="dxa"/>
                  <w:vAlign w:val="center"/>
                </w:tcPr>
                <w:p w14:paraId="6DCC72E5">
                  <w:pPr>
                    <w:jc w:val="center"/>
                    <w:rPr>
                      <w:color w:val="auto"/>
                    </w:rPr>
                  </w:pPr>
                  <w:r>
                    <w:rPr>
                      <w:rFonts w:hint="eastAsia"/>
                      <w:color w:val="auto"/>
                      <w:kern w:val="0"/>
                      <w:szCs w:val="21"/>
                      <w:lang w:val="en-US" w:eastAsia="zh-CN"/>
                    </w:rPr>
                    <w:t>1.0</w:t>
                  </w:r>
                  <w:r>
                    <w:rPr>
                      <w:color w:val="auto"/>
                      <w:kern w:val="0"/>
                      <w:szCs w:val="21"/>
                    </w:rPr>
                    <w:t>mg/m</w:t>
                  </w:r>
                  <w:r>
                    <w:rPr>
                      <w:color w:val="auto"/>
                      <w:kern w:val="0"/>
                      <w:szCs w:val="21"/>
                      <w:vertAlign w:val="superscript"/>
                    </w:rPr>
                    <w:t>3</w:t>
                  </w:r>
                  <w:r>
                    <w:rPr>
                      <w:color w:val="auto"/>
                      <w:kern w:val="0"/>
                      <w:szCs w:val="21"/>
                    </w:rPr>
                    <w:t>（日均值第95百分位数）</w:t>
                  </w:r>
                </w:p>
              </w:tc>
              <w:tc>
                <w:tcPr>
                  <w:tcW w:w="1595" w:type="dxa"/>
                  <w:vAlign w:val="center"/>
                </w:tcPr>
                <w:p w14:paraId="66F3C0D5">
                  <w:pPr>
                    <w:jc w:val="center"/>
                    <w:rPr>
                      <w:color w:val="auto"/>
                    </w:rPr>
                  </w:pPr>
                  <w:r>
                    <w:rPr>
                      <w:color w:val="auto"/>
                      <w:kern w:val="0"/>
                      <w:szCs w:val="21"/>
                    </w:rPr>
                    <w:t>4mg/m</w:t>
                  </w:r>
                  <w:r>
                    <w:rPr>
                      <w:color w:val="auto"/>
                      <w:kern w:val="0"/>
                      <w:szCs w:val="21"/>
                      <w:vertAlign w:val="superscript"/>
                    </w:rPr>
                    <w:t>3</w:t>
                  </w:r>
                </w:p>
              </w:tc>
              <w:tc>
                <w:tcPr>
                  <w:tcW w:w="1595" w:type="dxa"/>
                  <w:vAlign w:val="center"/>
                </w:tcPr>
                <w:p w14:paraId="5BC88CE9">
                  <w:pPr>
                    <w:jc w:val="center"/>
                    <w:rPr>
                      <w:color w:val="auto"/>
                    </w:rPr>
                  </w:pPr>
                  <w:r>
                    <w:rPr>
                      <w:color w:val="auto"/>
                    </w:rPr>
                    <w:t>达标</w:t>
                  </w:r>
                </w:p>
              </w:tc>
            </w:tr>
            <w:tr w14:paraId="0E908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vMerge w:val="continue"/>
                  <w:vAlign w:val="center"/>
                </w:tcPr>
                <w:p w14:paraId="418DC2FB">
                  <w:pPr>
                    <w:jc w:val="center"/>
                    <w:rPr>
                      <w:b/>
                      <w:color w:val="auto"/>
                    </w:rPr>
                  </w:pPr>
                </w:p>
              </w:tc>
              <w:tc>
                <w:tcPr>
                  <w:tcW w:w="1276" w:type="dxa"/>
                  <w:vAlign w:val="center"/>
                </w:tcPr>
                <w:p w14:paraId="7A812AA5">
                  <w:pPr>
                    <w:jc w:val="center"/>
                    <w:rPr>
                      <w:b/>
                      <w:color w:val="auto"/>
                    </w:rPr>
                  </w:pPr>
                  <w:r>
                    <w:rPr>
                      <w:b/>
                      <w:color w:val="auto"/>
                      <w:kern w:val="0"/>
                      <w:szCs w:val="21"/>
                    </w:rPr>
                    <w:t>O</w:t>
                  </w:r>
                  <w:r>
                    <w:rPr>
                      <w:b/>
                      <w:color w:val="auto"/>
                      <w:kern w:val="0"/>
                      <w:szCs w:val="21"/>
                      <w:vertAlign w:val="subscript"/>
                    </w:rPr>
                    <w:t>3</w:t>
                  </w:r>
                </w:p>
              </w:tc>
              <w:tc>
                <w:tcPr>
                  <w:tcW w:w="2265" w:type="dxa"/>
                  <w:vAlign w:val="center"/>
                </w:tcPr>
                <w:p w14:paraId="77AB3D7B">
                  <w:pPr>
                    <w:jc w:val="center"/>
                    <w:rPr>
                      <w:color w:val="auto"/>
                    </w:rPr>
                  </w:pPr>
                  <w:r>
                    <w:rPr>
                      <w:rFonts w:hint="eastAsia"/>
                      <w:color w:val="auto"/>
                      <w:kern w:val="0"/>
                      <w:szCs w:val="21"/>
                      <w:lang w:val="en-US" w:eastAsia="zh-CN"/>
                    </w:rPr>
                    <w:t>108</w:t>
                  </w:r>
                  <w:r>
                    <w:rPr>
                      <w:color w:val="auto"/>
                      <w:kern w:val="0"/>
                      <w:szCs w:val="21"/>
                    </w:rPr>
                    <w:t>最大8小时平均第90百分位数）</w:t>
                  </w:r>
                </w:p>
              </w:tc>
              <w:tc>
                <w:tcPr>
                  <w:tcW w:w="1595" w:type="dxa"/>
                  <w:vAlign w:val="center"/>
                </w:tcPr>
                <w:p w14:paraId="7D27B230">
                  <w:pPr>
                    <w:jc w:val="center"/>
                    <w:rPr>
                      <w:color w:val="auto"/>
                    </w:rPr>
                  </w:pPr>
                  <w:r>
                    <w:rPr>
                      <w:color w:val="auto"/>
                      <w:kern w:val="0"/>
                      <w:szCs w:val="21"/>
                    </w:rPr>
                    <w:t>160</w:t>
                  </w:r>
                </w:p>
              </w:tc>
              <w:tc>
                <w:tcPr>
                  <w:tcW w:w="1595" w:type="dxa"/>
                  <w:vAlign w:val="center"/>
                </w:tcPr>
                <w:p w14:paraId="31610BDE">
                  <w:pPr>
                    <w:jc w:val="center"/>
                    <w:rPr>
                      <w:color w:val="auto"/>
                    </w:rPr>
                  </w:pPr>
                  <w:r>
                    <w:rPr>
                      <w:color w:val="auto"/>
                    </w:rPr>
                    <w:t>达标</w:t>
                  </w:r>
                </w:p>
              </w:tc>
            </w:tr>
          </w:tbl>
          <w:p w14:paraId="5B7832A0">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2" w:firstLineChars="200"/>
              <w:jc w:val="left"/>
              <w:textAlignment w:val="auto"/>
              <w:rPr>
                <w:b/>
                <w:color w:val="auto"/>
                <w:kern w:val="0"/>
                <w:szCs w:val="21"/>
              </w:rPr>
            </w:pPr>
            <w:r>
              <w:rPr>
                <w:rFonts w:hint="eastAsia"/>
                <w:b/>
                <w:color w:val="auto"/>
                <w:kern w:val="0"/>
                <w:szCs w:val="21"/>
                <w:lang w:val="en-US" w:eastAsia="zh-CN"/>
              </w:rPr>
              <w:t>2、</w:t>
            </w:r>
            <w:r>
              <w:rPr>
                <w:b/>
                <w:color w:val="auto"/>
                <w:kern w:val="0"/>
                <w:szCs w:val="21"/>
              </w:rPr>
              <w:t>地表水环境质量现状</w:t>
            </w:r>
          </w:p>
          <w:p w14:paraId="50E983BE">
            <w:pPr>
              <w:adjustRightInd w:val="0"/>
              <w:snapToGrid w:val="0"/>
              <w:spacing w:line="360" w:lineRule="auto"/>
              <w:ind w:firstLine="420" w:firstLineChars="200"/>
              <w:jc w:val="left"/>
              <w:rPr>
                <w:color w:val="auto"/>
              </w:rPr>
            </w:pPr>
            <w:r>
              <w:rPr>
                <w:color w:val="auto"/>
                <w:szCs w:val="21"/>
              </w:rPr>
              <w:t>本项目所在区域主要地表水</w:t>
            </w:r>
            <w:r>
              <w:rPr>
                <w:rFonts w:hint="eastAsia"/>
                <w:color w:val="auto"/>
                <w:szCs w:val="21"/>
                <w:lang w:val="en-US" w:eastAsia="zh-CN"/>
              </w:rPr>
              <w:t>为田头水一级支流，下游约3.5km汇入田头水，根据《广东省地表水环境功能区划》（粤府函[2011]29号文）的规定，田头水为</w:t>
            </w:r>
            <w:r>
              <w:rPr>
                <w:rFonts w:hint="eastAsia" w:ascii="宋体" w:hAnsi="宋体" w:eastAsia="宋体" w:cs="宋体"/>
                <w:color w:val="auto"/>
                <w:szCs w:val="21"/>
              </w:rPr>
              <w:t>Ⅱ</w:t>
            </w:r>
            <w:r>
              <w:rPr>
                <w:color w:val="auto"/>
                <w:szCs w:val="21"/>
              </w:rPr>
              <w:t>类水质功能区</w:t>
            </w:r>
            <w:r>
              <w:rPr>
                <w:rFonts w:hint="eastAsia"/>
                <w:color w:val="auto"/>
                <w:szCs w:val="21"/>
                <w:lang w:eastAsia="zh-CN"/>
              </w:rPr>
              <w:t>，</w:t>
            </w:r>
            <w:r>
              <w:rPr>
                <w:color w:val="auto"/>
                <w:szCs w:val="21"/>
              </w:rPr>
              <w:t>执行《地表水环境质量标准》（GB3838-2002）中的</w:t>
            </w:r>
            <w:r>
              <w:rPr>
                <w:rFonts w:hint="eastAsia" w:ascii="宋体" w:hAnsi="宋体" w:eastAsia="宋体" w:cs="宋体"/>
                <w:color w:val="auto"/>
                <w:szCs w:val="21"/>
              </w:rPr>
              <w:t>Ⅱ</w:t>
            </w:r>
            <w:r>
              <w:rPr>
                <w:color w:val="auto"/>
                <w:szCs w:val="21"/>
              </w:rPr>
              <w:t>类标准</w:t>
            </w:r>
            <w:r>
              <w:rPr>
                <w:rFonts w:hint="eastAsia"/>
                <w:color w:val="auto"/>
                <w:szCs w:val="21"/>
                <w:lang w:eastAsia="zh-CN"/>
              </w:rPr>
              <w:t>，</w:t>
            </w:r>
            <w:r>
              <w:rPr>
                <w:rFonts w:hint="eastAsia"/>
                <w:color w:val="auto"/>
                <w:szCs w:val="21"/>
                <w:lang w:val="en-US" w:eastAsia="zh-CN"/>
              </w:rPr>
              <w:t>支流未划定</w:t>
            </w:r>
            <w:r>
              <w:rPr>
                <w:color w:val="auto"/>
                <w:szCs w:val="21"/>
              </w:rPr>
              <w:t>水质功能区</w:t>
            </w:r>
            <w:r>
              <w:rPr>
                <w:rFonts w:hint="eastAsia"/>
                <w:color w:val="auto"/>
                <w:szCs w:val="21"/>
                <w:lang w:eastAsia="zh-CN"/>
              </w:rPr>
              <w:t>。</w:t>
            </w:r>
            <w:r>
              <w:rPr>
                <w:color w:val="auto"/>
              </w:rPr>
              <w:t>根据《韶关市生态环境状况公报（202</w:t>
            </w:r>
            <w:r>
              <w:rPr>
                <w:rFonts w:hint="eastAsia"/>
                <w:color w:val="auto"/>
                <w:lang w:val="en-US" w:eastAsia="zh-CN"/>
              </w:rPr>
              <w:t>4</w:t>
            </w:r>
            <w:r>
              <w:rPr>
                <w:color w:val="auto"/>
              </w:rPr>
              <w:t>年）》，202</w:t>
            </w:r>
            <w:r>
              <w:rPr>
                <w:rFonts w:hint="eastAsia"/>
                <w:color w:val="auto"/>
                <w:lang w:val="en-US" w:eastAsia="zh-CN"/>
              </w:rPr>
              <w:t>4</w:t>
            </w:r>
            <w:r>
              <w:rPr>
                <w:color w:val="auto"/>
              </w:rPr>
              <w:t>年，韶关市11条主要江河（北江、武江、浈江、南水河、墨江、锦江、马坝河、滃江、新丰江、横石水和大潭河）34个市考以上手工监测断面水质优良率为100%，与202</w:t>
            </w:r>
            <w:r>
              <w:rPr>
                <w:rFonts w:hint="eastAsia"/>
                <w:color w:val="auto"/>
                <w:lang w:val="en-US" w:eastAsia="zh-CN"/>
              </w:rPr>
              <w:t>3</w:t>
            </w:r>
            <w:r>
              <w:rPr>
                <w:color w:val="auto"/>
              </w:rPr>
              <w:t>年持平，其中Ⅰ类比例为2.9%、Ⅱ类比例为88.2%、Ⅲ类比例为8.8%。</w:t>
            </w:r>
            <w:r>
              <w:rPr>
                <w:rFonts w:hint="eastAsia"/>
                <w:color w:val="auto"/>
              </w:rPr>
              <w:t>由此</w:t>
            </w:r>
            <w:r>
              <w:rPr>
                <w:color w:val="auto"/>
              </w:rPr>
              <w:t>可见，</w:t>
            </w:r>
            <w:r>
              <w:rPr>
                <w:rFonts w:hint="eastAsia"/>
                <w:color w:val="auto"/>
                <w:lang w:val="en-US" w:eastAsia="zh-CN"/>
              </w:rPr>
              <w:t>项目所在流域</w:t>
            </w:r>
            <w:r>
              <w:rPr>
                <w:color w:val="auto"/>
              </w:rPr>
              <w:t>水环境质量现状良好。</w:t>
            </w:r>
          </w:p>
          <w:p w14:paraId="7E19C4B1">
            <w:pPr>
              <w:adjustRightInd w:val="0"/>
              <w:snapToGrid w:val="0"/>
              <w:spacing w:line="360" w:lineRule="auto"/>
              <w:ind w:firstLine="422" w:firstLineChars="200"/>
              <w:jc w:val="left"/>
              <w:rPr>
                <w:b/>
                <w:color w:val="auto"/>
                <w:kern w:val="0"/>
                <w:szCs w:val="21"/>
              </w:rPr>
            </w:pPr>
            <w:r>
              <w:rPr>
                <w:rFonts w:hint="eastAsia"/>
                <w:b/>
                <w:color w:val="auto"/>
                <w:kern w:val="0"/>
                <w:szCs w:val="21"/>
                <w:lang w:val="en-US" w:eastAsia="zh-CN"/>
              </w:rPr>
              <w:t>3、</w:t>
            </w:r>
            <w:r>
              <w:rPr>
                <w:b/>
                <w:color w:val="auto"/>
                <w:kern w:val="0"/>
                <w:szCs w:val="21"/>
              </w:rPr>
              <w:t>声环境质量现状</w:t>
            </w:r>
          </w:p>
          <w:p w14:paraId="33B821F6">
            <w:pPr>
              <w:adjustRightInd w:val="0"/>
              <w:snapToGrid w:val="0"/>
              <w:spacing w:line="360" w:lineRule="auto"/>
              <w:ind w:firstLine="420" w:firstLineChars="200"/>
              <w:jc w:val="left"/>
              <w:rPr>
                <w:rFonts w:hint="default" w:eastAsia="宋体"/>
                <w:color w:val="auto"/>
                <w:szCs w:val="21"/>
                <w:highlight w:val="none"/>
                <w:lang w:val="en-US" w:eastAsia="zh-CN"/>
              </w:rPr>
            </w:pPr>
            <w:r>
              <w:rPr>
                <w:color w:val="auto"/>
                <w:szCs w:val="21"/>
                <w:highlight w:val="none"/>
              </w:rPr>
              <w:t>本项目厂界外50m内</w:t>
            </w:r>
            <w:r>
              <w:rPr>
                <w:rFonts w:hint="eastAsia"/>
                <w:color w:val="auto"/>
                <w:szCs w:val="21"/>
                <w:highlight w:val="none"/>
                <w:lang w:val="en-US" w:eastAsia="zh-CN"/>
              </w:rPr>
              <w:t>无</w:t>
            </w:r>
            <w:r>
              <w:rPr>
                <w:rFonts w:hint="eastAsia"/>
                <w:color w:val="auto"/>
                <w:szCs w:val="21"/>
                <w:highlight w:val="none"/>
              </w:rPr>
              <w:t>声</w:t>
            </w:r>
            <w:r>
              <w:rPr>
                <w:color w:val="auto"/>
                <w:szCs w:val="21"/>
                <w:highlight w:val="none"/>
              </w:rPr>
              <w:t>环境保护目标</w:t>
            </w:r>
            <w:r>
              <w:rPr>
                <w:rFonts w:hint="eastAsia"/>
                <w:color w:val="auto"/>
                <w:szCs w:val="21"/>
                <w:highlight w:val="none"/>
                <w:lang w:eastAsia="zh-CN"/>
              </w:rPr>
              <w:t>，</w:t>
            </w:r>
            <w:r>
              <w:rPr>
                <w:rFonts w:hint="eastAsia"/>
                <w:color w:val="auto"/>
                <w:szCs w:val="21"/>
                <w:highlight w:val="none"/>
                <w:lang w:val="en-US" w:eastAsia="zh-CN"/>
              </w:rPr>
              <w:t>无需开展噪声现状监测。</w:t>
            </w:r>
          </w:p>
          <w:p w14:paraId="14B3C37F">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left"/>
              <w:textAlignment w:val="auto"/>
              <w:rPr>
                <w:b/>
                <w:color w:val="auto"/>
                <w:kern w:val="0"/>
                <w:szCs w:val="21"/>
              </w:rPr>
            </w:pPr>
            <w:r>
              <w:rPr>
                <w:rFonts w:hint="eastAsia"/>
                <w:b/>
                <w:color w:val="auto"/>
                <w:kern w:val="0"/>
                <w:szCs w:val="21"/>
                <w:lang w:val="en-US" w:eastAsia="zh-CN"/>
              </w:rPr>
              <w:t>4、</w:t>
            </w:r>
            <w:r>
              <w:rPr>
                <w:b/>
                <w:color w:val="auto"/>
                <w:kern w:val="0"/>
                <w:szCs w:val="21"/>
              </w:rPr>
              <w:t>地下水、土壤环境质量现状</w:t>
            </w:r>
          </w:p>
          <w:p w14:paraId="205D0958">
            <w:pPr>
              <w:adjustRightInd w:val="0"/>
              <w:snapToGrid w:val="0"/>
              <w:spacing w:line="360" w:lineRule="auto"/>
              <w:ind w:firstLine="420" w:firstLineChars="200"/>
              <w:jc w:val="left"/>
              <w:rPr>
                <w:bCs/>
                <w:color w:val="auto"/>
                <w:szCs w:val="21"/>
              </w:rPr>
            </w:pPr>
            <w:r>
              <w:rPr>
                <w:bCs/>
                <w:color w:val="auto"/>
                <w:szCs w:val="21"/>
              </w:rPr>
              <w:t>根据《建设项目环境影响报告表编制技术指南（污染影响类）（试行）》，原则上不开展地下水、土壤环境质量现状调查，本项目</w:t>
            </w:r>
            <w:r>
              <w:rPr>
                <w:rFonts w:hint="eastAsia"/>
                <w:bCs/>
                <w:color w:val="auto"/>
                <w:szCs w:val="21"/>
                <w:lang w:val="en-US" w:eastAsia="zh-CN"/>
              </w:rPr>
              <w:t>地面进行硬底化，</w:t>
            </w:r>
            <w:r>
              <w:rPr>
                <w:bCs/>
                <w:color w:val="auto"/>
                <w:szCs w:val="21"/>
              </w:rPr>
              <w:t>正常情况下不存在地下水、土壤环境污染途径，因此，不开展地下水、土壤环境质量现状调查。</w:t>
            </w:r>
          </w:p>
          <w:p w14:paraId="09B9091E">
            <w:pPr>
              <w:adjustRightInd w:val="0"/>
              <w:snapToGrid w:val="0"/>
              <w:spacing w:line="360" w:lineRule="auto"/>
              <w:ind w:firstLine="422" w:firstLineChars="200"/>
              <w:jc w:val="left"/>
              <w:rPr>
                <w:b/>
                <w:color w:val="auto"/>
                <w:kern w:val="0"/>
                <w:szCs w:val="21"/>
              </w:rPr>
            </w:pPr>
            <w:r>
              <w:rPr>
                <w:rFonts w:hint="eastAsia"/>
                <w:b/>
                <w:color w:val="auto"/>
                <w:kern w:val="0"/>
                <w:szCs w:val="21"/>
                <w:lang w:val="en-US" w:eastAsia="zh-CN"/>
              </w:rPr>
              <w:t>5、</w:t>
            </w:r>
            <w:r>
              <w:rPr>
                <w:b/>
                <w:color w:val="auto"/>
                <w:kern w:val="0"/>
                <w:szCs w:val="21"/>
              </w:rPr>
              <w:t>生态环境质量现状</w:t>
            </w:r>
          </w:p>
          <w:p w14:paraId="550E40FB">
            <w:pPr>
              <w:spacing w:line="360" w:lineRule="auto"/>
              <w:ind w:firstLine="420" w:firstLineChars="200"/>
              <w:rPr>
                <w:color w:val="auto"/>
                <w:szCs w:val="21"/>
              </w:rPr>
            </w:pPr>
            <w:r>
              <w:rPr>
                <w:bCs/>
                <w:color w:val="auto"/>
                <w:szCs w:val="21"/>
              </w:rPr>
              <w:t>本项目选址位于</w:t>
            </w:r>
            <w:r>
              <w:rPr>
                <w:rFonts w:hint="eastAsia"/>
                <w:color w:val="auto"/>
                <w:szCs w:val="21"/>
                <w:lang w:eastAsia="zh-CN"/>
              </w:rPr>
              <w:t xml:space="preserve">乐昌市庆云镇金坪 </w:t>
            </w:r>
            <w:r>
              <w:rPr>
                <w:bCs/>
                <w:color w:val="auto"/>
                <w:szCs w:val="21"/>
              </w:rPr>
              <w:t>，</w:t>
            </w:r>
            <w:r>
              <w:rPr>
                <w:rFonts w:hint="eastAsia"/>
                <w:bCs/>
                <w:color w:val="auto"/>
                <w:szCs w:val="21"/>
                <w:lang w:val="en-US" w:eastAsia="zh-CN"/>
              </w:rPr>
              <w:t>在现有厂区内实施技改，</w:t>
            </w:r>
            <w:r>
              <w:rPr>
                <w:color w:val="auto"/>
                <w:szCs w:val="21"/>
              </w:rPr>
              <w:t>根据现场</w:t>
            </w:r>
            <w:r>
              <w:rPr>
                <w:rFonts w:hint="eastAsia"/>
                <w:color w:val="auto"/>
                <w:szCs w:val="21"/>
                <w:lang w:eastAsia="zh-CN"/>
              </w:rPr>
              <w:t>踏勘</w:t>
            </w:r>
            <w:r>
              <w:rPr>
                <w:color w:val="auto"/>
                <w:szCs w:val="21"/>
              </w:rPr>
              <w:t>和调查，项目用地范围内不含生态环境保护目标，不需进行生态环境调查。</w:t>
            </w:r>
          </w:p>
          <w:p w14:paraId="2FFEC71F">
            <w:pPr>
              <w:spacing w:line="360" w:lineRule="auto"/>
              <w:ind w:firstLine="420" w:firstLineChars="200"/>
              <w:rPr>
                <w:color w:val="auto"/>
                <w:szCs w:val="21"/>
              </w:rPr>
            </w:pPr>
          </w:p>
          <w:p w14:paraId="156734ED">
            <w:pPr>
              <w:spacing w:line="360" w:lineRule="auto"/>
              <w:rPr>
                <w:color w:val="auto"/>
                <w:szCs w:val="21"/>
              </w:rPr>
            </w:pPr>
          </w:p>
        </w:tc>
      </w:tr>
      <w:tr w14:paraId="4F7E24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29" w:hRule="atLeast"/>
          <w:jc w:val="center"/>
        </w:trPr>
        <w:tc>
          <w:tcPr>
            <w:tcW w:w="846" w:type="dxa"/>
            <w:vAlign w:val="center"/>
          </w:tcPr>
          <w:p w14:paraId="09761F72">
            <w:pPr>
              <w:adjustRightInd w:val="0"/>
              <w:snapToGrid w:val="0"/>
              <w:jc w:val="center"/>
              <w:rPr>
                <w:color w:val="auto"/>
                <w:kern w:val="0"/>
                <w:szCs w:val="21"/>
              </w:rPr>
            </w:pPr>
            <w:r>
              <w:rPr>
                <w:color w:val="auto"/>
                <w:kern w:val="0"/>
                <w:szCs w:val="21"/>
              </w:rPr>
              <w:t>环境</w:t>
            </w:r>
          </w:p>
          <w:p w14:paraId="064C1CC1">
            <w:pPr>
              <w:adjustRightInd w:val="0"/>
              <w:snapToGrid w:val="0"/>
              <w:jc w:val="center"/>
              <w:rPr>
                <w:color w:val="auto"/>
                <w:kern w:val="0"/>
                <w:szCs w:val="21"/>
              </w:rPr>
            </w:pPr>
            <w:r>
              <w:rPr>
                <w:color w:val="auto"/>
                <w:kern w:val="0"/>
                <w:szCs w:val="21"/>
              </w:rPr>
              <w:t>保护</w:t>
            </w:r>
          </w:p>
          <w:p w14:paraId="17A185FA">
            <w:pPr>
              <w:adjustRightInd w:val="0"/>
              <w:snapToGrid w:val="0"/>
              <w:jc w:val="center"/>
              <w:rPr>
                <w:color w:val="auto"/>
                <w:kern w:val="0"/>
                <w:szCs w:val="21"/>
              </w:rPr>
            </w:pPr>
            <w:r>
              <w:rPr>
                <w:color w:val="auto"/>
                <w:kern w:val="0"/>
                <w:szCs w:val="21"/>
              </w:rPr>
              <w:t>目标</w:t>
            </w:r>
          </w:p>
        </w:tc>
        <w:tc>
          <w:tcPr>
            <w:tcW w:w="8154" w:type="dxa"/>
          </w:tcPr>
          <w:p w14:paraId="09230BBA">
            <w:pPr>
              <w:adjustRightInd w:val="0"/>
              <w:snapToGrid w:val="0"/>
              <w:spacing w:before="120" w:beforeLines="50" w:line="360" w:lineRule="auto"/>
              <w:ind w:firstLine="422" w:firstLineChars="200"/>
              <w:jc w:val="left"/>
              <w:rPr>
                <w:b/>
                <w:color w:val="auto"/>
                <w:kern w:val="0"/>
                <w:szCs w:val="21"/>
              </w:rPr>
            </w:pPr>
          </w:p>
          <w:p w14:paraId="01C6126B">
            <w:pPr>
              <w:adjustRightInd w:val="0"/>
              <w:snapToGrid w:val="0"/>
              <w:spacing w:before="120" w:beforeLines="50" w:line="360" w:lineRule="auto"/>
              <w:ind w:firstLine="422" w:firstLineChars="200"/>
              <w:jc w:val="left"/>
              <w:rPr>
                <w:b/>
                <w:color w:val="auto"/>
                <w:kern w:val="0"/>
                <w:szCs w:val="21"/>
              </w:rPr>
            </w:pPr>
            <w:r>
              <w:rPr>
                <w:b/>
                <w:color w:val="auto"/>
                <w:kern w:val="0"/>
                <w:szCs w:val="21"/>
              </w:rPr>
              <w:t>1、大气环境保护目标</w:t>
            </w:r>
          </w:p>
          <w:p w14:paraId="576A605B">
            <w:pPr>
              <w:spacing w:line="360" w:lineRule="auto"/>
              <w:ind w:firstLine="420" w:firstLineChars="200"/>
              <w:rPr>
                <w:rFonts w:hint="eastAsia"/>
                <w:bCs/>
                <w:color w:val="auto"/>
                <w:szCs w:val="21"/>
                <w:lang w:val="en-US" w:eastAsia="zh-CN"/>
              </w:rPr>
            </w:pPr>
            <w:r>
              <w:rPr>
                <w:bCs/>
                <w:color w:val="auto"/>
                <w:szCs w:val="21"/>
              </w:rPr>
              <w:t>本项目厂界外500m范围大气保护目标</w:t>
            </w:r>
            <w:r>
              <w:rPr>
                <w:rFonts w:hint="eastAsia"/>
                <w:bCs/>
                <w:color w:val="auto"/>
                <w:szCs w:val="21"/>
                <w:lang w:val="en-US" w:eastAsia="zh-CN"/>
              </w:rPr>
              <w:t>见下表：</w:t>
            </w:r>
          </w:p>
          <w:p w14:paraId="2BD83E3F">
            <w:pPr>
              <w:spacing w:line="360" w:lineRule="auto"/>
              <w:jc w:val="center"/>
              <w:rPr>
                <w:rFonts w:hint="eastAsia"/>
                <w:b/>
                <w:bCs w:val="0"/>
                <w:color w:val="auto"/>
                <w:szCs w:val="21"/>
                <w:lang w:val="en-US" w:eastAsia="zh-CN"/>
              </w:rPr>
            </w:pPr>
            <w:r>
              <w:rPr>
                <w:rFonts w:hint="eastAsia"/>
                <w:b/>
                <w:bCs w:val="0"/>
                <w:color w:val="auto"/>
                <w:szCs w:val="21"/>
                <w:lang w:val="en-US" w:eastAsia="zh-CN"/>
              </w:rPr>
              <w:t>表3-2 大气环境保护目标一览表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244"/>
              <w:gridCol w:w="1508"/>
              <w:gridCol w:w="1575"/>
              <w:gridCol w:w="1185"/>
              <w:gridCol w:w="1402"/>
            </w:tblGrid>
            <w:tr w14:paraId="4FB9D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2" w:type="dxa"/>
                  <w:tcBorders>
                    <w:tl2br w:val="nil"/>
                    <w:tr2bl w:val="nil"/>
                  </w:tcBorders>
                  <w:vAlign w:val="center"/>
                </w:tcPr>
                <w:p w14:paraId="0D8F6962">
                  <w:pPr>
                    <w:jc w:val="center"/>
                    <w:rPr>
                      <w:b/>
                      <w:color w:val="auto"/>
                    </w:rPr>
                  </w:pPr>
                  <w:r>
                    <w:rPr>
                      <w:rFonts w:hint="eastAsia"/>
                      <w:b/>
                      <w:color w:val="auto"/>
                    </w:rPr>
                    <w:t>序号</w:t>
                  </w:r>
                </w:p>
              </w:tc>
              <w:tc>
                <w:tcPr>
                  <w:tcW w:w="1244" w:type="dxa"/>
                  <w:tcBorders>
                    <w:tl2br w:val="nil"/>
                    <w:tr2bl w:val="nil"/>
                  </w:tcBorders>
                  <w:vAlign w:val="center"/>
                </w:tcPr>
                <w:p w14:paraId="79813D70">
                  <w:pPr>
                    <w:jc w:val="center"/>
                    <w:rPr>
                      <w:b/>
                      <w:color w:val="auto"/>
                    </w:rPr>
                  </w:pPr>
                  <w:r>
                    <w:rPr>
                      <w:b/>
                      <w:color w:val="auto"/>
                    </w:rPr>
                    <w:t>名称</w:t>
                  </w:r>
                </w:p>
              </w:tc>
              <w:tc>
                <w:tcPr>
                  <w:tcW w:w="1508" w:type="dxa"/>
                  <w:tcBorders>
                    <w:tl2br w:val="nil"/>
                    <w:tr2bl w:val="nil"/>
                  </w:tcBorders>
                  <w:vAlign w:val="center"/>
                </w:tcPr>
                <w:p w14:paraId="6136B191">
                  <w:pPr>
                    <w:jc w:val="center"/>
                    <w:rPr>
                      <w:b/>
                      <w:color w:val="auto"/>
                    </w:rPr>
                  </w:pPr>
                  <w:r>
                    <w:rPr>
                      <w:b/>
                      <w:color w:val="auto"/>
                    </w:rPr>
                    <w:t>保护对象</w:t>
                  </w:r>
                </w:p>
              </w:tc>
              <w:tc>
                <w:tcPr>
                  <w:tcW w:w="1575" w:type="dxa"/>
                  <w:tcBorders>
                    <w:tl2br w:val="nil"/>
                    <w:tr2bl w:val="nil"/>
                  </w:tcBorders>
                  <w:vAlign w:val="center"/>
                </w:tcPr>
                <w:p w14:paraId="190E627A">
                  <w:pPr>
                    <w:jc w:val="center"/>
                    <w:rPr>
                      <w:b/>
                      <w:color w:val="auto"/>
                    </w:rPr>
                  </w:pPr>
                  <w:r>
                    <w:rPr>
                      <w:b/>
                      <w:color w:val="auto"/>
                    </w:rPr>
                    <w:t>环境功能区</w:t>
                  </w:r>
                </w:p>
              </w:tc>
              <w:tc>
                <w:tcPr>
                  <w:tcW w:w="1185" w:type="dxa"/>
                  <w:tcBorders>
                    <w:tl2br w:val="nil"/>
                    <w:tr2bl w:val="nil"/>
                  </w:tcBorders>
                  <w:vAlign w:val="center"/>
                </w:tcPr>
                <w:p w14:paraId="299A530F">
                  <w:pPr>
                    <w:jc w:val="center"/>
                    <w:rPr>
                      <w:b/>
                      <w:color w:val="auto"/>
                    </w:rPr>
                  </w:pPr>
                  <w:r>
                    <w:rPr>
                      <w:b/>
                      <w:color w:val="auto"/>
                    </w:rPr>
                    <w:t>方位</w:t>
                  </w:r>
                </w:p>
              </w:tc>
              <w:tc>
                <w:tcPr>
                  <w:tcW w:w="1402" w:type="dxa"/>
                  <w:tcBorders>
                    <w:tl2br w:val="nil"/>
                    <w:tr2bl w:val="nil"/>
                  </w:tcBorders>
                  <w:vAlign w:val="center"/>
                </w:tcPr>
                <w:p w14:paraId="5A4FD69C">
                  <w:pPr>
                    <w:jc w:val="center"/>
                    <w:rPr>
                      <w:b/>
                      <w:color w:val="auto"/>
                    </w:rPr>
                  </w:pPr>
                  <w:r>
                    <w:rPr>
                      <w:rFonts w:hint="eastAsia"/>
                      <w:b/>
                      <w:color w:val="auto"/>
                      <w:lang w:val="en-US" w:eastAsia="zh-CN"/>
                    </w:rPr>
                    <w:t>最近</w:t>
                  </w:r>
                  <w:r>
                    <w:rPr>
                      <w:b/>
                      <w:color w:val="auto"/>
                    </w:rPr>
                    <w:t>距离/m</w:t>
                  </w:r>
                </w:p>
              </w:tc>
            </w:tr>
            <w:tr w14:paraId="07656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2" w:type="dxa"/>
                  <w:tcBorders>
                    <w:tl2br w:val="nil"/>
                    <w:tr2bl w:val="nil"/>
                  </w:tcBorders>
                  <w:vAlign w:val="center"/>
                </w:tcPr>
                <w:p w14:paraId="4646880C">
                  <w:pPr>
                    <w:jc w:val="center"/>
                    <w:rPr>
                      <w:color w:val="auto"/>
                    </w:rPr>
                  </w:pPr>
                  <w:r>
                    <w:rPr>
                      <w:rFonts w:hint="eastAsia"/>
                      <w:color w:val="auto"/>
                    </w:rPr>
                    <w:t>1</w:t>
                  </w:r>
                </w:p>
              </w:tc>
              <w:tc>
                <w:tcPr>
                  <w:tcW w:w="1244" w:type="dxa"/>
                  <w:tcBorders>
                    <w:tl2br w:val="nil"/>
                    <w:tr2bl w:val="nil"/>
                  </w:tcBorders>
                  <w:vAlign w:val="center"/>
                </w:tcPr>
                <w:p w14:paraId="255D16F6">
                  <w:pPr>
                    <w:jc w:val="center"/>
                    <w:rPr>
                      <w:rFonts w:hint="default" w:eastAsia="宋体"/>
                      <w:color w:val="auto"/>
                      <w:lang w:val="en-US" w:eastAsia="zh-CN"/>
                    </w:rPr>
                  </w:pPr>
                  <w:r>
                    <w:rPr>
                      <w:rFonts w:hint="eastAsia"/>
                      <w:color w:val="auto"/>
                      <w:lang w:val="en-US" w:eastAsia="zh-CN"/>
                    </w:rPr>
                    <w:t>桥头上村</w:t>
                  </w:r>
                </w:p>
              </w:tc>
              <w:tc>
                <w:tcPr>
                  <w:tcW w:w="1508" w:type="dxa"/>
                  <w:tcBorders>
                    <w:tl2br w:val="nil"/>
                    <w:tr2bl w:val="nil"/>
                  </w:tcBorders>
                  <w:vAlign w:val="center"/>
                </w:tcPr>
                <w:p w14:paraId="67123ED0">
                  <w:pPr>
                    <w:jc w:val="center"/>
                    <w:rPr>
                      <w:rFonts w:hint="default" w:eastAsia="宋体"/>
                      <w:color w:val="auto"/>
                      <w:lang w:val="en-US" w:eastAsia="zh-CN"/>
                    </w:rPr>
                  </w:pPr>
                  <w:r>
                    <w:rPr>
                      <w:rFonts w:hint="eastAsia"/>
                      <w:color w:val="auto"/>
                      <w:lang w:val="en-US" w:eastAsia="zh-CN"/>
                    </w:rPr>
                    <w:t>居民</w:t>
                  </w:r>
                </w:p>
              </w:tc>
              <w:tc>
                <w:tcPr>
                  <w:tcW w:w="1575" w:type="dxa"/>
                  <w:vMerge w:val="restart"/>
                  <w:tcBorders>
                    <w:tl2br w:val="nil"/>
                    <w:tr2bl w:val="nil"/>
                  </w:tcBorders>
                  <w:vAlign w:val="center"/>
                </w:tcPr>
                <w:p w14:paraId="7B187E00">
                  <w:pPr>
                    <w:jc w:val="center"/>
                    <w:rPr>
                      <w:rFonts w:hint="eastAsia" w:eastAsia="宋体"/>
                      <w:color w:val="auto"/>
                      <w:lang w:val="en-US" w:eastAsia="zh-CN"/>
                    </w:rPr>
                  </w:pPr>
                  <w:r>
                    <w:rPr>
                      <w:color w:val="auto"/>
                    </w:rPr>
                    <w:t>环境空气二类</w:t>
                  </w:r>
                  <w:r>
                    <w:rPr>
                      <w:rFonts w:hint="eastAsia"/>
                      <w:color w:val="auto"/>
                      <w:lang w:val="en-US" w:eastAsia="zh-CN"/>
                    </w:rPr>
                    <w:t>区</w:t>
                  </w:r>
                </w:p>
              </w:tc>
              <w:tc>
                <w:tcPr>
                  <w:tcW w:w="1185" w:type="dxa"/>
                  <w:tcBorders>
                    <w:tl2br w:val="nil"/>
                    <w:tr2bl w:val="nil"/>
                  </w:tcBorders>
                  <w:vAlign w:val="center"/>
                </w:tcPr>
                <w:p w14:paraId="3729124C">
                  <w:pPr>
                    <w:jc w:val="center"/>
                    <w:rPr>
                      <w:rFonts w:hint="default" w:eastAsia="宋体"/>
                      <w:color w:val="auto"/>
                      <w:lang w:val="en-US" w:eastAsia="zh-CN"/>
                    </w:rPr>
                  </w:pPr>
                  <w:r>
                    <w:rPr>
                      <w:rFonts w:hint="eastAsia"/>
                      <w:color w:val="auto"/>
                      <w:lang w:val="en-US" w:eastAsia="zh-CN"/>
                    </w:rPr>
                    <w:t>东南面</w:t>
                  </w:r>
                </w:p>
              </w:tc>
              <w:tc>
                <w:tcPr>
                  <w:tcW w:w="1402" w:type="dxa"/>
                  <w:tcBorders>
                    <w:tl2br w:val="nil"/>
                    <w:tr2bl w:val="nil"/>
                  </w:tcBorders>
                  <w:vAlign w:val="center"/>
                </w:tcPr>
                <w:p w14:paraId="0B974159">
                  <w:pPr>
                    <w:jc w:val="center"/>
                    <w:rPr>
                      <w:rFonts w:hint="default" w:eastAsia="宋体"/>
                      <w:color w:val="auto"/>
                      <w:lang w:val="en-US" w:eastAsia="zh-CN"/>
                    </w:rPr>
                  </w:pPr>
                  <w:r>
                    <w:rPr>
                      <w:rFonts w:hint="eastAsia"/>
                      <w:color w:val="auto"/>
                      <w:lang w:val="en-US" w:eastAsia="zh-CN"/>
                    </w:rPr>
                    <w:t>280</w:t>
                  </w:r>
                </w:p>
              </w:tc>
            </w:tr>
            <w:tr w14:paraId="0751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2" w:type="dxa"/>
                  <w:tcBorders>
                    <w:tl2br w:val="nil"/>
                    <w:tr2bl w:val="nil"/>
                  </w:tcBorders>
                  <w:vAlign w:val="center"/>
                </w:tcPr>
                <w:p w14:paraId="53822CDE">
                  <w:pPr>
                    <w:jc w:val="center"/>
                    <w:rPr>
                      <w:color w:val="auto"/>
                    </w:rPr>
                  </w:pPr>
                  <w:r>
                    <w:rPr>
                      <w:rFonts w:hint="eastAsia"/>
                      <w:color w:val="auto"/>
                    </w:rPr>
                    <w:t>2</w:t>
                  </w:r>
                </w:p>
              </w:tc>
              <w:tc>
                <w:tcPr>
                  <w:tcW w:w="1244" w:type="dxa"/>
                  <w:tcBorders>
                    <w:tl2br w:val="nil"/>
                    <w:tr2bl w:val="nil"/>
                  </w:tcBorders>
                  <w:vAlign w:val="center"/>
                </w:tcPr>
                <w:p w14:paraId="53E4D868">
                  <w:pPr>
                    <w:jc w:val="center"/>
                    <w:rPr>
                      <w:rFonts w:hint="default" w:eastAsia="宋体"/>
                      <w:color w:val="auto"/>
                      <w:lang w:val="en-US" w:eastAsia="zh-CN"/>
                    </w:rPr>
                  </w:pPr>
                  <w:r>
                    <w:rPr>
                      <w:rFonts w:hint="eastAsia"/>
                      <w:color w:val="auto"/>
                      <w:lang w:val="en-US" w:eastAsia="zh-CN"/>
                    </w:rPr>
                    <w:t>枣子园村</w:t>
                  </w:r>
                </w:p>
              </w:tc>
              <w:tc>
                <w:tcPr>
                  <w:tcW w:w="1508" w:type="dxa"/>
                  <w:tcBorders>
                    <w:tl2br w:val="nil"/>
                    <w:tr2bl w:val="nil"/>
                  </w:tcBorders>
                  <w:vAlign w:val="center"/>
                </w:tcPr>
                <w:p w14:paraId="0C5E1FF8">
                  <w:pPr>
                    <w:jc w:val="center"/>
                    <w:rPr>
                      <w:rFonts w:hint="default" w:eastAsia="宋体"/>
                      <w:color w:val="auto"/>
                      <w:lang w:val="en-US" w:eastAsia="zh-CN"/>
                    </w:rPr>
                  </w:pPr>
                  <w:r>
                    <w:rPr>
                      <w:rFonts w:hint="eastAsia"/>
                      <w:color w:val="auto"/>
                      <w:lang w:val="en-US" w:eastAsia="zh-CN"/>
                    </w:rPr>
                    <w:t>居民</w:t>
                  </w:r>
                </w:p>
              </w:tc>
              <w:tc>
                <w:tcPr>
                  <w:tcW w:w="1575" w:type="dxa"/>
                  <w:vMerge w:val="continue"/>
                  <w:tcBorders>
                    <w:tl2br w:val="nil"/>
                    <w:tr2bl w:val="nil"/>
                  </w:tcBorders>
                  <w:vAlign w:val="center"/>
                </w:tcPr>
                <w:p w14:paraId="57154173">
                  <w:pPr>
                    <w:jc w:val="center"/>
                    <w:rPr>
                      <w:color w:val="auto"/>
                    </w:rPr>
                  </w:pPr>
                </w:p>
              </w:tc>
              <w:tc>
                <w:tcPr>
                  <w:tcW w:w="1185" w:type="dxa"/>
                  <w:tcBorders>
                    <w:tl2br w:val="nil"/>
                    <w:tr2bl w:val="nil"/>
                  </w:tcBorders>
                  <w:vAlign w:val="center"/>
                </w:tcPr>
                <w:p w14:paraId="2185929E">
                  <w:pPr>
                    <w:jc w:val="center"/>
                    <w:rPr>
                      <w:rFonts w:hint="default" w:eastAsia="宋体"/>
                      <w:color w:val="auto"/>
                      <w:lang w:val="en-US" w:eastAsia="zh-CN"/>
                    </w:rPr>
                  </w:pPr>
                  <w:r>
                    <w:rPr>
                      <w:rFonts w:hint="eastAsia"/>
                      <w:color w:val="auto"/>
                      <w:lang w:val="en-US" w:eastAsia="zh-CN"/>
                    </w:rPr>
                    <w:t>西面</w:t>
                  </w:r>
                </w:p>
              </w:tc>
              <w:tc>
                <w:tcPr>
                  <w:tcW w:w="1402" w:type="dxa"/>
                  <w:tcBorders>
                    <w:tl2br w:val="nil"/>
                    <w:tr2bl w:val="nil"/>
                  </w:tcBorders>
                  <w:vAlign w:val="center"/>
                </w:tcPr>
                <w:p w14:paraId="70B23EA0">
                  <w:pPr>
                    <w:jc w:val="center"/>
                    <w:rPr>
                      <w:rFonts w:hint="default" w:eastAsia="宋体"/>
                      <w:color w:val="auto"/>
                      <w:lang w:val="en-US" w:eastAsia="zh-CN"/>
                    </w:rPr>
                  </w:pPr>
                  <w:r>
                    <w:rPr>
                      <w:rFonts w:hint="eastAsia"/>
                      <w:color w:val="auto"/>
                      <w:lang w:val="en-US" w:eastAsia="zh-CN"/>
                    </w:rPr>
                    <w:t>350</w:t>
                  </w:r>
                </w:p>
              </w:tc>
            </w:tr>
            <w:tr w14:paraId="600E6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2" w:type="dxa"/>
                  <w:tcBorders>
                    <w:tl2br w:val="nil"/>
                    <w:tr2bl w:val="nil"/>
                  </w:tcBorders>
                  <w:vAlign w:val="center"/>
                </w:tcPr>
                <w:p w14:paraId="0023E9FA">
                  <w:pPr>
                    <w:jc w:val="center"/>
                    <w:rPr>
                      <w:rFonts w:hint="default" w:eastAsia="宋体"/>
                      <w:color w:val="auto"/>
                      <w:lang w:val="en-US" w:eastAsia="zh-CN"/>
                    </w:rPr>
                  </w:pPr>
                  <w:r>
                    <w:rPr>
                      <w:rFonts w:hint="eastAsia"/>
                      <w:color w:val="auto"/>
                      <w:lang w:val="en-US" w:eastAsia="zh-CN"/>
                    </w:rPr>
                    <w:t>3</w:t>
                  </w:r>
                </w:p>
              </w:tc>
              <w:tc>
                <w:tcPr>
                  <w:tcW w:w="1244" w:type="dxa"/>
                  <w:tcBorders>
                    <w:tl2br w:val="nil"/>
                    <w:tr2bl w:val="nil"/>
                  </w:tcBorders>
                  <w:vAlign w:val="center"/>
                </w:tcPr>
                <w:p w14:paraId="2F66D92E">
                  <w:pPr>
                    <w:jc w:val="center"/>
                    <w:rPr>
                      <w:rFonts w:hint="default"/>
                      <w:color w:val="auto"/>
                      <w:lang w:val="en-US" w:eastAsia="zh-CN"/>
                    </w:rPr>
                  </w:pPr>
                  <w:r>
                    <w:rPr>
                      <w:rFonts w:hint="eastAsia"/>
                      <w:color w:val="auto"/>
                      <w:lang w:val="en-US" w:eastAsia="zh-CN"/>
                    </w:rPr>
                    <w:t>上头坪村</w:t>
                  </w:r>
                </w:p>
              </w:tc>
              <w:tc>
                <w:tcPr>
                  <w:tcW w:w="1508" w:type="dxa"/>
                  <w:tcBorders>
                    <w:tl2br w:val="nil"/>
                    <w:tr2bl w:val="nil"/>
                  </w:tcBorders>
                  <w:vAlign w:val="center"/>
                </w:tcPr>
                <w:p w14:paraId="598B3A95">
                  <w:pPr>
                    <w:jc w:val="center"/>
                    <w:rPr>
                      <w:rFonts w:hint="default"/>
                      <w:color w:val="auto"/>
                      <w:lang w:val="en-US" w:eastAsia="zh-CN"/>
                    </w:rPr>
                  </w:pPr>
                  <w:r>
                    <w:rPr>
                      <w:rFonts w:hint="eastAsia"/>
                      <w:color w:val="auto"/>
                      <w:lang w:val="en-US" w:eastAsia="zh-CN"/>
                    </w:rPr>
                    <w:t>居民</w:t>
                  </w:r>
                </w:p>
              </w:tc>
              <w:tc>
                <w:tcPr>
                  <w:tcW w:w="1575" w:type="dxa"/>
                  <w:vMerge w:val="continue"/>
                  <w:tcBorders>
                    <w:tl2br w:val="nil"/>
                    <w:tr2bl w:val="nil"/>
                  </w:tcBorders>
                  <w:vAlign w:val="center"/>
                </w:tcPr>
                <w:p w14:paraId="5E73719D">
                  <w:pPr>
                    <w:jc w:val="center"/>
                    <w:rPr>
                      <w:color w:val="auto"/>
                    </w:rPr>
                  </w:pPr>
                </w:p>
              </w:tc>
              <w:tc>
                <w:tcPr>
                  <w:tcW w:w="1185" w:type="dxa"/>
                  <w:tcBorders>
                    <w:tl2br w:val="nil"/>
                    <w:tr2bl w:val="nil"/>
                  </w:tcBorders>
                  <w:vAlign w:val="center"/>
                </w:tcPr>
                <w:p w14:paraId="315EC420">
                  <w:pPr>
                    <w:jc w:val="center"/>
                    <w:rPr>
                      <w:rFonts w:hint="default"/>
                      <w:color w:val="auto"/>
                      <w:lang w:val="en-US" w:eastAsia="zh-CN"/>
                    </w:rPr>
                  </w:pPr>
                  <w:r>
                    <w:rPr>
                      <w:rFonts w:hint="eastAsia"/>
                      <w:color w:val="auto"/>
                      <w:lang w:val="en-US" w:eastAsia="zh-CN"/>
                    </w:rPr>
                    <w:t>西面</w:t>
                  </w:r>
                </w:p>
              </w:tc>
              <w:tc>
                <w:tcPr>
                  <w:tcW w:w="1402" w:type="dxa"/>
                  <w:tcBorders>
                    <w:tl2br w:val="nil"/>
                    <w:tr2bl w:val="nil"/>
                  </w:tcBorders>
                  <w:vAlign w:val="center"/>
                </w:tcPr>
                <w:p w14:paraId="72C2B8CA">
                  <w:pPr>
                    <w:jc w:val="center"/>
                    <w:rPr>
                      <w:rFonts w:hint="default"/>
                      <w:color w:val="auto"/>
                      <w:lang w:val="en-US" w:eastAsia="zh-CN"/>
                    </w:rPr>
                  </w:pPr>
                  <w:r>
                    <w:rPr>
                      <w:rFonts w:hint="eastAsia"/>
                      <w:color w:val="auto"/>
                      <w:lang w:val="en-US" w:eastAsia="zh-CN"/>
                    </w:rPr>
                    <w:t>300</w:t>
                  </w:r>
                </w:p>
              </w:tc>
            </w:tr>
          </w:tbl>
          <w:p w14:paraId="2B00FA1E">
            <w:pPr>
              <w:pStyle w:val="19"/>
              <w:rPr>
                <w:color w:val="auto"/>
              </w:rPr>
            </w:pPr>
          </w:p>
          <w:p w14:paraId="36C3C72F">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left"/>
              <w:textAlignment w:val="auto"/>
              <w:rPr>
                <w:rStyle w:val="66"/>
                <w:rFonts w:ascii="Times New Roman" w:hAnsi="Times New Roman"/>
                <w:color w:val="auto"/>
              </w:rPr>
            </w:pPr>
            <w:r>
              <w:rPr>
                <w:rStyle w:val="66"/>
                <w:rFonts w:ascii="Times New Roman" w:hAnsi="Times New Roman"/>
                <w:color w:val="auto"/>
              </w:rPr>
              <w:t>2、声环境保护目标</w:t>
            </w:r>
          </w:p>
          <w:p w14:paraId="6E51916C">
            <w:pPr>
              <w:spacing w:line="360" w:lineRule="auto"/>
              <w:ind w:firstLine="420" w:firstLineChars="200"/>
              <w:rPr>
                <w:bCs/>
                <w:color w:val="auto"/>
                <w:szCs w:val="21"/>
              </w:rPr>
            </w:pPr>
            <w:r>
              <w:rPr>
                <w:bCs/>
                <w:color w:val="auto"/>
                <w:szCs w:val="21"/>
              </w:rPr>
              <w:t>本项目厂界外50m范围内</w:t>
            </w:r>
            <w:r>
              <w:rPr>
                <w:rFonts w:hint="eastAsia"/>
                <w:bCs/>
                <w:color w:val="auto"/>
                <w:szCs w:val="21"/>
                <w:lang w:val="en-US" w:eastAsia="zh-CN"/>
              </w:rPr>
              <w:t>无</w:t>
            </w:r>
            <w:r>
              <w:rPr>
                <w:bCs/>
                <w:color w:val="auto"/>
                <w:szCs w:val="21"/>
              </w:rPr>
              <w:t>声环境保护目标</w:t>
            </w:r>
            <w:r>
              <w:rPr>
                <w:rFonts w:hint="eastAsia"/>
                <w:bCs/>
                <w:color w:val="auto"/>
                <w:szCs w:val="21"/>
                <w:lang w:val="en-US" w:eastAsia="zh-CN"/>
              </w:rPr>
              <w:t>。</w:t>
            </w:r>
          </w:p>
          <w:p w14:paraId="0516B1F3">
            <w:pPr>
              <w:pStyle w:val="82"/>
              <w:adjustRightInd w:val="0"/>
              <w:snapToGrid w:val="0"/>
              <w:spacing w:before="0" w:beforeLines="0"/>
              <w:ind w:firstLine="422"/>
              <w:rPr>
                <w:rFonts w:cs="Times New Roman"/>
                <w:b/>
                <w:color w:val="auto"/>
              </w:rPr>
            </w:pPr>
            <w:r>
              <w:rPr>
                <w:rFonts w:cs="Times New Roman"/>
                <w:b/>
                <w:color w:val="auto"/>
              </w:rPr>
              <w:t>3、地下水环境保护目标</w:t>
            </w:r>
          </w:p>
          <w:p w14:paraId="49812947">
            <w:pPr>
              <w:pStyle w:val="82"/>
              <w:adjustRightInd w:val="0"/>
              <w:snapToGrid w:val="0"/>
              <w:spacing w:before="0" w:beforeLines="0"/>
              <w:ind w:firstLine="420"/>
              <w:rPr>
                <w:rFonts w:cs="Times New Roman"/>
                <w:bCs/>
                <w:color w:val="auto"/>
              </w:rPr>
            </w:pPr>
            <w:r>
              <w:rPr>
                <w:rFonts w:cs="Times New Roman"/>
                <w:bCs/>
                <w:color w:val="auto"/>
              </w:rPr>
              <w:t>本项目厂界外500米范围内无地下水集中式饮用水水源和热水、矿泉水、温泉等特殊地下水资源。</w:t>
            </w:r>
          </w:p>
          <w:p w14:paraId="20A6AA62">
            <w:pPr>
              <w:adjustRightInd w:val="0"/>
              <w:snapToGrid w:val="0"/>
              <w:spacing w:line="360" w:lineRule="auto"/>
              <w:ind w:firstLine="422" w:firstLineChars="200"/>
              <w:jc w:val="left"/>
              <w:rPr>
                <w:b/>
                <w:color w:val="auto"/>
                <w:kern w:val="0"/>
                <w:szCs w:val="21"/>
              </w:rPr>
            </w:pPr>
            <w:r>
              <w:rPr>
                <w:b/>
                <w:color w:val="auto"/>
                <w:kern w:val="0"/>
                <w:szCs w:val="21"/>
              </w:rPr>
              <w:t>4、生态环境保护目标</w:t>
            </w:r>
          </w:p>
          <w:p w14:paraId="7AA6E20E">
            <w:pPr>
              <w:pStyle w:val="82"/>
              <w:spacing w:before="0" w:beforeLines="0"/>
              <w:ind w:firstLine="420"/>
              <w:rPr>
                <w:rFonts w:cs="Times New Roman"/>
                <w:color w:val="auto"/>
              </w:rPr>
            </w:pPr>
            <w:r>
              <w:rPr>
                <w:rFonts w:cs="Times New Roman"/>
                <w:color w:val="auto"/>
                <w:kern w:val="0"/>
              </w:rPr>
              <w:t>本项目</w:t>
            </w:r>
            <w:r>
              <w:rPr>
                <w:rFonts w:cs="Times New Roman"/>
                <w:color w:val="auto"/>
              </w:rPr>
              <w:t>用地范围内不存在生态环境保护目标。</w:t>
            </w:r>
          </w:p>
          <w:p w14:paraId="56BB40D7">
            <w:pPr>
              <w:pStyle w:val="82"/>
              <w:spacing w:before="0" w:beforeLines="0"/>
              <w:ind w:firstLine="420"/>
              <w:rPr>
                <w:rFonts w:cs="Times New Roman"/>
                <w:color w:val="auto"/>
              </w:rPr>
            </w:pPr>
          </w:p>
          <w:p w14:paraId="306C19ED">
            <w:pPr>
              <w:pStyle w:val="82"/>
              <w:spacing w:before="0" w:beforeLines="0"/>
              <w:ind w:firstLine="420"/>
              <w:rPr>
                <w:rFonts w:cs="Times New Roman"/>
                <w:color w:val="auto"/>
              </w:rPr>
            </w:pPr>
          </w:p>
          <w:p w14:paraId="05563752">
            <w:pPr>
              <w:pStyle w:val="82"/>
              <w:spacing w:before="0" w:beforeLines="0"/>
              <w:ind w:firstLine="420"/>
              <w:rPr>
                <w:rFonts w:cs="Times New Roman"/>
                <w:color w:val="auto"/>
              </w:rPr>
            </w:pPr>
          </w:p>
          <w:p w14:paraId="503DA24A">
            <w:pPr>
              <w:pStyle w:val="82"/>
              <w:spacing w:before="0" w:beforeLines="0"/>
              <w:ind w:firstLine="420"/>
              <w:rPr>
                <w:rFonts w:cs="Times New Roman"/>
                <w:color w:val="auto"/>
              </w:rPr>
            </w:pPr>
          </w:p>
          <w:p w14:paraId="2561A33E">
            <w:pPr>
              <w:pStyle w:val="82"/>
              <w:spacing w:before="0" w:beforeLines="0"/>
              <w:ind w:firstLine="420"/>
              <w:rPr>
                <w:rFonts w:cs="Times New Roman"/>
                <w:color w:val="auto"/>
              </w:rPr>
            </w:pPr>
          </w:p>
          <w:p w14:paraId="4A811A1A">
            <w:pPr>
              <w:pStyle w:val="82"/>
              <w:spacing w:before="0" w:beforeLines="0"/>
              <w:ind w:left="0" w:leftChars="0" w:firstLine="0" w:firstLineChars="0"/>
              <w:rPr>
                <w:rFonts w:cs="Times New Roman"/>
                <w:color w:val="auto"/>
              </w:rPr>
            </w:pPr>
          </w:p>
        </w:tc>
      </w:tr>
      <w:tr w14:paraId="002864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64" w:hRule="atLeast"/>
          <w:jc w:val="center"/>
        </w:trPr>
        <w:tc>
          <w:tcPr>
            <w:tcW w:w="846" w:type="dxa"/>
            <w:tcMar>
              <w:left w:w="28" w:type="dxa"/>
              <w:right w:w="28" w:type="dxa"/>
            </w:tcMar>
            <w:vAlign w:val="center"/>
          </w:tcPr>
          <w:p w14:paraId="216DF75A">
            <w:pPr>
              <w:adjustRightInd w:val="0"/>
              <w:snapToGrid w:val="0"/>
              <w:spacing w:line="0" w:lineRule="atLeast"/>
              <w:jc w:val="center"/>
              <w:rPr>
                <w:color w:val="auto"/>
                <w:szCs w:val="21"/>
              </w:rPr>
            </w:pPr>
            <w:r>
              <w:rPr>
                <w:color w:val="auto"/>
                <w:szCs w:val="21"/>
              </w:rPr>
              <w:t>污</w:t>
            </w:r>
          </w:p>
          <w:p w14:paraId="3B131275">
            <w:pPr>
              <w:adjustRightInd w:val="0"/>
              <w:snapToGrid w:val="0"/>
              <w:spacing w:line="0" w:lineRule="atLeast"/>
              <w:jc w:val="center"/>
              <w:rPr>
                <w:color w:val="auto"/>
                <w:szCs w:val="21"/>
              </w:rPr>
            </w:pPr>
            <w:r>
              <w:rPr>
                <w:color w:val="auto"/>
                <w:szCs w:val="21"/>
              </w:rPr>
              <w:t>染</w:t>
            </w:r>
          </w:p>
          <w:p w14:paraId="162D6C2C">
            <w:pPr>
              <w:adjustRightInd w:val="0"/>
              <w:snapToGrid w:val="0"/>
              <w:spacing w:line="0" w:lineRule="atLeast"/>
              <w:jc w:val="center"/>
              <w:rPr>
                <w:color w:val="auto"/>
                <w:szCs w:val="21"/>
              </w:rPr>
            </w:pPr>
            <w:r>
              <w:rPr>
                <w:color w:val="auto"/>
                <w:szCs w:val="21"/>
              </w:rPr>
              <w:t>物</w:t>
            </w:r>
          </w:p>
          <w:p w14:paraId="4D0475BE">
            <w:pPr>
              <w:adjustRightInd w:val="0"/>
              <w:snapToGrid w:val="0"/>
              <w:spacing w:line="0" w:lineRule="atLeast"/>
              <w:jc w:val="center"/>
              <w:rPr>
                <w:color w:val="auto"/>
                <w:szCs w:val="21"/>
              </w:rPr>
            </w:pPr>
            <w:r>
              <w:rPr>
                <w:color w:val="auto"/>
                <w:szCs w:val="21"/>
              </w:rPr>
              <w:t>排</w:t>
            </w:r>
          </w:p>
          <w:p w14:paraId="6E1316C7">
            <w:pPr>
              <w:adjustRightInd w:val="0"/>
              <w:snapToGrid w:val="0"/>
              <w:spacing w:line="0" w:lineRule="atLeast"/>
              <w:jc w:val="center"/>
              <w:rPr>
                <w:color w:val="auto"/>
                <w:szCs w:val="21"/>
              </w:rPr>
            </w:pPr>
            <w:r>
              <w:rPr>
                <w:color w:val="auto"/>
                <w:szCs w:val="21"/>
              </w:rPr>
              <w:t>放</w:t>
            </w:r>
          </w:p>
          <w:p w14:paraId="1A6ECB74">
            <w:pPr>
              <w:adjustRightInd w:val="0"/>
              <w:snapToGrid w:val="0"/>
              <w:spacing w:line="0" w:lineRule="atLeast"/>
              <w:jc w:val="center"/>
              <w:rPr>
                <w:color w:val="auto"/>
                <w:szCs w:val="21"/>
              </w:rPr>
            </w:pPr>
            <w:r>
              <w:rPr>
                <w:color w:val="auto"/>
                <w:szCs w:val="21"/>
              </w:rPr>
              <w:t>控</w:t>
            </w:r>
          </w:p>
          <w:p w14:paraId="326A13E1">
            <w:pPr>
              <w:adjustRightInd w:val="0"/>
              <w:snapToGrid w:val="0"/>
              <w:spacing w:line="0" w:lineRule="atLeast"/>
              <w:jc w:val="center"/>
              <w:rPr>
                <w:color w:val="auto"/>
                <w:szCs w:val="21"/>
              </w:rPr>
            </w:pPr>
            <w:r>
              <w:rPr>
                <w:color w:val="auto"/>
                <w:szCs w:val="21"/>
              </w:rPr>
              <w:t>制</w:t>
            </w:r>
          </w:p>
          <w:p w14:paraId="2AB75B46">
            <w:pPr>
              <w:adjustRightInd w:val="0"/>
              <w:snapToGrid w:val="0"/>
              <w:spacing w:line="0" w:lineRule="atLeast"/>
              <w:jc w:val="center"/>
              <w:rPr>
                <w:color w:val="auto"/>
                <w:szCs w:val="21"/>
              </w:rPr>
            </w:pPr>
            <w:r>
              <w:rPr>
                <w:color w:val="auto"/>
                <w:szCs w:val="21"/>
              </w:rPr>
              <w:t>标</w:t>
            </w:r>
          </w:p>
          <w:p w14:paraId="06502EE0">
            <w:pPr>
              <w:adjustRightInd w:val="0"/>
              <w:snapToGrid w:val="0"/>
              <w:spacing w:line="0" w:lineRule="atLeast"/>
              <w:jc w:val="center"/>
              <w:rPr>
                <w:color w:val="auto"/>
                <w:szCs w:val="21"/>
              </w:rPr>
            </w:pPr>
            <w:r>
              <w:rPr>
                <w:color w:val="auto"/>
                <w:szCs w:val="21"/>
              </w:rPr>
              <w:t>准</w:t>
            </w:r>
          </w:p>
        </w:tc>
        <w:tc>
          <w:tcPr>
            <w:tcW w:w="8154" w:type="dxa"/>
            <w:vAlign w:val="center"/>
          </w:tcPr>
          <w:p w14:paraId="76E08260">
            <w:pPr>
              <w:pStyle w:val="84"/>
              <w:adjustRightInd w:val="0"/>
              <w:snapToGrid w:val="0"/>
              <w:ind w:firstLine="422"/>
              <w:rPr>
                <w:rFonts w:ascii="Times New Roman" w:hAnsi="Times New Roman"/>
                <w:b/>
                <w:bCs/>
                <w:color w:val="auto"/>
                <w:sz w:val="21"/>
                <w:szCs w:val="21"/>
              </w:rPr>
            </w:pPr>
            <w:r>
              <w:rPr>
                <w:rFonts w:ascii="Times New Roman" w:hAnsi="Times New Roman"/>
                <w:b/>
                <w:bCs/>
                <w:color w:val="auto"/>
                <w:sz w:val="21"/>
                <w:szCs w:val="21"/>
              </w:rPr>
              <w:t>1、大气污染物排放标准</w:t>
            </w:r>
          </w:p>
          <w:p w14:paraId="35B08A27">
            <w:pPr>
              <w:pStyle w:val="150"/>
              <w:tabs>
                <w:tab w:val="left" w:pos="845"/>
              </w:tabs>
              <w:adjustRightInd w:val="0"/>
              <w:spacing w:line="360" w:lineRule="auto"/>
              <w:ind w:left="0" w:leftChars="0" w:firstLine="420" w:firstLineChars="200"/>
              <w:textAlignment w:val="baseline"/>
              <w:rPr>
                <w:rFonts w:hint="default" w:eastAsia="宋体"/>
                <w:color w:val="auto"/>
                <w:szCs w:val="21"/>
                <w:lang w:val="en-US" w:eastAsia="zh-CN"/>
              </w:rPr>
            </w:pPr>
            <w:r>
              <w:rPr>
                <w:rFonts w:hint="eastAsia"/>
                <w:color w:val="auto"/>
                <w:szCs w:val="21"/>
                <w:lang w:val="en-US" w:eastAsia="zh-CN"/>
              </w:rPr>
              <w:t>本项目锅炉废气执行广东省《锅炉大气污染物排放标准》（DB44/765-2019）表2新建燃生物质成型燃料锅炉大气污染物排放浓度限值。</w:t>
            </w:r>
          </w:p>
          <w:p w14:paraId="1AFCF8C9">
            <w:pPr>
              <w:pStyle w:val="151"/>
              <w:numPr>
                <w:ilvl w:val="0"/>
                <w:numId w:val="0"/>
              </w:numPr>
              <w:tabs>
                <w:tab w:val="left" w:pos="360"/>
              </w:tabs>
              <w:spacing w:line="36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表3-</w:t>
            </w:r>
            <w:r>
              <w:rPr>
                <w:rFonts w:hint="eastAsia" w:eastAsia="宋体" w:cs="Times New Roman"/>
                <w:b/>
                <w:bCs/>
                <w:color w:val="auto"/>
                <w:sz w:val="21"/>
                <w:szCs w:val="21"/>
                <w:lang w:val="en-US" w:eastAsia="zh-CN"/>
              </w:rPr>
              <w:t>3</w:t>
            </w:r>
            <w:r>
              <w:rPr>
                <w:rFonts w:hint="default"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项目废气排放标准</w:t>
            </w:r>
          </w:p>
          <w:tbl>
            <w:tblPr>
              <w:tblStyle w:val="35"/>
              <w:tblW w:w="7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9"/>
              <w:gridCol w:w="2486"/>
              <w:gridCol w:w="2063"/>
            </w:tblGrid>
            <w:tr w14:paraId="79E5D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99" w:type="dxa"/>
                  <w:vAlign w:val="center"/>
                </w:tcPr>
                <w:p w14:paraId="3215815C">
                  <w:pPr>
                    <w:keepNext w:val="0"/>
                    <w:keepLines w:val="0"/>
                    <w:pageBreakBefore w:val="0"/>
                    <w:widowControl w:val="0"/>
                    <w:kinsoku/>
                    <w:wordWrap/>
                    <w:overflowPunct/>
                    <w:topLinePunct w:val="0"/>
                    <w:autoSpaceDE/>
                    <w:autoSpaceDN/>
                    <w:bidi w:val="0"/>
                    <w:adjustRightInd w:val="0"/>
                    <w:snapToGrid w:val="0"/>
                    <w:spacing w:line="240" w:lineRule="auto"/>
                    <w:ind w:left="-109" w:leftChars="-52" w:right="-107" w:rightChars="-51"/>
                    <w:jc w:val="center"/>
                    <w:textAlignment w:val="auto"/>
                    <w:rPr>
                      <w:b/>
                      <w:color w:val="auto"/>
                      <w:szCs w:val="21"/>
                    </w:rPr>
                  </w:pPr>
                  <w:r>
                    <w:rPr>
                      <w:rFonts w:hint="eastAsia"/>
                      <w:b/>
                      <w:color w:val="auto"/>
                      <w:szCs w:val="21"/>
                      <w:lang w:val="en-US" w:eastAsia="zh-CN"/>
                    </w:rPr>
                    <w:t>污染物项目</w:t>
                  </w:r>
                </w:p>
              </w:tc>
              <w:tc>
                <w:tcPr>
                  <w:tcW w:w="2486" w:type="dxa"/>
                  <w:vAlign w:val="center"/>
                </w:tcPr>
                <w:p w14:paraId="12961265">
                  <w:pPr>
                    <w:keepNext w:val="0"/>
                    <w:keepLines w:val="0"/>
                    <w:pageBreakBefore w:val="0"/>
                    <w:widowControl w:val="0"/>
                    <w:kinsoku/>
                    <w:wordWrap/>
                    <w:overflowPunct/>
                    <w:topLinePunct w:val="0"/>
                    <w:autoSpaceDE/>
                    <w:autoSpaceDN/>
                    <w:bidi w:val="0"/>
                    <w:adjustRightInd w:val="0"/>
                    <w:snapToGrid w:val="0"/>
                    <w:spacing w:line="240" w:lineRule="auto"/>
                    <w:ind w:left="-109" w:leftChars="-52" w:right="-107" w:rightChars="-51"/>
                    <w:jc w:val="center"/>
                    <w:textAlignment w:val="auto"/>
                    <w:rPr>
                      <w:rFonts w:hint="eastAsia" w:eastAsia="宋体"/>
                      <w:b/>
                      <w:color w:val="auto"/>
                      <w:szCs w:val="21"/>
                      <w:lang w:eastAsia="zh-CN"/>
                    </w:rPr>
                  </w:pPr>
                  <w:r>
                    <w:rPr>
                      <w:rFonts w:hint="eastAsia"/>
                      <w:b/>
                      <w:color w:val="auto"/>
                      <w:szCs w:val="21"/>
                    </w:rPr>
                    <w:t>限值</w:t>
                  </w:r>
                  <w:r>
                    <w:rPr>
                      <w:rFonts w:hint="eastAsia"/>
                      <w:b/>
                      <w:color w:val="auto"/>
                      <w:szCs w:val="21"/>
                      <w:lang w:val="en-US" w:eastAsia="zh-CN"/>
                    </w:rPr>
                    <w:t>（</w:t>
                  </w:r>
                  <w:r>
                    <w:rPr>
                      <w:b/>
                      <w:color w:val="auto"/>
                      <w:szCs w:val="21"/>
                    </w:rPr>
                    <w:t>mg/m</w:t>
                  </w:r>
                  <w:r>
                    <w:rPr>
                      <w:b/>
                      <w:color w:val="auto"/>
                      <w:szCs w:val="21"/>
                      <w:vertAlign w:val="superscript"/>
                    </w:rPr>
                    <w:t>3</w:t>
                  </w:r>
                  <w:r>
                    <w:rPr>
                      <w:rFonts w:hint="eastAsia"/>
                      <w:b/>
                      <w:color w:val="auto"/>
                      <w:szCs w:val="21"/>
                      <w:lang w:val="en-US" w:eastAsia="zh-CN"/>
                    </w:rPr>
                    <w:t>）</w:t>
                  </w:r>
                </w:p>
              </w:tc>
              <w:tc>
                <w:tcPr>
                  <w:tcW w:w="2063" w:type="dxa"/>
                  <w:vAlign w:val="center"/>
                </w:tcPr>
                <w:p w14:paraId="597B2756">
                  <w:pPr>
                    <w:keepNext w:val="0"/>
                    <w:keepLines w:val="0"/>
                    <w:pageBreakBefore w:val="0"/>
                    <w:widowControl w:val="0"/>
                    <w:kinsoku/>
                    <w:wordWrap/>
                    <w:overflowPunct/>
                    <w:topLinePunct w:val="0"/>
                    <w:autoSpaceDE/>
                    <w:autoSpaceDN/>
                    <w:bidi w:val="0"/>
                    <w:adjustRightInd w:val="0"/>
                    <w:snapToGrid w:val="0"/>
                    <w:spacing w:line="240" w:lineRule="auto"/>
                    <w:ind w:left="-109" w:leftChars="-52" w:right="-107" w:rightChars="-51"/>
                    <w:jc w:val="center"/>
                    <w:textAlignment w:val="auto"/>
                    <w:rPr>
                      <w:rFonts w:hint="default" w:eastAsia="宋体"/>
                      <w:b/>
                      <w:color w:val="auto"/>
                      <w:szCs w:val="21"/>
                      <w:lang w:val="en-US" w:eastAsia="zh-CN"/>
                    </w:rPr>
                  </w:pPr>
                  <w:r>
                    <w:rPr>
                      <w:rFonts w:hint="default" w:eastAsia="宋体"/>
                      <w:b/>
                      <w:color w:val="auto"/>
                      <w:szCs w:val="21"/>
                      <w:lang w:val="en-US" w:eastAsia="zh-CN"/>
                    </w:rPr>
                    <w:t>污染物排放监控位置</w:t>
                  </w:r>
                </w:p>
              </w:tc>
            </w:tr>
            <w:tr w14:paraId="0EBF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99" w:type="dxa"/>
                  <w:vAlign w:val="center"/>
                </w:tcPr>
                <w:p w14:paraId="0144F7F0">
                  <w:pPr>
                    <w:keepNext w:val="0"/>
                    <w:keepLines w:val="0"/>
                    <w:pageBreakBefore w:val="0"/>
                    <w:widowControl w:val="0"/>
                    <w:kinsoku/>
                    <w:wordWrap/>
                    <w:overflowPunct/>
                    <w:topLinePunct w:val="0"/>
                    <w:autoSpaceDE/>
                    <w:autoSpaceDN/>
                    <w:bidi w:val="0"/>
                    <w:adjustRightInd w:val="0"/>
                    <w:snapToGrid w:val="0"/>
                    <w:spacing w:line="240" w:lineRule="auto"/>
                    <w:ind w:left="-109" w:leftChars="-52" w:right="-107" w:rightChars="-51"/>
                    <w:jc w:val="center"/>
                    <w:textAlignment w:val="auto"/>
                    <w:rPr>
                      <w:color w:val="auto"/>
                      <w:szCs w:val="21"/>
                    </w:rPr>
                  </w:pPr>
                  <w:r>
                    <w:rPr>
                      <w:rFonts w:hint="eastAsia"/>
                      <w:bCs/>
                      <w:color w:val="auto"/>
                      <w:szCs w:val="21"/>
                      <w:lang w:val="en-US" w:eastAsia="zh-CN"/>
                    </w:rPr>
                    <w:t>颗粒物</w:t>
                  </w:r>
                </w:p>
              </w:tc>
              <w:tc>
                <w:tcPr>
                  <w:tcW w:w="2486" w:type="dxa"/>
                  <w:vAlign w:val="center"/>
                </w:tcPr>
                <w:p w14:paraId="5D08770D">
                  <w:pPr>
                    <w:keepNext w:val="0"/>
                    <w:keepLines w:val="0"/>
                    <w:pageBreakBefore w:val="0"/>
                    <w:widowControl w:val="0"/>
                    <w:kinsoku/>
                    <w:wordWrap/>
                    <w:overflowPunct/>
                    <w:topLinePunct w:val="0"/>
                    <w:autoSpaceDE/>
                    <w:autoSpaceDN/>
                    <w:bidi w:val="0"/>
                    <w:adjustRightInd w:val="0"/>
                    <w:snapToGrid w:val="0"/>
                    <w:spacing w:line="240" w:lineRule="auto"/>
                    <w:ind w:left="23" w:leftChars="-32" w:right="-80" w:rightChars="-38" w:hanging="90" w:hangingChars="43"/>
                    <w:jc w:val="center"/>
                    <w:textAlignment w:val="auto"/>
                    <w:rPr>
                      <w:rFonts w:hint="default" w:eastAsia="宋体"/>
                      <w:color w:val="auto"/>
                      <w:szCs w:val="21"/>
                      <w:lang w:val="en-US" w:eastAsia="zh-CN"/>
                    </w:rPr>
                  </w:pPr>
                  <w:r>
                    <w:rPr>
                      <w:rFonts w:hint="eastAsia"/>
                      <w:color w:val="auto"/>
                      <w:szCs w:val="21"/>
                      <w:lang w:val="en-US" w:eastAsia="zh-CN"/>
                    </w:rPr>
                    <w:t>20</w:t>
                  </w:r>
                </w:p>
              </w:tc>
              <w:tc>
                <w:tcPr>
                  <w:tcW w:w="2063" w:type="dxa"/>
                  <w:vMerge w:val="restart"/>
                  <w:vAlign w:val="center"/>
                </w:tcPr>
                <w:p w14:paraId="6E2FCB7C">
                  <w:pPr>
                    <w:keepNext w:val="0"/>
                    <w:keepLines w:val="0"/>
                    <w:pageBreakBefore w:val="0"/>
                    <w:widowControl w:val="0"/>
                    <w:kinsoku/>
                    <w:wordWrap/>
                    <w:overflowPunct/>
                    <w:topLinePunct w:val="0"/>
                    <w:autoSpaceDE/>
                    <w:autoSpaceDN/>
                    <w:bidi w:val="0"/>
                    <w:adjustRightInd w:val="0"/>
                    <w:snapToGrid w:val="0"/>
                    <w:spacing w:line="240" w:lineRule="auto"/>
                    <w:ind w:left="-109" w:leftChars="-52" w:right="-107" w:rightChars="-51"/>
                    <w:jc w:val="center"/>
                    <w:textAlignment w:val="auto"/>
                    <w:rPr>
                      <w:rFonts w:hint="default" w:eastAsia="宋体"/>
                      <w:bCs/>
                      <w:color w:val="auto"/>
                      <w:szCs w:val="21"/>
                      <w:lang w:val="en-US" w:eastAsia="zh-CN"/>
                    </w:rPr>
                  </w:pPr>
                  <w:r>
                    <w:rPr>
                      <w:rFonts w:hint="default" w:eastAsia="宋体"/>
                      <w:bCs/>
                      <w:color w:val="auto"/>
                      <w:szCs w:val="21"/>
                      <w:lang w:val="en-US" w:eastAsia="zh-CN"/>
                    </w:rPr>
                    <w:t>烟囱或烟道</w:t>
                  </w:r>
                </w:p>
              </w:tc>
            </w:tr>
            <w:tr w14:paraId="2C80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99" w:type="dxa"/>
                  <w:vAlign w:val="center"/>
                </w:tcPr>
                <w:p w14:paraId="37CA52B6">
                  <w:pPr>
                    <w:keepNext w:val="0"/>
                    <w:keepLines w:val="0"/>
                    <w:pageBreakBefore w:val="0"/>
                    <w:widowControl w:val="0"/>
                    <w:kinsoku/>
                    <w:wordWrap/>
                    <w:overflowPunct/>
                    <w:topLinePunct w:val="0"/>
                    <w:autoSpaceDE/>
                    <w:autoSpaceDN/>
                    <w:bidi w:val="0"/>
                    <w:adjustRightInd w:val="0"/>
                    <w:snapToGrid w:val="0"/>
                    <w:spacing w:line="240" w:lineRule="auto"/>
                    <w:ind w:left="-109" w:leftChars="-52" w:right="-107" w:rightChars="-51"/>
                    <w:jc w:val="center"/>
                    <w:textAlignment w:val="auto"/>
                    <w:rPr>
                      <w:color w:val="auto"/>
                      <w:szCs w:val="21"/>
                    </w:rPr>
                  </w:pPr>
                  <w:r>
                    <w:rPr>
                      <w:rFonts w:hint="eastAsia"/>
                      <w:bCs/>
                      <w:color w:val="auto"/>
                      <w:szCs w:val="21"/>
                      <w:lang w:val="en-US" w:eastAsia="zh-CN"/>
                    </w:rPr>
                    <w:t>二氧化硫</w:t>
                  </w:r>
                </w:p>
              </w:tc>
              <w:tc>
                <w:tcPr>
                  <w:tcW w:w="2486" w:type="dxa"/>
                  <w:vAlign w:val="center"/>
                </w:tcPr>
                <w:p w14:paraId="5D40FCC8">
                  <w:pPr>
                    <w:keepNext w:val="0"/>
                    <w:keepLines w:val="0"/>
                    <w:pageBreakBefore w:val="0"/>
                    <w:widowControl w:val="0"/>
                    <w:kinsoku/>
                    <w:wordWrap/>
                    <w:overflowPunct/>
                    <w:topLinePunct w:val="0"/>
                    <w:autoSpaceDE/>
                    <w:autoSpaceDN/>
                    <w:bidi w:val="0"/>
                    <w:adjustRightInd w:val="0"/>
                    <w:snapToGrid w:val="0"/>
                    <w:spacing w:line="240" w:lineRule="auto"/>
                    <w:ind w:left="23" w:leftChars="-32" w:right="-80" w:rightChars="-38" w:hanging="90" w:hangingChars="43"/>
                    <w:jc w:val="center"/>
                    <w:textAlignment w:val="auto"/>
                    <w:rPr>
                      <w:rFonts w:hint="default" w:eastAsia="宋体"/>
                      <w:color w:val="auto"/>
                      <w:szCs w:val="21"/>
                      <w:lang w:val="en-US" w:eastAsia="zh-CN"/>
                    </w:rPr>
                  </w:pPr>
                  <w:r>
                    <w:rPr>
                      <w:rFonts w:hint="eastAsia"/>
                      <w:color w:val="auto"/>
                      <w:szCs w:val="21"/>
                      <w:lang w:val="en-US" w:eastAsia="zh-CN"/>
                    </w:rPr>
                    <w:t>35</w:t>
                  </w:r>
                </w:p>
              </w:tc>
              <w:tc>
                <w:tcPr>
                  <w:tcW w:w="2063" w:type="dxa"/>
                  <w:vMerge w:val="continue"/>
                  <w:vAlign w:val="center"/>
                </w:tcPr>
                <w:p w14:paraId="6E80DC59">
                  <w:pPr>
                    <w:keepNext w:val="0"/>
                    <w:keepLines w:val="0"/>
                    <w:pageBreakBefore w:val="0"/>
                    <w:widowControl w:val="0"/>
                    <w:kinsoku/>
                    <w:wordWrap/>
                    <w:overflowPunct/>
                    <w:topLinePunct w:val="0"/>
                    <w:autoSpaceDE/>
                    <w:autoSpaceDN/>
                    <w:bidi w:val="0"/>
                    <w:adjustRightInd w:val="0"/>
                    <w:snapToGrid w:val="0"/>
                    <w:spacing w:line="240" w:lineRule="auto"/>
                    <w:ind w:left="-109" w:leftChars="-52" w:right="-107" w:rightChars="-51"/>
                    <w:jc w:val="center"/>
                    <w:textAlignment w:val="auto"/>
                    <w:rPr>
                      <w:rFonts w:hint="default" w:eastAsia="宋体"/>
                      <w:bCs/>
                      <w:color w:val="auto"/>
                      <w:szCs w:val="21"/>
                      <w:lang w:val="en-US" w:eastAsia="zh-CN"/>
                    </w:rPr>
                  </w:pPr>
                </w:p>
              </w:tc>
            </w:tr>
            <w:tr w14:paraId="08B8C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99" w:type="dxa"/>
                  <w:vAlign w:val="center"/>
                </w:tcPr>
                <w:p w14:paraId="405E2F5B">
                  <w:pPr>
                    <w:keepNext w:val="0"/>
                    <w:keepLines w:val="0"/>
                    <w:pageBreakBefore w:val="0"/>
                    <w:widowControl w:val="0"/>
                    <w:kinsoku/>
                    <w:wordWrap/>
                    <w:overflowPunct/>
                    <w:topLinePunct w:val="0"/>
                    <w:autoSpaceDE/>
                    <w:autoSpaceDN/>
                    <w:bidi w:val="0"/>
                    <w:adjustRightInd w:val="0"/>
                    <w:snapToGrid w:val="0"/>
                    <w:spacing w:line="240" w:lineRule="auto"/>
                    <w:ind w:left="-109" w:leftChars="-52" w:right="-107" w:rightChars="-51"/>
                    <w:jc w:val="center"/>
                    <w:textAlignment w:val="auto"/>
                    <w:rPr>
                      <w:color w:val="auto"/>
                      <w:szCs w:val="21"/>
                    </w:rPr>
                  </w:pPr>
                  <w:r>
                    <w:rPr>
                      <w:rFonts w:hint="eastAsia"/>
                      <w:bCs/>
                      <w:color w:val="auto"/>
                      <w:szCs w:val="21"/>
                      <w:lang w:val="en-US" w:eastAsia="zh-CN"/>
                    </w:rPr>
                    <w:t>氮氧化物</w:t>
                  </w:r>
                </w:p>
              </w:tc>
              <w:tc>
                <w:tcPr>
                  <w:tcW w:w="2486" w:type="dxa"/>
                  <w:vAlign w:val="center"/>
                </w:tcPr>
                <w:p w14:paraId="3066EE73">
                  <w:pPr>
                    <w:keepNext w:val="0"/>
                    <w:keepLines w:val="0"/>
                    <w:pageBreakBefore w:val="0"/>
                    <w:widowControl w:val="0"/>
                    <w:kinsoku/>
                    <w:wordWrap/>
                    <w:overflowPunct/>
                    <w:topLinePunct w:val="0"/>
                    <w:autoSpaceDE/>
                    <w:autoSpaceDN/>
                    <w:bidi w:val="0"/>
                    <w:adjustRightInd w:val="0"/>
                    <w:snapToGrid w:val="0"/>
                    <w:spacing w:line="240" w:lineRule="auto"/>
                    <w:ind w:left="23" w:leftChars="-32" w:right="-80" w:rightChars="-38" w:hanging="90" w:hangingChars="43"/>
                    <w:jc w:val="center"/>
                    <w:textAlignment w:val="auto"/>
                    <w:rPr>
                      <w:rFonts w:hint="default" w:eastAsia="宋体"/>
                      <w:color w:val="auto"/>
                      <w:szCs w:val="21"/>
                      <w:lang w:val="en-US" w:eastAsia="zh-CN"/>
                    </w:rPr>
                  </w:pPr>
                  <w:r>
                    <w:rPr>
                      <w:rFonts w:hint="eastAsia"/>
                      <w:color w:val="auto"/>
                      <w:szCs w:val="21"/>
                      <w:lang w:val="en-US" w:eastAsia="zh-CN"/>
                    </w:rPr>
                    <w:t>150</w:t>
                  </w:r>
                </w:p>
              </w:tc>
              <w:tc>
                <w:tcPr>
                  <w:tcW w:w="2063" w:type="dxa"/>
                  <w:vMerge w:val="continue"/>
                  <w:vAlign w:val="center"/>
                </w:tcPr>
                <w:p w14:paraId="2EA8E03E">
                  <w:pPr>
                    <w:keepNext w:val="0"/>
                    <w:keepLines w:val="0"/>
                    <w:pageBreakBefore w:val="0"/>
                    <w:widowControl w:val="0"/>
                    <w:kinsoku/>
                    <w:wordWrap/>
                    <w:overflowPunct/>
                    <w:topLinePunct w:val="0"/>
                    <w:autoSpaceDE/>
                    <w:autoSpaceDN/>
                    <w:bidi w:val="0"/>
                    <w:adjustRightInd w:val="0"/>
                    <w:snapToGrid w:val="0"/>
                    <w:spacing w:line="240" w:lineRule="auto"/>
                    <w:ind w:left="-109" w:leftChars="-52" w:right="-107" w:rightChars="-51"/>
                    <w:jc w:val="center"/>
                    <w:textAlignment w:val="auto"/>
                    <w:rPr>
                      <w:rFonts w:hint="default" w:eastAsia="宋体"/>
                      <w:bCs/>
                      <w:color w:val="auto"/>
                      <w:szCs w:val="21"/>
                      <w:lang w:val="en-US" w:eastAsia="zh-CN"/>
                    </w:rPr>
                  </w:pPr>
                </w:p>
              </w:tc>
            </w:tr>
            <w:tr w14:paraId="650DF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99" w:type="dxa"/>
                  <w:vAlign w:val="center"/>
                </w:tcPr>
                <w:p w14:paraId="432497D1">
                  <w:pPr>
                    <w:keepNext w:val="0"/>
                    <w:keepLines w:val="0"/>
                    <w:pageBreakBefore w:val="0"/>
                    <w:widowControl w:val="0"/>
                    <w:kinsoku/>
                    <w:wordWrap/>
                    <w:overflowPunct/>
                    <w:topLinePunct w:val="0"/>
                    <w:autoSpaceDE/>
                    <w:autoSpaceDN/>
                    <w:bidi w:val="0"/>
                    <w:adjustRightInd w:val="0"/>
                    <w:snapToGrid w:val="0"/>
                    <w:spacing w:line="240" w:lineRule="auto"/>
                    <w:ind w:left="-109" w:leftChars="-52" w:right="-107" w:rightChars="-51"/>
                    <w:jc w:val="center"/>
                    <w:textAlignment w:val="auto"/>
                    <w:rPr>
                      <w:color w:val="auto"/>
                      <w:szCs w:val="21"/>
                    </w:rPr>
                  </w:pPr>
                  <w:r>
                    <w:rPr>
                      <w:rFonts w:hint="eastAsia"/>
                      <w:bCs/>
                      <w:color w:val="auto"/>
                      <w:szCs w:val="21"/>
                      <w:lang w:val="en-US" w:eastAsia="zh-CN"/>
                    </w:rPr>
                    <w:t>一氧化碳</w:t>
                  </w:r>
                </w:p>
              </w:tc>
              <w:tc>
                <w:tcPr>
                  <w:tcW w:w="2486" w:type="dxa"/>
                  <w:vAlign w:val="center"/>
                </w:tcPr>
                <w:p w14:paraId="4290AA3F">
                  <w:pPr>
                    <w:keepNext w:val="0"/>
                    <w:keepLines w:val="0"/>
                    <w:pageBreakBefore w:val="0"/>
                    <w:widowControl w:val="0"/>
                    <w:kinsoku/>
                    <w:wordWrap/>
                    <w:overflowPunct/>
                    <w:topLinePunct w:val="0"/>
                    <w:autoSpaceDE/>
                    <w:autoSpaceDN/>
                    <w:bidi w:val="0"/>
                    <w:adjustRightInd w:val="0"/>
                    <w:snapToGrid w:val="0"/>
                    <w:spacing w:line="240" w:lineRule="auto"/>
                    <w:ind w:left="23" w:leftChars="-32" w:right="-80" w:rightChars="-38" w:hanging="90" w:hangingChars="43"/>
                    <w:jc w:val="center"/>
                    <w:textAlignment w:val="auto"/>
                    <w:rPr>
                      <w:rFonts w:hint="default" w:eastAsia="宋体"/>
                      <w:color w:val="auto"/>
                      <w:szCs w:val="21"/>
                      <w:lang w:val="en-US" w:eastAsia="zh-CN"/>
                    </w:rPr>
                  </w:pPr>
                  <w:r>
                    <w:rPr>
                      <w:rFonts w:hint="eastAsia"/>
                      <w:color w:val="auto"/>
                      <w:szCs w:val="21"/>
                      <w:lang w:val="en-US" w:eastAsia="zh-CN"/>
                    </w:rPr>
                    <w:t>200</w:t>
                  </w:r>
                </w:p>
              </w:tc>
              <w:tc>
                <w:tcPr>
                  <w:tcW w:w="2063" w:type="dxa"/>
                  <w:vMerge w:val="continue"/>
                  <w:vAlign w:val="center"/>
                </w:tcPr>
                <w:p w14:paraId="24853338">
                  <w:pPr>
                    <w:keepNext w:val="0"/>
                    <w:keepLines w:val="0"/>
                    <w:pageBreakBefore w:val="0"/>
                    <w:widowControl w:val="0"/>
                    <w:kinsoku/>
                    <w:wordWrap/>
                    <w:overflowPunct/>
                    <w:topLinePunct w:val="0"/>
                    <w:autoSpaceDE/>
                    <w:autoSpaceDN/>
                    <w:bidi w:val="0"/>
                    <w:adjustRightInd w:val="0"/>
                    <w:snapToGrid w:val="0"/>
                    <w:spacing w:line="240" w:lineRule="auto"/>
                    <w:ind w:left="-109" w:leftChars="-52" w:right="-107" w:rightChars="-51"/>
                    <w:jc w:val="center"/>
                    <w:textAlignment w:val="auto"/>
                    <w:rPr>
                      <w:rFonts w:hint="default" w:eastAsia="宋体"/>
                      <w:bCs/>
                      <w:color w:val="auto"/>
                      <w:szCs w:val="21"/>
                      <w:lang w:val="en-US" w:eastAsia="zh-CN"/>
                    </w:rPr>
                  </w:pPr>
                </w:p>
              </w:tc>
            </w:tr>
            <w:tr w14:paraId="37CB0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99" w:type="dxa"/>
                  <w:vAlign w:val="center"/>
                </w:tcPr>
                <w:p w14:paraId="436D6CCE">
                  <w:pPr>
                    <w:keepNext w:val="0"/>
                    <w:keepLines w:val="0"/>
                    <w:pageBreakBefore w:val="0"/>
                    <w:widowControl w:val="0"/>
                    <w:kinsoku/>
                    <w:wordWrap/>
                    <w:overflowPunct/>
                    <w:topLinePunct w:val="0"/>
                    <w:autoSpaceDE/>
                    <w:autoSpaceDN/>
                    <w:bidi w:val="0"/>
                    <w:adjustRightInd w:val="0"/>
                    <w:snapToGrid w:val="0"/>
                    <w:spacing w:line="240" w:lineRule="auto"/>
                    <w:ind w:left="-109" w:leftChars="-52" w:right="-107" w:rightChars="-51"/>
                    <w:jc w:val="center"/>
                    <w:textAlignment w:val="auto"/>
                    <w:rPr>
                      <w:color w:val="auto"/>
                      <w:szCs w:val="21"/>
                    </w:rPr>
                  </w:pPr>
                  <w:r>
                    <w:rPr>
                      <w:rFonts w:hint="eastAsia"/>
                      <w:bCs/>
                      <w:color w:val="auto"/>
                      <w:szCs w:val="21"/>
                      <w:lang w:val="en-US" w:eastAsia="zh-CN"/>
                    </w:rPr>
                    <w:t>烟气黑度（林格曼黑度，级）</w:t>
                  </w:r>
                </w:p>
              </w:tc>
              <w:tc>
                <w:tcPr>
                  <w:tcW w:w="2486" w:type="dxa"/>
                  <w:vAlign w:val="center"/>
                </w:tcPr>
                <w:p w14:paraId="111C53F9">
                  <w:pPr>
                    <w:keepNext w:val="0"/>
                    <w:keepLines w:val="0"/>
                    <w:pageBreakBefore w:val="0"/>
                    <w:widowControl w:val="0"/>
                    <w:kinsoku/>
                    <w:wordWrap/>
                    <w:overflowPunct/>
                    <w:topLinePunct w:val="0"/>
                    <w:autoSpaceDE/>
                    <w:autoSpaceDN/>
                    <w:bidi w:val="0"/>
                    <w:adjustRightInd w:val="0"/>
                    <w:snapToGrid w:val="0"/>
                    <w:spacing w:line="240" w:lineRule="auto"/>
                    <w:ind w:left="23" w:leftChars="-32" w:right="-80" w:rightChars="-38" w:hanging="90" w:hangingChars="43"/>
                    <w:jc w:val="center"/>
                    <w:textAlignment w:val="auto"/>
                    <w:rPr>
                      <w:rFonts w:hint="default" w:eastAsia="宋体"/>
                      <w:color w:val="auto"/>
                      <w:szCs w:val="21"/>
                      <w:lang w:val="en-US" w:eastAsia="zh-CN"/>
                    </w:rPr>
                  </w:pPr>
                  <w:r>
                    <w:rPr>
                      <w:rFonts w:hint="eastAsia" w:ascii="宋体" w:hAnsi="宋体" w:eastAsia="宋体" w:cs="宋体"/>
                      <w:color w:val="auto"/>
                      <w:szCs w:val="21"/>
                      <w:lang w:val="en-US" w:eastAsia="zh-CN"/>
                    </w:rPr>
                    <w:t>≦</w:t>
                  </w:r>
                  <w:r>
                    <w:rPr>
                      <w:rFonts w:hint="eastAsia"/>
                      <w:color w:val="auto"/>
                      <w:szCs w:val="21"/>
                      <w:lang w:val="en-US" w:eastAsia="zh-CN"/>
                    </w:rPr>
                    <w:t>1</w:t>
                  </w:r>
                </w:p>
              </w:tc>
              <w:tc>
                <w:tcPr>
                  <w:tcW w:w="2063" w:type="dxa"/>
                  <w:vAlign w:val="center"/>
                </w:tcPr>
                <w:p w14:paraId="3F653C3B">
                  <w:pPr>
                    <w:keepNext w:val="0"/>
                    <w:keepLines w:val="0"/>
                    <w:pageBreakBefore w:val="0"/>
                    <w:widowControl w:val="0"/>
                    <w:kinsoku/>
                    <w:wordWrap/>
                    <w:overflowPunct/>
                    <w:topLinePunct w:val="0"/>
                    <w:autoSpaceDE/>
                    <w:autoSpaceDN/>
                    <w:bidi w:val="0"/>
                    <w:adjustRightInd w:val="0"/>
                    <w:snapToGrid w:val="0"/>
                    <w:spacing w:line="240" w:lineRule="auto"/>
                    <w:ind w:left="-109" w:leftChars="-52" w:right="-107" w:rightChars="-51"/>
                    <w:jc w:val="center"/>
                    <w:textAlignment w:val="auto"/>
                    <w:rPr>
                      <w:rFonts w:hint="default" w:eastAsia="宋体"/>
                      <w:bCs/>
                      <w:color w:val="auto"/>
                      <w:szCs w:val="21"/>
                      <w:lang w:val="en-US" w:eastAsia="zh-CN"/>
                    </w:rPr>
                  </w:pPr>
                  <w:r>
                    <w:rPr>
                      <w:rFonts w:hint="default" w:eastAsia="宋体"/>
                      <w:bCs/>
                      <w:color w:val="auto"/>
                      <w:szCs w:val="21"/>
                      <w:lang w:val="en-US" w:eastAsia="zh-CN"/>
                    </w:rPr>
                    <w:t>烟囱排放口</w:t>
                  </w:r>
                </w:p>
              </w:tc>
            </w:tr>
            <w:tr w14:paraId="05B1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48" w:type="dxa"/>
                  <w:gridSpan w:val="3"/>
                  <w:vAlign w:val="center"/>
                </w:tcPr>
                <w:p w14:paraId="2337FAFC">
                  <w:pPr>
                    <w:pStyle w:val="150"/>
                    <w:tabs>
                      <w:tab w:val="left" w:pos="845"/>
                    </w:tabs>
                    <w:adjustRightInd w:val="0"/>
                    <w:spacing w:line="240" w:lineRule="auto"/>
                    <w:ind w:left="0" w:leftChars="0" w:firstLine="0" w:firstLineChars="0"/>
                    <w:textAlignment w:val="baseline"/>
                    <w:rPr>
                      <w:rFonts w:hint="default" w:eastAsia="宋体"/>
                      <w:bCs/>
                      <w:color w:val="auto"/>
                      <w:szCs w:val="21"/>
                      <w:lang w:val="en-US" w:eastAsia="zh-CN"/>
                    </w:rPr>
                  </w:pPr>
                  <w:r>
                    <w:rPr>
                      <w:rFonts w:hint="eastAsia"/>
                      <w:color w:val="auto"/>
                      <w:szCs w:val="21"/>
                      <w:lang w:val="en-US" w:eastAsia="zh-CN"/>
                    </w:rPr>
                    <w:t>注：项目锅炉为3t/h，烟囱最低允许高度为30m。</w:t>
                  </w:r>
                </w:p>
              </w:tc>
            </w:tr>
          </w:tbl>
          <w:p w14:paraId="47983087">
            <w:pPr>
              <w:pStyle w:val="84"/>
              <w:adjustRightInd w:val="0"/>
              <w:snapToGrid w:val="0"/>
              <w:spacing w:before="120" w:beforeLines="50"/>
              <w:ind w:firstLine="422"/>
              <w:rPr>
                <w:rFonts w:ascii="Times New Roman" w:hAnsi="Times New Roman"/>
                <w:b/>
                <w:bCs/>
                <w:color w:val="auto"/>
                <w:sz w:val="21"/>
                <w:szCs w:val="21"/>
              </w:rPr>
            </w:pPr>
            <w:r>
              <w:rPr>
                <w:rFonts w:ascii="Times New Roman" w:hAnsi="Times New Roman"/>
                <w:b/>
                <w:bCs/>
                <w:color w:val="auto"/>
                <w:sz w:val="21"/>
                <w:szCs w:val="21"/>
              </w:rPr>
              <w:t>2、水污染物排放标准</w:t>
            </w:r>
          </w:p>
          <w:p w14:paraId="7173C99A">
            <w:pPr>
              <w:pStyle w:val="84"/>
              <w:keepNext w:val="0"/>
              <w:keepLines w:val="0"/>
              <w:pageBreakBefore w:val="0"/>
              <w:widowControl w:val="0"/>
              <w:kinsoku/>
              <w:wordWrap/>
              <w:overflowPunct/>
              <w:topLinePunct w:val="0"/>
              <w:autoSpaceDE/>
              <w:autoSpaceDN/>
              <w:bidi w:val="0"/>
              <w:adjustRightInd w:val="0"/>
              <w:snapToGrid w:val="0"/>
              <w:ind w:firstLine="422"/>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本项目</w:t>
            </w:r>
            <w:r>
              <w:rPr>
                <w:rFonts w:hint="eastAsia" w:ascii="Times New Roman" w:hAnsi="Times New Roman" w:cs="Times New Roman"/>
                <w:color w:val="auto"/>
                <w:kern w:val="2"/>
                <w:sz w:val="21"/>
                <w:szCs w:val="21"/>
                <w:lang w:val="en-US" w:eastAsia="zh-CN" w:bidi="ar-SA"/>
              </w:rPr>
              <w:t>不新增员工，无新增生活污水。项目水膜除尘用水经沉淀后循环使用，不外排。</w:t>
            </w:r>
          </w:p>
          <w:p w14:paraId="5F14447B">
            <w:pPr>
              <w:pStyle w:val="84"/>
              <w:keepNext w:val="0"/>
              <w:keepLines w:val="0"/>
              <w:pageBreakBefore w:val="0"/>
              <w:widowControl w:val="0"/>
              <w:kinsoku/>
              <w:wordWrap/>
              <w:overflowPunct/>
              <w:topLinePunct w:val="0"/>
              <w:autoSpaceDE/>
              <w:autoSpaceDN/>
              <w:bidi w:val="0"/>
              <w:adjustRightInd w:val="0"/>
              <w:snapToGrid w:val="0"/>
              <w:ind w:firstLine="422"/>
              <w:textAlignment w:val="auto"/>
              <w:rPr>
                <w:rFonts w:ascii="Times New Roman" w:hAnsi="Times New Roman"/>
                <w:b/>
                <w:bCs/>
                <w:color w:val="auto"/>
                <w:sz w:val="21"/>
                <w:szCs w:val="21"/>
              </w:rPr>
            </w:pPr>
            <w:r>
              <w:rPr>
                <w:rFonts w:ascii="Times New Roman" w:hAnsi="Times New Roman"/>
                <w:b/>
                <w:bCs/>
                <w:color w:val="auto"/>
                <w:sz w:val="21"/>
                <w:szCs w:val="21"/>
              </w:rPr>
              <w:t>3、噪声排放标准</w:t>
            </w:r>
          </w:p>
          <w:p w14:paraId="47A640E8">
            <w:pPr>
              <w:pStyle w:val="82"/>
              <w:spacing w:before="0" w:beforeLines="0"/>
              <w:ind w:firstLine="420"/>
              <w:rPr>
                <w:rFonts w:cs="Times New Roman"/>
                <w:color w:val="auto"/>
                <w:szCs w:val="21"/>
              </w:rPr>
            </w:pPr>
            <w:r>
              <w:rPr>
                <w:rFonts w:hint="eastAsia" w:cs="Times New Roman"/>
                <w:color w:val="auto"/>
                <w:szCs w:val="21"/>
              </w:rPr>
              <w:t>根据</w:t>
            </w:r>
            <w:r>
              <w:rPr>
                <w:rFonts w:hint="eastAsia" w:cs="Times New Roman"/>
                <w:color w:val="auto"/>
                <w:szCs w:val="21"/>
                <w:lang w:val="en-US" w:eastAsia="zh-CN"/>
              </w:rPr>
              <w:t>现有项目环评批复“</w:t>
            </w:r>
            <w:r>
              <w:rPr>
                <w:rFonts w:hint="default" w:ascii="Times New Roman" w:hAnsi="Times New Roman" w:eastAsia="宋体" w:cs="Times New Roman"/>
                <w:b w:val="0"/>
                <w:bCs w:val="0"/>
                <w:color w:val="auto"/>
                <w:sz w:val="21"/>
                <w:szCs w:val="21"/>
                <w:lang w:val="en-US" w:eastAsia="zh-CN"/>
              </w:rPr>
              <w:t>乐</w:t>
            </w:r>
            <w:r>
              <w:rPr>
                <w:rFonts w:hint="default" w:ascii="Times New Roman" w:hAnsi="Times New Roman" w:eastAsia="宋体" w:cs="Times New Roman"/>
                <w:color w:val="auto"/>
                <w:szCs w:val="21"/>
                <w:lang w:val="en-US" w:eastAsia="zh-CN"/>
              </w:rPr>
              <w:t>环函[2009]71</w:t>
            </w:r>
            <w:r>
              <w:rPr>
                <w:rFonts w:hint="default" w:ascii="Times New Roman" w:hAnsi="Times New Roman" w:eastAsia="宋体" w:cs="Times New Roman"/>
                <w:b w:val="0"/>
                <w:bCs w:val="0"/>
                <w:color w:val="auto"/>
                <w:sz w:val="21"/>
                <w:szCs w:val="21"/>
                <w:lang w:val="en-US" w:eastAsia="zh-CN"/>
              </w:rPr>
              <w:t>号</w:t>
            </w:r>
            <w:r>
              <w:rPr>
                <w:rFonts w:hint="eastAsia" w:cs="Times New Roman"/>
                <w:color w:val="auto"/>
                <w:szCs w:val="21"/>
                <w:lang w:val="en-US" w:eastAsia="zh-CN"/>
              </w:rPr>
              <w:t>”</w:t>
            </w:r>
            <w:r>
              <w:rPr>
                <w:rFonts w:cs="Times New Roman"/>
                <w:bCs/>
                <w:color w:val="auto"/>
                <w:szCs w:val="21"/>
              </w:rPr>
              <w:t>，</w:t>
            </w:r>
            <w:r>
              <w:rPr>
                <w:rFonts w:hint="eastAsia" w:cs="Times New Roman"/>
                <w:bCs/>
                <w:color w:val="auto"/>
                <w:szCs w:val="21"/>
                <w:lang w:val="en-US" w:eastAsia="zh-CN"/>
              </w:rPr>
              <w:t>项目</w:t>
            </w:r>
            <w:r>
              <w:rPr>
                <w:rFonts w:cs="Times New Roman"/>
                <w:color w:val="auto"/>
                <w:szCs w:val="21"/>
              </w:rPr>
              <w:t>所在区域属于声环境功能</w:t>
            </w:r>
            <w:r>
              <w:rPr>
                <w:rFonts w:hint="eastAsia" w:cs="Times New Roman"/>
                <w:color w:val="auto"/>
                <w:szCs w:val="21"/>
                <w:lang w:val="en-US" w:eastAsia="zh-CN"/>
              </w:rPr>
              <w:t>2</w:t>
            </w:r>
            <w:r>
              <w:rPr>
                <w:rFonts w:cs="Times New Roman"/>
                <w:color w:val="auto"/>
                <w:szCs w:val="21"/>
              </w:rPr>
              <w:t>类区</w:t>
            </w:r>
            <w:r>
              <w:rPr>
                <w:rFonts w:cs="Times New Roman"/>
                <w:color w:val="auto"/>
              </w:rPr>
              <w:t>，</w:t>
            </w:r>
            <w:r>
              <w:rPr>
                <w:rFonts w:hint="eastAsia" w:cs="Times New Roman"/>
                <w:color w:val="auto"/>
                <w:szCs w:val="21"/>
              </w:rPr>
              <w:t>厂界</w:t>
            </w:r>
            <w:r>
              <w:rPr>
                <w:rFonts w:cs="Times New Roman"/>
                <w:color w:val="auto"/>
                <w:szCs w:val="21"/>
              </w:rPr>
              <w:t>噪声执行《工业企业厂界环境噪声排放标准》（GB12348-2008）中的</w:t>
            </w:r>
            <w:r>
              <w:rPr>
                <w:rFonts w:hint="eastAsia" w:cs="Times New Roman"/>
                <w:color w:val="auto"/>
                <w:szCs w:val="21"/>
                <w:lang w:val="en-US" w:eastAsia="zh-CN"/>
              </w:rPr>
              <w:t>2</w:t>
            </w:r>
            <w:r>
              <w:rPr>
                <w:rFonts w:cs="Times New Roman"/>
                <w:color w:val="auto"/>
                <w:szCs w:val="21"/>
              </w:rPr>
              <w:t>类</w:t>
            </w:r>
            <w:r>
              <w:rPr>
                <w:rFonts w:hint="eastAsia" w:cs="Times New Roman"/>
                <w:color w:val="auto"/>
                <w:szCs w:val="21"/>
              </w:rPr>
              <w:t>标准</w:t>
            </w:r>
            <w:r>
              <w:rPr>
                <w:rFonts w:hint="eastAsia" w:cs="Times New Roman"/>
                <w:color w:val="auto"/>
                <w:szCs w:val="21"/>
                <w:lang w:eastAsia="zh-CN"/>
              </w:rPr>
              <w:t>，</w:t>
            </w:r>
          </w:p>
          <w:p w14:paraId="32B6E2B0">
            <w:pPr>
              <w:pStyle w:val="97"/>
              <w:adjustRightInd w:val="0"/>
              <w:snapToGrid w:val="0"/>
              <w:ind w:firstLine="422"/>
              <w:jc w:val="center"/>
              <w:rPr>
                <w:b/>
                <w:bCs/>
                <w:color w:val="auto"/>
              </w:rPr>
            </w:pPr>
            <w:bookmarkStart w:id="16" w:name="_Ref50066023"/>
            <w:r>
              <w:rPr>
                <w:b/>
                <w:bCs/>
                <w:color w:val="auto"/>
                <w:sz w:val="21"/>
                <w:szCs w:val="21"/>
              </w:rPr>
              <w:t>表</w:t>
            </w:r>
            <w:bookmarkEnd w:id="16"/>
            <w:r>
              <w:rPr>
                <w:rFonts w:hint="eastAsia"/>
                <w:b/>
                <w:bCs/>
                <w:color w:val="auto"/>
                <w:sz w:val="21"/>
                <w:szCs w:val="21"/>
              </w:rPr>
              <w:t>3-</w:t>
            </w:r>
            <w:r>
              <w:rPr>
                <w:rFonts w:hint="eastAsia"/>
                <w:b/>
                <w:bCs/>
                <w:color w:val="auto"/>
                <w:sz w:val="21"/>
                <w:szCs w:val="21"/>
                <w:lang w:val="en-US" w:eastAsia="zh-CN"/>
              </w:rPr>
              <w:t>4</w:t>
            </w:r>
            <w:r>
              <w:rPr>
                <w:b/>
                <w:bCs/>
                <w:color w:val="auto"/>
                <w:sz w:val="21"/>
                <w:szCs w:val="21"/>
              </w:rPr>
              <w:t xml:space="preserve"> 《工业企业厂界环境噪声排放标准》（GB12348-2008）</w:t>
            </w:r>
          </w:p>
          <w:tbl>
            <w:tblPr>
              <w:tblStyle w:val="35"/>
              <w:tblW w:w="7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149"/>
              <w:gridCol w:w="2601"/>
            </w:tblGrid>
            <w:tr w14:paraId="52399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18" w:type="dxa"/>
                  <w:vAlign w:val="center"/>
                </w:tcPr>
                <w:p w14:paraId="5A3373E9">
                  <w:pPr>
                    <w:pStyle w:val="96"/>
                    <w:adjustRightInd w:val="0"/>
                    <w:snapToGrid w:val="0"/>
                    <w:rPr>
                      <w:rFonts w:ascii="Times New Roman" w:hAnsi="Times New Roman" w:eastAsia="宋体" w:cs="Times New Roman"/>
                      <w:b/>
                      <w:bCs/>
                      <w:color w:val="auto"/>
                    </w:rPr>
                  </w:pPr>
                  <w:r>
                    <w:rPr>
                      <w:rFonts w:ascii="Times New Roman" w:hAnsi="Times New Roman" w:eastAsia="宋体" w:cs="Times New Roman"/>
                      <w:b/>
                      <w:bCs/>
                      <w:color w:val="auto"/>
                    </w:rPr>
                    <w:t>类别</w:t>
                  </w:r>
                </w:p>
              </w:tc>
              <w:tc>
                <w:tcPr>
                  <w:tcW w:w="3149" w:type="dxa"/>
                  <w:vAlign w:val="center"/>
                </w:tcPr>
                <w:p w14:paraId="2D8EF7FA">
                  <w:pPr>
                    <w:pStyle w:val="96"/>
                    <w:adjustRightInd w:val="0"/>
                    <w:snapToGrid w:val="0"/>
                    <w:rPr>
                      <w:rFonts w:ascii="Times New Roman" w:hAnsi="Times New Roman" w:eastAsia="宋体" w:cs="Times New Roman"/>
                      <w:b/>
                      <w:bCs/>
                      <w:color w:val="auto"/>
                    </w:rPr>
                  </w:pPr>
                  <w:r>
                    <w:rPr>
                      <w:rFonts w:ascii="Times New Roman" w:hAnsi="Times New Roman" w:eastAsia="宋体" w:cs="Times New Roman"/>
                      <w:b/>
                      <w:bCs/>
                      <w:color w:val="auto"/>
                    </w:rPr>
                    <w:t>昼间</w:t>
                  </w:r>
                </w:p>
              </w:tc>
              <w:tc>
                <w:tcPr>
                  <w:tcW w:w="2601" w:type="dxa"/>
                  <w:vAlign w:val="center"/>
                </w:tcPr>
                <w:p w14:paraId="04B89B29">
                  <w:pPr>
                    <w:pStyle w:val="96"/>
                    <w:adjustRightInd w:val="0"/>
                    <w:snapToGrid w:val="0"/>
                    <w:rPr>
                      <w:rFonts w:ascii="Times New Roman" w:hAnsi="Times New Roman" w:eastAsia="宋体" w:cs="Times New Roman"/>
                      <w:b/>
                      <w:bCs/>
                      <w:color w:val="auto"/>
                    </w:rPr>
                  </w:pPr>
                  <w:r>
                    <w:rPr>
                      <w:rFonts w:ascii="Times New Roman" w:hAnsi="Times New Roman" w:eastAsia="宋体" w:cs="Times New Roman"/>
                      <w:b/>
                      <w:bCs/>
                      <w:color w:val="auto"/>
                    </w:rPr>
                    <w:t>夜间</w:t>
                  </w:r>
                </w:p>
              </w:tc>
            </w:tr>
            <w:tr w14:paraId="13DB6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18" w:type="dxa"/>
                  <w:vAlign w:val="center"/>
                </w:tcPr>
                <w:p w14:paraId="4E8FF2F7">
                  <w:pPr>
                    <w:pStyle w:val="96"/>
                    <w:adjustRightInd w:val="0"/>
                    <w:snapToGrid w:val="0"/>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2</w:t>
                  </w:r>
                  <w:r>
                    <w:rPr>
                      <w:rFonts w:ascii="Times New Roman" w:hAnsi="Times New Roman" w:eastAsia="宋体" w:cs="Times New Roman"/>
                      <w:color w:val="auto"/>
                    </w:rPr>
                    <w:t>类</w:t>
                  </w:r>
                </w:p>
              </w:tc>
              <w:tc>
                <w:tcPr>
                  <w:tcW w:w="3149" w:type="dxa"/>
                  <w:vAlign w:val="center"/>
                </w:tcPr>
                <w:p w14:paraId="44E0D01E">
                  <w:pPr>
                    <w:pStyle w:val="96"/>
                    <w:adjustRightInd w:val="0"/>
                    <w:snapToGrid w:val="0"/>
                    <w:rPr>
                      <w:rFonts w:ascii="Times New Roman" w:hAnsi="Times New Roman" w:eastAsia="宋体" w:cs="Times New Roman"/>
                      <w:color w:val="auto"/>
                    </w:rPr>
                  </w:pPr>
                  <w:r>
                    <w:rPr>
                      <w:rFonts w:ascii="Times New Roman" w:hAnsi="Times New Roman" w:eastAsia="宋体" w:cs="Times New Roman"/>
                      <w:color w:val="auto"/>
                    </w:rPr>
                    <w:t>6</w:t>
                  </w:r>
                  <w:r>
                    <w:rPr>
                      <w:rFonts w:hint="eastAsia" w:ascii="Times New Roman" w:hAnsi="Times New Roman" w:eastAsia="宋体" w:cs="Times New Roman"/>
                      <w:color w:val="auto"/>
                      <w:lang w:val="en-US" w:eastAsia="zh-CN"/>
                    </w:rPr>
                    <w:t>0</w:t>
                  </w:r>
                  <w:r>
                    <w:rPr>
                      <w:rFonts w:ascii="Times New Roman" w:hAnsi="Times New Roman" w:eastAsia="宋体" w:cs="Times New Roman"/>
                      <w:color w:val="auto"/>
                    </w:rPr>
                    <w:t>dB(A)</w:t>
                  </w:r>
                </w:p>
              </w:tc>
              <w:tc>
                <w:tcPr>
                  <w:tcW w:w="2601" w:type="dxa"/>
                  <w:vAlign w:val="center"/>
                </w:tcPr>
                <w:p w14:paraId="3F73842B">
                  <w:pPr>
                    <w:pStyle w:val="96"/>
                    <w:adjustRightInd w:val="0"/>
                    <w:snapToGrid w:val="0"/>
                    <w:rPr>
                      <w:rFonts w:ascii="Times New Roman" w:hAnsi="Times New Roman" w:eastAsia="宋体" w:cs="Times New Roman"/>
                      <w:color w:val="auto"/>
                    </w:rPr>
                  </w:pPr>
                  <w:r>
                    <w:rPr>
                      <w:rFonts w:hint="default" w:ascii="Times New Roman" w:hAnsi="Times New Roman" w:eastAsia="宋体" w:cs="Times New Roman"/>
                      <w:color w:val="auto"/>
                    </w:rPr>
                    <w:t>5</w:t>
                  </w:r>
                  <w:r>
                    <w:rPr>
                      <w:rFonts w:hint="default" w:ascii="Times New Roman" w:hAnsi="Times New Roman" w:eastAsia="宋体" w:cs="Times New Roman"/>
                      <w:color w:val="auto"/>
                      <w:lang w:val="en-US" w:eastAsia="zh-CN"/>
                    </w:rPr>
                    <w:t>0</w:t>
                  </w:r>
                  <w:r>
                    <w:rPr>
                      <w:rFonts w:hint="default" w:ascii="Times New Roman" w:hAnsi="Times New Roman" w:cs="Times New Roman"/>
                      <w:color w:val="auto"/>
                      <w:lang w:val="en-US" w:eastAsia="zh-CN"/>
                    </w:rPr>
                    <w:t>d</w:t>
                  </w:r>
                  <w:r>
                    <w:rPr>
                      <w:rFonts w:hint="default" w:ascii="Times New Roman" w:hAnsi="Times New Roman" w:eastAsia="宋体" w:cs="Times New Roman"/>
                      <w:color w:val="auto"/>
                    </w:rPr>
                    <w:t>B(A)</w:t>
                  </w:r>
                </w:p>
              </w:tc>
            </w:tr>
          </w:tbl>
          <w:p w14:paraId="64FD0602">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2" w:firstLineChars="200"/>
              <w:textAlignment w:val="auto"/>
              <w:rPr>
                <w:b/>
                <w:bCs/>
                <w:color w:val="auto"/>
                <w:kern w:val="0"/>
                <w:szCs w:val="21"/>
              </w:rPr>
            </w:pPr>
            <w:r>
              <w:rPr>
                <w:b/>
                <w:bCs/>
                <w:color w:val="auto"/>
                <w:kern w:val="0"/>
                <w:szCs w:val="21"/>
              </w:rPr>
              <w:t>4、固体废物控制标准</w:t>
            </w:r>
          </w:p>
          <w:p w14:paraId="764CCDD9">
            <w:pPr>
              <w:spacing w:line="360" w:lineRule="auto"/>
              <w:ind w:firstLine="420" w:firstLineChars="200"/>
              <w:rPr>
                <w:rFonts w:hint="eastAsia" w:cs="宋体"/>
                <w:color w:val="auto"/>
                <w:kern w:val="0"/>
                <w:szCs w:val="21"/>
              </w:rPr>
            </w:pPr>
            <w:r>
              <w:rPr>
                <w:color w:val="auto"/>
                <w:kern w:val="0"/>
                <w:szCs w:val="21"/>
              </w:rPr>
              <w:t>一般固体废物在厂内贮存须符合《一般工业固体废物贮存和填埋污染控制标准》（GB18599-2020）相关要求</w:t>
            </w:r>
            <w:r>
              <w:rPr>
                <w:rFonts w:hint="eastAsia" w:cs="宋体"/>
                <w:color w:val="auto"/>
                <w:kern w:val="0"/>
                <w:szCs w:val="21"/>
              </w:rPr>
              <w:t>。</w:t>
            </w:r>
          </w:p>
          <w:p w14:paraId="3DFFD35E">
            <w:pPr>
              <w:spacing w:line="360" w:lineRule="auto"/>
              <w:ind w:firstLine="420" w:firstLineChars="200"/>
              <w:rPr>
                <w:rFonts w:hint="eastAsia" w:cs="宋体"/>
                <w:color w:val="auto"/>
                <w:kern w:val="0"/>
                <w:szCs w:val="21"/>
              </w:rPr>
            </w:pPr>
          </w:p>
          <w:p w14:paraId="1242BE04">
            <w:pPr>
              <w:spacing w:line="360" w:lineRule="auto"/>
              <w:ind w:firstLine="420" w:firstLineChars="200"/>
              <w:rPr>
                <w:rFonts w:hint="eastAsia" w:cs="宋体"/>
                <w:color w:val="auto"/>
                <w:kern w:val="0"/>
                <w:szCs w:val="21"/>
              </w:rPr>
            </w:pPr>
          </w:p>
          <w:p w14:paraId="2BB244E0">
            <w:pPr>
              <w:spacing w:line="360" w:lineRule="auto"/>
              <w:ind w:firstLine="420" w:firstLineChars="200"/>
              <w:rPr>
                <w:rFonts w:hint="eastAsia" w:cs="宋体"/>
                <w:color w:val="auto"/>
                <w:kern w:val="0"/>
                <w:szCs w:val="21"/>
              </w:rPr>
            </w:pPr>
          </w:p>
          <w:p w14:paraId="02C87909">
            <w:pPr>
              <w:spacing w:line="360" w:lineRule="auto"/>
              <w:ind w:firstLine="420" w:firstLineChars="200"/>
              <w:rPr>
                <w:rFonts w:hint="eastAsia" w:cs="宋体"/>
                <w:color w:val="auto"/>
                <w:kern w:val="0"/>
                <w:szCs w:val="21"/>
              </w:rPr>
            </w:pPr>
          </w:p>
          <w:p w14:paraId="512680F5">
            <w:pPr>
              <w:spacing w:line="360" w:lineRule="auto"/>
              <w:ind w:firstLine="420" w:firstLineChars="200"/>
              <w:rPr>
                <w:rFonts w:hint="eastAsia" w:cs="宋体"/>
                <w:color w:val="auto"/>
                <w:kern w:val="0"/>
                <w:szCs w:val="21"/>
              </w:rPr>
            </w:pPr>
          </w:p>
          <w:p w14:paraId="0EC22BA8">
            <w:pPr>
              <w:spacing w:line="360" w:lineRule="auto"/>
              <w:ind w:firstLine="420" w:firstLineChars="200"/>
              <w:rPr>
                <w:rFonts w:hint="eastAsia" w:cs="宋体"/>
                <w:color w:val="auto"/>
                <w:kern w:val="0"/>
                <w:szCs w:val="21"/>
              </w:rPr>
            </w:pPr>
          </w:p>
          <w:p w14:paraId="5EB02BE9">
            <w:pPr>
              <w:spacing w:line="360" w:lineRule="auto"/>
              <w:ind w:firstLine="420" w:firstLineChars="200"/>
              <w:rPr>
                <w:rFonts w:hint="eastAsia" w:cs="宋体"/>
                <w:color w:val="auto"/>
                <w:kern w:val="0"/>
                <w:szCs w:val="21"/>
              </w:rPr>
            </w:pPr>
          </w:p>
          <w:p w14:paraId="6D928CFE">
            <w:pPr>
              <w:spacing w:line="360" w:lineRule="auto"/>
              <w:ind w:firstLine="420" w:firstLineChars="200"/>
              <w:rPr>
                <w:rFonts w:hint="eastAsia" w:cs="宋体"/>
                <w:color w:val="auto"/>
                <w:kern w:val="0"/>
                <w:szCs w:val="21"/>
              </w:rPr>
            </w:pPr>
          </w:p>
          <w:p w14:paraId="6F241645">
            <w:pPr>
              <w:spacing w:line="360" w:lineRule="auto"/>
              <w:rPr>
                <w:rFonts w:hint="eastAsia" w:cs="宋体"/>
                <w:color w:val="auto"/>
                <w:kern w:val="0"/>
                <w:szCs w:val="21"/>
              </w:rPr>
            </w:pPr>
          </w:p>
        </w:tc>
      </w:tr>
      <w:tr w14:paraId="6A1C8E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87" w:hRule="atLeast"/>
          <w:jc w:val="center"/>
        </w:trPr>
        <w:tc>
          <w:tcPr>
            <w:tcW w:w="846" w:type="dxa"/>
            <w:vAlign w:val="center"/>
          </w:tcPr>
          <w:p w14:paraId="6A5F8CD4">
            <w:pPr>
              <w:adjustRightInd w:val="0"/>
              <w:snapToGrid w:val="0"/>
              <w:jc w:val="center"/>
              <w:rPr>
                <w:color w:val="auto"/>
                <w:kern w:val="0"/>
                <w:szCs w:val="21"/>
              </w:rPr>
            </w:pPr>
            <w:r>
              <w:rPr>
                <w:color w:val="auto"/>
                <w:kern w:val="0"/>
                <w:szCs w:val="21"/>
              </w:rPr>
              <w:t>总量</w:t>
            </w:r>
          </w:p>
          <w:p w14:paraId="28BE2FD5">
            <w:pPr>
              <w:adjustRightInd w:val="0"/>
              <w:snapToGrid w:val="0"/>
              <w:jc w:val="center"/>
              <w:rPr>
                <w:color w:val="auto"/>
                <w:kern w:val="0"/>
                <w:szCs w:val="21"/>
              </w:rPr>
            </w:pPr>
            <w:r>
              <w:rPr>
                <w:color w:val="auto"/>
                <w:kern w:val="0"/>
                <w:szCs w:val="21"/>
              </w:rPr>
              <w:t>控制</w:t>
            </w:r>
          </w:p>
          <w:p w14:paraId="37DD9F10">
            <w:pPr>
              <w:adjustRightInd w:val="0"/>
              <w:snapToGrid w:val="0"/>
              <w:jc w:val="center"/>
              <w:rPr>
                <w:color w:val="auto"/>
                <w:kern w:val="0"/>
                <w:szCs w:val="21"/>
              </w:rPr>
            </w:pPr>
            <w:r>
              <w:rPr>
                <w:color w:val="auto"/>
                <w:kern w:val="0"/>
                <w:szCs w:val="21"/>
              </w:rPr>
              <w:t>指标</w:t>
            </w:r>
          </w:p>
        </w:tc>
        <w:tc>
          <w:tcPr>
            <w:tcW w:w="8154" w:type="dxa"/>
          </w:tcPr>
          <w:p w14:paraId="0AA649DF">
            <w:pPr>
              <w:pStyle w:val="82"/>
              <w:adjustRightInd w:val="0"/>
              <w:snapToGrid w:val="0"/>
              <w:spacing w:before="0" w:beforeLines="0"/>
              <w:ind w:firstLine="420"/>
              <w:rPr>
                <w:rFonts w:cs="Times New Roman"/>
                <w:color w:val="auto"/>
              </w:rPr>
            </w:pPr>
          </w:p>
          <w:p w14:paraId="3C0CC06F">
            <w:pPr>
              <w:pStyle w:val="82"/>
              <w:adjustRightInd w:val="0"/>
              <w:snapToGrid w:val="0"/>
              <w:spacing w:before="0" w:beforeLines="0"/>
              <w:ind w:firstLine="420"/>
              <w:rPr>
                <w:rFonts w:cs="Times New Roman"/>
                <w:color w:val="auto"/>
              </w:rPr>
            </w:pPr>
          </w:p>
          <w:p w14:paraId="3ADD8116">
            <w:pPr>
              <w:pStyle w:val="82"/>
              <w:adjustRightInd w:val="0"/>
              <w:snapToGrid w:val="0"/>
              <w:spacing w:before="0" w:beforeLines="0"/>
              <w:ind w:firstLine="420"/>
              <w:rPr>
                <w:rFonts w:cs="Times New Roman"/>
                <w:color w:val="auto"/>
              </w:rPr>
            </w:pPr>
          </w:p>
          <w:p w14:paraId="075FBC70">
            <w:pPr>
              <w:pStyle w:val="82"/>
              <w:adjustRightInd w:val="0"/>
              <w:snapToGrid w:val="0"/>
              <w:spacing w:before="0" w:beforeLines="0"/>
              <w:ind w:firstLine="420"/>
              <w:rPr>
                <w:rFonts w:cs="Times New Roman"/>
                <w:color w:val="auto"/>
              </w:rPr>
            </w:pPr>
            <w:r>
              <w:rPr>
                <w:rFonts w:cs="Times New Roman"/>
                <w:color w:val="auto"/>
              </w:rPr>
              <w:t>根据本项目的污染物排放</w:t>
            </w:r>
            <w:r>
              <w:rPr>
                <w:rFonts w:hint="eastAsia" w:cs="Times New Roman"/>
                <w:color w:val="auto"/>
                <w:lang w:val="en-US" w:eastAsia="zh-CN"/>
              </w:rPr>
              <w:t>情况</w:t>
            </w:r>
            <w:r>
              <w:rPr>
                <w:rFonts w:cs="Times New Roman"/>
                <w:color w:val="auto"/>
              </w:rPr>
              <w:t>，建议本项目的总量控制指标按以下执行：</w:t>
            </w:r>
          </w:p>
          <w:p w14:paraId="1950D8A5">
            <w:pPr>
              <w:spacing w:line="360" w:lineRule="auto"/>
              <w:ind w:firstLine="420" w:firstLineChars="200"/>
              <w:rPr>
                <w:color w:val="auto"/>
                <w:szCs w:val="21"/>
              </w:rPr>
            </w:pPr>
            <w:r>
              <w:rPr>
                <w:color w:val="auto"/>
                <w:szCs w:val="21"/>
              </w:rPr>
              <w:t>（1）水污染排放总量控制指标</w:t>
            </w:r>
          </w:p>
          <w:p w14:paraId="78D7E8DF">
            <w:pPr>
              <w:pStyle w:val="97"/>
              <w:adjustRightInd w:val="0"/>
              <w:snapToGrid w:val="0"/>
              <w:ind w:firstLine="420"/>
              <w:rPr>
                <w:color w:val="auto"/>
                <w:sz w:val="21"/>
                <w:szCs w:val="21"/>
              </w:rPr>
            </w:pPr>
            <w:r>
              <w:rPr>
                <w:color w:val="auto"/>
                <w:sz w:val="21"/>
                <w:szCs w:val="21"/>
              </w:rPr>
              <w:t>本项目</w:t>
            </w:r>
            <w:r>
              <w:rPr>
                <w:rFonts w:hint="eastAsia"/>
                <w:color w:val="auto"/>
                <w:sz w:val="21"/>
                <w:szCs w:val="21"/>
                <w:lang w:val="en-US" w:eastAsia="zh-CN"/>
              </w:rPr>
              <w:t>无废水排放，不分配水污染排放总量控制指标</w:t>
            </w:r>
            <w:r>
              <w:rPr>
                <w:color w:val="auto"/>
                <w:sz w:val="21"/>
                <w:szCs w:val="21"/>
              </w:rPr>
              <w:t>。</w:t>
            </w:r>
          </w:p>
          <w:p w14:paraId="64655A83">
            <w:pPr>
              <w:spacing w:line="360" w:lineRule="auto"/>
              <w:ind w:firstLine="420" w:firstLineChars="200"/>
              <w:rPr>
                <w:bCs/>
                <w:color w:val="auto"/>
                <w:szCs w:val="21"/>
              </w:rPr>
            </w:pPr>
            <w:r>
              <w:rPr>
                <w:color w:val="auto"/>
                <w:szCs w:val="21"/>
              </w:rPr>
              <w:t>（2）大气污染</w:t>
            </w:r>
            <w:r>
              <w:rPr>
                <w:bCs/>
                <w:color w:val="auto"/>
                <w:szCs w:val="21"/>
              </w:rPr>
              <w:t>物排放总量控制指标</w:t>
            </w:r>
          </w:p>
          <w:p w14:paraId="795107AD">
            <w:pPr>
              <w:spacing w:line="360" w:lineRule="auto"/>
              <w:ind w:firstLine="420" w:firstLineChars="200"/>
              <w:jc w:val="left"/>
              <w:rPr>
                <w:rFonts w:hint="default" w:eastAsia="宋体"/>
                <w:bCs/>
                <w:color w:val="auto"/>
                <w:szCs w:val="21"/>
                <w:lang w:val="en-US" w:eastAsia="zh-CN"/>
              </w:rPr>
            </w:pPr>
            <w:r>
              <w:rPr>
                <w:bCs/>
                <w:color w:val="auto"/>
                <w:szCs w:val="21"/>
              </w:rPr>
              <w:t>本项目大气污染物总量控制指标</w:t>
            </w:r>
            <w:r>
              <w:rPr>
                <w:rFonts w:hint="eastAsia"/>
                <w:bCs/>
                <w:color w:val="auto"/>
                <w:szCs w:val="21"/>
              </w:rPr>
              <w:t>为颗粒物</w:t>
            </w:r>
            <w:r>
              <w:rPr>
                <w:rFonts w:hint="eastAsia"/>
                <w:bCs/>
                <w:color w:val="auto"/>
                <w:szCs w:val="21"/>
                <w:lang w:val="en-US" w:eastAsia="zh-CN"/>
              </w:rPr>
              <w:t>0.1152t/a</w:t>
            </w:r>
            <w:r>
              <w:rPr>
                <w:rFonts w:hint="eastAsia"/>
                <w:bCs/>
                <w:color w:val="auto"/>
                <w:szCs w:val="21"/>
                <w:lang w:eastAsia="zh-CN"/>
              </w:rPr>
              <w:t>、</w:t>
            </w:r>
            <w:r>
              <w:rPr>
                <w:rFonts w:hint="eastAsia"/>
                <w:bCs/>
                <w:color w:val="auto"/>
                <w:szCs w:val="21"/>
                <w:lang w:val="en-US" w:eastAsia="zh-CN"/>
              </w:rPr>
              <w:t>二氧化硫0.0432t/a、氮氧化物0.487t/a</w:t>
            </w:r>
            <w:r>
              <w:rPr>
                <w:rFonts w:hint="eastAsia"/>
                <w:bCs/>
                <w:color w:val="auto"/>
                <w:szCs w:val="21"/>
              </w:rPr>
              <w:t>。</w:t>
            </w:r>
            <w:r>
              <w:rPr>
                <w:rFonts w:hint="eastAsia"/>
                <w:bCs/>
                <w:color w:val="auto"/>
                <w:szCs w:val="21"/>
                <w:lang w:val="en-US" w:eastAsia="zh-CN"/>
              </w:rPr>
              <w:t>根据废气源强核算，技改后项目氮氧化物排放总量减少0.209t/a，因此无需再申请分配氮氧化物总量指标。</w:t>
            </w:r>
          </w:p>
          <w:p w14:paraId="50DD6133">
            <w:pPr>
              <w:pStyle w:val="53"/>
              <w:spacing w:line="360" w:lineRule="auto"/>
              <w:ind w:left="0" w:firstLine="420" w:firstLineChars="200"/>
              <w:jc w:val="left"/>
              <w:rPr>
                <w:rFonts w:ascii="Times New Roman"/>
                <w:b w:val="0"/>
                <w:bCs w:val="0"/>
                <w:color w:val="auto"/>
                <w:sz w:val="21"/>
                <w:szCs w:val="24"/>
              </w:rPr>
            </w:pPr>
          </w:p>
          <w:p w14:paraId="173852AD">
            <w:pPr>
              <w:pStyle w:val="82"/>
              <w:adjustRightInd w:val="0"/>
              <w:snapToGrid w:val="0"/>
              <w:spacing w:before="0" w:beforeLines="0"/>
              <w:ind w:firstLine="420"/>
              <w:rPr>
                <w:rFonts w:cs="Times New Roman"/>
                <w:color w:val="auto"/>
                <w:kern w:val="0"/>
              </w:rPr>
            </w:pPr>
          </w:p>
        </w:tc>
      </w:tr>
    </w:tbl>
    <w:p w14:paraId="643F9CE7">
      <w:pPr>
        <w:pStyle w:val="31"/>
        <w:adjustRightInd w:val="0"/>
        <w:snapToGrid w:val="0"/>
        <w:jc w:val="center"/>
        <w:outlineLvl w:val="0"/>
        <w:rPr>
          <w:rFonts w:ascii="Times New Roman" w:hAnsi="Times New Roman" w:eastAsia="黑体" w:cs="Times New Roman"/>
          <w:snapToGrid w:val="0"/>
          <w:color w:val="auto"/>
          <w:sz w:val="30"/>
          <w:szCs w:val="30"/>
        </w:rPr>
      </w:pPr>
      <w:r>
        <w:rPr>
          <w:rFonts w:ascii="Times New Roman" w:hAnsi="Times New Roman" w:eastAsia="黑体" w:cs="Times New Roman"/>
          <w:snapToGrid w:val="0"/>
          <w:color w:val="auto"/>
          <w:sz w:val="36"/>
          <w:szCs w:val="36"/>
        </w:rPr>
        <w:br w:type="page"/>
      </w:r>
      <w:bookmarkStart w:id="17" w:name="_Toc25437_WPSOffice_Level1"/>
      <w:bookmarkStart w:id="18" w:name="_Toc21379_WPSOffice_Level1"/>
      <w:bookmarkStart w:id="19" w:name="_Toc15615_WPSOffice_Level1"/>
      <w:bookmarkStart w:id="20" w:name="_Toc17465"/>
      <w:bookmarkStart w:id="21" w:name="_Toc2308"/>
      <w:bookmarkStart w:id="22" w:name="_Toc20226"/>
      <w:bookmarkStart w:id="23" w:name="_Toc22082_WPSOffice_Level1"/>
      <w:r>
        <w:rPr>
          <w:rFonts w:ascii="Times New Roman" w:hAnsi="Times New Roman" w:eastAsia="黑体" w:cs="Times New Roman"/>
          <w:snapToGrid w:val="0"/>
          <w:color w:val="auto"/>
          <w:sz w:val="30"/>
          <w:szCs w:val="30"/>
        </w:rPr>
        <w:t>四、主要环境影响和保护措施</w:t>
      </w:r>
      <w:bookmarkEnd w:id="17"/>
      <w:bookmarkEnd w:id="18"/>
      <w:bookmarkEnd w:id="19"/>
      <w:bookmarkEnd w:id="20"/>
      <w:bookmarkEnd w:id="21"/>
      <w:bookmarkEnd w:id="22"/>
      <w:bookmarkEnd w:id="23"/>
    </w:p>
    <w:tbl>
      <w:tblPr>
        <w:tblStyle w:val="35"/>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57"/>
        <w:gridCol w:w="8224"/>
      </w:tblGrid>
      <w:tr w14:paraId="283B9C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60" w:hRule="atLeast"/>
          <w:jc w:val="center"/>
        </w:trPr>
        <w:tc>
          <w:tcPr>
            <w:tcW w:w="757" w:type="dxa"/>
            <w:tcMar>
              <w:left w:w="28" w:type="dxa"/>
              <w:right w:w="28" w:type="dxa"/>
            </w:tcMar>
            <w:vAlign w:val="center"/>
          </w:tcPr>
          <w:p w14:paraId="1F1A7970">
            <w:pPr>
              <w:pStyle w:val="31"/>
              <w:adjustRightInd w:val="0"/>
              <w:snapToGrid w:val="0"/>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施工</w:t>
            </w:r>
          </w:p>
          <w:p w14:paraId="522F66F7">
            <w:pPr>
              <w:pStyle w:val="31"/>
              <w:adjustRightInd w:val="0"/>
              <w:snapToGrid w:val="0"/>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期环</w:t>
            </w:r>
          </w:p>
          <w:p w14:paraId="2828B402">
            <w:pPr>
              <w:pStyle w:val="31"/>
              <w:adjustRightInd w:val="0"/>
              <w:snapToGrid w:val="0"/>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境保</w:t>
            </w:r>
          </w:p>
          <w:p w14:paraId="6998F6B5">
            <w:pPr>
              <w:pStyle w:val="31"/>
              <w:adjustRightInd w:val="0"/>
              <w:snapToGrid w:val="0"/>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护措</w:t>
            </w:r>
          </w:p>
          <w:p w14:paraId="272C5208">
            <w:pPr>
              <w:pStyle w:val="31"/>
              <w:adjustRightInd w:val="0"/>
              <w:snapToGrid w:val="0"/>
              <w:spacing w:before="0" w:beforeAutospacing="0" w:after="0" w:afterAutospacing="0"/>
              <w:jc w:val="center"/>
              <w:rPr>
                <w:rFonts w:ascii="Times New Roman" w:hAnsi="Times New Roman" w:cs="Times New Roman"/>
                <w:bCs/>
                <w:color w:val="auto"/>
                <w:sz w:val="21"/>
                <w:szCs w:val="21"/>
              </w:rPr>
            </w:pPr>
            <w:r>
              <w:rPr>
                <w:rFonts w:ascii="Times New Roman" w:hAnsi="Times New Roman" w:eastAsia="宋体" w:cs="Times New Roman"/>
                <w:color w:val="auto"/>
                <w:sz w:val="21"/>
                <w:szCs w:val="21"/>
              </w:rPr>
              <w:t>施</w:t>
            </w:r>
          </w:p>
        </w:tc>
        <w:tc>
          <w:tcPr>
            <w:tcW w:w="8224" w:type="dxa"/>
          </w:tcPr>
          <w:p w14:paraId="7445C308">
            <w:pPr>
              <w:pStyle w:val="19"/>
              <w:spacing w:line="360" w:lineRule="auto"/>
              <w:ind w:firstLine="420" w:firstLineChars="200"/>
              <w:rPr>
                <w:rFonts w:hint="default" w:ascii="Times New Roman" w:hAnsi="Times New Roman"/>
                <w:color w:val="auto"/>
                <w:sz w:val="21"/>
                <w:szCs w:val="21"/>
                <w:lang w:bidi="ar"/>
              </w:rPr>
            </w:pPr>
          </w:p>
          <w:p w14:paraId="20B8A9EC">
            <w:pPr>
              <w:spacing w:line="360" w:lineRule="auto"/>
              <w:rPr>
                <w:rFonts w:hint="eastAsia"/>
                <w:color w:val="auto"/>
                <w:szCs w:val="21"/>
                <w:lang w:bidi="ar"/>
              </w:rPr>
            </w:pPr>
            <w:r>
              <w:rPr>
                <w:rFonts w:hint="eastAsia"/>
                <w:color w:val="auto"/>
                <w:szCs w:val="21"/>
                <w:lang w:bidi="ar"/>
              </w:rPr>
              <w:t xml:space="preserve">    </w:t>
            </w:r>
          </w:p>
          <w:p w14:paraId="363CD478">
            <w:pPr>
              <w:spacing w:line="360" w:lineRule="auto"/>
              <w:rPr>
                <w:rFonts w:hint="eastAsia"/>
                <w:color w:val="auto"/>
                <w:szCs w:val="21"/>
                <w:lang w:bidi="ar"/>
              </w:rPr>
            </w:pPr>
          </w:p>
          <w:p w14:paraId="253CC404">
            <w:pPr>
              <w:spacing w:line="360" w:lineRule="auto"/>
              <w:rPr>
                <w:rFonts w:hint="eastAsia"/>
                <w:color w:val="auto"/>
                <w:szCs w:val="21"/>
                <w:lang w:bidi="ar"/>
              </w:rPr>
            </w:pPr>
          </w:p>
          <w:p w14:paraId="2B421532">
            <w:pPr>
              <w:spacing w:line="360" w:lineRule="auto"/>
              <w:rPr>
                <w:rFonts w:hint="eastAsia"/>
                <w:color w:val="auto"/>
                <w:szCs w:val="21"/>
                <w:lang w:bidi="ar"/>
              </w:rPr>
            </w:pPr>
          </w:p>
          <w:p w14:paraId="574F281B">
            <w:pPr>
              <w:spacing w:line="360" w:lineRule="auto"/>
              <w:rPr>
                <w:rFonts w:hint="eastAsia"/>
                <w:color w:val="auto"/>
                <w:szCs w:val="21"/>
                <w:lang w:bidi="ar"/>
              </w:rPr>
            </w:pPr>
          </w:p>
          <w:p w14:paraId="7CCE7A9A">
            <w:pPr>
              <w:spacing w:line="360" w:lineRule="auto"/>
              <w:rPr>
                <w:rFonts w:hint="eastAsia"/>
                <w:color w:val="auto"/>
                <w:szCs w:val="21"/>
                <w:lang w:bidi="ar"/>
              </w:rPr>
            </w:pPr>
          </w:p>
          <w:p w14:paraId="542FE1F6">
            <w:pPr>
              <w:spacing w:line="360" w:lineRule="auto"/>
              <w:rPr>
                <w:rFonts w:hint="eastAsia"/>
                <w:color w:val="auto"/>
                <w:szCs w:val="21"/>
                <w:lang w:bidi="ar"/>
              </w:rPr>
            </w:pPr>
          </w:p>
          <w:p w14:paraId="6DDE4B82">
            <w:pPr>
              <w:spacing w:line="360" w:lineRule="auto"/>
              <w:rPr>
                <w:rFonts w:hint="eastAsia"/>
                <w:color w:val="auto"/>
                <w:szCs w:val="21"/>
                <w:lang w:bidi="ar"/>
              </w:rPr>
            </w:pPr>
          </w:p>
          <w:p w14:paraId="38949080">
            <w:pPr>
              <w:spacing w:line="360" w:lineRule="auto"/>
              <w:rPr>
                <w:rFonts w:hint="eastAsia"/>
                <w:color w:val="auto"/>
                <w:szCs w:val="21"/>
                <w:lang w:bidi="ar"/>
              </w:rPr>
            </w:pPr>
          </w:p>
          <w:p w14:paraId="0612B972">
            <w:pPr>
              <w:spacing w:line="360" w:lineRule="auto"/>
              <w:rPr>
                <w:rFonts w:hint="eastAsia"/>
                <w:color w:val="auto"/>
                <w:szCs w:val="21"/>
                <w:lang w:bidi="ar"/>
              </w:rPr>
            </w:pPr>
          </w:p>
          <w:p w14:paraId="691C7331">
            <w:pPr>
              <w:spacing w:line="360" w:lineRule="auto"/>
              <w:rPr>
                <w:rFonts w:hint="eastAsia"/>
                <w:color w:val="auto"/>
                <w:szCs w:val="21"/>
                <w:lang w:bidi="ar"/>
              </w:rPr>
            </w:pPr>
          </w:p>
          <w:p w14:paraId="59778E33">
            <w:pPr>
              <w:spacing w:line="360" w:lineRule="auto"/>
              <w:ind w:firstLine="420" w:firstLineChars="200"/>
              <w:rPr>
                <w:color w:val="auto"/>
              </w:rPr>
            </w:pPr>
            <w:r>
              <w:rPr>
                <w:rFonts w:hint="eastAsia" w:cs="华文楷体"/>
                <w:bCs/>
                <w:color w:val="auto"/>
                <w:szCs w:val="21"/>
                <w:lang w:val="en-US" w:eastAsia="zh-CN"/>
              </w:rPr>
              <w:t>本项目施工期主要涉及生产设备安装与调试，无土木工程建设，且施工期很短，主要影响表现在设备安装时的噪声对周围环境的影响，以及在此过程中产生的固废对周围环境的影响。生产设备安装应在白天进行，并避开休息时间，噪声可经厂房墙体隔声和自然衰减；施工过程对产生的废包装等固体废物及时清运。采取上述措施，施工期对周围环境影响较小</w:t>
            </w:r>
            <w:r>
              <w:rPr>
                <w:rFonts w:hint="eastAsia" w:cs="华文楷体"/>
                <w:bCs/>
                <w:color w:val="auto"/>
                <w:szCs w:val="21"/>
              </w:rPr>
              <w:t>。</w:t>
            </w:r>
          </w:p>
          <w:p w14:paraId="4DB390DF">
            <w:pPr>
              <w:widowControl/>
              <w:adjustRightInd w:val="0"/>
              <w:snapToGrid w:val="0"/>
              <w:spacing w:line="360" w:lineRule="auto"/>
              <w:ind w:firstLine="420" w:firstLineChars="200"/>
              <w:jc w:val="left"/>
              <w:rPr>
                <w:color w:val="auto"/>
              </w:rPr>
            </w:pPr>
          </w:p>
        </w:tc>
      </w:tr>
    </w:tbl>
    <w:p w14:paraId="33ADAC98">
      <w:pPr>
        <w:adjustRightInd w:val="0"/>
        <w:snapToGrid w:val="0"/>
        <w:jc w:val="center"/>
        <w:rPr>
          <w:bCs/>
          <w:color w:val="auto"/>
          <w:szCs w:val="21"/>
        </w:rPr>
        <w:sectPr>
          <w:pgSz w:w="11907" w:h="16840"/>
          <w:pgMar w:top="1701" w:right="1531" w:bottom="2127" w:left="1531" w:header="851" w:footer="851" w:gutter="0"/>
          <w:cols w:space="720" w:num="1"/>
          <w:docGrid w:linePitch="312" w:charSpace="0"/>
        </w:sectPr>
      </w:pPr>
    </w:p>
    <w:tbl>
      <w:tblPr>
        <w:tblStyle w:val="35"/>
        <w:tblW w:w="896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235"/>
      </w:tblGrid>
      <w:tr w14:paraId="1EBA21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27" w:hRule="atLeast"/>
        </w:trPr>
        <w:tc>
          <w:tcPr>
            <w:tcW w:w="726" w:type="dxa"/>
            <w:tcMar>
              <w:left w:w="28" w:type="dxa"/>
              <w:right w:w="28" w:type="dxa"/>
            </w:tcMar>
            <w:vAlign w:val="center"/>
          </w:tcPr>
          <w:p w14:paraId="48D9064D">
            <w:pPr>
              <w:adjustRightInd w:val="0"/>
              <w:snapToGrid w:val="0"/>
              <w:jc w:val="center"/>
              <w:rPr>
                <w:bCs/>
                <w:color w:val="auto"/>
                <w:szCs w:val="21"/>
              </w:rPr>
            </w:pPr>
            <w:r>
              <w:rPr>
                <w:bCs/>
                <w:color w:val="auto"/>
                <w:szCs w:val="21"/>
              </w:rPr>
              <w:t>运营</w:t>
            </w:r>
          </w:p>
          <w:p w14:paraId="0D44A4DF">
            <w:pPr>
              <w:adjustRightInd w:val="0"/>
              <w:snapToGrid w:val="0"/>
              <w:jc w:val="center"/>
              <w:rPr>
                <w:bCs/>
                <w:color w:val="auto"/>
                <w:szCs w:val="21"/>
              </w:rPr>
            </w:pPr>
            <w:r>
              <w:rPr>
                <w:bCs/>
                <w:color w:val="auto"/>
                <w:szCs w:val="21"/>
              </w:rPr>
              <w:t>期环</w:t>
            </w:r>
          </w:p>
          <w:p w14:paraId="750BF87F">
            <w:pPr>
              <w:adjustRightInd w:val="0"/>
              <w:snapToGrid w:val="0"/>
              <w:jc w:val="center"/>
              <w:rPr>
                <w:bCs/>
                <w:color w:val="auto"/>
                <w:szCs w:val="21"/>
              </w:rPr>
            </w:pPr>
            <w:r>
              <w:rPr>
                <w:bCs/>
                <w:color w:val="auto"/>
                <w:szCs w:val="21"/>
              </w:rPr>
              <w:t>境影</w:t>
            </w:r>
          </w:p>
          <w:p w14:paraId="14D44167">
            <w:pPr>
              <w:adjustRightInd w:val="0"/>
              <w:snapToGrid w:val="0"/>
              <w:jc w:val="center"/>
              <w:rPr>
                <w:bCs/>
                <w:color w:val="auto"/>
                <w:szCs w:val="21"/>
              </w:rPr>
            </w:pPr>
            <w:r>
              <w:rPr>
                <w:bCs/>
                <w:color w:val="auto"/>
                <w:szCs w:val="21"/>
              </w:rPr>
              <w:t>响和</w:t>
            </w:r>
          </w:p>
          <w:p w14:paraId="7D7D9D14">
            <w:pPr>
              <w:adjustRightInd w:val="0"/>
              <w:snapToGrid w:val="0"/>
              <w:jc w:val="center"/>
              <w:rPr>
                <w:bCs/>
                <w:color w:val="auto"/>
                <w:szCs w:val="21"/>
              </w:rPr>
            </w:pPr>
            <w:r>
              <w:rPr>
                <w:bCs/>
                <w:color w:val="auto"/>
                <w:szCs w:val="21"/>
              </w:rPr>
              <w:t>保护</w:t>
            </w:r>
          </w:p>
          <w:p w14:paraId="00D1C83D">
            <w:pPr>
              <w:adjustRightInd w:val="0"/>
              <w:snapToGrid w:val="0"/>
              <w:jc w:val="center"/>
              <w:rPr>
                <w:bCs/>
                <w:color w:val="auto"/>
                <w:szCs w:val="21"/>
              </w:rPr>
            </w:pPr>
            <w:r>
              <w:rPr>
                <w:bCs/>
                <w:color w:val="auto"/>
                <w:szCs w:val="21"/>
              </w:rPr>
              <w:t>措施</w:t>
            </w:r>
          </w:p>
        </w:tc>
        <w:tc>
          <w:tcPr>
            <w:tcW w:w="8235" w:type="dxa"/>
          </w:tcPr>
          <w:p w14:paraId="05B7287C">
            <w:pPr>
              <w:pStyle w:val="84"/>
              <w:keepNext w:val="0"/>
              <w:keepLines w:val="0"/>
              <w:pageBreakBefore w:val="0"/>
              <w:widowControl w:val="0"/>
              <w:kinsoku/>
              <w:wordWrap/>
              <w:overflowPunct/>
              <w:topLinePunct w:val="0"/>
              <w:autoSpaceDE/>
              <w:autoSpaceDN/>
              <w:bidi w:val="0"/>
              <w:adjustRightInd w:val="0"/>
              <w:snapToGrid w:val="0"/>
              <w:spacing w:before="157" w:beforeLines="50"/>
              <w:ind w:left="0" w:leftChars="0" w:firstLine="422" w:firstLineChars="200"/>
              <w:textAlignment w:val="auto"/>
              <w:rPr>
                <w:rFonts w:ascii="Times New Roman" w:hAnsi="Times New Roman"/>
                <w:b/>
                <w:bCs/>
                <w:color w:val="auto"/>
                <w:sz w:val="21"/>
                <w:szCs w:val="21"/>
              </w:rPr>
            </w:pPr>
            <w:r>
              <w:rPr>
                <w:rFonts w:ascii="Times New Roman" w:hAnsi="Times New Roman"/>
                <w:b/>
                <w:bCs/>
                <w:color w:val="auto"/>
                <w:sz w:val="21"/>
                <w:szCs w:val="21"/>
              </w:rPr>
              <w:t>一、废气</w:t>
            </w:r>
          </w:p>
          <w:p w14:paraId="390990C4">
            <w:pPr>
              <w:adjustRightInd w:val="0"/>
              <w:snapToGrid w:val="0"/>
              <w:spacing w:line="360" w:lineRule="auto"/>
              <w:ind w:firstLine="382" w:firstLineChars="200"/>
              <w:rPr>
                <w:rFonts w:cs="宋体"/>
                <w:b/>
                <w:color w:val="auto"/>
                <w:spacing w:val="-10"/>
                <w:szCs w:val="21"/>
              </w:rPr>
            </w:pPr>
            <w:r>
              <w:rPr>
                <w:rFonts w:hint="eastAsia" w:cs="宋体"/>
                <w:b/>
                <w:color w:val="auto"/>
                <w:spacing w:val="-10"/>
                <w:szCs w:val="21"/>
              </w:rPr>
              <w:t>1、</w:t>
            </w:r>
            <w:r>
              <w:rPr>
                <w:rFonts w:hint="eastAsia" w:cs="华文楷体"/>
                <w:b/>
                <w:color w:val="auto"/>
                <w:szCs w:val="21"/>
              </w:rPr>
              <w:t>废气产排情况</w:t>
            </w:r>
          </w:p>
          <w:p w14:paraId="7C048CAE">
            <w:pPr>
              <w:pStyle w:val="150"/>
              <w:tabs>
                <w:tab w:val="left" w:pos="845"/>
              </w:tabs>
              <w:adjustRightInd w:val="0"/>
              <w:spacing w:line="348" w:lineRule="auto"/>
              <w:ind w:left="0" w:leftChars="0" w:firstLine="420" w:firstLineChars="200"/>
              <w:textAlignment w:val="baseline"/>
              <w:rPr>
                <w:rFonts w:hint="default"/>
                <w:color w:val="auto"/>
                <w:sz w:val="21"/>
                <w:szCs w:val="21"/>
                <w:lang w:val="en-US" w:eastAsia="zh-CN"/>
              </w:rPr>
            </w:pPr>
            <w:r>
              <w:rPr>
                <w:rFonts w:hint="eastAsia" w:cs="Times New Roman"/>
                <w:b w:val="0"/>
                <w:bCs w:val="0"/>
                <w:color w:val="auto"/>
                <w:sz w:val="21"/>
                <w:lang w:val="en-US" w:eastAsia="zh-CN"/>
              </w:rPr>
              <w:t>本项目废气主要为锅炉废气，</w:t>
            </w:r>
            <w:r>
              <w:rPr>
                <w:rFonts w:hint="eastAsia"/>
                <w:color w:val="auto"/>
                <w:sz w:val="21"/>
                <w:szCs w:val="21"/>
              </w:rPr>
              <w:t>主要污染物包括</w:t>
            </w:r>
            <w:r>
              <w:rPr>
                <w:rFonts w:hint="eastAsia"/>
                <w:color w:val="auto"/>
                <w:sz w:val="21"/>
                <w:szCs w:val="21"/>
                <w:lang w:val="en-US" w:eastAsia="zh-CN"/>
              </w:rPr>
              <w:t>颗粒物</w:t>
            </w:r>
            <w:r>
              <w:rPr>
                <w:rFonts w:hint="eastAsia"/>
                <w:color w:val="auto"/>
                <w:sz w:val="21"/>
                <w:szCs w:val="21"/>
              </w:rPr>
              <w:t>、</w:t>
            </w:r>
            <w:r>
              <w:rPr>
                <w:color w:val="auto"/>
                <w:sz w:val="21"/>
                <w:szCs w:val="21"/>
              </w:rPr>
              <w:t>SO</w:t>
            </w:r>
            <w:r>
              <w:rPr>
                <w:color w:val="auto"/>
                <w:sz w:val="21"/>
                <w:szCs w:val="21"/>
                <w:vertAlign w:val="subscript"/>
              </w:rPr>
              <w:t>2</w:t>
            </w:r>
            <w:r>
              <w:rPr>
                <w:rFonts w:hint="eastAsia"/>
                <w:color w:val="auto"/>
                <w:sz w:val="21"/>
                <w:szCs w:val="21"/>
              </w:rPr>
              <w:t>、</w:t>
            </w:r>
            <w:r>
              <w:rPr>
                <w:color w:val="auto"/>
                <w:sz w:val="21"/>
                <w:szCs w:val="21"/>
              </w:rPr>
              <w:t>NO</w:t>
            </w:r>
            <w:r>
              <w:rPr>
                <w:color w:val="auto"/>
                <w:sz w:val="21"/>
                <w:szCs w:val="21"/>
                <w:vertAlign w:val="subscript"/>
              </w:rPr>
              <w:t>X</w:t>
            </w:r>
            <w:r>
              <w:rPr>
                <w:rFonts w:hint="eastAsia"/>
                <w:color w:val="auto"/>
                <w:sz w:val="21"/>
                <w:szCs w:val="21"/>
              </w:rPr>
              <w:t>、</w:t>
            </w:r>
            <w:r>
              <w:rPr>
                <w:rFonts w:hint="eastAsia"/>
                <w:color w:val="auto"/>
                <w:sz w:val="21"/>
                <w:szCs w:val="21"/>
                <w:lang w:val="en-US" w:eastAsia="zh-CN"/>
              </w:rPr>
              <w:t>一氧化碳</w:t>
            </w:r>
            <w:r>
              <w:rPr>
                <w:rFonts w:hint="eastAsia"/>
                <w:color w:val="auto"/>
                <w:sz w:val="21"/>
                <w:szCs w:val="21"/>
              </w:rPr>
              <w:t>等</w:t>
            </w:r>
            <w:r>
              <w:rPr>
                <w:rFonts w:hint="eastAsia"/>
                <w:color w:val="auto"/>
                <w:sz w:val="21"/>
                <w:szCs w:val="21"/>
                <w:lang w:eastAsia="zh-CN"/>
              </w:rPr>
              <w:t>。</w:t>
            </w:r>
            <w:r>
              <w:rPr>
                <w:rFonts w:hint="eastAsia"/>
                <w:color w:val="auto"/>
                <w:sz w:val="21"/>
                <w:szCs w:val="21"/>
                <w:lang w:val="en-US" w:eastAsia="zh-CN"/>
              </w:rPr>
              <w:t>技改前锅炉燃料为1200t/a，技改后燃料消耗量不变，则锅炉废气年产生量不变。根据现有工程锅炉废气排放量，锅炉烟气量为1461.6万m</w:t>
            </w:r>
            <w:r>
              <w:rPr>
                <w:rFonts w:hint="eastAsia"/>
                <w:color w:val="auto"/>
                <w:sz w:val="21"/>
                <w:szCs w:val="21"/>
                <w:vertAlign w:val="superscript"/>
                <w:lang w:val="en-US" w:eastAsia="zh-CN"/>
              </w:rPr>
              <w:t>3</w:t>
            </w:r>
            <w:r>
              <w:rPr>
                <w:rFonts w:hint="eastAsia"/>
                <w:color w:val="auto"/>
                <w:sz w:val="21"/>
                <w:szCs w:val="21"/>
                <w:lang w:val="en-US" w:eastAsia="zh-CN"/>
              </w:rPr>
              <w:t>/a，颗粒物排放量为0.1152t/a、二氧化硫排放量为0.0432t/a、氮氧化物排放量为0.696t/a、一氧化碳排放量为0.888t/a，现有项目锅炉废气治理设施为</w:t>
            </w:r>
            <w:r>
              <w:rPr>
                <w:rFonts w:hint="eastAsia" w:ascii="Times New Roman" w:hAnsi="Times New Roman" w:cs="Times New Roman"/>
                <w:color w:val="auto"/>
                <w:szCs w:val="21"/>
                <w:lang w:val="en-US" w:eastAsia="zh-CN"/>
              </w:rPr>
              <w:t>“</w:t>
            </w:r>
            <w:r>
              <w:rPr>
                <w:rFonts w:hint="eastAsia"/>
                <w:b w:val="0"/>
                <w:bCs w:val="0"/>
                <w:color w:val="auto"/>
                <w:lang w:val="en-US" w:eastAsia="zh-CN"/>
              </w:rPr>
              <w:t>旋风除尘+水膜除尘+静电除尘</w:t>
            </w:r>
            <w:r>
              <w:rPr>
                <w:rFonts w:hint="eastAsia" w:ascii="Times New Roman" w:hAnsi="Times New Roman" w:cs="Times New Roman"/>
                <w:color w:val="auto"/>
                <w:szCs w:val="21"/>
                <w:lang w:val="en-US" w:eastAsia="zh-CN"/>
              </w:rPr>
              <w:t>”参考《排放源统计调查产排污核算方法和系数手册》（公告2021年第24号）4430 工业锅炉（热力生产和供应行业）产污系数表，</w:t>
            </w:r>
            <w:r>
              <w:rPr>
                <w:rFonts w:hint="eastAsia" w:cs="Times New Roman"/>
                <w:color w:val="auto"/>
                <w:szCs w:val="21"/>
                <w:lang w:val="en-US" w:eastAsia="zh-CN"/>
              </w:rPr>
              <w:t>旋风除尘处理效率为60%、</w:t>
            </w:r>
            <w:r>
              <w:rPr>
                <w:rFonts w:hint="eastAsia"/>
                <w:b w:val="0"/>
                <w:bCs w:val="0"/>
                <w:color w:val="auto"/>
                <w:lang w:val="en-US" w:eastAsia="zh-CN"/>
              </w:rPr>
              <w:t>水膜除尘</w:t>
            </w:r>
            <w:r>
              <w:rPr>
                <w:rFonts w:hint="eastAsia" w:cs="Times New Roman"/>
                <w:color w:val="auto"/>
                <w:szCs w:val="21"/>
                <w:lang w:val="en-US" w:eastAsia="zh-CN"/>
              </w:rPr>
              <w:t>处理效率为87%、静电除尘处理效率为97%，本项目</w:t>
            </w:r>
            <w:r>
              <w:rPr>
                <w:rFonts w:hint="eastAsia"/>
                <w:color w:val="auto"/>
                <w:szCs w:val="21"/>
                <w:lang w:val="en-US" w:eastAsia="zh-CN"/>
              </w:rPr>
              <w:t>除尘效率保守按95%，则可以反推颗粒物产生量为2.304t/a，二氧化硫、氮氧化物、一氧化碳无治理措施，排放量即为产生量。</w:t>
            </w:r>
          </w:p>
          <w:p w14:paraId="4729E3A7">
            <w:pPr>
              <w:pStyle w:val="150"/>
              <w:tabs>
                <w:tab w:val="left" w:pos="845"/>
              </w:tabs>
              <w:adjustRightInd w:val="0"/>
              <w:spacing w:line="348" w:lineRule="auto"/>
              <w:ind w:left="0" w:leftChars="0" w:firstLine="420" w:firstLineChars="200"/>
              <w:textAlignment w:val="baseline"/>
              <w:rPr>
                <w:rFonts w:hint="default" w:eastAsia="宋体"/>
                <w:color w:val="auto"/>
                <w:szCs w:val="21"/>
                <w:lang w:val="en-US" w:eastAsia="zh-CN"/>
              </w:rPr>
            </w:pPr>
            <w:r>
              <w:rPr>
                <w:rFonts w:hint="eastAsia" w:cs="Times New Roman"/>
                <w:color w:val="auto"/>
                <w:szCs w:val="21"/>
                <w:lang w:val="en-US" w:eastAsia="zh-CN"/>
              </w:rPr>
              <w:t>技改后，</w:t>
            </w:r>
            <w:r>
              <w:rPr>
                <w:rFonts w:hint="eastAsia" w:ascii="Times New Roman" w:hAnsi="Times New Roman" w:cs="Times New Roman"/>
                <w:color w:val="auto"/>
                <w:szCs w:val="21"/>
                <w:lang w:val="en-US" w:eastAsia="zh-CN"/>
              </w:rPr>
              <w:t>锅炉废气经“</w:t>
            </w:r>
            <w:r>
              <w:rPr>
                <w:rFonts w:hint="eastAsia" w:cs="Times New Roman"/>
                <w:color w:val="auto"/>
                <w:szCs w:val="21"/>
                <w:lang w:val="en-US" w:eastAsia="zh-CN"/>
              </w:rPr>
              <w:t>低氮燃烧+</w:t>
            </w:r>
            <w:r>
              <w:rPr>
                <w:rFonts w:hint="eastAsia"/>
                <w:b w:val="0"/>
                <w:bCs w:val="0"/>
                <w:color w:val="auto"/>
                <w:lang w:val="en-US" w:eastAsia="zh-CN"/>
              </w:rPr>
              <w:t>旋风除尘+水膜除尘+静电除尘</w:t>
            </w:r>
            <w:r>
              <w:rPr>
                <w:rFonts w:hint="eastAsia" w:ascii="Times New Roman" w:hAnsi="Times New Roman" w:cs="Times New Roman"/>
                <w:color w:val="auto"/>
                <w:szCs w:val="21"/>
                <w:lang w:val="en-US" w:eastAsia="zh-CN"/>
              </w:rPr>
              <w:t>”处理后经30m高烟囱排放。参考《排放源统计调查产排污核算方法和系数手册》（公告2021年第24号）4430 工业锅炉（热力生产和供应行业）产污系数表，低氮燃烧技术氮氧化物去除效率为 30%</w:t>
            </w:r>
            <w:r>
              <w:rPr>
                <w:rFonts w:hint="eastAsia"/>
                <w:color w:val="auto"/>
                <w:szCs w:val="21"/>
                <w:lang w:val="en-US" w:eastAsia="zh-CN"/>
              </w:rPr>
              <w:t>，则本项目锅炉废气排放情况见下表：</w:t>
            </w:r>
          </w:p>
          <w:p w14:paraId="4DC34913">
            <w:pPr>
              <w:pStyle w:val="150"/>
              <w:tabs>
                <w:tab w:val="left" w:pos="845"/>
              </w:tabs>
              <w:adjustRightInd w:val="0"/>
              <w:spacing w:line="348" w:lineRule="auto"/>
              <w:ind w:left="0" w:leftChars="0" w:firstLine="0" w:firstLineChars="0"/>
              <w:jc w:val="center"/>
              <w:textAlignment w:val="baseline"/>
              <w:rPr>
                <w:rFonts w:hint="eastAsia"/>
                <w:b/>
                <w:bCs/>
                <w:color w:val="auto"/>
                <w:szCs w:val="21"/>
                <w:lang w:val="en-US" w:eastAsia="zh-CN"/>
              </w:rPr>
            </w:pPr>
            <w:r>
              <w:rPr>
                <w:rFonts w:hint="eastAsia"/>
                <w:b/>
                <w:bCs/>
                <w:color w:val="auto"/>
                <w:szCs w:val="21"/>
                <w:lang w:val="en-US" w:eastAsia="zh-CN"/>
              </w:rPr>
              <w:t>表4-1 技改后锅炉废气产排情况表</w:t>
            </w:r>
          </w:p>
          <w:tbl>
            <w:tblPr>
              <w:tblStyle w:val="35"/>
              <w:tblW w:w="49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1"/>
              <w:gridCol w:w="1248"/>
              <w:gridCol w:w="1293"/>
              <w:gridCol w:w="1457"/>
              <w:gridCol w:w="1503"/>
            </w:tblGrid>
            <w:tr w14:paraId="4290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41" w:type="pct"/>
                  <w:noWrap w:val="0"/>
                  <w:vAlign w:val="center"/>
                </w:tcPr>
                <w:p w14:paraId="663AEBFA">
                  <w:pPr>
                    <w:pStyle w:val="22"/>
                    <w:adjustRightInd w:val="0"/>
                    <w:snapToGrid w:val="0"/>
                    <w:spacing w:after="0" w:line="240" w:lineRule="auto"/>
                    <w:ind w:left="0" w:leftChars="0" w:firstLine="0" w:firstLineChars="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污染物</w:t>
                  </w:r>
                </w:p>
              </w:tc>
              <w:tc>
                <w:tcPr>
                  <w:tcW w:w="784" w:type="pct"/>
                  <w:noWrap w:val="0"/>
                  <w:vAlign w:val="center"/>
                </w:tcPr>
                <w:p w14:paraId="432FDD45">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二氧化硫</w:t>
                  </w:r>
                </w:p>
              </w:tc>
              <w:tc>
                <w:tcPr>
                  <w:tcW w:w="813" w:type="pct"/>
                  <w:noWrap w:val="0"/>
                  <w:vAlign w:val="center"/>
                </w:tcPr>
                <w:p w14:paraId="115C652E">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颗粒物</w:t>
                  </w:r>
                </w:p>
              </w:tc>
              <w:tc>
                <w:tcPr>
                  <w:tcW w:w="916" w:type="pct"/>
                  <w:noWrap w:val="0"/>
                  <w:vAlign w:val="center"/>
                </w:tcPr>
                <w:p w14:paraId="10D176CD">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氮氧化物</w:t>
                  </w:r>
                </w:p>
              </w:tc>
              <w:tc>
                <w:tcPr>
                  <w:tcW w:w="945" w:type="pct"/>
                  <w:noWrap w:val="0"/>
                  <w:vAlign w:val="center"/>
                </w:tcPr>
                <w:p w14:paraId="5909F5A9">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一氧化碳</w:t>
                  </w:r>
                </w:p>
              </w:tc>
            </w:tr>
            <w:tr w14:paraId="5EF3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41" w:type="pct"/>
                  <w:noWrap w:val="0"/>
                  <w:vAlign w:val="center"/>
                </w:tcPr>
                <w:p w14:paraId="1CBF9E21">
                  <w:pPr>
                    <w:pStyle w:val="22"/>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产生量（t/a）</w:t>
                  </w:r>
                </w:p>
              </w:tc>
              <w:tc>
                <w:tcPr>
                  <w:tcW w:w="1248" w:type="dxa"/>
                  <w:noWrap w:val="0"/>
                  <w:vAlign w:val="center"/>
                </w:tcPr>
                <w:p w14:paraId="2462AACD">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0.0432</w:t>
                  </w:r>
                </w:p>
              </w:tc>
              <w:tc>
                <w:tcPr>
                  <w:tcW w:w="1293" w:type="dxa"/>
                  <w:noWrap w:val="0"/>
                  <w:vAlign w:val="center"/>
                </w:tcPr>
                <w:p w14:paraId="6826D175">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2.304</w:t>
                  </w:r>
                </w:p>
              </w:tc>
              <w:tc>
                <w:tcPr>
                  <w:tcW w:w="1457" w:type="dxa"/>
                  <w:noWrap w:val="0"/>
                  <w:vAlign w:val="center"/>
                </w:tcPr>
                <w:p w14:paraId="355EF8D8">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0.696</w:t>
                  </w:r>
                </w:p>
              </w:tc>
              <w:tc>
                <w:tcPr>
                  <w:tcW w:w="1503" w:type="dxa"/>
                  <w:noWrap w:val="0"/>
                  <w:vAlign w:val="center"/>
                </w:tcPr>
                <w:p w14:paraId="1B56D644">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0.888</w:t>
                  </w:r>
                </w:p>
              </w:tc>
            </w:tr>
            <w:tr w14:paraId="644D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41" w:type="pct"/>
                  <w:noWrap w:val="0"/>
                  <w:vAlign w:val="center"/>
                </w:tcPr>
                <w:p w14:paraId="755666C1">
                  <w:pPr>
                    <w:pStyle w:val="22"/>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产生浓度（mg/m</w:t>
                  </w:r>
                  <w:r>
                    <w:rPr>
                      <w:rFonts w:hint="eastAsia" w:ascii="Times New Roman" w:hAnsi="Times New Roman" w:eastAsia="宋体" w:cs="Times New Roman"/>
                      <w:color w:val="auto"/>
                      <w:sz w:val="21"/>
                      <w:szCs w:val="21"/>
                      <w:vertAlign w:val="superscript"/>
                      <w:lang w:val="en-US" w:eastAsia="zh-CN"/>
                    </w:rPr>
                    <w:t>3</w:t>
                  </w:r>
                  <w:r>
                    <w:rPr>
                      <w:rFonts w:hint="eastAsia" w:ascii="Times New Roman" w:hAnsi="Times New Roman" w:eastAsia="宋体" w:cs="Times New Roman"/>
                      <w:color w:val="auto"/>
                      <w:sz w:val="21"/>
                      <w:szCs w:val="21"/>
                      <w:lang w:val="en-US" w:eastAsia="zh-CN"/>
                    </w:rPr>
                    <w:t>）</w:t>
                  </w:r>
                </w:p>
              </w:tc>
              <w:tc>
                <w:tcPr>
                  <w:tcW w:w="1248" w:type="dxa"/>
                  <w:noWrap w:val="0"/>
                  <w:vAlign w:val="center"/>
                </w:tcPr>
                <w:p w14:paraId="6D3B06B3">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2.96</w:t>
                  </w:r>
                </w:p>
              </w:tc>
              <w:tc>
                <w:tcPr>
                  <w:tcW w:w="1293" w:type="dxa"/>
                  <w:noWrap w:val="0"/>
                  <w:vAlign w:val="center"/>
                </w:tcPr>
                <w:p w14:paraId="4FC0973C">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157.6</w:t>
                  </w:r>
                </w:p>
              </w:tc>
              <w:tc>
                <w:tcPr>
                  <w:tcW w:w="1457" w:type="dxa"/>
                  <w:noWrap w:val="0"/>
                  <w:vAlign w:val="center"/>
                </w:tcPr>
                <w:p w14:paraId="77B9CDA5">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47.6</w:t>
                  </w:r>
                </w:p>
              </w:tc>
              <w:tc>
                <w:tcPr>
                  <w:tcW w:w="945" w:type="pct"/>
                  <w:noWrap w:val="0"/>
                  <w:vAlign w:val="center"/>
                </w:tcPr>
                <w:p w14:paraId="12BBDE02">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60.8</w:t>
                  </w:r>
                </w:p>
              </w:tc>
            </w:tr>
            <w:tr w14:paraId="449B1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41" w:type="pct"/>
                  <w:noWrap w:val="0"/>
                  <w:vAlign w:val="center"/>
                </w:tcPr>
                <w:p w14:paraId="596A3A4A">
                  <w:pPr>
                    <w:pStyle w:val="22"/>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烟气量（</w:t>
                  </w:r>
                  <w:r>
                    <w:rPr>
                      <w:rFonts w:hint="eastAsia" w:cs="Times New Roman"/>
                      <w:color w:val="auto"/>
                      <w:sz w:val="21"/>
                      <w:szCs w:val="21"/>
                      <w:lang w:val="en-US" w:eastAsia="zh-CN"/>
                    </w:rPr>
                    <w:t>万</w:t>
                  </w:r>
                  <w:r>
                    <w:rPr>
                      <w:rFonts w:hint="eastAsia" w:ascii="Times New Roman" w:hAnsi="Times New Roman" w:eastAsia="宋体" w:cs="Times New Roman"/>
                      <w:color w:val="auto"/>
                      <w:sz w:val="21"/>
                      <w:szCs w:val="21"/>
                      <w:lang w:val="en-US" w:eastAsia="zh-CN"/>
                    </w:rPr>
                    <w:t>m</w:t>
                  </w:r>
                  <w:r>
                    <w:rPr>
                      <w:rFonts w:hint="eastAsia" w:ascii="Times New Roman" w:hAnsi="Times New Roman" w:eastAsia="宋体" w:cs="Times New Roman"/>
                      <w:color w:val="auto"/>
                      <w:sz w:val="21"/>
                      <w:szCs w:val="21"/>
                      <w:vertAlign w:val="superscript"/>
                      <w:lang w:val="en-US" w:eastAsia="zh-CN"/>
                    </w:rPr>
                    <w:t>3</w:t>
                  </w:r>
                  <w:r>
                    <w:rPr>
                      <w:rFonts w:hint="eastAsia" w:ascii="Times New Roman" w:hAnsi="Times New Roman" w:eastAsia="宋体" w:cs="Times New Roman"/>
                      <w:color w:val="auto"/>
                      <w:sz w:val="21"/>
                      <w:szCs w:val="21"/>
                      <w:lang w:val="en-US" w:eastAsia="zh-CN"/>
                    </w:rPr>
                    <w:t>/a）</w:t>
                  </w:r>
                </w:p>
              </w:tc>
              <w:tc>
                <w:tcPr>
                  <w:tcW w:w="3458" w:type="pct"/>
                  <w:gridSpan w:val="4"/>
                  <w:noWrap w:val="0"/>
                  <w:vAlign w:val="center"/>
                </w:tcPr>
                <w:p w14:paraId="4B33BEEA">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1461</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6</w:t>
                  </w:r>
                  <w:r>
                    <w:rPr>
                      <w:rFonts w:hint="eastAsia" w:ascii="Times New Roman" w:hAnsi="Times New Roman" w:eastAsia="宋体" w:cs="Times New Roman"/>
                      <w:color w:val="auto"/>
                      <w:sz w:val="21"/>
                      <w:szCs w:val="21"/>
                      <w:highlight w:val="none"/>
                      <w:lang w:val="en-US" w:eastAsia="zh-CN"/>
                    </w:rPr>
                    <w:t>（根据实测烟气氧含量为16.2%）</w:t>
                  </w:r>
                </w:p>
              </w:tc>
            </w:tr>
            <w:tr w14:paraId="6325E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41" w:type="pct"/>
                  <w:noWrap w:val="0"/>
                  <w:vAlign w:val="center"/>
                </w:tcPr>
                <w:p w14:paraId="16F69252">
                  <w:pPr>
                    <w:pStyle w:val="22"/>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治理措施</w:t>
                  </w:r>
                </w:p>
              </w:tc>
              <w:tc>
                <w:tcPr>
                  <w:tcW w:w="3458" w:type="pct"/>
                  <w:gridSpan w:val="4"/>
                  <w:noWrap w:val="0"/>
                  <w:vAlign w:val="center"/>
                </w:tcPr>
                <w:p w14:paraId="10492D1E">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低氮燃烧+旋风除尘+水膜除尘+静电除尘+30m高排气筒</w:t>
                  </w:r>
                </w:p>
              </w:tc>
            </w:tr>
            <w:tr w14:paraId="0EABE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41" w:type="pct"/>
                  <w:noWrap w:val="0"/>
                  <w:vAlign w:val="center"/>
                </w:tcPr>
                <w:p w14:paraId="6351B2FF">
                  <w:pPr>
                    <w:pStyle w:val="22"/>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排放量（t/a）</w:t>
                  </w:r>
                </w:p>
              </w:tc>
              <w:tc>
                <w:tcPr>
                  <w:tcW w:w="1248" w:type="dxa"/>
                  <w:noWrap w:val="0"/>
                  <w:vAlign w:val="center"/>
                </w:tcPr>
                <w:p w14:paraId="3D53F6B8">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0.0432</w:t>
                  </w:r>
                </w:p>
              </w:tc>
              <w:tc>
                <w:tcPr>
                  <w:tcW w:w="1293" w:type="dxa"/>
                  <w:noWrap w:val="0"/>
                  <w:vAlign w:val="center"/>
                </w:tcPr>
                <w:p w14:paraId="622C0D3E">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0.1152</w:t>
                  </w:r>
                </w:p>
              </w:tc>
              <w:tc>
                <w:tcPr>
                  <w:tcW w:w="1457" w:type="dxa"/>
                  <w:noWrap w:val="0"/>
                  <w:vAlign w:val="center"/>
                </w:tcPr>
                <w:p w14:paraId="5FF0486C">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0.487</w:t>
                  </w:r>
                </w:p>
              </w:tc>
              <w:tc>
                <w:tcPr>
                  <w:tcW w:w="1503" w:type="dxa"/>
                  <w:noWrap w:val="0"/>
                  <w:vAlign w:val="center"/>
                </w:tcPr>
                <w:p w14:paraId="5CE53E63">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0.888</w:t>
                  </w:r>
                </w:p>
              </w:tc>
            </w:tr>
            <w:tr w14:paraId="4CA04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41" w:type="pct"/>
                  <w:noWrap w:val="0"/>
                  <w:vAlign w:val="center"/>
                </w:tcPr>
                <w:p w14:paraId="3D74AD75">
                  <w:pPr>
                    <w:pStyle w:val="22"/>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排放浓度（mg/m</w:t>
                  </w:r>
                  <w:r>
                    <w:rPr>
                      <w:rFonts w:hint="eastAsia" w:ascii="Times New Roman" w:hAnsi="Times New Roman" w:eastAsia="宋体" w:cs="Times New Roman"/>
                      <w:color w:val="auto"/>
                      <w:sz w:val="21"/>
                      <w:szCs w:val="21"/>
                      <w:vertAlign w:val="superscript"/>
                      <w:lang w:val="en-US" w:eastAsia="zh-CN"/>
                    </w:rPr>
                    <w:t>3</w:t>
                  </w:r>
                  <w:r>
                    <w:rPr>
                      <w:rFonts w:hint="eastAsia" w:ascii="Times New Roman" w:hAnsi="Times New Roman" w:eastAsia="宋体" w:cs="Times New Roman"/>
                      <w:color w:val="auto"/>
                      <w:sz w:val="21"/>
                      <w:szCs w:val="21"/>
                      <w:lang w:val="en-US" w:eastAsia="zh-CN"/>
                    </w:rPr>
                    <w:t>）</w:t>
                  </w:r>
                </w:p>
              </w:tc>
              <w:tc>
                <w:tcPr>
                  <w:tcW w:w="784" w:type="pct"/>
                  <w:noWrap w:val="0"/>
                  <w:vAlign w:val="center"/>
                </w:tcPr>
                <w:p w14:paraId="1989D6DC">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2.96</w:t>
                  </w:r>
                </w:p>
              </w:tc>
              <w:tc>
                <w:tcPr>
                  <w:tcW w:w="813" w:type="pct"/>
                  <w:noWrap w:val="0"/>
                  <w:vAlign w:val="center"/>
                </w:tcPr>
                <w:p w14:paraId="24B0655B">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7.88</w:t>
                  </w:r>
                </w:p>
              </w:tc>
              <w:tc>
                <w:tcPr>
                  <w:tcW w:w="916" w:type="pct"/>
                  <w:noWrap w:val="0"/>
                  <w:vAlign w:val="center"/>
                </w:tcPr>
                <w:p w14:paraId="2BBA1AA6">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33.3</w:t>
                  </w:r>
                </w:p>
              </w:tc>
              <w:tc>
                <w:tcPr>
                  <w:tcW w:w="945" w:type="pct"/>
                  <w:noWrap w:val="0"/>
                  <w:vAlign w:val="center"/>
                </w:tcPr>
                <w:p w14:paraId="657FBBEE">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60.8</w:t>
                  </w:r>
                </w:p>
              </w:tc>
            </w:tr>
            <w:tr w14:paraId="7949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41" w:type="pct"/>
                  <w:noWrap w:val="0"/>
                  <w:vAlign w:val="center"/>
                </w:tcPr>
                <w:p w14:paraId="6F9B4E2D">
                  <w:pPr>
                    <w:pStyle w:val="22"/>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折算后浓度</w:t>
                  </w:r>
                  <w:r>
                    <w:rPr>
                      <w:rFonts w:hint="eastAsia" w:ascii="Times New Roman" w:hAnsi="Times New Roman" w:eastAsia="宋体" w:cs="Times New Roman"/>
                      <w:color w:val="auto"/>
                      <w:sz w:val="21"/>
                      <w:szCs w:val="21"/>
                      <w:lang w:val="en-US" w:eastAsia="zh-CN"/>
                    </w:rPr>
                    <w:t>（mg/m</w:t>
                  </w:r>
                  <w:r>
                    <w:rPr>
                      <w:rFonts w:hint="eastAsia" w:ascii="Times New Roman" w:hAnsi="Times New Roman" w:eastAsia="宋体" w:cs="Times New Roman"/>
                      <w:color w:val="auto"/>
                      <w:sz w:val="21"/>
                      <w:szCs w:val="21"/>
                      <w:vertAlign w:val="superscript"/>
                      <w:lang w:val="en-US" w:eastAsia="zh-CN"/>
                    </w:rPr>
                    <w:t>3</w:t>
                  </w:r>
                  <w:r>
                    <w:rPr>
                      <w:rFonts w:hint="eastAsia" w:ascii="Times New Roman" w:hAnsi="Times New Roman" w:eastAsia="宋体" w:cs="Times New Roman"/>
                      <w:color w:val="auto"/>
                      <w:sz w:val="21"/>
                      <w:szCs w:val="21"/>
                      <w:lang w:val="en-US" w:eastAsia="zh-CN"/>
                    </w:rPr>
                    <w:t>）</w:t>
                  </w:r>
                </w:p>
              </w:tc>
              <w:tc>
                <w:tcPr>
                  <w:tcW w:w="784" w:type="pct"/>
                  <w:noWrap w:val="0"/>
                  <w:vAlign w:val="center"/>
                </w:tcPr>
                <w:p w14:paraId="0D9047D9">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7.4</w:t>
                  </w:r>
                </w:p>
              </w:tc>
              <w:tc>
                <w:tcPr>
                  <w:tcW w:w="813" w:type="pct"/>
                  <w:noWrap w:val="0"/>
                  <w:vAlign w:val="center"/>
                </w:tcPr>
                <w:p w14:paraId="445FFCFB">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19.7</w:t>
                  </w:r>
                </w:p>
              </w:tc>
              <w:tc>
                <w:tcPr>
                  <w:tcW w:w="916" w:type="pct"/>
                  <w:noWrap w:val="0"/>
                  <w:vAlign w:val="center"/>
                </w:tcPr>
                <w:p w14:paraId="053369A1">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83.3</w:t>
                  </w:r>
                </w:p>
              </w:tc>
              <w:tc>
                <w:tcPr>
                  <w:tcW w:w="945" w:type="pct"/>
                  <w:noWrap w:val="0"/>
                  <w:vAlign w:val="center"/>
                </w:tcPr>
                <w:p w14:paraId="5ADC2DBC">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152</w:t>
                  </w:r>
                </w:p>
              </w:tc>
            </w:tr>
            <w:tr w14:paraId="2EAE5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541" w:type="pct"/>
                  <w:noWrap w:val="0"/>
                  <w:vAlign w:val="center"/>
                </w:tcPr>
                <w:p w14:paraId="35035DB6">
                  <w:pPr>
                    <w:pStyle w:val="22"/>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标准限值（mg/m</w:t>
                  </w:r>
                  <w:r>
                    <w:rPr>
                      <w:rFonts w:hint="eastAsia" w:ascii="Times New Roman" w:hAnsi="Times New Roman" w:eastAsia="宋体" w:cs="Times New Roman"/>
                      <w:color w:val="auto"/>
                      <w:sz w:val="21"/>
                      <w:szCs w:val="21"/>
                      <w:vertAlign w:val="superscript"/>
                      <w:lang w:val="en-US" w:eastAsia="zh-CN"/>
                    </w:rPr>
                    <w:t>3</w:t>
                  </w:r>
                  <w:r>
                    <w:rPr>
                      <w:rFonts w:hint="eastAsia" w:ascii="Times New Roman" w:hAnsi="Times New Roman" w:eastAsia="宋体" w:cs="Times New Roman"/>
                      <w:color w:val="auto"/>
                      <w:sz w:val="21"/>
                      <w:szCs w:val="21"/>
                      <w:lang w:val="en-US" w:eastAsia="zh-CN"/>
                    </w:rPr>
                    <w:t>）</w:t>
                  </w:r>
                </w:p>
              </w:tc>
              <w:tc>
                <w:tcPr>
                  <w:tcW w:w="784" w:type="pct"/>
                  <w:noWrap w:val="0"/>
                  <w:vAlign w:val="center"/>
                </w:tcPr>
                <w:p w14:paraId="31CFCF7F">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35</w:t>
                  </w:r>
                </w:p>
              </w:tc>
              <w:tc>
                <w:tcPr>
                  <w:tcW w:w="813" w:type="pct"/>
                  <w:noWrap w:val="0"/>
                  <w:vAlign w:val="center"/>
                </w:tcPr>
                <w:p w14:paraId="005512A6">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20</w:t>
                  </w:r>
                </w:p>
              </w:tc>
              <w:tc>
                <w:tcPr>
                  <w:tcW w:w="916" w:type="pct"/>
                  <w:noWrap w:val="0"/>
                  <w:vAlign w:val="center"/>
                </w:tcPr>
                <w:p w14:paraId="2F11BE19">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highlight w:val="none"/>
                      <w:lang w:val="en-US" w:eastAsia="zh-CN"/>
                    </w:rPr>
                    <w:t>150</w:t>
                  </w:r>
                </w:p>
              </w:tc>
              <w:tc>
                <w:tcPr>
                  <w:tcW w:w="945" w:type="pct"/>
                  <w:noWrap w:val="0"/>
                  <w:vAlign w:val="center"/>
                </w:tcPr>
                <w:p w14:paraId="36B57C64">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highlight w:val="none"/>
                      <w:lang w:val="en-US" w:eastAsia="zh-CN"/>
                    </w:rPr>
                    <w:t>200</w:t>
                  </w:r>
                </w:p>
              </w:tc>
            </w:tr>
            <w:tr w14:paraId="153C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1" w:type="pct"/>
                  <w:noWrap w:val="0"/>
                  <w:vAlign w:val="center"/>
                </w:tcPr>
                <w:p w14:paraId="6317FF08">
                  <w:pPr>
                    <w:pStyle w:val="22"/>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达标情况</w:t>
                  </w:r>
                </w:p>
              </w:tc>
              <w:tc>
                <w:tcPr>
                  <w:tcW w:w="784" w:type="pct"/>
                  <w:noWrap w:val="0"/>
                  <w:vAlign w:val="center"/>
                </w:tcPr>
                <w:p w14:paraId="33FCEE22">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达标</w:t>
                  </w:r>
                </w:p>
              </w:tc>
              <w:tc>
                <w:tcPr>
                  <w:tcW w:w="813" w:type="pct"/>
                  <w:noWrap w:val="0"/>
                  <w:vAlign w:val="center"/>
                </w:tcPr>
                <w:p w14:paraId="727DAC0F">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达标</w:t>
                  </w:r>
                </w:p>
              </w:tc>
              <w:tc>
                <w:tcPr>
                  <w:tcW w:w="916" w:type="pct"/>
                  <w:noWrap w:val="0"/>
                  <w:vAlign w:val="center"/>
                </w:tcPr>
                <w:p w14:paraId="6EDFDA1E">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lang w:val="en-US" w:eastAsia="zh-CN"/>
                    </w:rPr>
                    <w:t>达标</w:t>
                  </w:r>
                </w:p>
              </w:tc>
              <w:tc>
                <w:tcPr>
                  <w:tcW w:w="945" w:type="pct"/>
                  <w:noWrap w:val="0"/>
                  <w:vAlign w:val="center"/>
                </w:tcPr>
                <w:p w14:paraId="40DC32B8">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lang w:val="en-US" w:eastAsia="zh-CN"/>
                    </w:rPr>
                    <w:t>达标</w:t>
                  </w:r>
                </w:p>
              </w:tc>
            </w:tr>
          </w:tbl>
          <w:p w14:paraId="57535064">
            <w:pPr>
              <w:pStyle w:val="145"/>
              <w:keepNext w:val="0"/>
              <w:keepLines w:val="0"/>
              <w:pageBreakBefore w:val="0"/>
              <w:widowControl w:val="0"/>
              <w:kinsoku/>
              <w:wordWrap w:val="0"/>
              <w:overflowPunct/>
              <w:topLinePunct w:val="0"/>
              <w:autoSpaceDE w:val="0"/>
              <w:autoSpaceDN w:val="0"/>
              <w:bidi w:val="0"/>
              <w:adjustRightInd w:val="0"/>
              <w:snapToGrid w:val="0"/>
              <w:spacing w:before="157" w:beforeLines="50"/>
              <w:ind w:firstLine="422"/>
              <w:textAlignment w:val="auto"/>
              <w:rPr>
                <w:rFonts w:hint="default" w:cs="Times New Roman"/>
                <w:b/>
                <w:bCs/>
                <w:color w:val="auto"/>
                <w:sz w:val="21"/>
              </w:rPr>
            </w:pPr>
            <w:r>
              <w:rPr>
                <w:rFonts w:cs="Times New Roman"/>
                <w:b/>
                <w:bCs/>
                <w:color w:val="auto"/>
                <w:sz w:val="21"/>
              </w:rPr>
              <w:t>2、废气排放口基本信息</w:t>
            </w:r>
          </w:p>
          <w:p w14:paraId="7B718CDD">
            <w:pPr>
              <w:pStyle w:val="15"/>
              <w:spacing w:line="360" w:lineRule="auto"/>
              <w:jc w:val="center"/>
              <w:rPr>
                <w:rFonts w:ascii="Times New Roman" w:hAnsi="Times New Roman" w:eastAsia="宋体"/>
                <w:b/>
                <w:color w:val="auto"/>
                <w:sz w:val="21"/>
                <w:szCs w:val="21"/>
              </w:rPr>
            </w:pPr>
            <w:r>
              <w:rPr>
                <w:rFonts w:hint="eastAsia" w:ascii="Times New Roman" w:hAnsi="Times New Roman" w:eastAsia="宋体"/>
                <w:b/>
                <w:color w:val="auto"/>
                <w:sz w:val="21"/>
                <w:szCs w:val="21"/>
              </w:rPr>
              <w:t>表4</w:t>
            </w:r>
            <w:r>
              <w:rPr>
                <w:rFonts w:ascii="Times New Roman" w:hAnsi="Times New Roman" w:eastAsia="宋体"/>
                <w:b/>
                <w:color w:val="auto"/>
                <w:sz w:val="21"/>
                <w:szCs w:val="21"/>
              </w:rPr>
              <w:t>-</w:t>
            </w:r>
            <w:r>
              <w:rPr>
                <w:rFonts w:hint="eastAsia" w:ascii="Times New Roman" w:hAnsi="Times New Roman" w:eastAsia="宋体"/>
                <w:b/>
                <w:color w:val="auto"/>
                <w:sz w:val="21"/>
                <w:szCs w:val="21"/>
                <w:lang w:val="en-US" w:eastAsia="zh-CN"/>
              </w:rPr>
              <w:t>2</w:t>
            </w:r>
            <w:r>
              <w:rPr>
                <w:rFonts w:ascii="Times New Roman" w:hAnsi="Times New Roman" w:eastAsia="宋体"/>
                <w:b/>
                <w:color w:val="auto"/>
                <w:sz w:val="21"/>
                <w:szCs w:val="21"/>
              </w:rPr>
              <w:t>废气排放口基本情况</w:t>
            </w:r>
          </w:p>
          <w:tbl>
            <w:tblPr>
              <w:tblStyle w:val="35"/>
              <w:tblW w:w="8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134"/>
              <w:gridCol w:w="1134"/>
              <w:gridCol w:w="1701"/>
              <w:gridCol w:w="1056"/>
              <w:gridCol w:w="1163"/>
              <w:gridCol w:w="869"/>
            </w:tblGrid>
            <w:tr w14:paraId="535B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0" w:type="dxa"/>
                  <w:vAlign w:val="center"/>
                </w:tcPr>
                <w:p w14:paraId="104A7C4E">
                  <w:pPr>
                    <w:adjustRightInd w:val="0"/>
                    <w:snapToGrid w:val="0"/>
                    <w:jc w:val="center"/>
                    <w:rPr>
                      <w:b/>
                      <w:color w:val="auto"/>
                      <w:kern w:val="0"/>
                      <w:szCs w:val="21"/>
                    </w:rPr>
                  </w:pPr>
                  <w:r>
                    <w:rPr>
                      <w:b/>
                      <w:color w:val="auto"/>
                      <w:kern w:val="0"/>
                      <w:szCs w:val="21"/>
                    </w:rPr>
                    <w:t xml:space="preserve"> 排放口编号</w:t>
                  </w:r>
                </w:p>
              </w:tc>
              <w:tc>
                <w:tcPr>
                  <w:tcW w:w="1134" w:type="dxa"/>
                  <w:vAlign w:val="center"/>
                </w:tcPr>
                <w:p w14:paraId="7B91B3AF">
                  <w:pPr>
                    <w:adjustRightInd w:val="0"/>
                    <w:snapToGrid w:val="0"/>
                    <w:jc w:val="center"/>
                    <w:rPr>
                      <w:b/>
                      <w:color w:val="auto"/>
                      <w:kern w:val="0"/>
                      <w:szCs w:val="21"/>
                    </w:rPr>
                  </w:pPr>
                  <w:r>
                    <w:rPr>
                      <w:b/>
                      <w:color w:val="auto"/>
                      <w:kern w:val="0"/>
                      <w:szCs w:val="21"/>
                    </w:rPr>
                    <w:t>排放口名称</w:t>
                  </w:r>
                </w:p>
              </w:tc>
              <w:tc>
                <w:tcPr>
                  <w:tcW w:w="1134" w:type="dxa"/>
                  <w:vAlign w:val="center"/>
                </w:tcPr>
                <w:p w14:paraId="4CF5B3E8">
                  <w:pPr>
                    <w:adjustRightInd w:val="0"/>
                    <w:snapToGrid w:val="0"/>
                    <w:jc w:val="center"/>
                    <w:rPr>
                      <w:b/>
                      <w:color w:val="auto"/>
                      <w:kern w:val="0"/>
                      <w:szCs w:val="21"/>
                    </w:rPr>
                  </w:pPr>
                  <w:r>
                    <w:rPr>
                      <w:b/>
                      <w:color w:val="auto"/>
                      <w:kern w:val="0"/>
                      <w:szCs w:val="21"/>
                    </w:rPr>
                    <w:t>污染物种类</w:t>
                  </w:r>
                </w:p>
              </w:tc>
              <w:tc>
                <w:tcPr>
                  <w:tcW w:w="1701" w:type="dxa"/>
                  <w:vAlign w:val="center"/>
                </w:tcPr>
                <w:p w14:paraId="2A06D64B">
                  <w:pPr>
                    <w:adjustRightInd w:val="0"/>
                    <w:snapToGrid w:val="0"/>
                    <w:jc w:val="center"/>
                    <w:rPr>
                      <w:b/>
                      <w:color w:val="auto"/>
                      <w:kern w:val="0"/>
                      <w:szCs w:val="21"/>
                    </w:rPr>
                  </w:pPr>
                  <w:r>
                    <w:rPr>
                      <w:b/>
                      <w:color w:val="auto"/>
                      <w:kern w:val="0"/>
                      <w:szCs w:val="21"/>
                    </w:rPr>
                    <w:t>排放口地理坐标</w:t>
                  </w:r>
                </w:p>
              </w:tc>
              <w:tc>
                <w:tcPr>
                  <w:tcW w:w="1056" w:type="dxa"/>
                  <w:vAlign w:val="center"/>
                </w:tcPr>
                <w:p w14:paraId="12CD787F">
                  <w:pPr>
                    <w:adjustRightInd w:val="0"/>
                    <w:snapToGrid w:val="0"/>
                    <w:jc w:val="center"/>
                    <w:rPr>
                      <w:b/>
                      <w:color w:val="auto"/>
                      <w:kern w:val="0"/>
                      <w:szCs w:val="21"/>
                    </w:rPr>
                  </w:pPr>
                  <w:r>
                    <w:rPr>
                      <w:b/>
                      <w:color w:val="auto"/>
                      <w:kern w:val="0"/>
                      <w:szCs w:val="21"/>
                    </w:rPr>
                    <w:t>排气筒高度（m）</w:t>
                  </w:r>
                </w:p>
              </w:tc>
              <w:tc>
                <w:tcPr>
                  <w:tcW w:w="1163" w:type="dxa"/>
                  <w:vAlign w:val="center"/>
                </w:tcPr>
                <w:p w14:paraId="3CFB4FB7">
                  <w:pPr>
                    <w:adjustRightInd w:val="0"/>
                    <w:snapToGrid w:val="0"/>
                    <w:jc w:val="center"/>
                    <w:rPr>
                      <w:b/>
                      <w:color w:val="auto"/>
                      <w:kern w:val="0"/>
                      <w:szCs w:val="21"/>
                    </w:rPr>
                  </w:pPr>
                  <w:r>
                    <w:rPr>
                      <w:b/>
                      <w:color w:val="auto"/>
                      <w:kern w:val="0"/>
                      <w:szCs w:val="21"/>
                    </w:rPr>
                    <w:t>排</w:t>
                  </w:r>
                  <w:r>
                    <w:rPr>
                      <w:rFonts w:hint="eastAsia"/>
                      <w:b/>
                      <w:color w:val="auto"/>
                      <w:kern w:val="0"/>
                      <w:szCs w:val="21"/>
                    </w:rPr>
                    <w:t>气</w:t>
                  </w:r>
                  <w:r>
                    <w:rPr>
                      <w:b/>
                      <w:color w:val="auto"/>
                      <w:kern w:val="0"/>
                      <w:szCs w:val="21"/>
                    </w:rPr>
                    <w:t>筒内径（m）</w:t>
                  </w:r>
                </w:p>
              </w:tc>
              <w:tc>
                <w:tcPr>
                  <w:tcW w:w="869" w:type="dxa"/>
                  <w:vAlign w:val="center"/>
                </w:tcPr>
                <w:p w14:paraId="047F6A3F">
                  <w:pPr>
                    <w:adjustRightInd w:val="0"/>
                    <w:snapToGrid w:val="0"/>
                    <w:jc w:val="center"/>
                    <w:rPr>
                      <w:b/>
                      <w:color w:val="auto"/>
                      <w:kern w:val="0"/>
                      <w:szCs w:val="21"/>
                    </w:rPr>
                  </w:pPr>
                  <w:r>
                    <w:rPr>
                      <w:b/>
                      <w:color w:val="auto"/>
                      <w:kern w:val="0"/>
                      <w:szCs w:val="21"/>
                    </w:rPr>
                    <w:t>排放温度（</w:t>
                  </w:r>
                  <w:r>
                    <w:rPr>
                      <w:rFonts w:hint="eastAsia" w:ascii="宋体" w:hAnsi="宋体" w:cs="宋体"/>
                      <w:b/>
                      <w:color w:val="auto"/>
                      <w:kern w:val="0"/>
                      <w:szCs w:val="21"/>
                    </w:rPr>
                    <w:t>℃</w:t>
                  </w:r>
                  <w:r>
                    <w:rPr>
                      <w:b/>
                      <w:color w:val="auto"/>
                      <w:kern w:val="0"/>
                      <w:szCs w:val="21"/>
                    </w:rPr>
                    <w:t>）</w:t>
                  </w:r>
                </w:p>
              </w:tc>
            </w:tr>
            <w:tr w14:paraId="2A33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0" w:type="dxa"/>
                  <w:vAlign w:val="center"/>
                </w:tcPr>
                <w:p w14:paraId="6EB4CAAA">
                  <w:pPr>
                    <w:pStyle w:val="146"/>
                    <w:adjustRightInd w:val="0"/>
                    <w:snapToGrid w:val="0"/>
                    <w:rPr>
                      <w:rFonts w:cs="Times New Roman"/>
                      <w:color w:val="auto"/>
                    </w:rPr>
                  </w:pPr>
                  <w:r>
                    <w:rPr>
                      <w:rFonts w:hint="eastAsia" w:cs="Times New Roman"/>
                      <w:color w:val="auto"/>
                    </w:rPr>
                    <w:t>DA001</w:t>
                  </w:r>
                </w:p>
              </w:tc>
              <w:tc>
                <w:tcPr>
                  <w:tcW w:w="1134" w:type="dxa"/>
                  <w:vAlign w:val="center"/>
                </w:tcPr>
                <w:p w14:paraId="00378B7A">
                  <w:pPr>
                    <w:pStyle w:val="146"/>
                    <w:adjustRightInd w:val="0"/>
                    <w:snapToGrid w:val="0"/>
                    <w:rPr>
                      <w:rFonts w:cs="Times New Roman"/>
                      <w:color w:val="auto"/>
                    </w:rPr>
                  </w:pPr>
                  <w:r>
                    <w:rPr>
                      <w:rFonts w:hint="eastAsia" w:cs="Times New Roman"/>
                      <w:color w:val="auto"/>
                      <w:lang w:val="en-US" w:eastAsia="zh-CN"/>
                    </w:rPr>
                    <w:t>锅炉</w:t>
                  </w:r>
                  <w:r>
                    <w:rPr>
                      <w:rFonts w:hint="eastAsia" w:cs="Times New Roman"/>
                      <w:color w:val="auto"/>
                    </w:rPr>
                    <w:t>废气排放口</w:t>
                  </w:r>
                </w:p>
              </w:tc>
              <w:tc>
                <w:tcPr>
                  <w:tcW w:w="1134" w:type="dxa"/>
                  <w:vAlign w:val="center"/>
                </w:tcPr>
                <w:p w14:paraId="79566FDD">
                  <w:pPr>
                    <w:pStyle w:val="146"/>
                    <w:adjustRightInd w:val="0"/>
                    <w:snapToGrid w:val="0"/>
                    <w:rPr>
                      <w:rFonts w:hint="default" w:eastAsia="宋体" w:cs="Times New Roman"/>
                      <w:color w:val="auto"/>
                      <w:lang w:val="en-US" w:eastAsia="zh-CN"/>
                    </w:rPr>
                  </w:pPr>
                  <w:r>
                    <w:rPr>
                      <w:rFonts w:hint="eastAsia" w:cs="Times New Roman"/>
                      <w:color w:val="auto"/>
                    </w:rPr>
                    <w:t>颗粒物</w:t>
                  </w:r>
                  <w:r>
                    <w:rPr>
                      <w:rFonts w:hint="eastAsia" w:cs="Times New Roman"/>
                      <w:color w:val="auto"/>
                      <w:lang w:eastAsia="zh-CN"/>
                    </w:rPr>
                    <w:t>、</w:t>
                  </w:r>
                  <w:r>
                    <w:rPr>
                      <w:rFonts w:hint="eastAsia" w:cs="Times New Roman"/>
                      <w:color w:val="auto"/>
                      <w:lang w:val="en-US" w:eastAsia="zh-CN"/>
                    </w:rPr>
                    <w:t>SO</w:t>
                  </w:r>
                  <w:r>
                    <w:rPr>
                      <w:rFonts w:hint="eastAsia" w:cs="Times New Roman"/>
                      <w:color w:val="auto"/>
                      <w:vertAlign w:val="subscript"/>
                      <w:lang w:val="en-US" w:eastAsia="zh-CN"/>
                    </w:rPr>
                    <w:t>2</w:t>
                  </w:r>
                  <w:r>
                    <w:rPr>
                      <w:rFonts w:hint="eastAsia" w:cs="Times New Roman"/>
                      <w:color w:val="auto"/>
                      <w:lang w:val="en-US" w:eastAsia="zh-CN"/>
                    </w:rPr>
                    <w:t>、NO</w:t>
                  </w:r>
                  <w:r>
                    <w:rPr>
                      <w:rFonts w:hint="eastAsia" w:cs="Times New Roman"/>
                      <w:color w:val="auto"/>
                      <w:vertAlign w:val="subscript"/>
                      <w:lang w:val="en-US" w:eastAsia="zh-CN"/>
                    </w:rPr>
                    <w:t>X</w:t>
                  </w:r>
                  <w:r>
                    <w:rPr>
                      <w:rFonts w:hint="eastAsia" w:cs="Times New Roman"/>
                      <w:color w:val="auto"/>
                      <w:lang w:val="en-US" w:eastAsia="zh-CN"/>
                    </w:rPr>
                    <w:t>、CO、烟气黑度</w:t>
                  </w:r>
                </w:p>
              </w:tc>
              <w:tc>
                <w:tcPr>
                  <w:tcW w:w="1701" w:type="dxa"/>
                  <w:vAlign w:val="center"/>
                </w:tcPr>
                <w:p w14:paraId="07CB37F1">
                  <w:pPr>
                    <w:pStyle w:val="146"/>
                    <w:adjustRightInd w:val="0"/>
                    <w:snapToGrid w:val="0"/>
                    <w:rPr>
                      <w:rFonts w:cs="Times New Roman"/>
                      <w:color w:val="auto"/>
                    </w:rPr>
                  </w:pPr>
                  <w:r>
                    <w:rPr>
                      <w:rFonts w:cs="Times New Roman"/>
                      <w:color w:val="auto"/>
                    </w:rPr>
                    <w:t>11</w:t>
                  </w:r>
                  <w:r>
                    <w:rPr>
                      <w:rFonts w:hint="eastAsia" w:cs="Times New Roman"/>
                      <w:color w:val="auto"/>
                    </w:rPr>
                    <w:t>3</w:t>
                  </w:r>
                  <w:r>
                    <w:rPr>
                      <w:rFonts w:cs="Times New Roman"/>
                      <w:color w:val="auto"/>
                    </w:rPr>
                    <w:t>°</w:t>
                  </w:r>
                  <w:r>
                    <w:rPr>
                      <w:rFonts w:hint="eastAsia" w:cs="Times New Roman"/>
                      <w:color w:val="auto"/>
                      <w:lang w:val="en-US" w:eastAsia="zh-CN"/>
                    </w:rPr>
                    <w:t>9</w:t>
                  </w:r>
                  <w:r>
                    <w:rPr>
                      <w:rFonts w:cs="Times New Roman"/>
                      <w:color w:val="auto"/>
                    </w:rPr>
                    <w:t>′</w:t>
                  </w:r>
                  <w:r>
                    <w:rPr>
                      <w:rFonts w:hint="eastAsia" w:cs="Times New Roman"/>
                      <w:color w:val="auto"/>
                      <w:lang w:val="en-US" w:eastAsia="zh-CN"/>
                    </w:rPr>
                    <w:t>19.651</w:t>
                  </w:r>
                  <w:r>
                    <w:rPr>
                      <w:rFonts w:cs="Times New Roman"/>
                      <w:color w:val="auto"/>
                    </w:rPr>
                    <w:t>″</w:t>
                  </w:r>
                </w:p>
                <w:p w14:paraId="33549033">
                  <w:pPr>
                    <w:pStyle w:val="146"/>
                    <w:adjustRightInd w:val="0"/>
                    <w:snapToGrid w:val="0"/>
                    <w:rPr>
                      <w:rFonts w:cs="Times New Roman"/>
                      <w:color w:val="auto"/>
                    </w:rPr>
                  </w:pPr>
                  <w:r>
                    <w:rPr>
                      <w:rFonts w:cs="Times New Roman"/>
                      <w:color w:val="auto"/>
                    </w:rPr>
                    <w:t>2</w:t>
                  </w:r>
                  <w:r>
                    <w:rPr>
                      <w:rFonts w:hint="eastAsia" w:cs="Times New Roman"/>
                      <w:color w:val="auto"/>
                      <w:lang w:val="en-US" w:eastAsia="zh-CN"/>
                    </w:rPr>
                    <w:t>5</w:t>
                  </w:r>
                  <w:r>
                    <w:rPr>
                      <w:rFonts w:cs="Times New Roman"/>
                      <w:color w:val="auto"/>
                    </w:rPr>
                    <w:t>°</w:t>
                  </w:r>
                  <w:r>
                    <w:rPr>
                      <w:rFonts w:hint="eastAsia" w:cs="Times New Roman"/>
                      <w:color w:val="auto"/>
                      <w:lang w:val="en-US" w:eastAsia="zh-CN"/>
                    </w:rPr>
                    <w:t>22</w:t>
                  </w:r>
                  <w:r>
                    <w:rPr>
                      <w:rFonts w:cs="Times New Roman"/>
                      <w:color w:val="auto"/>
                    </w:rPr>
                    <w:t>′</w:t>
                  </w:r>
                  <w:r>
                    <w:rPr>
                      <w:rFonts w:hint="eastAsia" w:cs="Times New Roman"/>
                      <w:color w:val="auto"/>
                      <w:lang w:val="en-US" w:eastAsia="zh-CN"/>
                    </w:rPr>
                    <w:t>37.020</w:t>
                  </w:r>
                  <w:r>
                    <w:rPr>
                      <w:rFonts w:cs="Times New Roman"/>
                      <w:color w:val="auto"/>
                    </w:rPr>
                    <w:t>″</w:t>
                  </w:r>
                </w:p>
              </w:tc>
              <w:tc>
                <w:tcPr>
                  <w:tcW w:w="1056" w:type="dxa"/>
                  <w:vAlign w:val="center"/>
                </w:tcPr>
                <w:p w14:paraId="5DA424E3">
                  <w:pPr>
                    <w:pStyle w:val="146"/>
                    <w:adjustRightInd w:val="0"/>
                    <w:snapToGrid w:val="0"/>
                    <w:rPr>
                      <w:rFonts w:hint="default" w:eastAsia="宋体" w:cs="Times New Roman"/>
                      <w:color w:val="auto"/>
                      <w:lang w:val="en-US" w:eastAsia="zh-CN"/>
                    </w:rPr>
                  </w:pPr>
                  <w:r>
                    <w:rPr>
                      <w:rFonts w:hint="eastAsia" w:cs="Times New Roman"/>
                      <w:color w:val="auto"/>
                      <w:lang w:val="en-US" w:eastAsia="zh-CN"/>
                    </w:rPr>
                    <w:t>30</w:t>
                  </w:r>
                </w:p>
              </w:tc>
              <w:tc>
                <w:tcPr>
                  <w:tcW w:w="1163" w:type="dxa"/>
                  <w:vAlign w:val="center"/>
                </w:tcPr>
                <w:p w14:paraId="0D7E4FC7">
                  <w:pPr>
                    <w:pStyle w:val="146"/>
                    <w:adjustRightInd w:val="0"/>
                    <w:snapToGrid w:val="0"/>
                    <w:rPr>
                      <w:rFonts w:hint="default" w:eastAsia="宋体" w:cs="Times New Roman"/>
                      <w:color w:val="auto"/>
                      <w:lang w:val="en-US" w:eastAsia="zh-CN"/>
                    </w:rPr>
                  </w:pPr>
                  <w:r>
                    <w:rPr>
                      <w:rFonts w:hint="eastAsia" w:cs="Times New Roman"/>
                      <w:color w:val="auto"/>
                      <w:lang w:val="en-US" w:eastAsia="zh-CN"/>
                    </w:rPr>
                    <w:t>0.4</w:t>
                  </w:r>
                </w:p>
              </w:tc>
              <w:tc>
                <w:tcPr>
                  <w:tcW w:w="869" w:type="dxa"/>
                  <w:vAlign w:val="center"/>
                </w:tcPr>
                <w:p w14:paraId="1844813A">
                  <w:pPr>
                    <w:pStyle w:val="146"/>
                    <w:adjustRightInd w:val="0"/>
                    <w:snapToGrid w:val="0"/>
                    <w:rPr>
                      <w:rFonts w:hint="default" w:cs="Times New Roman"/>
                      <w:color w:val="auto"/>
                      <w:lang w:val="en-US"/>
                    </w:rPr>
                  </w:pPr>
                  <w:r>
                    <w:rPr>
                      <w:rFonts w:hint="eastAsia" w:cs="Times New Roman"/>
                      <w:color w:val="auto"/>
                      <w:lang w:val="en-US" w:eastAsia="zh-CN"/>
                    </w:rPr>
                    <w:t>35</w:t>
                  </w:r>
                </w:p>
              </w:tc>
            </w:tr>
          </w:tbl>
          <w:p w14:paraId="79D52E8B">
            <w:pPr>
              <w:adjustRightInd w:val="0"/>
              <w:snapToGrid w:val="0"/>
              <w:spacing w:before="120" w:beforeLines="50" w:line="360" w:lineRule="auto"/>
              <w:ind w:firstLine="382" w:firstLineChars="200"/>
              <w:rPr>
                <w:rFonts w:cs="宋体"/>
                <w:b/>
                <w:color w:val="auto"/>
                <w:spacing w:val="-10"/>
                <w:szCs w:val="21"/>
              </w:rPr>
            </w:pPr>
            <w:bookmarkStart w:id="24" w:name="_Ref32607"/>
            <w:r>
              <w:rPr>
                <w:rFonts w:hint="eastAsia" w:cs="宋体"/>
                <w:b/>
                <w:color w:val="auto"/>
                <w:spacing w:val="-10"/>
                <w:szCs w:val="21"/>
              </w:rPr>
              <w:t>3、非正常排放情况核算</w:t>
            </w:r>
          </w:p>
          <w:p w14:paraId="283510BD">
            <w:pPr>
              <w:pStyle w:val="145"/>
              <w:ind w:firstLine="420"/>
              <w:rPr>
                <w:rFonts w:hint="default" w:cs="Times New Roman"/>
                <w:color w:val="auto"/>
                <w:sz w:val="21"/>
              </w:rPr>
            </w:pPr>
            <w:r>
              <w:rPr>
                <w:rFonts w:cs="Times New Roman"/>
                <w:color w:val="auto"/>
                <w:sz w:val="21"/>
              </w:rPr>
              <w:t>本项目非正常排放</w:t>
            </w:r>
            <w:r>
              <w:rPr>
                <w:rFonts w:hint="eastAsia" w:cs="Times New Roman"/>
                <w:color w:val="auto"/>
                <w:sz w:val="21"/>
                <w:lang w:val="en-US" w:eastAsia="zh-CN"/>
              </w:rPr>
              <w:t>主要</w:t>
            </w:r>
            <w:r>
              <w:rPr>
                <w:rFonts w:cs="Times New Roman"/>
                <w:color w:val="auto"/>
                <w:sz w:val="21"/>
              </w:rPr>
              <w:t>考虑</w:t>
            </w:r>
            <w:r>
              <w:rPr>
                <w:rFonts w:hint="eastAsia" w:cs="Times New Roman"/>
                <w:color w:val="auto"/>
                <w:sz w:val="21"/>
                <w:lang w:val="en-US" w:eastAsia="zh-CN"/>
              </w:rPr>
              <w:t>废气治理措施故障</w:t>
            </w:r>
            <w:r>
              <w:rPr>
                <w:rFonts w:cs="Times New Roman"/>
                <w:color w:val="auto"/>
                <w:sz w:val="21"/>
              </w:rPr>
              <w:t>处理效率降低至0%。</w:t>
            </w:r>
            <w:r>
              <w:rPr>
                <w:rFonts w:hint="default" w:cs="Times New Roman"/>
                <w:color w:val="auto"/>
                <w:sz w:val="21"/>
              </w:rPr>
              <w:t>非正常排放情况如表4-</w:t>
            </w:r>
            <w:r>
              <w:rPr>
                <w:rFonts w:hint="eastAsia" w:cs="Times New Roman"/>
                <w:color w:val="auto"/>
                <w:sz w:val="21"/>
                <w:lang w:val="en-US" w:eastAsia="zh-CN"/>
              </w:rPr>
              <w:t>3</w:t>
            </w:r>
            <w:r>
              <w:rPr>
                <w:rFonts w:hint="default" w:cs="Times New Roman"/>
                <w:color w:val="auto"/>
                <w:sz w:val="21"/>
              </w:rPr>
              <w:t>所示。</w:t>
            </w:r>
          </w:p>
          <w:p w14:paraId="1CBA2AF8">
            <w:pPr>
              <w:pStyle w:val="147"/>
              <w:spacing w:before="48" w:after="48"/>
              <w:ind w:left="0" w:firstLine="0"/>
              <w:rPr>
                <w:rFonts w:cs="宋体"/>
                <w:color w:val="auto"/>
                <w:sz w:val="21"/>
                <w:szCs w:val="21"/>
              </w:rPr>
            </w:pPr>
            <w:bookmarkStart w:id="25" w:name="_Ref65694699"/>
            <w:r>
              <w:rPr>
                <w:rFonts w:hint="eastAsia" w:cs="宋体"/>
                <w:color w:val="auto"/>
                <w:sz w:val="21"/>
                <w:szCs w:val="21"/>
              </w:rPr>
              <w:t>表4</w:t>
            </w:r>
            <w:r>
              <w:rPr>
                <w:rFonts w:cs="宋体"/>
                <w:color w:val="auto"/>
                <w:sz w:val="21"/>
                <w:szCs w:val="21"/>
              </w:rPr>
              <w:t>-</w:t>
            </w:r>
            <w:r>
              <w:rPr>
                <w:rFonts w:hint="eastAsia" w:cs="宋体"/>
                <w:color w:val="auto"/>
                <w:sz w:val="21"/>
                <w:szCs w:val="21"/>
                <w:lang w:val="en-US" w:eastAsia="zh-CN"/>
              </w:rPr>
              <w:t>3</w:t>
            </w:r>
            <w:r>
              <w:rPr>
                <w:rFonts w:cs="宋体"/>
                <w:color w:val="auto"/>
                <w:sz w:val="21"/>
                <w:szCs w:val="21"/>
              </w:rPr>
              <w:t>废气非正常情况排放一览表</w:t>
            </w:r>
            <w:bookmarkEnd w:id="25"/>
          </w:p>
          <w:tbl>
            <w:tblPr>
              <w:tblStyle w:val="35"/>
              <w:tblW w:w="8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865"/>
              <w:gridCol w:w="854"/>
              <w:gridCol w:w="847"/>
              <w:gridCol w:w="1107"/>
              <w:gridCol w:w="967"/>
              <w:gridCol w:w="736"/>
              <w:gridCol w:w="709"/>
              <w:gridCol w:w="795"/>
              <w:gridCol w:w="723"/>
            </w:tblGrid>
            <w:tr w14:paraId="31CC2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452" w:type="dxa"/>
                  <w:vAlign w:val="center"/>
                </w:tcPr>
                <w:p w14:paraId="400921B5">
                  <w:pPr>
                    <w:pStyle w:val="148"/>
                    <w:jc w:val="center"/>
                    <w:rPr>
                      <w:rFonts w:cs="Times New Roman"/>
                      <w:b/>
                      <w:bCs/>
                      <w:color w:val="auto"/>
                    </w:rPr>
                  </w:pPr>
                  <w:r>
                    <w:rPr>
                      <w:rFonts w:cs="Times New Roman"/>
                      <w:b/>
                      <w:bCs/>
                      <w:color w:val="auto"/>
                    </w:rPr>
                    <w:t>序号</w:t>
                  </w:r>
                </w:p>
              </w:tc>
              <w:tc>
                <w:tcPr>
                  <w:tcW w:w="865" w:type="dxa"/>
                  <w:vAlign w:val="center"/>
                </w:tcPr>
                <w:p w14:paraId="67ED25D1">
                  <w:pPr>
                    <w:pStyle w:val="148"/>
                    <w:jc w:val="center"/>
                    <w:rPr>
                      <w:rFonts w:cs="Times New Roman"/>
                      <w:b/>
                      <w:bCs/>
                      <w:color w:val="auto"/>
                    </w:rPr>
                  </w:pPr>
                  <w:r>
                    <w:rPr>
                      <w:rFonts w:cs="Times New Roman"/>
                      <w:b/>
                      <w:bCs/>
                      <w:color w:val="auto"/>
                    </w:rPr>
                    <w:t>污染源</w:t>
                  </w:r>
                </w:p>
              </w:tc>
              <w:tc>
                <w:tcPr>
                  <w:tcW w:w="854" w:type="dxa"/>
                  <w:vAlign w:val="center"/>
                </w:tcPr>
                <w:p w14:paraId="27ED6F24">
                  <w:pPr>
                    <w:pStyle w:val="148"/>
                    <w:jc w:val="center"/>
                    <w:rPr>
                      <w:rFonts w:cs="Times New Roman"/>
                      <w:b/>
                      <w:bCs/>
                      <w:color w:val="auto"/>
                    </w:rPr>
                  </w:pPr>
                  <w:r>
                    <w:rPr>
                      <w:rFonts w:cs="Times New Roman"/>
                      <w:b/>
                      <w:bCs/>
                      <w:color w:val="auto"/>
                    </w:rPr>
                    <w:t>非正常排放原因</w:t>
                  </w:r>
                </w:p>
              </w:tc>
              <w:tc>
                <w:tcPr>
                  <w:tcW w:w="847" w:type="dxa"/>
                  <w:vAlign w:val="center"/>
                </w:tcPr>
                <w:p w14:paraId="726D62B0">
                  <w:pPr>
                    <w:pStyle w:val="148"/>
                    <w:jc w:val="center"/>
                    <w:rPr>
                      <w:rFonts w:cs="Times New Roman"/>
                      <w:b/>
                      <w:bCs/>
                      <w:color w:val="auto"/>
                    </w:rPr>
                  </w:pPr>
                  <w:r>
                    <w:rPr>
                      <w:rFonts w:cs="Times New Roman"/>
                      <w:b/>
                      <w:bCs/>
                      <w:color w:val="auto"/>
                    </w:rPr>
                    <w:t>污染物</w:t>
                  </w:r>
                </w:p>
              </w:tc>
              <w:tc>
                <w:tcPr>
                  <w:tcW w:w="1107" w:type="dxa"/>
                  <w:vAlign w:val="center"/>
                </w:tcPr>
                <w:p w14:paraId="45E525D3">
                  <w:pPr>
                    <w:pStyle w:val="148"/>
                    <w:jc w:val="center"/>
                    <w:rPr>
                      <w:rFonts w:cs="Times New Roman"/>
                      <w:b/>
                      <w:bCs/>
                      <w:color w:val="auto"/>
                    </w:rPr>
                  </w:pPr>
                  <w:r>
                    <w:rPr>
                      <w:rFonts w:cs="Times New Roman"/>
                      <w:b/>
                      <w:bCs/>
                      <w:color w:val="auto"/>
                    </w:rPr>
                    <w:t>非正常排放浓度</w:t>
                  </w:r>
                </w:p>
                <w:p w14:paraId="255C7C43">
                  <w:pPr>
                    <w:pStyle w:val="148"/>
                    <w:jc w:val="center"/>
                    <w:rPr>
                      <w:rFonts w:cs="Times New Roman"/>
                      <w:b/>
                      <w:bCs/>
                      <w:color w:val="auto"/>
                    </w:rPr>
                  </w:pPr>
                  <w:r>
                    <w:rPr>
                      <w:rFonts w:cs="Times New Roman"/>
                      <w:b/>
                      <w:bCs/>
                      <w:color w:val="auto"/>
                    </w:rPr>
                    <w:t>/（mg/m</w:t>
                  </w:r>
                  <w:r>
                    <w:rPr>
                      <w:rFonts w:cs="Times New Roman"/>
                      <w:b/>
                      <w:bCs/>
                      <w:color w:val="auto"/>
                      <w:vertAlign w:val="superscript"/>
                    </w:rPr>
                    <w:t>3</w:t>
                  </w:r>
                  <w:r>
                    <w:rPr>
                      <w:rFonts w:cs="Times New Roman"/>
                      <w:b/>
                      <w:bCs/>
                      <w:color w:val="auto"/>
                    </w:rPr>
                    <w:t>）</w:t>
                  </w:r>
                </w:p>
              </w:tc>
              <w:tc>
                <w:tcPr>
                  <w:tcW w:w="967" w:type="dxa"/>
                  <w:vAlign w:val="center"/>
                </w:tcPr>
                <w:p w14:paraId="700779C2">
                  <w:pPr>
                    <w:pStyle w:val="148"/>
                    <w:jc w:val="center"/>
                    <w:rPr>
                      <w:rFonts w:cs="Times New Roman"/>
                      <w:b/>
                      <w:bCs/>
                      <w:color w:val="auto"/>
                    </w:rPr>
                  </w:pPr>
                  <w:r>
                    <w:rPr>
                      <w:rFonts w:cs="Times New Roman"/>
                      <w:b/>
                      <w:bCs/>
                      <w:color w:val="auto"/>
                    </w:rPr>
                    <w:t>非正常排放速率</w:t>
                  </w:r>
                </w:p>
                <w:p w14:paraId="31BB3AF8">
                  <w:pPr>
                    <w:pStyle w:val="148"/>
                    <w:jc w:val="center"/>
                    <w:rPr>
                      <w:rFonts w:cs="Times New Roman"/>
                      <w:b/>
                      <w:bCs/>
                      <w:color w:val="auto"/>
                    </w:rPr>
                  </w:pPr>
                  <w:r>
                    <w:rPr>
                      <w:rFonts w:cs="Times New Roman"/>
                      <w:b/>
                      <w:bCs/>
                      <w:color w:val="auto"/>
                    </w:rPr>
                    <w:t>/（kg/h）</w:t>
                  </w:r>
                </w:p>
              </w:tc>
              <w:tc>
                <w:tcPr>
                  <w:tcW w:w="736" w:type="dxa"/>
                  <w:vAlign w:val="center"/>
                </w:tcPr>
                <w:p w14:paraId="0050E3BF">
                  <w:pPr>
                    <w:pStyle w:val="148"/>
                    <w:jc w:val="center"/>
                    <w:rPr>
                      <w:rFonts w:cs="Times New Roman"/>
                      <w:b/>
                      <w:bCs/>
                      <w:color w:val="auto"/>
                    </w:rPr>
                  </w:pPr>
                  <w:r>
                    <w:rPr>
                      <w:rFonts w:cs="Times New Roman"/>
                      <w:b/>
                      <w:bCs/>
                      <w:color w:val="auto"/>
                    </w:rPr>
                    <w:t>单次持续时间/h</w:t>
                  </w:r>
                </w:p>
              </w:tc>
              <w:tc>
                <w:tcPr>
                  <w:tcW w:w="709" w:type="dxa"/>
                  <w:vAlign w:val="center"/>
                </w:tcPr>
                <w:p w14:paraId="18CA7A29">
                  <w:pPr>
                    <w:pStyle w:val="148"/>
                    <w:jc w:val="center"/>
                    <w:rPr>
                      <w:rFonts w:cs="Times New Roman"/>
                      <w:b/>
                      <w:bCs/>
                      <w:color w:val="auto"/>
                    </w:rPr>
                  </w:pPr>
                  <w:r>
                    <w:rPr>
                      <w:rFonts w:cs="Times New Roman"/>
                      <w:b/>
                      <w:bCs/>
                      <w:color w:val="auto"/>
                    </w:rPr>
                    <w:t>年发生频次/次</w:t>
                  </w:r>
                </w:p>
              </w:tc>
              <w:tc>
                <w:tcPr>
                  <w:tcW w:w="795" w:type="dxa"/>
                  <w:vAlign w:val="center"/>
                </w:tcPr>
                <w:p w14:paraId="5410B93F">
                  <w:pPr>
                    <w:pStyle w:val="148"/>
                    <w:jc w:val="center"/>
                    <w:rPr>
                      <w:rFonts w:cs="Times New Roman"/>
                      <w:b/>
                      <w:bCs/>
                      <w:color w:val="auto"/>
                    </w:rPr>
                  </w:pPr>
                  <w:r>
                    <w:rPr>
                      <w:rFonts w:hint="eastAsia" w:cs="Times New Roman"/>
                      <w:b/>
                      <w:bCs/>
                      <w:color w:val="auto"/>
                    </w:rPr>
                    <w:t>排放</w:t>
                  </w:r>
                  <w:r>
                    <w:rPr>
                      <w:rFonts w:cs="Times New Roman"/>
                      <w:b/>
                      <w:bCs/>
                      <w:color w:val="auto"/>
                    </w:rPr>
                    <w:t>量kg/年</w:t>
                  </w:r>
                </w:p>
              </w:tc>
              <w:tc>
                <w:tcPr>
                  <w:tcW w:w="723" w:type="dxa"/>
                  <w:vAlign w:val="center"/>
                </w:tcPr>
                <w:p w14:paraId="5DBDC8C6">
                  <w:pPr>
                    <w:pStyle w:val="148"/>
                    <w:jc w:val="center"/>
                    <w:rPr>
                      <w:rFonts w:cs="Times New Roman"/>
                      <w:b/>
                      <w:bCs/>
                      <w:color w:val="auto"/>
                    </w:rPr>
                  </w:pPr>
                  <w:r>
                    <w:rPr>
                      <w:rFonts w:cs="Times New Roman"/>
                      <w:b/>
                      <w:bCs/>
                      <w:color w:val="auto"/>
                    </w:rPr>
                    <w:t>应对</w:t>
                  </w:r>
                </w:p>
                <w:p w14:paraId="2626BDFC">
                  <w:pPr>
                    <w:pStyle w:val="148"/>
                    <w:jc w:val="center"/>
                    <w:rPr>
                      <w:rFonts w:cs="Times New Roman"/>
                      <w:b/>
                      <w:bCs/>
                      <w:color w:val="auto"/>
                    </w:rPr>
                  </w:pPr>
                  <w:r>
                    <w:rPr>
                      <w:rFonts w:cs="Times New Roman"/>
                      <w:b/>
                      <w:bCs/>
                      <w:color w:val="auto"/>
                    </w:rPr>
                    <w:t>措施</w:t>
                  </w:r>
                </w:p>
              </w:tc>
            </w:tr>
            <w:tr w14:paraId="4999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2" w:type="dxa"/>
                  <w:vMerge w:val="restart"/>
                  <w:vAlign w:val="center"/>
                </w:tcPr>
                <w:p w14:paraId="353C20D1">
                  <w:pPr>
                    <w:pStyle w:val="148"/>
                    <w:jc w:val="center"/>
                    <w:rPr>
                      <w:rFonts w:cs="Times New Roman"/>
                      <w:color w:val="auto"/>
                    </w:rPr>
                  </w:pPr>
                  <w:r>
                    <w:rPr>
                      <w:rFonts w:cs="Times New Roman"/>
                      <w:color w:val="auto"/>
                    </w:rPr>
                    <w:t>1</w:t>
                  </w:r>
                </w:p>
              </w:tc>
              <w:tc>
                <w:tcPr>
                  <w:tcW w:w="865" w:type="dxa"/>
                  <w:vMerge w:val="restart"/>
                  <w:vAlign w:val="center"/>
                </w:tcPr>
                <w:p w14:paraId="481A8088">
                  <w:pPr>
                    <w:pStyle w:val="148"/>
                    <w:jc w:val="center"/>
                    <w:rPr>
                      <w:rFonts w:hint="default" w:eastAsia="宋体" w:cs="Times New Roman"/>
                      <w:color w:val="auto"/>
                      <w:lang w:val="en-US" w:eastAsia="zh-CN"/>
                    </w:rPr>
                  </w:pPr>
                  <w:r>
                    <w:rPr>
                      <w:rFonts w:hint="eastAsia" w:cs="Times New Roman"/>
                      <w:color w:val="auto"/>
                      <w:lang w:val="en-US" w:eastAsia="zh-CN"/>
                    </w:rPr>
                    <w:t>DA001</w:t>
                  </w:r>
                </w:p>
              </w:tc>
              <w:tc>
                <w:tcPr>
                  <w:tcW w:w="854" w:type="dxa"/>
                  <w:vMerge w:val="restart"/>
                  <w:vAlign w:val="center"/>
                </w:tcPr>
                <w:p w14:paraId="533C7E82">
                  <w:pPr>
                    <w:pStyle w:val="148"/>
                    <w:jc w:val="center"/>
                    <w:rPr>
                      <w:rFonts w:hint="default" w:eastAsia="宋体" w:cs="Times New Roman"/>
                      <w:color w:val="auto"/>
                      <w:lang w:val="en-US" w:eastAsia="zh-CN"/>
                    </w:rPr>
                  </w:pPr>
                  <w:r>
                    <w:rPr>
                      <w:rFonts w:hint="eastAsia" w:cs="Times New Roman"/>
                      <w:color w:val="auto"/>
                      <w:lang w:val="en-US" w:eastAsia="zh-CN"/>
                    </w:rPr>
                    <w:t>环保设施故障</w:t>
                  </w:r>
                </w:p>
              </w:tc>
              <w:tc>
                <w:tcPr>
                  <w:tcW w:w="847" w:type="dxa"/>
                  <w:vAlign w:val="center"/>
                </w:tcPr>
                <w:p w14:paraId="238802B7">
                  <w:pPr>
                    <w:pStyle w:val="146"/>
                    <w:jc w:val="center"/>
                    <w:rPr>
                      <w:rFonts w:hint="eastAsia" w:eastAsia="宋体" w:cs="Times New Roman"/>
                      <w:color w:val="auto"/>
                      <w:szCs w:val="21"/>
                      <w:lang w:val="en-US" w:eastAsia="zh-CN"/>
                    </w:rPr>
                  </w:pPr>
                  <w:r>
                    <w:rPr>
                      <w:rFonts w:hint="eastAsia" w:cs="Times New Roman"/>
                      <w:color w:val="auto"/>
                      <w:szCs w:val="21"/>
                      <w:lang w:val="en-US" w:eastAsia="zh-CN"/>
                    </w:rPr>
                    <w:t>颗粒物</w:t>
                  </w:r>
                </w:p>
              </w:tc>
              <w:tc>
                <w:tcPr>
                  <w:tcW w:w="1107" w:type="dxa"/>
                  <w:vAlign w:val="center"/>
                </w:tcPr>
                <w:p w14:paraId="7CDB0073">
                  <w:pPr>
                    <w:widowControl/>
                    <w:jc w:val="center"/>
                    <w:textAlignment w:val="center"/>
                    <w:rPr>
                      <w:rFonts w:hint="default"/>
                      <w:color w:val="auto"/>
                      <w:szCs w:val="21"/>
                      <w:lang w:val="en-US"/>
                    </w:rPr>
                  </w:pPr>
                  <w:r>
                    <w:rPr>
                      <w:rFonts w:hint="eastAsia" w:cs="Times New Roman"/>
                      <w:color w:val="auto"/>
                      <w:sz w:val="21"/>
                      <w:szCs w:val="21"/>
                      <w:lang w:val="en-US" w:eastAsia="zh-CN"/>
                    </w:rPr>
                    <w:t>394</w:t>
                  </w:r>
                </w:p>
              </w:tc>
              <w:tc>
                <w:tcPr>
                  <w:tcW w:w="967" w:type="dxa"/>
                  <w:vAlign w:val="center"/>
                </w:tcPr>
                <w:p w14:paraId="5F5591CE">
                  <w:pPr>
                    <w:widowControl/>
                    <w:jc w:val="center"/>
                    <w:textAlignment w:val="center"/>
                    <w:rPr>
                      <w:rFonts w:hint="default" w:eastAsia="宋体"/>
                      <w:color w:val="auto"/>
                      <w:szCs w:val="21"/>
                      <w:lang w:val="en-US" w:eastAsia="zh-CN"/>
                    </w:rPr>
                  </w:pPr>
                  <w:r>
                    <w:rPr>
                      <w:rFonts w:hint="eastAsia"/>
                      <w:color w:val="auto"/>
                      <w:szCs w:val="21"/>
                      <w:lang w:val="en-US" w:eastAsia="zh-CN"/>
                    </w:rPr>
                    <w:t>1.44</w:t>
                  </w:r>
                </w:p>
              </w:tc>
              <w:tc>
                <w:tcPr>
                  <w:tcW w:w="736" w:type="dxa"/>
                  <w:vMerge w:val="restart"/>
                  <w:vAlign w:val="center"/>
                </w:tcPr>
                <w:p w14:paraId="28D77786">
                  <w:pPr>
                    <w:pStyle w:val="148"/>
                    <w:jc w:val="center"/>
                    <w:rPr>
                      <w:rFonts w:hint="eastAsia" w:eastAsia="宋体" w:cs="Times New Roman"/>
                      <w:color w:val="auto"/>
                      <w:lang w:val="en-US" w:eastAsia="zh-CN"/>
                    </w:rPr>
                  </w:pPr>
                  <w:r>
                    <w:rPr>
                      <w:rFonts w:hint="eastAsia" w:cs="Times New Roman"/>
                      <w:color w:val="auto"/>
                      <w:lang w:val="en-US" w:eastAsia="zh-CN"/>
                    </w:rPr>
                    <w:t>1</w:t>
                  </w:r>
                </w:p>
              </w:tc>
              <w:tc>
                <w:tcPr>
                  <w:tcW w:w="709" w:type="dxa"/>
                  <w:vMerge w:val="restart"/>
                  <w:vAlign w:val="center"/>
                </w:tcPr>
                <w:p w14:paraId="6721C9F9">
                  <w:pPr>
                    <w:pStyle w:val="148"/>
                    <w:jc w:val="center"/>
                    <w:rPr>
                      <w:rFonts w:hint="default" w:eastAsia="宋体" w:cs="Times New Roman"/>
                      <w:color w:val="auto"/>
                      <w:lang w:val="en-US" w:eastAsia="zh-CN"/>
                    </w:rPr>
                  </w:pPr>
                  <w:r>
                    <w:rPr>
                      <w:rFonts w:hint="eastAsia" w:cs="Times New Roman"/>
                      <w:color w:val="auto"/>
                      <w:lang w:val="en-US" w:eastAsia="zh-CN"/>
                    </w:rPr>
                    <w:t>2</w:t>
                  </w:r>
                </w:p>
              </w:tc>
              <w:tc>
                <w:tcPr>
                  <w:tcW w:w="795" w:type="dxa"/>
                  <w:vAlign w:val="center"/>
                </w:tcPr>
                <w:p w14:paraId="0716220E">
                  <w:pPr>
                    <w:widowControl/>
                    <w:jc w:val="center"/>
                    <w:textAlignment w:val="center"/>
                    <w:rPr>
                      <w:rFonts w:hint="default"/>
                      <w:color w:val="auto"/>
                      <w:szCs w:val="21"/>
                      <w:lang w:val="en-US" w:eastAsia="zh-CN"/>
                    </w:rPr>
                  </w:pPr>
                  <w:r>
                    <w:rPr>
                      <w:rFonts w:hint="eastAsia"/>
                      <w:color w:val="auto"/>
                      <w:szCs w:val="21"/>
                      <w:lang w:val="en-US" w:eastAsia="zh-CN"/>
                    </w:rPr>
                    <w:t>2.88</w:t>
                  </w:r>
                </w:p>
              </w:tc>
              <w:tc>
                <w:tcPr>
                  <w:tcW w:w="723" w:type="dxa"/>
                  <w:vMerge w:val="restart"/>
                  <w:vAlign w:val="center"/>
                </w:tcPr>
                <w:p w14:paraId="7802AA46">
                  <w:pPr>
                    <w:pStyle w:val="148"/>
                    <w:jc w:val="center"/>
                    <w:rPr>
                      <w:rFonts w:cs="Times New Roman"/>
                      <w:color w:val="auto"/>
                    </w:rPr>
                  </w:pPr>
                  <w:r>
                    <w:rPr>
                      <w:rFonts w:hint="eastAsia" w:cs="Times New Roman"/>
                      <w:color w:val="auto"/>
                    </w:rPr>
                    <w:t>停产检修</w:t>
                  </w:r>
                </w:p>
              </w:tc>
            </w:tr>
            <w:tr w14:paraId="1F1A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2" w:type="dxa"/>
                  <w:vMerge w:val="continue"/>
                  <w:vAlign w:val="center"/>
                </w:tcPr>
                <w:p w14:paraId="71FDD742">
                  <w:pPr>
                    <w:pStyle w:val="148"/>
                    <w:jc w:val="center"/>
                    <w:rPr>
                      <w:rFonts w:cs="Times New Roman"/>
                      <w:color w:val="auto"/>
                    </w:rPr>
                  </w:pPr>
                </w:p>
              </w:tc>
              <w:tc>
                <w:tcPr>
                  <w:tcW w:w="865" w:type="dxa"/>
                  <w:vMerge w:val="continue"/>
                  <w:vAlign w:val="center"/>
                </w:tcPr>
                <w:p w14:paraId="497F0D7C">
                  <w:pPr>
                    <w:pStyle w:val="148"/>
                    <w:jc w:val="center"/>
                    <w:rPr>
                      <w:rFonts w:hint="eastAsia" w:cs="Times New Roman"/>
                      <w:color w:val="auto"/>
                      <w:lang w:val="en-US" w:eastAsia="zh-CN"/>
                    </w:rPr>
                  </w:pPr>
                </w:p>
              </w:tc>
              <w:tc>
                <w:tcPr>
                  <w:tcW w:w="854" w:type="dxa"/>
                  <w:vMerge w:val="continue"/>
                  <w:vAlign w:val="center"/>
                </w:tcPr>
                <w:p w14:paraId="61B8801D">
                  <w:pPr>
                    <w:pStyle w:val="148"/>
                    <w:jc w:val="center"/>
                    <w:rPr>
                      <w:rFonts w:hint="eastAsia" w:cs="Times New Roman"/>
                      <w:color w:val="auto"/>
                      <w:lang w:val="en-US" w:eastAsia="zh-CN"/>
                    </w:rPr>
                  </w:pPr>
                </w:p>
              </w:tc>
              <w:tc>
                <w:tcPr>
                  <w:tcW w:w="847" w:type="dxa"/>
                  <w:vAlign w:val="center"/>
                </w:tcPr>
                <w:p w14:paraId="24619413">
                  <w:pPr>
                    <w:pStyle w:val="146"/>
                    <w:jc w:val="center"/>
                    <w:rPr>
                      <w:rFonts w:hint="eastAsia" w:cs="Times New Roman"/>
                      <w:color w:val="auto"/>
                      <w:szCs w:val="21"/>
                      <w:lang w:val="en-US" w:eastAsia="zh-CN"/>
                    </w:rPr>
                  </w:pPr>
                  <w:r>
                    <w:rPr>
                      <w:rFonts w:hint="eastAsia" w:cs="Times New Roman"/>
                      <w:color w:val="auto"/>
                      <w:szCs w:val="21"/>
                      <w:lang w:val="en-US" w:eastAsia="zh-CN"/>
                    </w:rPr>
                    <w:t>SO</w:t>
                  </w:r>
                  <w:r>
                    <w:rPr>
                      <w:rFonts w:hint="eastAsia" w:cs="Times New Roman"/>
                      <w:color w:val="auto"/>
                      <w:szCs w:val="21"/>
                      <w:vertAlign w:val="subscript"/>
                      <w:lang w:val="en-US" w:eastAsia="zh-CN"/>
                    </w:rPr>
                    <w:t>2</w:t>
                  </w:r>
                </w:p>
              </w:tc>
              <w:tc>
                <w:tcPr>
                  <w:tcW w:w="1107" w:type="dxa"/>
                  <w:vAlign w:val="center"/>
                </w:tcPr>
                <w:p w14:paraId="3C4F67B7">
                  <w:pPr>
                    <w:widowControl/>
                    <w:jc w:val="center"/>
                    <w:textAlignment w:val="center"/>
                    <w:rPr>
                      <w:rFonts w:hint="default"/>
                      <w:color w:val="auto"/>
                      <w:szCs w:val="21"/>
                      <w:lang w:val="en-US" w:eastAsia="zh-CN" w:bidi="ar"/>
                    </w:rPr>
                  </w:pPr>
                  <w:r>
                    <w:rPr>
                      <w:rFonts w:hint="eastAsia" w:cs="Times New Roman"/>
                      <w:color w:val="auto"/>
                      <w:sz w:val="21"/>
                      <w:szCs w:val="21"/>
                      <w:lang w:val="en-US" w:eastAsia="zh-CN"/>
                    </w:rPr>
                    <w:t>7.4</w:t>
                  </w:r>
                </w:p>
              </w:tc>
              <w:tc>
                <w:tcPr>
                  <w:tcW w:w="967" w:type="dxa"/>
                  <w:vAlign w:val="center"/>
                </w:tcPr>
                <w:p w14:paraId="678FEC8C">
                  <w:pPr>
                    <w:widowControl/>
                    <w:jc w:val="center"/>
                    <w:textAlignment w:val="center"/>
                    <w:rPr>
                      <w:rFonts w:hint="default"/>
                      <w:color w:val="auto"/>
                      <w:szCs w:val="21"/>
                      <w:lang w:val="en-US" w:eastAsia="zh-CN"/>
                    </w:rPr>
                  </w:pPr>
                  <w:r>
                    <w:rPr>
                      <w:rFonts w:hint="eastAsia"/>
                      <w:color w:val="auto"/>
                      <w:szCs w:val="21"/>
                      <w:lang w:val="en-US" w:eastAsia="zh-CN"/>
                    </w:rPr>
                    <w:t>0.027</w:t>
                  </w:r>
                </w:p>
              </w:tc>
              <w:tc>
                <w:tcPr>
                  <w:tcW w:w="736" w:type="dxa"/>
                  <w:vMerge w:val="continue"/>
                  <w:vAlign w:val="center"/>
                </w:tcPr>
                <w:p w14:paraId="6F2CB189">
                  <w:pPr>
                    <w:pStyle w:val="148"/>
                    <w:jc w:val="center"/>
                    <w:rPr>
                      <w:rFonts w:cs="Times New Roman"/>
                      <w:color w:val="auto"/>
                    </w:rPr>
                  </w:pPr>
                </w:p>
              </w:tc>
              <w:tc>
                <w:tcPr>
                  <w:tcW w:w="709" w:type="dxa"/>
                  <w:vMerge w:val="continue"/>
                  <w:vAlign w:val="center"/>
                </w:tcPr>
                <w:p w14:paraId="0A2EC038">
                  <w:pPr>
                    <w:pStyle w:val="148"/>
                    <w:jc w:val="center"/>
                    <w:rPr>
                      <w:rFonts w:hint="eastAsia" w:cs="Times New Roman"/>
                      <w:color w:val="auto"/>
                    </w:rPr>
                  </w:pPr>
                </w:p>
              </w:tc>
              <w:tc>
                <w:tcPr>
                  <w:tcW w:w="795" w:type="dxa"/>
                  <w:vAlign w:val="center"/>
                </w:tcPr>
                <w:p w14:paraId="4EA6EAE1">
                  <w:pPr>
                    <w:widowControl/>
                    <w:jc w:val="center"/>
                    <w:textAlignment w:val="center"/>
                    <w:rPr>
                      <w:rFonts w:hint="eastAsia"/>
                      <w:color w:val="auto"/>
                      <w:szCs w:val="21"/>
                      <w:lang w:val="en-US" w:eastAsia="zh-CN"/>
                    </w:rPr>
                  </w:pPr>
                  <w:r>
                    <w:rPr>
                      <w:rFonts w:hint="eastAsia"/>
                      <w:color w:val="auto"/>
                      <w:szCs w:val="21"/>
                      <w:lang w:val="en-US" w:eastAsia="zh-CN"/>
                    </w:rPr>
                    <w:t>0.054</w:t>
                  </w:r>
                </w:p>
              </w:tc>
              <w:tc>
                <w:tcPr>
                  <w:tcW w:w="723" w:type="dxa"/>
                  <w:vMerge w:val="continue"/>
                  <w:vAlign w:val="center"/>
                </w:tcPr>
                <w:p w14:paraId="60E1EB9E">
                  <w:pPr>
                    <w:pStyle w:val="148"/>
                    <w:jc w:val="center"/>
                    <w:rPr>
                      <w:rFonts w:hint="eastAsia" w:cs="Times New Roman"/>
                      <w:color w:val="auto"/>
                    </w:rPr>
                  </w:pPr>
                </w:p>
              </w:tc>
            </w:tr>
            <w:tr w14:paraId="7DCC3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2" w:type="dxa"/>
                  <w:vMerge w:val="continue"/>
                  <w:vAlign w:val="center"/>
                </w:tcPr>
                <w:p w14:paraId="5A075F84">
                  <w:pPr>
                    <w:pStyle w:val="148"/>
                    <w:jc w:val="center"/>
                    <w:rPr>
                      <w:rFonts w:cs="Times New Roman"/>
                      <w:color w:val="auto"/>
                    </w:rPr>
                  </w:pPr>
                </w:p>
              </w:tc>
              <w:tc>
                <w:tcPr>
                  <w:tcW w:w="865" w:type="dxa"/>
                  <w:vMerge w:val="continue"/>
                  <w:vAlign w:val="center"/>
                </w:tcPr>
                <w:p w14:paraId="5BBEA4DD">
                  <w:pPr>
                    <w:pStyle w:val="148"/>
                    <w:jc w:val="center"/>
                    <w:rPr>
                      <w:rFonts w:hint="eastAsia" w:cs="Times New Roman"/>
                      <w:color w:val="auto"/>
                      <w:lang w:val="en-US" w:eastAsia="zh-CN"/>
                    </w:rPr>
                  </w:pPr>
                </w:p>
              </w:tc>
              <w:tc>
                <w:tcPr>
                  <w:tcW w:w="854" w:type="dxa"/>
                  <w:vMerge w:val="continue"/>
                  <w:vAlign w:val="center"/>
                </w:tcPr>
                <w:p w14:paraId="73BC08F5">
                  <w:pPr>
                    <w:pStyle w:val="148"/>
                    <w:jc w:val="center"/>
                    <w:rPr>
                      <w:rFonts w:hint="eastAsia" w:cs="Times New Roman"/>
                      <w:color w:val="auto"/>
                      <w:lang w:val="en-US" w:eastAsia="zh-CN"/>
                    </w:rPr>
                  </w:pPr>
                </w:p>
              </w:tc>
              <w:tc>
                <w:tcPr>
                  <w:tcW w:w="847" w:type="dxa"/>
                  <w:vAlign w:val="center"/>
                </w:tcPr>
                <w:p w14:paraId="68666C8D">
                  <w:pPr>
                    <w:pStyle w:val="146"/>
                    <w:jc w:val="center"/>
                    <w:rPr>
                      <w:rFonts w:hint="default" w:cs="Times New Roman"/>
                      <w:color w:val="auto"/>
                      <w:szCs w:val="21"/>
                      <w:lang w:val="en-US" w:eastAsia="zh-CN"/>
                    </w:rPr>
                  </w:pPr>
                  <w:r>
                    <w:rPr>
                      <w:rFonts w:hint="eastAsia" w:cs="Times New Roman"/>
                      <w:color w:val="auto"/>
                      <w:szCs w:val="21"/>
                      <w:lang w:val="en-US" w:eastAsia="zh-CN"/>
                    </w:rPr>
                    <w:t>NO</w:t>
                  </w:r>
                  <w:r>
                    <w:rPr>
                      <w:rFonts w:hint="eastAsia" w:cs="Times New Roman"/>
                      <w:color w:val="auto"/>
                      <w:szCs w:val="21"/>
                      <w:vertAlign w:val="subscript"/>
                      <w:lang w:val="en-US" w:eastAsia="zh-CN"/>
                    </w:rPr>
                    <w:t>X</w:t>
                  </w:r>
                </w:p>
              </w:tc>
              <w:tc>
                <w:tcPr>
                  <w:tcW w:w="1107" w:type="dxa"/>
                  <w:vAlign w:val="center"/>
                </w:tcPr>
                <w:p w14:paraId="589BFE67">
                  <w:pPr>
                    <w:widowControl/>
                    <w:jc w:val="center"/>
                    <w:textAlignment w:val="center"/>
                    <w:rPr>
                      <w:rFonts w:hint="default"/>
                      <w:color w:val="auto"/>
                      <w:szCs w:val="21"/>
                      <w:lang w:val="en-US" w:eastAsia="zh-CN" w:bidi="ar"/>
                    </w:rPr>
                  </w:pPr>
                  <w:r>
                    <w:rPr>
                      <w:rFonts w:hint="eastAsia" w:cs="Times New Roman"/>
                      <w:color w:val="auto"/>
                      <w:sz w:val="21"/>
                      <w:szCs w:val="21"/>
                      <w:lang w:val="en-US" w:eastAsia="zh-CN"/>
                    </w:rPr>
                    <w:t>83.3</w:t>
                  </w:r>
                </w:p>
              </w:tc>
              <w:tc>
                <w:tcPr>
                  <w:tcW w:w="967" w:type="dxa"/>
                  <w:vAlign w:val="center"/>
                </w:tcPr>
                <w:p w14:paraId="207AF48A">
                  <w:pPr>
                    <w:widowControl/>
                    <w:jc w:val="center"/>
                    <w:textAlignment w:val="center"/>
                    <w:rPr>
                      <w:rFonts w:hint="default"/>
                      <w:color w:val="auto"/>
                      <w:szCs w:val="21"/>
                      <w:lang w:val="en-US" w:eastAsia="zh-CN"/>
                    </w:rPr>
                  </w:pPr>
                  <w:r>
                    <w:rPr>
                      <w:rFonts w:hint="eastAsia"/>
                      <w:color w:val="auto"/>
                      <w:szCs w:val="21"/>
                      <w:lang w:val="en-US" w:eastAsia="zh-CN"/>
                    </w:rPr>
                    <w:t>0.435</w:t>
                  </w:r>
                </w:p>
              </w:tc>
              <w:tc>
                <w:tcPr>
                  <w:tcW w:w="736" w:type="dxa"/>
                  <w:vMerge w:val="continue"/>
                  <w:vAlign w:val="center"/>
                </w:tcPr>
                <w:p w14:paraId="13E5DFA4">
                  <w:pPr>
                    <w:pStyle w:val="148"/>
                    <w:jc w:val="center"/>
                    <w:rPr>
                      <w:rFonts w:cs="Times New Roman"/>
                      <w:color w:val="auto"/>
                    </w:rPr>
                  </w:pPr>
                </w:p>
              </w:tc>
              <w:tc>
                <w:tcPr>
                  <w:tcW w:w="709" w:type="dxa"/>
                  <w:vMerge w:val="continue"/>
                  <w:vAlign w:val="center"/>
                </w:tcPr>
                <w:p w14:paraId="096B39AB">
                  <w:pPr>
                    <w:pStyle w:val="148"/>
                    <w:jc w:val="center"/>
                    <w:rPr>
                      <w:rFonts w:hint="eastAsia" w:cs="Times New Roman"/>
                      <w:color w:val="auto"/>
                    </w:rPr>
                  </w:pPr>
                </w:p>
              </w:tc>
              <w:tc>
                <w:tcPr>
                  <w:tcW w:w="795" w:type="dxa"/>
                  <w:vAlign w:val="center"/>
                </w:tcPr>
                <w:p w14:paraId="05E3E78C">
                  <w:pPr>
                    <w:widowControl/>
                    <w:jc w:val="center"/>
                    <w:textAlignment w:val="center"/>
                    <w:rPr>
                      <w:rFonts w:hint="eastAsia"/>
                      <w:color w:val="auto"/>
                      <w:szCs w:val="21"/>
                      <w:lang w:val="en-US" w:eastAsia="zh-CN"/>
                    </w:rPr>
                  </w:pPr>
                  <w:r>
                    <w:rPr>
                      <w:rFonts w:hint="eastAsia"/>
                      <w:color w:val="auto"/>
                      <w:szCs w:val="21"/>
                      <w:lang w:val="en-US" w:eastAsia="zh-CN"/>
                    </w:rPr>
                    <w:t>0.87</w:t>
                  </w:r>
                </w:p>
              </w:tc>
              <w:tc>
                <w:tcPr>
                  <w:tcW w:w="723" w:type="dxa"/>
                  <w:vMerge w:val="continue"/>
                  <w:vAlign w:val="center"/>
                </w:tcPr>
                <w:p w14:paraId="08FB361F">
                  <w:pPr>
                    <w:pStyle w:val="148"/>
                    <w:jc w:val="center"/>
                    <w:rPr>
                      <w:rFonts w:hint="eastAsia" w:cs="Times New Roman"/>
                      <w:color w:val="auto"/>
                    </w:rPr>
                  </w:pPr>
                </w:p>
              </w:tc>
            </w:tr>
            <w:tr w14:paraId="5E411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452" w:type="dxa"/>
                  <w:vMerge w:val="continue"/>
                  <w:vAlign w:val="center"/>
                </w:tcPr>
                <w:p w14:paraId="67A05531">
                  <w:pPr>
                    <w:pStyle w:val="148"/>
                    <w:jc w:val="center"/>
                    <w:rPr>
                      <w:rFonts w:cs="Times New Roman"/>
                      <w:color w:val="auto"/>
                    </w:rPr>
                  </w:pPr>
                </w:p>
              </w:tc>
              <w:tc>
                <w:tcPr>
                  <w:tcW w:w="865" w:type="dxa"/>
                  <w:vMerge w:val="continue"/>
                  <w:vAlign w:val="center"/>
                </w:tcPr>
                <w:p w14:paraId="4B40DD67">
                  <w:pPr>
                    <w:pStyle w:val="148"/>
                    <w:jc w:val="center"/>
                    <w:rPr>
                      <w:rFonts w:hint="default" w:eastAsia="宋体" w:cs="Times New Roman"/>
                      <w:color w:val="auto"/>
                      <w:lang w:val="en-US" w:eastAsia="zh-CN"/>
                    </w:rPr>
                  </w:pPr>
                </w:p>
              </w:tc>
              <w:tc>
                <w:tcPr>
                  <w:tcW w:w="854" w:type="dxa"/>
                  <w:vMerge w:val="continue"/>
                  <w:vAlign w:val="center"/>
                </w:tcPr>
                <w:p w14:paraId="169D3434">
                  <w:pPr>
                    <w:pStyle w:val="148"/>
                    <w:jc w:val="center"/>
                    <w:rPr>
                      <w:rFonts w:cs="Times New Roman"/>
                      <w:color w:val="auto"/>
                    </w:rPr>
                  </w:pPr>
                </w:p>
              </w:tc>
              <w:tc>
                <w:tcPr>
                  <w:tcW w:w="847" w:type="dxa"/>
                  <w:vAlign w:val="center"/>
                </w:tcPr>
                <w:p w14:paraId="138C0CEB">
                  <w:pPr>
                    <w:pStyle w:val="146"/>
                    <w:jc w:val="center"/>
                    <w:rPr>
                      <w:rFonts w:hint="default" w:eastAsia="宋体" w:cs="Times New Roman"/>
                      <w:color w:val="auto"/>
                      <w:szCs w:val="21"/>
                      <w:lang w:val="en-US" w:eastAsia="zh-CN"/>
                    </w:rPr>
                  </w:pPr>
                  <w:r>
                    <w:rPr>
                      <w:rFonts w:hint="eastAsia" w:cs="Times New Roman"/>
                      <w:color w:val="auto"/>
                      <w:szCs w:val="21"/>
                      <w:lang w:val="en-US" w:eastAsia="zh-CN"/>
                    </w:rPr>
                    <w:t>CO</w:t>
                  </w:r>
                </w:p>
              </w:tc>
              <w:tc>
                <w:tcPr>
                  <w:tcW w:w="1107" w:type="dxa"/>
                  <w:vAlign w:val="center"/>
                </w:tcPr>
                <w:p w14:paraId="6ECF7524">
                  <w:pPr>
                    <w:widowControl/>
                    <w:jc w:val="center"/>
                    <w:textAlignment w:val="center"/>
                    <w:rPr>
                      <w:rFonts w:hint="default"/>
                      <w:color w:val="auto"/>
                      <w:szCs w:val="21"/>
                      <w:lang w:val="en-US"/>
                    </w:rPr>
                  </w:pPr>
                  <w:r>
                    <w:rPr>
                      <w:rFonts w:hint="eastAsia" w:cs="Times New Roman"/>
                      <w:color w:val="auto"/>
                      <w:sz w:val="21"/>
                      <w:szCs w:val="21"/>
                      <w:highlight w:val="none"/>
                      <w:lang w:val="en-US" w:eastAsia="zh-CN"/>
                    </w:rPr>
                    <w:t>152</w:t>
                  </w:r>
                </w:p>
              </w:tc>
              <w:tc>
                <w:tcPr>
                  <w:tcW w:w="967" w:type="dxa"/>
                  <w:vAlign w:val="center"/>
                </w:tcPr>
                <w:p w14:paraId="6E2E7808">
                  <w:pPr>
                    <w:widowControl/>
                    <w:jc w:val="center"/>
                    <w:textAlignment w:val="center"/>
                    <w:rPr>
                      <w:rFonts w:hint="default" w:eastAsia="宋体"/>
                      <w:color w:val="auto"/>
                      <w:szCs w:val="21"/>
                      <w:lang w:val="en-US" w:eastAsia="zh-CN"/>
                    </w:rPr>
                  </w:pPr>
                  <w:r>
                    <w:rPr>
                      <w:rFonts w:hint="eastAsia"/>
                      <w:color w:val="auto"/>
                      <w:szCs w:val="21"/>
                      <w:lang w:val="en-US" w:eastAsia="zh-CN"/>
                    </w:rPr>
                    <w:t>0.555</w:t>
                  </w:r>
                </w:p>
              </w:tc>
              <w:tc>
                <w:tcPr>
                  <w:tcW w:w="736" w:type="dxa"/>
                  <w:vMerge w:val="continue"/>
                  <w:vAlign w:val="center"/>
                </w:tcPr>
                <w:p w14:paraId="11D9F886">
                  <w:pPr>
                    <w:pStyle w:val="148"/>
                    <w:jc w:val="center"/>
                    <w:rPr>
                      <w:rFonts w:cs="Times New Roman"/>
                      <w:color w:val="auto"/>
                    </w:rPr>
                  </w:pPr>
                </w:p>
              </w:tc>
              <w:tc>
                <w:tcPr>
                  <w:tcW w:w="709" w:type="dxa"/>
                  <w:vMerge w:val="continue"/>
                  <w:vAlign w:val="center"/>
                </w:tcPr>
                <w:p w14:paraId="3E3454B4">
                  <w:pPr>
                    <w:pStyle w:val="148"/>
                    <w:jc w:val="center"/>
                    <w:rPr>
                      <w:rFonts w:cs="Times New Roman"/>
                      <w:color w:val="auto"/>
                    </w:rPr>
                  </w:pPr>
                </w:p>
              </w:tc>
              <w:tc>
                <w:tcPr>
                  <w:tcW w:w="795" w:type="dxa"/>
                  <w:vAlign w:val="center"/>
                </w:tcPr>
                <w:p w14:paraId="4F0FB048">
                  <w:pPr>
                    <w:widowControl/>
                    <w:jc w:val="center"/>
                    <w:textAlignment w:val="center"/>
                    <w:rPr>
                      <w:rFonts w:hint="default"/>
                      <w:color w:val="auto"/>
                      <w:szCs w:val="21"/>
                      <w:lang w:val="en-US" w:eastAsia="zh-CN"/>
                    </w:rPr>
                  </w:pPr>
                  <w:r>
                    <w:rPr>
                      <w:rFonts w:hint="eastAsia"/>
                      <w:color w:val="auto"/>
                      <w:szCs w:val="21"/>
                      <w:lang w:val="en-US" w:eastAsia="zh-CN"/>
                    </w:rPr>
                    <w:t>1.11</w:t>
                  </w:r>
                </w:p>
              </w:tc>
              <w:tc>
                <w:tcPr>
                  <w:tcW w:w="723" w:type="dxa"/>
                  <w:vMerge w:val="continue"/>
                  <w:vAlign w:val="center"/>
                </w:tcPr>
                <w:p w14:paraId="3BA0DD97">
                  <w:pPr>
                    <w:pStyle w:val="148"/>
                    <w:jc w:val="center"/>
                    <w:rPr>
                      <w:rFonts w:cs="Times New Roman"/>
                      <w:color w:val="auto"/>
                    </w:rPr>
                  </w:pPr>
                </w:p>
              </w:tc>
            </w:tr>
          </w:tbl>
          <w:p w14:paraId="35357E73">
            <w:pPr>
              <w:adjustRightInd w:val="0"/>
              <w:snapToGrid w:val="0"/>
              <w:spacing w:before="240" w:beforeLines="100" w:line="360" w:lineRule="auto"/>
              <w:ind w:firstLine="382" w:firstLineChars="200"/>
              <w:rPr>
                <w:rFonts w:cs="宋体"/>
                <w:b/>
                <w:color w:val="auto"/>
                <w:spacing w:val="-10"/>
                <w:szCs w:val="21"/>
              </w:rPr>
            </w:pPr>
            <w:r>
              <w:rPr>
                <w:rFonts w:hint="eastAsia" w:cs="宋体"/>
                <w:b/>
                <w:color w:val="auto"/>
                <w:spacing w:val="-10"/>
                <w:szCs w:val="21"/>
              </w:rPr>
              <w:t>4、</w:t>
            </w:r>
            <w:r>
              <w:rPr>
                <w:rFonts w:hint="eastAsia" w:cs="华文楷体"/>
                <w:b/>
                <w:color w:val="auto"/>
                <w:szCs w:val="21"/>
              </w:rPr>
              <w:t>环保措施可行性分析</w:t>
            </w:r>
          </w:p>
          <w:p w14:paraId="06D6D391">
            <w:pPr>
              <w:adjustRightInd w:val="0"/>
              <w:snapToGrid w:val="0"/>
              <w:spacing w:line="360" w:lineRule="auto"/>
              <w:ind w:firstLine="420" w:firstLineChars="200"/>
              <w:rPr>
                <w:rFonts w:hint="eastAsia" w:cs="华文楷体"/>
                <w:bCs/>
                <w:color w:val="auto"/>
                <w:szCs w:val="21"/>
                <w:lang w:val="en-US" w:eastAsia="zh-CN"/>
              </w:rPr>
            </w:pPr>
            <w:r>
              <w:rPr>
                <w:rFonts w:hint="eastAsia" w:cs="华文楷体"/>
                <w:bCs/>
                <w:color w:val="auto"/>
                <w:szCs w:val="21"/>
                <w:lang w:val="en-US" w:eastAsia="zh-CN"/>
              </w:rPr>
              <w:t>氮氧化物的处理：本项目采用低氮燃烧技术来降低NOx 的形成，低氮燃烧器是通过调节燃烧温度、烟气中的氧的浓度、烟气在高温区的停留时间等方法来抑制NOx的生成或破坏已产生的NOx。通过特殊设计的燃烧器结构，控制燃烧器喉部燃料和空气的动量及流动方向，使燃烧器出口实现分级送风并与燃料合理配比，减少NOx生成的技术。低氮燃烧技术具有不需要添加脱硝剂，投资和运行费用低，运行简单、维护方便无二次污染等特点。根据《排污许可证申请与核发技术规范 锅炉》（HJ953-2018）表 7，低氮燃烧属于锅炉烟气污染防治可行技术。</w:t>
            </w:r>
          </w:p>
          <w:p w14:paraId="1FDD25E0">
            <w:pPr>
              <w:adjustRightInd w:val="0"/>
              <w:snapToGrid w:val="0"/>
              <w:spacing w:line="360" w:lineRule="auto"/>
              <w:ind w:firstLine="420" w:firstLineChars="200"/>
              <w:rPr>
                <w:rFonts w:hint="default" w:cs="Times New Roman"/>
                <w:color w:val="auto"/>
                <w:sz w:val="21"/>
                <w:szCs w:val="21"/>
                <w:highlight w:val="none"/>
                <w:lang w:val="en-US" w:eastAsia="zh-CN"/>
              </w:rPr>
            </w:pPr>
            <w:r>
              <w:rPr>
                <w:rFonts w:hint="eastAsia" w:cs="华文楷体"/>
                <w:bCs/>
                <w:color w:val="auto"/>
                <w:szCs w:val="21"/>
                <w:lang w:val="en-US" w:eastAsia="zh-CN"/>
              </w:rPr>
              <w:t>颗粒物的处理：采用旋风除尘+水膜除尘+静电除尘组合技术，旋风除尘</w:t>
            </w:r>
            <w:r>
              <w:rPr>
                <w:rFonts w:hint="eastAsia" w:ascii="Times New Roman" w:hAnsi="Times New Roman" w:eastAsia="宋体" w:cs="Times New Roman"/>
                <w:color w:val="auto"/>
                <w:sz w:val="21"/>
                <w:szCs w:val="21"/>
                <w:highlight w:val="none"/>
                <w:lang w:val="en-US" w:eastAsia="zh-CN"/>
              </w:rPr>
              <w:t>是一种干式机械除尘设备，通过陶瓷旋风子的离心分离作用去除烟气中的粉尘颗粒</w:t>
            </w:r>
            <w:r>
              <w:rPr>
                <w:rFonts w:hint="eastAsia" w:cs="Times New Roman"/>
                <w:color w:val="auto"/>
                <w:sz w:val="21"/>
                <w:szCs w:val="21"/>
                <w:highlight w:val="none"/>
                <w:lang w:val="en-US" w:eastAsia="zh-CN"/>
              </w:rPr>
              <w:t>。水膜除尘器是一种利用含尘气体冲击除尘器内壁或其他特殊构件上形成的水膜，使粉尘被水膜捕获，从而实现气体净化的设备。含尘气体从筒体下部进风口沿切线方向进入后旋转上升，使尘粒受到离心力作用被抛向筒体内壁，同时，沿筒体内壁向下流动的水膜黏附捕集尘粒，并从下部排出，净化后的气体通过筒体上部锥体部分引出，达到除尘目的。</w:t>
            </w:r>
          </w:p>
          <w:p w14:paraId="132581F6">
            <w:pPr>
              <w:adjustRightInd w:val="0"/>
              <w:snapToGrid w:val="0"/>
              <w:spacing w:line="360" w:lineRule="auto"/>
              <w:ind w:firstLine="420" w:firstLineChars="20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静电除尘是一种利用静电原理去除废气中颗粒物的高效除尘设备，因其高效、稳定的性能，在工业废气处理领域得到了广泛应用。静电除尘器的核心原理是利用高压电场使气体电离，产生大量自由电子和离子。当废气中的颗粒物（如粉尘）通过电场时，这些颗粒物会被电离的气体中的离子或自由电子荷电，从而带上电荷。荷电后的颗粒物在电场力的作用下，向电极移动并沉积在电极上，最终通过振打等方式清除。</w:t>
            </w:r>
          </w:p>
          <w:p w14:paraId="682BCD97">
            <w:pPr>
              <w:adjustRightInd w:val="0"/>
              <w:snapToGrid w:val="0"/>
              <w:spacing w:line="360" w:lineRule="auto"/>
              <w:ind w:firstLine="420" w:firstLineChars="20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根据《排放源统计调查产排污核算方法和系数手册》（公告2021年第24号）中的4430 工业锅炉（热力生产和供应行业）颗粒物末端治理技术有单筒（多筒并联）旋风除尘法、多管旋风除尘法、文丘里离心水膜、喷淋塔/冲击水浴、静电除尘、袋式除尘、电袋组合、湿式喷雾，因此本项目采用旋风除尘+水膜除尘+静电除尘组合技术是可行的。</w:t>
            </w:r>
          </w:p>
          <w:p w14:paraId="482F4EA6">
            <w:pPr>
              <w:adjustRightInd w:val="0"/>
              <w:snapToGrid w:val="0"/>
              <w:spacing w:line="360" w:lineRule="auto"/>
              <w:ind w:firstLine="420" w:firstLineChars="200"/>
              <w:rPr>
                <w:rFonts w:cs="华文楷体"/>
                <w:color w:val="auto"/>
                <w:szCs w:val="21"/>
              </w:rPr>
            </w:pPr>
            <w:r>
              <w:rPr>
                <w:rFonts w:hint="eastAsia" w:cs="华文楷体"/>
                <w:color w:val="auto"/>
                <w:szCs w:val="21"/>
              </w:rPr>
              <w:t>综上分析，本项目拟采取的废气治理措施是可行的。</w:t>
            </w:r>
          </w:p>
          <w:bookmarkEnd w:id="24"/>
          <w:p w14:paraId="1CD538ED">
            <w:pPr>
              <w:adjustRightInd w:val="0"/>
              <w:snapToGrid w:val="0"/>
              <w:spacing w:line="360" w:lineRule="auto"/>
              <w:ind w:firstLine="422" w:firstLineChars="200"/>
              <w:rPr>
                <w:color w:val="auto"/>
              </w:rPr>
            </w:pPr>
            <w:r>
              <w:rPr>
                <w:rFonts w:hint="eastAsia" w:cs="华文楷体"/>
                <w:b/>
                <w:color w:val="auto"/>
                <w:szCs w:val="21"/>
              </w:rPr>
              <w:t>5、环境影响分析</w:t>
            </w:r>
          </w:p>
          <w:p w14:paraId="784499DB">
            <w:pPr>
              <w:snapToGrid w:val="0"/>
              <w:spacing w:line="360" w:lineRule="auto"/>
              <w:ind w:firstLine="420" w:firstLineChars="200"/>
              <w:jc w:val="left"/>
              <w:rPr>
                <w:b/>
                <w:bCs/>
                <w:color w:val="auto"/>
                <w:szCs w:val="21"/>
              </w:rPr>
            </w:pPr>
            <w:r>
              <w:rPr>
                <w:rFonts w:hint="eastAsia"/>
                <w:color w:val="auto"/>
              </w:rPr>
              <w:t>项目所在地属于环境空气达标区，根据上文分析，本项目大气污染物经处理后可做到达标排放；本项目采用的废气治理措施成熟有效，切实可行，因此本项目废气排放对周边环境影响较小。</w:t>
            </w:r>
          </w:p>
          <w:p w14:paraId="4F80CA9C">
            <w:pPr>
              <w:snapToGrid w:val="0"/>
              <w:spacing w:line="360" w:lineRule="auto"/>
              <w:ind w:firstLine="422" w:firstLineChars="200"/>
              <w:jc w:val="left"/>
              <w:rPr>
                <w:b/>
                <w:bCs/>
                <w:color w:val="auto"/>
                <w:szCs w:val="21"/>
              </w:rPr>
            </w:pPr>
            <w:r>
              <w:rPr>
                <w:rFonts w:hint="eastAsia"/>
                <w:b/>
                <w:bCs/>
                <w:color w:val="auto"/>
                <w:szCs w:val="21"/>
              </w:rPr>
              <w:t>6、废气自行监测</w:t>
            </w:r>
          </w:p>
          <w:p w14:paraId="0F9E8DF1">
            <w:pPr>
              <w:snapToGrid w:val="0"/>
              <w:spacing w:line="360" w:lineRule="auto"/>
              <w:ind w:firstLine="420" w:firstLineChars="200"/>
              <w:jc w:val="left"/>
              <w:rPr>
                <w:bCs/>
                <w:color w:val="auto"/>
                <w:szCs w:val="21"/>
                <w:lang w:bidi="ar"/>
              </w:rPr>
            </w:pPr>
            <w:r>
              <w:rPr>
                <w:rFonts w:hint="eastAsia" w:ascii="宋体" w:hAnsi="宋体" w:cs="宋体"/>
                <w:bCs/>
                <w:color w:val="auto"/>
                <w:szCs w:val="21"/>
                <w:lang w:bidi="ar"/>
              </w:rPr>
              <w:t>根据《排污单位自行监测技</w:t>
            </w:r>
            <w:r>
              <w:rPr>
                <w:bCs/>
                <w:color w:val="auto"/>
                <w:szCs w:val="21"/>
                <w:lang w:bidi="ar"/>
              </w:rPr>
              <w:t xml:space="preserve">术指南 </w:t>
            </w:r>
            <w:r>
              <w:rPr>
                <w:rFonts w:hint="eastAsia"/>
                <w:bCs/>
                <w:color w:val="auto"/>
                <w:szCs w:val="21"/>
                <w:lang w:val="en-US" w:eastAsia="zh-CN" w:bidi="ar"/>
              </w:rPr>
              <w:t>火力发电及锅炉</w:t>
            </w:r>
            <w:r>
              <w:rPr>
                <w:bCs/>
                <w:color w:val="auto"/>
                <w:szCs w:val="21"/>
                <w:lang w:bidi="ar"/>
              </w:rPr>
              <w:t>》（HJ8</w:t>
            </w:r>
            <w:r>
              <w:rPr>
                <w:rFonts w:hint="eastAsia"/>
                <w:bCs/>
                <w:color w:val="auto"/>
                <w:szCs w:val="21"/>
                <w:lang w:val="en-US" w:eastAsia="zh-CN" w:bidi="ar"/>
              </w:rPr>
              <w:t>20</w:t>
            </w:r>
            <w:r>
              <w:rPr>
                <w:bCs/>
                <w:color w:val="auto"/>
                <w:szCs w:val="21"/>
                <w:lang w:bidi="ar"/>
              </w:rPr>
              <w:t>-2017）</w:t>
            </w:r>
            <w:r>
              <w:rPr>
                <w:rFonts w:hint="eastAsia"/>
                <w:bCs/>
                <w:color w:val="auto"/>
                <w:szCs w:val="21"/>
                <w:lang w:bidi="ar"/>
              </w:rPr>
              <w:t>，本项目废气自行监测见下表：</w:t>
            </w:r>
          </w:p>
          <w:p w14:paraId="247D9514">
            <w:pPr>
              <w:snapToGrid w:val="0"/>
              <w:spacing w:line="360" w:lineRule="auto"/>
              <w:jc w:val="center"/>
              <w:rPr>
                <w:b/>
                <w:color w:val="auto"/>
                <w:szCs w:val="21"/>
                <w:lang w:bidi="ar"/>
              </w:rPr>
            </w:pPr>
            <w:r>
              <w:rPr>
                <w:rFonts w:hint="eastAsia"/>
                <w:b/>
                <w:color w:val="auto"/>
                <w:szCs w:val="21"/>
                <w:lang w:bidi="ar"/>
              </w:rPr>
              <w:t>表4-</w:t>
            </w:r>
            <w:r>
              <w:rPr>
                <w:rFonts w:hint="eastAsia"/>
                <w:b/>
                <w:color w:val="auto"/>
                <w:szCs w:val="21"/>
                <w:lang w:val="en-US" w:eastAsia="zh-CN" w:bidi="ar"/>
              </w:rPr>
              <w:t>4</w:t>
            </w:r>
            <w:r>
              <w:rPr>
                <w:rFonts w:hint="eastAsia"/>
                <w:b/>
                <w:color w:val="auto"/>
                <w:szCs w:val="21"/>
                <w:lang w:bidi="ar"/>
              </w:rPr>
              <w:t xml:space="preserve"> 本项目废气自行监测计划</w:t>
            </w:r>
          </w:p>
          <w:tbl>
            <w:tblPr>
              <w:tblStyle w:val="36"/>
              <w:tblW w:w="48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9"/>
              <w:gridCol w:w="1609"/>
              <w:gridCol w:w="2730"/>
              <w:gridCol w:w="1656"/>
            </w:tblGrid>
            <w:tr w14:paraId="201BC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pct"/>
                  <w:vAlign w:val="center"/>
                </w:tcPr>
                <w:p w14:paraId="6DE6B162">
                  <w:pPr>
                    <w:pStyle w:val="82"/>
                    <w:spacing w:before="0" w:beforeLines="0" w:line="240" w:lineRule="auto"/>
                    <w:ind w:firstLine="0" w:firstLineChars="0"/>
                    <w:jc w:val="center"/>
                    <w:rPr>
                      <w:b/>
                      <w:bCs/>
                      <w:color w:val="auto"/>
                    </w:rPr>
                  </w:pPr>
                  <w:r>
                    <w:rPr>
                      <w:rFonts w:hint="eastAsia"/>
                      <w:b/>
                      <w:bCs/>
                      <w:color w:val="auto"/>
                    </w:rPr>
                    <w:t>类别</w:t>
                  </w:r>
                </w:p>
              </w:tc>
              <w:tc>
                <w:tcPr>
                  <w:tcW w:w="1033" w:type="pct"/>
                  <w:vAlign w:val="center"/>
                </w:tcPr>
                <w:p w14:paraId="787BAE1B">
                  <w:pPr>
                    <w:pStyle w:val="82"/>
                    <w:spacing w:before="0" w:beforeLines="0" w:line="240" w:lineRule="auto"/>
                    <w:ind w:firstLine="0" w:firstLineChars="0"/>
                    <w:jc w:val="center"/>
                    <w:rPr>
                      <w:b/>
                      <w:bCs/>
                      <w:color w:val="auto"/>
                    </w:rPr>
                  </w:pPr>
                  <w:r>
                    <w:rPr>
                      <w:rFonts w:hint="eastAsia"/>
                      <w:b/>
                      <w:bCs/>
                      <w:color w:val="auto"/>
                    </w:rPr>
                    <w:t>监测点位</w:t>
                  </w:r>
                </w:p>
              </w:tc>
              <w:tc>
                <w:tcPr>
                  <w:tcW w:w="1753" w:type="pct"/>
                  <w:vAlign w:val="center"/>
                </w:tcPr>
                <w:p w14:paraId="1D281EE1">
                  <w:pPr>
                    <w:pStyle w:val="82"/>
                    <w:spacing w:before="0" w:beforeLines="0" w:line="240" w:lineRule="auto"/>
                    <w:ind w:firstLine="0" w:firstLineChars="0"/>
                    <w:jc w:val="center"/>
                    <w:rPr>
                      <w:b/>
                      <w:bCs/>
                      <w:color w:val="auto"/>
                    </w:rPr>
                  </w:pPr>
                  <w:r>
                    <w:rPr>
                      <w:rFonts w:hint="eastAsia"/>
                      <w:b/>
                      <w:bCs/>
                      <w:color w:val="auto"/>
                    </w:rPr>
                    <w:t>监测指标</w:t>
                  </w:r>
                </w:p>
              </w:tc>
              <w:tc>
                <w:tcPr>
                  <w:tcW w:w="1063" w:type="pct"/>
                  <w:vAlign w:val="center"/>
                </w:tcPr>
                <w:p w14:paraId="167B5CF6">
                  <w:pPr>
                    <w:pStyle w:val="82"/>
                    <w:spacing w:before="0" w:beforeLines="0" w:line="240" w:lineRule="auto"/>
                    <w:ind w:firstLine="0" w:firstLineChars="0"/>
                    <w:jc w:val="center"/>
                    <w:rPr>
                      <w:b/>
                      <w:bCs/>
                      <w:color w:val="auto"/>
                    </w:rPr>
                  </w:pPr>
                  <w:r>
                    <w:rPr>
                      <w:rFonts w:hint="eastAsia"/>
                      <w:b/>
                      <w:bCs/>
                      <w:color w:val="auto"/>
                    </w:rPr>
                    <w:t>监测频次</w:t>
                  </w:r>
                </w:p>
              </w:tc>
            </w:tr>
            <w:tr w14:paraId="43EC9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9" w:type="pct"/>
                  <w:vAlign w:val="center"/>
                </w:tcPr>
                <w:p w14:paraId="7A368923">
                  <w:pPr>
                    <w:pStyle w:val="82"/>
                    <w:spacing w:before="0" w:beforeLines="0" w:line="240" w:lineRule="auto"/>
                    <w:ind w:firstLine="0" w:firstLineChars="0"/>
                    <w:jc w:val="center"/>
                    <w:rPr>
                      <w:color w:val="auto"/>
                    </w:rPr>
                  </w:pPr>
                  <w:r>
                    <w:rPr>
                      <w:rFonts w:hint="eastAsia"/>
                      <w:color w:val="auto"/>
                    </w:rPr>
                    <w:t>有组织废气</w:t>
                  </w:r>
                </w:p>
              </w:tc>
              <w:tc>
                <w:tcPr>
                  <w:tcW w:w="1033" w:type="pct"/>
                  <w:vAlign w:val="center"/>
                </w:tcPr>
                <w:p w14:paraId="5C4C4DEC">
                  <w:pPr>
                    <w:pStyle w:val="82"/>
                    <w:spacing w:before="0" w:beforeLines="0" w:line="240" w:lineRule="auto"/>
                    <w:ind w:firstLine="0" w:firstLineChars="0"/>
                    <w:jc w:val="center"/>
                    <w:rPr>
                      <w:rFonts w:hint="eastAsia" w:eastAsia="宋体"/>
                      <w:color w:val="auto"/>
                      <w:lang w:eastAsia="zh-CN"/>
                    </w:rPr>
                  </w:pPr>
                  <w:r>
                    <w:rPr>
                      <w:rFonts w:hint="eastAsia"/>
                      <w:color w:val="auto"/>
                      <w:lang w:val="en-US" w:eastAsia="zh-CN"/>
                    </w:rPr>
                    <w:t>锅炉废气排放口</w:t>
                  </w:r>
                  <w:r>
                    <w:rPr>
                      <w:rFonts w:hint="eastAsia"/>
                      <w:color w:val="auto"/>
                    </w:rPr>
                    <w:t>DA00</w:t>
                  </w:r>
                  <w:r>
                    <w:rPr>
                      <w:rFonts w:hint="eastAsia"/>
                      <w:color w:val="auto"/>
                      <w:lang w:val="en-US" w:eastAsia="zh-CN"/>
                    </w:rPr>
                    <w:t>1</w:t>
                  </w:r>
                </w:p>
              </w:tc>
              <w:tc>
                <w:tcPr>
                  <w:tcW w:w="1753" w:type="pct"/>
                  <w:vAlign w:val="center"/>
                </w:tcPr>
                <w:p w14:paraId="590CC3ED">
                  <w:pPr>
                    <w:pStyle w:val="82"/>
                    <w:spacing w:before="0" w:beforeLines="0" w:line="240" w:lineRule="auto"/>
                    <w:ind w:firstLine="0" w:firstLineChars="0"/>
                    <w:jc w:val="center"/>
                    <w:rPr>
                      <w:rFonts w:hint="default"/>
                      <w:color w:val="auto"/>
                      <w:lang w:val="en-US"/>
                    </w:rPr>
                  </w:pPr>
                  <w:r>
                    <w:rPr>
                      <w:rFonts w:hint="eastAsia"/>
                      <w:color w:val="auto"/>
                    </w:rPr>
                    <w:t>颗粒物</w:t>
                  </w:r>
                  <w:r>
                    <w:rPr>
                      <w:rFonts w:hint="eastAsia"/>
                      <w:color w:val="auto"/>
                      <w:lang w:eastAsia="zh-CN"/>
                    </w:rPr>
                    <w:t>、</w:t>
                  </w:r>
                  <w:r>
                    <w:rPr>
                      <w:rFonts w:hint="eastAsia"/>
                      <w:color w:val="auto"/>
                      <w:lang w:val="en-US" w:eastAsia="zh-CN"/>
                    </w:rPr>
                    <w:t>二氧化硫、氮氧化物、一氧化碳、烟气黑度</w:t>
                  </w:r>
                </w:p>
              </w:tc>
              <w:tc>
                <w:tcPr>
                  <w:tcW w:w="1063" w:type="pct"/>
                  <w:vAlign w:val="center"/>
                </w:tcPr>
                <w:p w14:paraId="2D124FF1">
                  <w:pPr>
                    <w:pStyle w:val="82"/>
                    <w:spacing w:before="0" w:beforeLines="0" w:line="240" w:lineRule="auto"/>
                    <w:ind w:firstLine="0" w:firstLineChars="0"/>
                    <w:jc w:val="center"/>
                    <w:rPr>
                      <w:rFonts w:hint="eastAsia" w:eastAsia="宋体"/>
                      <w:color w:val="auto"/>
                      <w:lang w:val="en-US" w:eastAsia="zh-CN"/>
                    </w:rPr>
                  </w:pPr>
                  <w:r>
                    <w:rPr>
                      <w:rFonts w:hint="eastAsia"/>
                      <w:color w:val="auto"/>
                    </w:rPr>
                    <w:t>1次/</w:t>
                  </w:r>
                  <w:r>
                    <w:rPr>
                      <w:rFonts w:hint="eastAsia"/>
                      <w:color w:val="auto"/>
                      <w:lang w:val="en-US" w:eastAsia="zh-CN"/>
                    </w:rPr>
                    <w:t>月</w:t>
                  </w:r>
                </w:p>
              </w:tc>
            </w:tr>
          </w:tbl>
          <w:p w14:paraId="657A7016">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22" w:firstLineChars="200"/>
              <w:jc w:val="left"/>
              <w:textAlignment w:val="auto"/>
              <w:rPr>
                <w:rFonts w:hint="default" w:eastAsia="宋体"/>
                <w:b/>
                <w:bCs/>
                <w:color w:val="auto"/>
                <w:szCs w:val="21"/>
                <w:lang w:val="en-US" w:eastAsia="zh-CN"/>
              </w:rPr>
            </w:pPr>
            <w:r>
              <w:rPr>
                <w:rFonts w:hint="eastAsia"/>
                <w:b/>
                <w:bCs/>
                <w:color w:val="auto"/>
                <w:szCs w:val="21"/>
                <w:lang w:val="en-US" w:eastAsia="zh-CN"/>
              </w:rPr>
              <w:t>7</w:t>
            </w:r>
            <w:r>
              <w:rPr>
                <w:rFonts w:hint="eastAsia"/>
                <w:b/>
                <w:bCs/>
                <w:color w:val="auto"/>
                <w:szCs w:val="21"/>
              </w:rPr>
              <w:t>、</w:t>
            </w:r>
            <w:r>
              <w:rPr>
                <w:rFonts w:hint="eastAsia"/>
                <w:b/>
                <w:bCs/>
                <w:color w:val="auto"/>
                <w:szCs w:val="21"/>
                <w:lang w:eastAsia="zh-CN"/>
              </w:rPr>
              <w:t>“</w:t>
            </w:r>
            <w:r>
              <w:rPr>
                <w:rFonts w:hint="eastAsia"/>
                <w:b/>
                <w:bCs/>
                <w:color w:val="auto"/>
                <w:szCs w:val="21"/>
                <w:lang w:val="en-US" w:eastAsia="zh-CN"/>
              </w:rPr>
              <w:t>以新代老</w:t>
            </w:r>
            <w:r>
              <w:rPr>
                <w:rFonts w:hint="eastAsia"/>
                <w:b/>
                <w:bCs/>
                <w:color w:val="auto"/>
                <w:szCs w:val="21"/>
                <w:lang w:eastAsia="zh-CN"/>
              </w:rPr>
              <w:t>”</w:t>
            </w:r>
            <w:r>
              <w:rPr>
                <w:rFonts w:hint="eastAsia"/>
                <w:b/>
                <w:bCs/>
                <w:color w:val="auto"/>
                <w:szCs w:val="21"/>
                <w:lang w:val="en-US" w:eastAsia="zh-CN"/>
              </w:rPr>
              <w:t>削减源</w:t>
            </w:r>
          </w:p>
          <w:p w14:paraId="2BA8E35C">
            <w:pPr>
              <w:pStyle w:val="33"/>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eastAsia="宋体"/>
                <w:b w:val="0"/>
                <w:bCs w:val="0"/>
                <w:color w:val="auto"/>
                <w:lang w:val="en-US" w:eastAsia="zh-CN" w:bidi="ar"/>
              </w:rPr>
            </w:pPr>
            <w:r>
              <w:rPr>
                <w:rFonts w:hint="eastAsia"/>
                <w:b w:val="0"/>
                <w:bCs w:val="0"/>
                <w:color w:val="auto"/>
                <w:lang w:val="en-US" w:eastAsia="zh-CN" w:bidi="ar"/>
              </w:rPr>
              <w:t>现有项目热压工序产生的VOCs采用UV光解单一处理装置，属于低效VOCs处理设施，根据监测数据核算现有项目VOCs排放量为0.038t/a，UV光解处理效率按10%计，则VOCs产生量为0.042t/a。技改后采用活性炭吸附装置，参考《广东省家具制造行业挥发性有机废气治理技术指南》，活性炭吸附法治理效率为50~80%，本报告取65%，则VOCs排放量为0.015t/a，削减量为0.023t/a。</w:t>
            </w:r>
          </w:p>
          <w:p w14:paraId="1CA484C5">
            <w:pPr>
              <w:pStyle w:val="33"/>
              <w:keepNext w:val="0"/>
              <w:keepLines w:val="0"/>
              <w:pageBreakBefore w:val="0"/>
              <w:widowControl w:val="0"/>
              <w:kinsoku/>
              <w:wordWrap/>
              <w:overflowPunct/>
              <w:topLinePunct w:val="0"/>
              <w:autoSpaceDE/>
              <w:autoSpaceDN/>
              <w:bidi w:val="0"/>
              <w:adjustRightInd/>
              <w:snapToGrid/>
              <w:spacing w:before="157" w:beforeLines="50" w:after="0" w:line="360" w:lineRule="auto"/>
              <w:ind w:firstLine="422" w:firstLineChars="200"/>
              <w:textAlignment w:val="auto"/>
              <w:rPr>
                <w:b/>
                <w:bCs/>
                <w:color w:val="auto"/>
                <w:lang w:bidi="ar"/>
              </w:rPr>
            </w:pPr>
            <w:r>
              <w:rPr>
                <w:b/>
                <w:bCs/>
                <w:color w:val="auto"/>
                <w:lang w:bidi="ar"/>
              </w:rPr>
              <w:t>二、废水</w:t>
            </w:r>
          </w:p>
          <w:p w14:paraId="4476E2E8">
            <w:pPr>
              <w:pStyle w:val="84"/>
              <w:adjustRightInd w:val="0"/>
              <w:snapToGrid w:val="0"/>
              <w:spacing w:before="120" w:beforeLines="50"/>
              <w:ind w:left="0" w:leftChars="0" w:firstLine="420" w:firstLineChars="200"/>
              <w:rPr>
                <w:rFonts w:hint="default" w:ascii="Times New Roman" w:hAnsi="Times New Roman" w:eastAsia="宋体"/>
                <w:b w:val="0"/>
                <w:bCs/>
                <w:color w:val="auto"/>
                <w:sz w:val="21"/>
                <w:szCs w:val="21"/>
                <w:lang w:val="en-US" w:eastAsia="zh-CN"/>
              </w:rPr>
            </w:pPr>
            <w:r>
              <w:rPr>
                <w:rFonts w:hint="eastAsia" w:ascii="Times New Roman" w:hAnsi="Times New Roman"/>
                <w:b w:val="0"/>
                <w:bCs/>
                <w:color w:val="auto"/>
                <w:sz w:val="21"/>
                <w:szCs w:val="21"/>
              </w:rPr>
              <w:t>根据建设单位提供资料，本项目现有工程劳动定员</w:t>
            </w:r>
            <w:r>
              <w:rPr>
                <w:rFonts w:hint="eastAsia" w:ascii="Times New Roman" w:hAnsi="Times New Roman"/>
                <w:b w:val="0"/>
                <w:bCs/>
                <w:color w:val="auto"/>
                <w:sz w:val="21"/>
                <w:szCs w:val="21"/>
                <w:lang w:val="en-US" w:eastAsia="zh-CN"/>
              </w:rPr>
              <w:t>68</w:t>
            </w:r>
            <w:r>
              <w:rPr>
                <w:rFonts w:hint="eastAsia" w:ascii="Times New Roman" w:hAnsi="Times New Roman"/>
                <w:b w:val="0"/>
                <w:bCs/>
                <w:color w:val="auto"/>
                <w:sz w:val="21"/>
                <w:szCs w:val="21"/>
              </w:rPr>
              <w:t>人，本项目不新增员工，不新增生活用水量，故本项目无</w:t>
            </w:r>
            <w:r>
              <w:rPr>
                <w:rFonts w:hint="eastAsia" w:ascii="Times New Roman" w:hAnsi="Times New Roman"/>
                <w:b w:val="0"/>
                <w:bCs/>
                <w:color w:val="auto"/>
                <w:sz w:val="21"/>
                <w:szCs w:val="21"/>
                <w:lang w:val="en-US" w:eastAsia="zh-CN"/>
              </w:rPr>
              <w:t>新增</w:t>
            </w:r>
            <w:r>
              <w:rPr>
                <w:rFonts w:hint="eastAsia" w:ascii="Times New Roman" w:hAnsi="Times New Roman"/>
                <w:b w:val="0"/>
                <w:bCs/>
                <w:color w:val="auto"/>
                <w:sz w:val="21"/>
                <w:szCs w:val="21"/>
              </w:rPr>
              <w:t>生活污水</w:t>
            </w:r>
            <w:r>
              <w:rPr>
                <w:rFonts w:hint="eastAsia" w:ascii="Times New Roman" w:hAnsi="Times New Roman"/>
                <w:b w:val="0"/>
                <w:bCs/>
                <w:color w:val="auto"/>
                <w:sz w:val="21"/>
                <w:szCs w:val="21"/>
                <w:lang w:eastAsia="zh-CN"/>
              </w:rPr>
              <w:t>。</w:t>
            </w:r>
            <w:r>
              <w:rPr>
                <w:rFonts w:hint="eastAsia" w:ascii="Times New Roman" w:hAnsi="Times New Roman"/>
                <w:b w:val="0"/>
                <w:bCs/>
                <w:color w:val="auto"/>
                <w:sz w:val="21"/>
                <w:szCs w:val="21"/>
                <w:lang w:val="en-US" w:eastAsia="zh-CN"/>
              </w:rPr>
              <w:t>锅炉废气水膜除尘废水经沉淀后循环使用，不外排。由于蒸发损耗，需定期补充新鲜水，项目烟气量为1461.6万m</w:t>
            </w:r>
            <w:r>
              <w:rPr>
                <w:rFonts w:hint="eastAsia" w:ascii="Times New Roman" w:hAnsi="Times New Roman"/>
                <w:b w:val="0"/>
                <w:bCs/>
                <w:color w:val="auto"/>
                <w:sz w:val="21"/>
                <w:szCs w:val="21"/>
                <w:vertAlign w:val="superscript"/>
                <w:lang w:val="en-US" w:eastAsia="zh-CN"/>
              </w:rPr>
              <w:t>3</w:t>
            </w:r>
            <w:r>
              <w:rPr>
                <w:rFonts w:hint="eastAsia" w:ascii="Times New Roman" w:hAnsi="Times New Roman"/>
                <w:b w:val="0"/>
                <w:bCs/>
                <w:color w:val="auto"/>
                <w:sz w:val="21"/>
                <w:szCs w:val="21"/>
                <w:lang w:val="en-US" w:eastAsia="zh-CN"/>
              </w:rPr>
              <w:t>/a，液气比0.2L/m</w:t>
            </w:r>
            <w:r>
              <w:rPr>
                <w:rFonts w:hint="eastAsia" w:ascii="Times New Roman" w:hAnsi="Times New Roman"/>
                <w:b w:val="0"/>
                <w:bCs/>
                <w:color w:val="auto"/>
                <w:sz w:val="21"/>
                <w:szCs w:val="21"/>
                <w:vertAlign w:val="superscript"/>
                <w:lang w:val="en-US" w:eastAsia="zh-CN"/>
              </w:rPr>
              <w:t>3</w:t>
            </w:r>
            <w:r>
              <w:rPr>
                <w:rFonts w:hint="eastAsia" w:ascii="Times New Roman" w:hAnsi="Times New Roman"/>
                <w:b w:val="0"/>
                <w:bCs/>
                <w:color w:val="auto"/>
                <w:sz w:val="21"/>
                <w:szCs w:val="21"/>
                <w:lang w:val="en-US" w:eastAsia="zh-CN"/>
              </w:rPr>
              <w:t>，则水膜除尘用水量为2923.2m</w:t>
            </w:r>
            <w:r>
              <w:rPr>
                <w:rFonts w:hint="eastAsia" w:ascii="Times New Roman" w:hAnsi="Times New Roman"/>
                <w:b w:val="0"/>
                <w:bCs/>
                <w:color w:val="auto"/>
                <w:sz w:val="21"/>
                <w:szCs w:val="21"/>
                <w:vertAlign w:val="superscript"/>
                <w:lang w:val="en-US" w:eastAsia="zh-CN"/>
              </w:rPr>
              <w:t>3</w:t>
            </w:r>
            <w:r>
              <w:rPr>
                <w:rFonts w:hint="eastAsia" w:ascii="Times New Roman" w:hAnsi="Times New Roman"/>
                <w:b w:val="0"/>
                <w:bCs/>
                <w:color w:val="auto"/>
                <w:sz w:val="21"/>
                <w:szCs w:val="21"/>
                <w:lang w:val="en-US" w:eastAsia="zh-CN"/>
              </w:rPr>
              <w:t>/a，损耗率按5%，则补充水量为146.2m</w:t>
            </w:r>
            <w:r>
              <w:rPr>
                <w:rFonts w:hint="eastAsia" w:ascii="Times New Roman" w:hAnsi="Times New Roman"/>
                <w:b w:val="0"/>
                <w:bCs/>
                <w:color w:val="auto"/>
                <w:sz w:val="21"/>
                <w:szCs w:val="21"/>
                <w:vertAlign w:val="superscript"/>
                <w:lang w:val="en-US" w:eastAsia="zh-CN"/>
              </w:rPr>
              <w:t>3</w:t>
            </w:r>
            <w:r>
              <w:rPr>
                <w:rFonts w:hint="eastAsia" w:ascii="Times New Roman" w:hAnsi="Times New Roman"/>
                <w:b w:val="0"/>
                <w:bCs/>
                <w:color w:val="auto"/>
                <w:sz w:val="21"/>
                <w:szCs w:val="21"/>
                <w:lang w:val="en-US" w:eastAsia="zh-CN"/>
              </w:rPr>
              <w:t>/a。项目技改前后锅炉燃料不变，总烟气量不变，水膜除尘用水量不变。</w:t>
            </w:r>
          </w:p>
          <w:p w14:paraId="6FCD8F85">
            <w:pPr>
              <w:pStyle w:val="84"/>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default" w:ascii="Times New Roman" w:hAnsi="Times New Roman" w:eastAsia="宋体"/>
                <w:b w:val="0"/>
                <w:bCs/>
                <w:color w:val="auto"/>
                <w:sz w:val="21"/>
                <w:szCs w:val="21"/>
                <w:lang w:val="en-US" w:eastAsia="zh-CN"/>
              </w:rPr>
            </w:pPr>
            <w:r>
              <w:rPr>
                <w:rFonts w:hint="eastAsia" w:ascii="Times New Roman" w:hAnsi="Times New Roman"/>
                <w:b w:val="0"/>
                <w:bCs/>
                <w:color w:val="auto"/>
                <w:sz w:val="21"/>
                <w:szCs w:val="21"/>
                <w:lang w:val="en-US" w:eastAsia="zh-CN"/>
              </w:rPr>
              <w:t>因此，本项目无新增废水量，且无废水排放，对周边水环境基本无影响。</w:t>
            </w:r>
          </w:p>
          <w:p w14:paraId="1087C4FD">
            <w:pPr>
              <w:pStyle w:val="84"/>
              <w:keepNext w:val="0"/>
              <w:keepLines w:val="0"/>
              <w:pageBreakBefore w:val="0"/>
              <w:widowControl w:val="0"/>
              <w:kinsoku/>
              <w:wordWrap/>
              <w:overflowPunct/>
              <w:topLinePunct w:val="0"/>
              <w:autoSpaceDE/>
              <w:autoSpaceDN/>
              <w:bidi w:val="0"/>
              <w:adjustRightInd w:val="0"/>
              <w:snapToGrid w:val="0"/>
              <w:ind w:firstLine="422" w:firstLineChars="200"/>
              <w:textAlignment w:val="auto"/>
              <w:rPr>
                <w:rFonts w:ascii="Times New Roman" w:hAnsi="Times New Roman"/>
                <w:b/>
                <w:color w:val="auto"/>
                <w:sz w:val="21"/>
                <w:szCs w:val="21"/>
              </w:rPr>
            </w:pPr>
            <w:r>
              <w:rPr>
                <w:rFonts w:ascii="Times New Roman" w:hAnsi="Times New Roman"/>
                <w:b/>
                <w:color w:val="auto"/>
                <w:sz w:val="21"/>
                <w:szCs w:val="21"/>
              </w:rPr>
              <w:t>三、噪声</w:t>
            </w:r>
          </w:p>
          <w:p w14:paraId="31E0DD86">
            <w:pPr>
              <w:adjustRightInd w:val="0"/>
              <w:snapToGrid w:val="0"/>
              <w:spacing w:line="360" w:lineRule="auto"/>
              <w:ind w:firstLine="422" w:firstLineChars="200"/>
              <w:rPr>
                <w:rFonts w:hint="default" w:eastAsia="宋体"/>
                <w:b/>
                <w:color w:val="auto"/>
                <w:szCs w:val="21"/>
                <w:lang w:val="en-US" w:eastAsia="zh-CN"/>
              </w:rPr>
            </w:pPr>
            <w:r>
              <w:rPr>
                <w:rFonts w:hint="eastAsia"/>
                <w:b/>
                <w:color w:val="auto"/>
                <w:szCs w:val="21"/>
                <w:lang w:val="en-US" w:eastAsia="zh-CN"/>
              </w:rPr>
              <w:t xml:space="preserve">3.1 </w:t>
            </w:r>
            <w:r>
              <w:rPr>
                <w:rFonts w:hint="eastAsia"/>
                <w:b/>
                <w:color w:val="auto"/>
                <w:szCs w:val="21"/>
              </w:rPr>
              <w:t>噪声</w:t>
            </w:r>
            <w:r>
              <w:rPr>
                <w:rFonts w:hint="eastAsia"/>
                <w:b/>
                <w:color w:val="auto"/>
                <w:szCs w:val="21"/>
                <w:lang w:val="en-US" w:eastAsia="zh-CN"/>
              </w:rPr>
              <w:t>影响分析</w:t>
            </w:r>
          </w:p>
          <w:p w14:paraId="7A8642AE">
            <w:pPr>
              <w:spacing w:line="360" w:lineRule="auto"/>
              <w:ind w:firstLine="420" w:firstLineChars="200"/>
              <w:rPr>
                <w:rFonts w:hint="default"/>
                <w:color w:val="auto"/>
                <w:szCs w:val="21"/>
                <w:lang w:val="en-US" w:eastAsia="zh-CN"/>
              </w:rPr>
            </w:pPr>
            <w:r>
              <w:rPr>
                <w:rFonts w:hint="eastAsia"/>
                <w:color w:val="auto"/>
                <w:szCs w:val="21"/>
                <w:lang w:val="en-US" w:eastAsia="zh-CN"/>
              </w:rPr>
              <w:t>本项目淘汰现有2t/h锅炉，变更为3t/h锅炉，噪声源与技改前基本一致，主要为锅炉及配套设备（水泵、风机等）噪声，类比同类型项目，其噪声级在85~95</w:t>
            </w:r>
            <w:r>
              <w:rPr>
                <w:color w:val="auto"/>
                <w:szCs w:val="21"/>
              </w:rPr>
              <w:t>dB(A)</w:t>
            </w:r>
            <w:r>
              <w:rPr>
                <w:rFonts w:hint="eastAsia"/>
                <w:color w:val="auto"/>
                <w:szCs w:val="21"/>
                <w:lang w:eastAsia="zh-CN"/>
              </w:rPr>
              <w:t>。</w:t>
            </w:r>
            <w:r>
              <w:rPr>
                <w:rFonts w:hint="eastAsia"/>
                <w:color w:val="auto"/>
                <w:szCs w:val="21"/>
                <w:lang w:val="en-US" w:eastAsia="zh-CN"/>
              </w:rPr>
              <w:t>通过选择低噪声设备、加强减震、墙体隔声等噪声控制措施，可保证厂界达标。根据现状监测结果可知，厂界噪声值为55~58</w:t>
            </w:r>
            <w:r>
              <w:rPr>
                <w:color w:val="auto"/>
                <w:szCs w:val="21"/>
              </w:rPr>
              <w:t>dB(A)</w:t>
            </w:r>
            <w:r>
              <w:rPr>
                <w:rFonts w:hint="eastAsia"/>
                <w:color w:val="auto"/>
                <w:szCs w:val="21"/>
                <w:lang w:eastAsia="zh-CN"/>
              </w:rPr>
              <w:t>，</w:t>
            </w:r>
            <w:r>
              <w:rPr>
                <w:rFonts w:hint="eastAsia"/>
                <w:color w:val="auto"/>
                <w:szCs w:val="21"/>
                <w:lang w:val="en-US" w:eastAsia="zh-CN"/>
              </w:rPr>
              <w:t>均可达到</w:t>
            </w:r>
            <w:r>
              <w:rPr>
                <w:rFonts w:hint="default"/>
                <w:color w:val="auto"/>
                <w:szCs w:val="21"/>
                <w:lang w:val="en-US" w:eastAsia="zh-CN"/>
              </w:rPr>
              <w:t>《工业企业厂界环境噪声排放标准》</w:t>
            </w:r>
            <w:r>
              <w:rPr>
                <w:rFonts w:hint="eastAsia"/>
                <w:color w:val="auto"/>
                <w:szCs w:val="21"/>
                <w:lang w:val="en-US" w:eastAsia="zh-CN"/>
              </w:rPr>
              <w:t>（</w:t>
            </w:r>
            <w:r>
              <w:rPr>
                <w:rFonts w:hint="default"/>
                <w:color w:val="auto"/>
                <w:szCs w:val="21"/>
                <w:lang w:val="en-US" w:eastAsia="zh-CN"/>
              </w:rPr>
              <w:t>GB12348-2008</w:t>
            </w:r>
            <w:r>
              <w:rPr>
                <w:rFonts w:hint="eastAsia"/>
                <w:color w:val="auto"/>
                <w:szCs w:val="21"/>
                <w:lang w:val="en-US" w:eastAsia="zh-CN"/>
              </w:rPr>
              <w:t>）2类标准要求。项目周边50m范围内无声环境保护目标，项目的运营对周围声环境保护目标影响较小。</w:t>
            </w:r>
          </w:p>
          <w:p w14:paraId="16F70D8A">
            <w:pPr>
              <w:adjustRightInd w:val="0"/>
              <w:snapToGrid w:val="0"/>
              <w:spacing w:line="360" w:lineRule="auto"/>
              <w:ind w:firstLine="422" w:firstLineChars="200"/>
              <w:rPr>
                <w:b/>
                <w:color w:val="auto"/>
                <w:szCs w:val="21"/>
              </w:rPr>
            </w:pPr>
            <w:r>
              <w:rPr>
                <w:rFonts w:hint="eastAsia"/>
                <w:b/>
                <w:color w:val="auto"/>
                <w:szCs w:val="21"/>
                <w:lang w:val="en-US" w:eastAsia="zh-CN"/>
              </w:rPr>
              <w:t xml:space="preserve">3.2 </w:t>
            </w:r>
            <w:r>
              <w:rPr>
                <w:rFonts w:hint="eastAsia"/>
                <w:b/>
                <w:color w:val="auto"/>
                <w:szCs w:val="21"/>
              </w:rPr>
              <w:t>噪声监测</w:t>
            </w:r>
          </w:p>
          <w:p w14:paraId="025554F5">
            <w:pPr>
              <w:adjustRightInd w:val="0"/>
              <w:snapToGrid w:val="0"/>
              <w:spacing w:line="360" w:lineRule="auto"/>
              <w:ind w:firstLine="420" w:firstLineChars="200"/>
              <w:rPr>
                <w:rFonts w:cs="宋体"/>
                <w:bCs/>
                <w:color w:val="auto"/>
                <w:szCs w:val="21"/>
              </w:rPr>
            </w:pPr>
            <w:r>
              <w:rPr>
                <w:rFonts w:hint="eastAsia" w:cs="宋体"/>
                <w:bCs/>
                <w:color w:val="auto"/>
                <w:szCs w:val="21"/>
              </w:rPr>
              <w:t>本项目</w:t>
            </w:r>
            <w:r>
              <w:rPr>
                <w:rFonts w:hint="eastAsia" w:cs="宋体"/>
                <w:bCs/>
                <w:color w:val="auto"/>
                <w:szCs w:val="21"/>
                <w:lang w:val="en-US" w:eastAsia="zh-CN"/>
              </w:rPr>
              <w:t>噪声</w:t>
            </w:r>
            <w:r>
              <w:rPr>
                <w:rFonts w:hint="eastAsia" w:cs="宋体"/>
                <w:bCs/>
                <w:color w:val="auto"/>
                <w:szCs w:val="21"/>
              </w:rPr>
              <w:t>监测点为厂界四周外</w:t>
            </w:r>
            <w:r>
              <w:rPr>
                <w:bCs/>
                <w:color w:val="auto"/>
                <w:szCs w:val="21"/>
              </w:rPr>
              <w:t>1m</w:t>
            </w:r>
            <w:r>
              <w:rPr>
                <w:rFonts w:hint="eastAsia" w:cs="宋体"/>
                <w:bCs/>
                <w:color w:val="auto"/>
                <w:szCs w:val="21"/>
              </w:rPr>
              <w:t>处，本报告建议制定如下监测计划：</w:t>
            </w:r>
          </w:p>
          <w:p w14:paraId="1ADF800F">
            <w:pPr>
              <w:adjustRightInd w:val="0"/>
              <w:snapToGrid w:val="0"/>
              <w:spacing w:line="240" w:lineRule="auto"/>
              <w:ind w:left="-105" w:leftChars="-50"/>
              <w:jc w:val="center"/>
              <w:rPr>
                <w:rFonts w:cs="宋体"/>
                <w:b/>
                <w:color w:val="auto"/>
                <w:szCs w:val="21"/>
              </w:rPr>
            </w:pPr>
            <w:r>
              <w:rPr>
                <w:rFonts w:hint="eastAsia" w:cs="宋体"/>
                <w:b/>
                <w:color w:val="auto"/>
                <w:szCs w:val="21"/>
              </w:rPr>
              <w:t>表4-</w:t>
            </w:r>
            <w:r>
              <w:rPr>
                <w:rFonts w:hint="eastAsia" w:cs="宋体"/>
                <w:b/>
                <w:color w:val="auto"/>
                <w:szCs w:val="21"/>
                <w:lang w:val="en-US" w:eastAsia="zh-CN"/>
              </w:rPr>
              <w:t>5</w:t>
            </w:r>
            <w:r>
              <w:rPr>
                <w:rFonts w:hint="eastAsia" w:cs="宋体"/>
                <w:b/>
                <w:color w:val="auto"/>
                <w:szCs w:val="21"/>
              </w:rPr>
              <w:t xml:space="preserve"> 噪声监测计划</w:t>
            </w:r>
          </w:p>
          <w:tbl>
            <w:tblPr>
              <w:tblStyle w:val="3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506"/>
              <w:gridCol w:w="1869"/>
              <w:gridCol w:w="1379"/>
              <w:gridCol w:w="1886"/>
            </w:tblGrid>
            <w:tr w14:paraId="1A486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852" w:type="pct"/>
                  <w:vAlign w:val="center"/>
                </w:tcPr>
                <w:p w14:paraId="70FE2A5A">
                  <w:pPr>
                    <w:pStyle w:val="118"/>
                    <w:keepNext w:val="0"/>
                    <w:keepLines w:val="0"/>
                    <w:pageBreakBefore w:val="0"/>
                    <w:widowControl w:val="0"/>
                    <w:kinsoku/>
                    <w:wordWrap/>
                    <w:overflowPunct/>
                    <w:topLinePunct w:val="0"/>
                    <w:autoSpaceDE/>
                    <w:autoSpaceDN/>
                    <w:bidi w:val="0"/>
                    <w:adjustRightInd/>
                    <w:snapToGrid/>
                    <w:spacing w:before="0" w:line="240" w:lineRule="auto"/>
                    <w:ind w:left="11"/>
                    <w:textAlignment w:val="auto"/>
                    <w:rPr>
                      <w:rFonts w:hint="default" w:ascii="宋体" w:hAnsi="宋体" w:cs="宋体"/>
                      <w:b/>
                      <w:bCs/>
                      <w:i/>
                      <w:iCs/>
                      <w:color w:val="auto"/>
                      <w:sz w:val="21"/>
                      <w:szCs w:val="21"/>
                    </w:rPr>
                  </w:pPr>
                  <w:r>
                    <w:rPr>
                      <w:rFonts w:ascii="宋体" w:hAnsi="宋体" w:cs="宋体"/>
                      <w:b/>
                      <w:bCs/>
                      <w:color w:val="auto"/>
                      <w:sz w:val="21"/>
                      <w:szCs w:val="21"/>
                    </w:rPr>
                    <w:t>序号</w:t>
                  </w:r>
                </w:p>
              </w:tc>
              <w:tc>
                <w:tcPr>
                  <w:tcW w:w="940" w:type="pct"/>
                  <w:vAlign w:val="center"/>
                </w:tcPr>
                <w:p w14:paraId="683B516E">
                  <w:pPr>
                    <w:pStyle w:val="118"/>
                    <w:keepNext w:val="0"/>
                    <w:keepLines w:val="0"/>
                    <w:pageBreakBefore w:val="0"/>
                    <w:widowControl w:val="0"/>
                    <w:kinsoku/>
                    <w:wordWrap/>
                    <w:overflowPunct/>
                    <w:topLinePunct w:val="0"/>
                    <w:autoSpaceDE/>
                    <w:autoSpaceDN/>
                    <w:bidi w:val="0"/>
                    <w:adjustRightInd/>
                    <w:snapToGrid/>
                    <w:spacing w:before="0" w:line="240" w:lineRule="auto"/>
                    <w:ind w:left="11"/>
                    <w:textAlignment w:val="auto"/>
                    <w:rPr>
                      <w:rFonts w:hint="default" w:ascii="宋体" w:hAnsi="宋体" w:cs="宋体"/>
                      <w:b/>
                      <w:bCs/>
                      <w:i/>
                      <w:iCs/>
                      <w:color w:val="auto"/>
                      <w:sz w:val="21"/>
                      <w:szCs w:val="21"/>
                    </w:rPr>
                  </w:pPr>
                  <w:r>
                    <w:rPr>
                      <w:rFonts w:ascii="宋体" w:hAnsi="宋体" w:cs="宋体"/>
                      <w:b/>
                      <w:bCs/>
                      <w:color w:val="auto"/>
                      <w:sz w:val="21"/>
                      <w:szCs w:val="21"/>
                    </w:rPr>
                    <w:t>监测内容</w:t>
                  </w:r>
                </w:p>
              </w:tc>
              <w:tc>
                <w:tcPr>
                  <w:tcW w:w="1167" w:type="pct"/>
                  <w:vAlign w:val="center"/>
                </w:tcPr>
                <w:p w14:paraId="0347DBD8">
                  <w:pPr>
                    <w:pStyle w:val="118"/>
                    <w:keepNext w:val="0"/>
                    <w:keepLines w:val="0"/>
                    <w:pageBreakBefore w:val="0"/>
                    <w:widowControl w:val="0"/>
                    <w:kinsoku/>
                    <w:wordWrap/>
                    <w:overflowPunct/>
                    <w:topLinePunct w:val="0"/>
                    <w:autoSpaceDE/>
                    <w:autoSpaceDN/>
                    <w:bidi w:val="0"/>
                    <w:adjustRightInd/>
                    <w:snapToGrid/>
                    <w:spacing w:before="0" w:line="240" w:lineRule="auto"/>
                    <w:ind w:left="11"/>
                    <w:textAlignment w:val="auto"/>
                    <w:rPr>
                      <w:rFonts w:hint="default" w:ascii="宋体" w:hAnsi="宋体" w:cs="宋体"/>
                      <w:b/>
                      <w:bCs/>
                      <w:i/>
                      <w:iCs/>
                      <w:color w:val="auto"/>
                      <w:sz w:val="21"/>
                      <w:szCs w:val="21"/>
                    </w:rPr>
                  </w:pPr>
                  <w:r>
                    <w:rPr>
                      <w:rFonts w:ascii="宋体" w:hAnsi="宋体" w:cs="宋体"/>
                      <w:b/>
                      <w:bCs/>
                      <w:color w:val="auto"/>
                      <w:sz w:val="21"/>
                      <w:szCs w:val="21"/>
                    </w:rPr>
                    <w:t>监测点</w:t>
                  </w:r>
                </w:p>
              </w:tc>
              <w:tc>
                <w:tcPr>
                  <w:tcW w:w="861" w:type="pct"/>
                  <w:vAlign w:val="center"/>
                </w:tcPr>
                <w:p w14:paraId="5A3A87B2">
                  <w:pPr>
                    <w:pStyle w:val="118"/>
                    <w:keepNext w:val="0"/>
                    <w:keepLines w:val="0"/>
                    <w:pageBreakBefore w:val="0"/>
                    <w:widowControl w:val="0"/>
                    <w:kinsoku/>
                    <w:wordWrap/>
                    <w:overflowPunct/>
                    <w:topLinePunct w:val="0"/>
                    <w:autoSpaceDE/>
                    <w:autoSpaceDN/>
                    <w:bidi w:val="0"/>
                    <w:adjustRightInd/>
                    <w:snapToGrid/>
                    <w:spacing w:before="0" w:line="240" w:lineRule="auto"/>
                    <w:ind w:left="11"/>
                    <w:textAlignment w:val="auto"/>
                    <w:rPr>
                      <w:rFonts w:hint="default" w:ascii="宋体" w:hAnsi="宋体" w:cs="宋体"/>
                      <w:b/>
                      <w:bCs/>
                      <w:i/>
                      <w:iCs/>
                      <w:color w:val="auto"/>
                      <w:sz w:val="21"/>
                      <w:szCs w:val="21"/>
                    </w:rPr>
                  </w:pPr>
                  <w:r>
                    <w:rPr>
                      <w:rFonts w:ascii="宋体" w:hAnsi="宋体" w:cs="宋体"/>
                      <w:b/>
                      <w:bCs/>
                      <w:color w:val="auto"/>
                      <w:sz w:val="21"/>
                      <w:szCs w:val="21"/>
                    </w:rPr>
                    <w:t>监测因子</w:t>
                  </w:r>
                </w:p>
              </w:tc>
              <w:tc>
                <w:tcPr>
                  <w:tcW w:w="1178" w:type="pct"/>
                  <w:vAlign w:val="center"/>
                </w:tcPr>
                <w:p w14:paraId="08DC8952">
                  <w:pPr>
                    <w:pStyle w:val="118"/>
                    <w:keepNext w:val="0"/>
                    <w:keepLines w:val="0"/>
                    <w:pageBreakBefore w:val="0"/>
                    <w:widowControl w:val="0"/>
                    <w:kinsoku/>
                    <w:wordWrap/>
                    <w:overflowPunct/>
                    <w:topLinePunct w:val="0"/>
                    <w:autoSpaceDE/>
                    <w:autoSpaceDN/>
                    <w:bidi w:val="0"/>
                    <w:adjustRightInd/>
                    <w:snapToGrid/>
                    <w:spacing w:before="0" w:line="240" w:lineRule="auto"/>
                    <w:ind w:left="11"/>
                    <w:textAlignment w:val="auto"/>
                    <w:rPr>
                      <w:rFonts w:hint="default" w:ascii="宋体" w:hAnsi="宋体" w:cs="宋体"/>
                      <w:b/>
                      <w:bCs/>
                      <w:i/>
                      <w:iCs/>
                      <w:color w:val="auto"/>
                      <w:sz w:val="21"/>
                      <w:szCs w:val="21"/>
                    </w:rPr>
                  </w:pPr>
                  <w:r>
                    <w:rPr>
                      <w:rFonts w:ascii="宋体" w:hAnsi="宋体" w:cs="宋体"/>
                      <w:b/>
                      <w:bCs/>
                      <w:color w:val="auto"/>
                      <w:sz w:val="21"/>
                      <w:szCs w:val="21"/>
                    </w:rPr>
                    <w:t>频次</w:t>
                  </w:r>
                </w:p>
              </w:tc>
            </w:tr>
            <w:tr w14:paraId="5D555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pct"/>
                  <w:vAlign w:val="center"/>
                </w:tcPr>
                <w:p w14:paraId="1805F54F">
                  <w:pPr>
                    <w:pStyle w:val="118"/>
                    <w:keepNext w:val="0"/>
                    <w:keepLines w:val="0"/>
                    <w:pageBreakBefore w:val="0"/>
                    <w:widowControl w:val="0"/>
                    <w:kinsoku/>
                    <w:wordWrap/>
                    <w:overflowPunct/>
                    <w:topLinePunct w:val="0"/>
                    <w:autoSpaceDE/>
                    <w:autoSpaceDN/>
                    <w:bidi w:val="0"/>
                    <w:adjustRightInd/>
                    <w:snapToGrid/>
                    <w:spacing w:before="0" w:line="240" w:lineRule="auto"/>
                    <w:ind w:left="11"/>
                    <w:textAlignment w:val="auto"/>
                    <w:rPr>
                      <w:rFonts w:hint="default"/>
                      <w:i/>
                      <w:iCs/>
                      <w:color w:val="auto"/>
                      <w:sz w:val="21"/>
                      <w:szCs w:val="21"/>
                    </w:rPr>
                  </w:pPr>
                  <w:r>
                    <w:rPr>
                      <w:rFonts w:hint="default"/>
                      <w:color w:val="auto"/>
                      <w:sz w:val="21"/>
                      <w:szCs w:val="21"/>
                    </w:rPr>
                    <w:t>1</w:t>
                  </w:r>
                </w:p>
              </w:tc>
              <w:tc>
                <w:tcPr>
                  <w:tcW w:w="940" w:type="pct"/>
                  <w:vAlign w:val="center"/>
                </w:tcPr>
                <w:p w14:paraId="754C522A">
                  <w:pPr>
                    <w:pStyle w:val="118"/>
                    <w:keepNext w:val="0"/>
                    <w:keepLines w:val="0"/>
                    <w:pageBreakBefore w:val="0"/>
                    <w:widowControl w:val="0"/>
                    <w:kinsoku/>
                    <w:wordWrap/>
                    <w:overflowPunct/>
                    <w:topLinePunct w:val="0"/>
                    <w:autoSpaceDE/>
                    <w:autoSpaceDN/>
                    <w:bidi w:val="0"/>
                    <w:adjustRightInd/>
                    <w:snapToGrid/>
                    <w:spacing w:before="0" w:line="240" w:lineRule="auto"/>
                    <w:ind w:left="11"/>
                    <w:textAlignment w:val="auto"/>
                    <w:rPr>
                      <w:rFonts w:hint="default"/>
                      <w:i/>
                      <w:iCs/>
                      <w:color w:val="auto"/>
                      <w:sz w:val="21"/>
                      <w:szCs w:val="21"/>
                    </w:rPr>
                  </w:pPr>
                  <w:r>
                    <w:rPr>
                      <w:rFonts w:hint="default"/>
                      <w:color w:val="auto"/>
                      <w:sz w:val="21"/>
                      <w:szCs w:val="21"/>
                    </w:rPr>
                    <w:t>厂界噪声</w:t>
                  </w:r>
                </w:p>
              </w:tc>
              <w:tc>
                <w:tcPr>
                  <w:tcW w:w="1167" w:type="pct"/>
                  <w:vAlign w:val="center"/>
                </w:tcPr>
                <w:p w14:paraId="77507E79">
                  <w:pPr>
                    <w:pStyle w:val="118"/>
                    <w:keepNext w:val="0"/>
                    <w:keepLines w:val="0"/>
                    <w:pageBreakBefore w:val="0"/>
                    <w:widowControl w:val="0"/>
                    <w:kinsoku/>
                    <w:wordWrap/>
                    <w:overflowPunct/>
                    <w:topLinePunct w:val="0"/>
                    <w:autoSpaceDE/>
                    <w:autoSpaceDN/>
                    <w:bidi w:val="0"/>
                    <w:adjustRightInd/>
                    <w:snapToGrid/>
                    <w:spacing w:before="0" w:line="240" w:lineRule="auto"/>
                    <w:ind w:left="11"/>
                    <w:textAlignment w:val="auto"/>
                    <w:rPr>
                      <w:rFonts w:hint="default"/>
                      <w:i/>
                      <w:iCs/>
                      <w:color w:val="auto"/>
                      <w:sz w:val="21"/>
                      <w:szCs w:val="21"/>
                    </w:rPr>
                  </w:pPr>
                  <w:r>
                    <w:rPr>
                      <w:rFonts w:hint="default"/>
                      <w:color w:val="auto"/>
                      <w:sz w:val="21"/>
                      <w:szCs w:val="21"/>
                    </w:rPr>
                    <w:t>厂界四周外</w:t>
                  </w:r>
                  <w:r>
                    <w:rPr>
                      <w:rFonts w:hint="default" w:ascii="Times New Roman" w:hAnsi="Times New Roman" w:cs="Times New Roman"/>
                      <w:color w:val="auto"/>
                      <w:sz w:val="21"/>
                      <w:szCs w:val="21"/>
                    </w:rPr>
                    <w:t>1m</w:t>
                  </w:r>
                </w:p>
              </w:tc>
              <w:tc>
                <w:tcPr>
                  <w:tcW w:w="861" w:type="pct"/>
                  <w:vAlign w:val="center"/>
                </w:tcPr>
                <w:p w14:paraId="75679D5F">
                  <w:pPr>
                    <w:pStyle w:val="118"/>
                    <w:keepNext w:val="0"/>
                    <w:keepLines w:val="0"/>
                    <w:pageBreakBefore w:val="0"/>
                    <w:widowControl w:val="0"/>
                    <w:kinsoku/>
                    <w:wordWrap/>
                    <w:overflowPunct/>
                    <w:topLinePunct w:val="0"/>
                    <w:autoSpaceDE/>
                    <w:autoSpaceDN/>
                    <w:bidi w:val="0"/>
                    <w:adjustRightInd/>
                    <w:snapToGrid/>
                    <w:spacing w:before="0" w:line="240" w:lineRule="auto"/>
                    <w:ind w:left="11"/>
                    <w:textAlignment w:val="auto"/>
                    <w:rPr>
                      <w:rFonts w:hint="default"/>
                      <w:i/>
                      <w:iCs/>
                      <w:color w:val="auto"/>
                      <w:sz w:val="21"/>
                      <w:szCs w:val="21"/>
                    </w:rPr>
                  </w:pPr>
                  <w:r>
                    <w:rPr>
                      <w:rFonts w:hint="default" w:ascii="Times New Roman" w:hAnsi="Times New Roman" w:cs="Times New Roman"/>
                      <w:color w:val="auto"/>
                      <w:sz w:val="21"/>
                      <w:szCs w:val="21"/>
                    </w:rPr>
                    <w:t>LeqdB（A）</w:t>
                  </w:r>
                </w:p>
              </w:tc>
              <w:tc>
                <w:tcPr>
                  <w:tcW w:w="1178" w:type="pct"/>
                  <w:vAlign w:val="center"/>
                </w:tcPr>
                <w:p w14:paraId="653122ED">
                  <w:pPr>
                    <w:pStyle w:val="118"/>
                    <w:keepNext w:val="0"/>
                    <w:keepLines w:val="0"/>
                    <w:pageBreakBefore w:val="0"/>
                    <w:widowControl w:val="0"/>
                    <w:kinsoku/>
                    <w:wordWrap/>
                    <w:overflowPunct/>
                    <w:topLinePunct w:val="0"/>
                    <w:autoSpaceDE/>
                    <w:autoSpaceDN/>
                    <w:bidi w:val="0"/>
                    <w:adjustRightInd/>
                    <w:snapToGrid/>
                    <w:spacing w:before="0" w:line="240" w:lineRule="auto"/>
                    <w:ind w:left="11"/>
                    <w:textAlignment w:val="auto"/>
                    <w:rPr>
                      <w:rFonts w:hint="default"/>
                      <w:i/>
                      <w:iCs/>
                      <w:color w:val="auto"/>
                      <w:sz w:val="21"/>
                      <w:szCs w:val="21"/>
                    </w:rPr>
                  </w:pPr>
                  <w:r>
                    <w:rPr>
                      <w:rFonts w:hint="default"/>
                      <w:color w:val="auto"/>
                      <w:sz w:val="21"/>
                      <w:szCs w:val="21"/>
                    </w:rPr>
                    <w:t>1次/季度</w:t>
                  </w:r>
                </w:p>
              </w:tc>
            </w:tr>
          </w:tbl>
          <w:p w14:paraId="780B8094">
            <w:pPr>
              <w:pStyle w:val="82"/>
              <w:spacing w:before="120"/>
              <w:ind w:firstLine="422" w:firstLineChars="200"/>
              <w:rPr>
                <w:rFonts w:cs="Times New Roman"/>
                <w:b/>
                <w:bCs/>
                <w:color w:val="auto"/>
              </w:rPr>
            </w:pPr>
            <w:r>
              <w:rPr>
                <w:rFonts w:cs="Times New Roman"/>
                <w:b/>
                <w:bCs/>
                <w:color w:val="auto"/>
              </w:rPr>
              <w:t>四、固体废物</w:t>
            </w:r>
          </w:p>
          <w:p w14:paraId="1EE565E9">
            <w:pPr>
              <w:pStyle w:val="82"/>
              <w:snapToGrid w:val="0"/>
              <w:spacing w:before="0" w:beforeLines="0"/>
              <w:ind w:firstLine="420"/>
              <w:rPr>
                <w:rFonts w:hint="default" w:eastAsia="宋体" w:cs="Times New Roman"/>
                <w:b/>
                <w:bCs/>
                <w:color w:val="auto"/>
                <w:lang w:val="en-US" w:eastAsia="zh-CN"/>
              </w:rPr>
            </w:pPr>
            <w:r>
              <w:rPr>
                <w:rFonts w:hint="eastAsia" w:cs="Times New Roman"/>
                <w:b/>
                <w:bCs/>
                <w:color w:val="auto"/>
                <w:lang w:eastAsia="zh-CN"/>
              </w:rPr>
              <w:t>（</w:t>
            </w:r>
            <w:r>
              <w:rPr>
                <w:rFonts w:hint="eastAsia" w:cs="Times New Roman"/>
                <w:b/>
                <w:bCs/>
                <w:color w:val="auto"/>
                <w:lang w:val="en-US" w:eastAsia="zh-CN"/>
              </w:rPr>
              <w:t>1</w:t>
            </w:r>
            <w:r>
              <w:rPr>
                <w:rFonts w:hint="eastAsia" w:cs="Times New Roman"/>
                <w:b/>
                <w:bCs/>
                <w:color w:val="auto"/>
                <w:lang w:eastAsia="zh-CN"/>
              </w:rPr>
              <w:t>）</w:t>
            </w:r>
            <w:r>
              <w:rPr>
                <w:rFonts w:hint="eastAsia" w:cs="Times New Roman"/>
                <w:b/>
                <w:bCs/>
                <w:color w:val="auto"/>
                <w:lang w:val="en-US" w:eastAsia="zh-CN"/>
              </w:rPr>
              <w:t>固废产生情况</w:t>
            </w:r>
          </w:p>
          <w:p w14:paraId="5A468506">
            <w:pPr>
              <w:pStyle w:val="82"/>
              <w:snapToGrid w:val="0"/>
              <w:spacing w:before="0" w:beforeLines="0"/>
              <w:ind w:firstLine="420"/>
              <w:rPr>
                <w:rFonts w:hint="eastAsia"/>
                <w:color w:val="auto"/>
                <w:szCs w:val="21"/>
                <w:lang w:val="en-US" w:eastAsia="zh-CN"/>
              </w:rPr>
            </w:pPr>
            <w:r>
              <w:rPr>
                <w:rFonts w:cs="Times New Roman"/>
                <w:color w:val="auto"/>
              </w:rPr>
              <w:t>本项目固体废物主要为</w:t>
            </w:r>
            <w:r>
              <w:rPr>
                <w:rFonts w:hint="eastAsia"/>
                <w:color w:val="auto"/>
                <w:szCs w:val="21"/>
                <w:lang w:val="en-US" w:eastAsia="zh-CN"/>
              </w:rPr>
              <w:t>锅炉灰渣、废导热油。</w:t>
            </w:r>
          </w:p>
          <w:p w14:paraId="1692F946">
            <w:pPr>
              <w:pStyle w:val="82"/>
              <w:snapToGrid w:val="0"/>
              <w:spacing w:before="0" w:beforeLines="0"/>
              <w:ind w:firstLine="420"/>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smallCaps w:val="0"/>
                <w:color w:val="auto"/>
                <w:spacing w:val="0"/>
                <w:sz w:val="21"/>
                <w:szCs w:val="21"/>
                <w:vertAlign w:val="baseline"/>
                <w:lang w:val="en-US" w:eastAsia="zh-CN"/>
              </w:rPr>
              <w:t>①</w:t>
            </w:r>
            <w:r>
              <w:rPr>
                <w:rFonts w:hint="eastAsia" w:ascii="Times New Roman" w:hAnsi="Times New Roman" w:eastAsia="宋体" w:cs="Times New Roman"/>
                <w:b w:val="0"/>
                <w:bCs/>
                <w:smallCaps w:val="0"/>
                <w:color w:val="auto"/>
                <w:spacing w:val="0"/>
                <w:sz w:val="21"/>
                <w:szCs w:val="21"/>
                <w:vertAlign w:val="baseline"/>
                <w:lang w:val="en-US" w:eastAsia="zh-CN"/>
              </w:rPr>
              <w:t>锅炉灰渣</w:t>
            </w:r>
          </w:p>
          <w:p w14:paraId="739F899B">
            <w:pPr>
              <w:pStyle w:val="82"/>
              <w:snapToGrid w:val="0"/>
              <w:spacing w:before="0" w:beforeLines="0"/>
              <w:ind w:firstLine="420"/>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本项目生物质锅炉产生锅炉灰渣，锅炉灰渣包括炉渣以及除尘灰渣，类比现有项目锅炉灰渣产生量（</w:t>
            </w:r>
            <w:r>
              <w:rPr>
                <w:rFonts w:hint="eastAsia" w:cs="Times New Roman"/>
                <w:b w:val="0"/>
                <w:bCs w:val="0"/>
                <w:color w:val="auto"/>
                <w:sz w:val="21"/>
                <w:szCs w:val="21"/>
                <w:lang w:val="en-US" w:eastAsia="zh-CN"/>
              </w:rPr>
              <w:t>5</w:t>
            </w:r>
            <w:r>
              <w:rPr>
                <w:rFonts w:hint="eastAsia" w:ascii="Times New Roman" w:hAnsi="Times New Roman" w:eastAsia="宋体" w:cs="Times New Roman"/>
                <w:b w:val="0"/>
                <w:bCs w:val="0"/>
                <w:color w:val="auto"/>
                <w:sz w:val="21"/>
                <w:szCs w:val="21"/>
                <w:lang w:val="en-US" w:eastAsia="zh-CN"/>
              </w:rPr>
              <w:t>t/a），技改前后消耗生物质成型颗粒物不变，则锅炉灰渣产生量仍为</w:t>
            </w:r>
            <w:r>
              <w:rPr>
                <w:rFonts w:hint="eastAsia" w:cs="Times New Roman"/>
                <w:b w:val="0"/>
                <w:bCs w:val="0"/>
                <w:color w:val="auto"/>
                <w:sz w:val="21"/>
                <w:szCs w:val="21"/>
                <w:lang w:val="en-US" w:eastAsia="zh-CN"/>
              </w:rPr>
              <w:t>5</w:t>
            </w:r>
            <w:r>
              <w:rPr>
                <w:rFonts w:hint="eastAsia" w:ascii="Times New Roman" w:hAnsi="Times New Roman" w:eastAsia="宋体" w:cs="Times New Roman"/>
                <w:b w:val="0"/>
                <w:bCs w:val="0"/>
                <w:color w:val="auto"/>
                <w:sz w:val="21"/>
                <w:szCs w:val="21"/>
                <w:lang w:val="en-US" w:eastAsia="zh-CN"/>
              </w:rPr>
              <w:t>t/a，锅炉灰渣交由周边农户作有机肥料。</w:t>
            </w:r>
          </w:p>
          <w:p w14:paraId="634BE864">
            <w:pPr>
              <w:pStyle w:val="82"/>
              <w:snapToGrid w:val="0"/>
              <w:spacing w:before="0" w:beforeLines="0"/>
              <w:ind w:firstLine="420"/>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smallCaps w:val="0"/>
                <w:color w:val="auto"/>
                <w:spacing w:val="0"/>
                <w:sz w:val="21"/>
                <w:szCs w:val="21"/>
                <w:vertAlign w:val="baseline"/>
                <w:lang w:val="en-US" w:eastAsia="zh-CN"/>
              </w:rPr>
              <w:t>②</w:t>
            </w:r>
            <w:r>
              <w:rPr>
                <w:rFonts w:hint="eastAsia" w:ascii="Times New Roman" w:hAnsi="Times New Roman" w:eastAsia="宋体" w:cs="Times New Roman"/>
                <w:b w:val="0"/>
                <w:bCs/>
                <w:smallCaps w:val="0"/>
                <w:color w:val="auto"/>
                <w:spacing w:val="0"/>
                <w:sz w:val="21"/>
                <w:szCs w:val="21"/>
                <w:vertAlign w:val="baseline"/>
                <w:lang w:val="en-US" w:eastAsia="zh-CN"/>
              </w:rPr>
              <w:t>废导热油</w:t>
            </w:r>
          </w:p>
          <w:p w14:paraId="587FF864">
            <w:pPr>
              <w:pStyle w:val="82"/>
              <w:spacing w:before="0" w:beforeLines="0" w:line="360" w:lineRule="auto"/>
              <w:ind w:firstLine="0" w:firstLineChars="0"/>
              <w:jc w:val="both"/>
              <w:rPr>
                <w:rFonts w:hint="default" w:eastAsia="宋体" w:cs="Times New Roman"/>
                <w:b w:val="0"/>
                <w:bCs w:val="0"/>
                <w:color w:val="auto"/>
                <w:szCs w:val="21"/>
                <w:lang w:val="en-US" w:eastAsia="zh-CN"/>
              </w:rPr>
            </w:pPr>
            <w:bookmarkStart w:id="26" w:name="_Ref69111936"/>
            <w:r>
              <w:rPr>
                <w:rFonts w:hint="eastAsia" w:cs="Times New Roman"/>
                <w:b/>
                <w:bCs/>
                <w:color w:val="auto"/>
                <w:szCs w:val="21"/>
                <w:lang w:val="en-US" w:eastAsia="zh-CN"/>
              </w:rPr>
              <w:t xml:space="preserve">    </w:t>
            </w:r>
            <w:r>
              <w:rPr>
                <w:rFonts w:hint="eastAsia" w:cs="Times New Roman"/>
                <w:b w:val="0"/>
                <w:bCs w:val="0"/>
                <w:color w:val="auto"/>
                <w:szCs w:val="21"/>
                <w:lang w:val="en-US" w:eastAsia="zh-CN"/>
              </w:rPr>
              <w:t>本项目锅炉内的导热油装机量为3t，5年更换一次，则项目废导热油的产生量为 3t/5a，根据《国家危险废物名录》（2025年版），属于其他生产、销售、使用过程中产生的废矿物油，危险废物类别为HW08，代码为900-249-08，本项目废导热油不暂存，更换后即委托有资质单位清运处理。</w:t>
            </w:r>
          </w:p>
          <w:p w14:paraId="50495F38">
            <w:pPr>
              <w:pStyle w:val="82"/>
              <w:spacing w:before="0" w:beforeLines="0" w:line="360" w:lineRule="auto"/>
              <w:ind w:firstLine="0" w:firstLineChars="0"/>
              <w:jc w:val="center"/>
              <w:rPr>
                <w:rFonts w:cs="Times New Roman"/>
                <w:b/>
                <w:bCs/>
                <w:color w:val="auto"/>
              </w:rPr>
            </w:pPr>
            <w:r>
              <w:rPr>
                <w:rFonts w:cs="Times New Roman"/>
                <w:b/>
                <w:bCs/>
                <w:color w:val="auto"/>
                <w:szCs w:val="21"/>
              </w:rPr>
              <w:t>表</w:t>
            </w:r>
            <w:bookmarkEnd w:id="26"/>
            <w:r>
              <w:rPr>
                <w:rFonts w:hint="eastAsia" w:cs="Times New Roman"/>
                <w:b/>
                <w:bCs/>
                <w:color w:val="auto"/>
                <w:szCs w:val="21"/>
              </w:rPr>
              <w:t>4-</w:t>
            </w:r>
            <w:r>
              <w:rPr>
                <w:rFonts w:hint="eastAsia" w:cs="Times New Roman"/>
                <w:b/>
                <w:bCs/>
                <w:color w:val="auto"/>
                <w:szCs w:val="21"/>
                <w:lang w:val="en-US" w:eastAsia="zh-CN"/>
              </w:rPr>
              <w:t>9</w:t>
            </w:r>
            <w:r>
              <w:rPr>
                <w:rFonts w:cs="Times New Roman"/>
                <w:b/>
                <w:bCs/>
                <w:color w:val="auto"/>
                <w:szCs w:val="21"/>
              </w:rPr>
              <w:t xml:space="preserve">  固体废弃物</w:t>
            </w:r>
            <w:r>
              <w:rPr>
                <w:rFonts w:hint="eastAsia" w:cs="Times New Roman"/>
                <w:b/>
                <w:bCs/>
                <w:color w:val="auto"/>
                <w:szCs w:val="21"/>
                <w:lang w:val="en-US" w:eastAsia="zh-CN"/>
              </w:rPr>
              <w:t>产生</w:t>
            </w:r>
            <w:r>
              <w:rPr>
                <w:rFonts w:cs="Times New Roman"/>
                <w:b/>
                <w:bCs/>
                <w:color w:val="auto"/>
                <w:szCs w:val="21"/>
              </w:rPr>
              <w:t>情况</w:t>
            </w:r>
            <w:r>
              <w:rPr>
                <w:rFonts w:cs="Times New Roman"/>
                <w:b/>
                <w:bCs/>
                <w:color w:val="auto"/>
              </w:rPr>
              <w:t>一览表</w:t>
            </w:r>
          </w:p>
          <w:tbl>
            <w:tblPr>
              <w:tblStyle w:val="35"/>
              <w:tblW w:w="8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1"/>
              <w:gridCol w:w="1189"/>
              <w:gridCol w:w="833"/>
              <w:gridCol w:w="1021"/>
              <w:gridCol w:w="892"/>
              <w:gridCol w:w="753"/>
              <w:gridCol w:w="637"/>
              <w:gridCol w:w="572"/>
              <w:gridCol w:w="1171"/>
            </w:tblGrid>
            <w:tr w14:paraId="50CB2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jc w:val="center"/>
              </w:trPr>
              <w:tc>
                <w:tcPr>
                  <w:tcW w:w="592" w:type="pct"/>
                  <w:noWrap w:val="0"/>
                  <w:tcMar>
                    <w:top w:w="15" w:type="dxa"/>
                    <w:left w:w="15" w:type="dxa"/>
                    <w:right w:w="15" w:type="dxa"/>
                  </w:tcMar>
                  <w:vAlign w:val="center"/>
                </w:tcPr>
                <w:p w14:paraId="35B528EF">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auto"/>
                      <w:kern w:val="0"/>
                      <w:sz w:val="21"/>
                      <w:szCs w:val="21"/>
                      <w:u w:val="none"/>
                      <w:lang w:val="en-US" w:eastAsia="zh-CN" w:bidi="ar"/>
                    </w:rPr>
                  </w:pPr>
                  <w:r>
                    <w:rPr>
                      <w:rFonts w:hint="default" w:ascii="Times New Roman" w:hAnsi="Times New Roman" w:eastAsia="宋体" w:cs="Times New Roman"/>
                      <w:b/>
                      <w:i w:val="0"/>
                      <w:color w:val="auto"/>
                      <w:kern w:val="0"/>
                      <w:sz w:val="21"/>
                      <w:szCs w:val="21"/>
                      <w:u w:val="none"/>
                      <w:lang w:val="en-US" w:eastAsia="zh-CN" w:bidi="ar"/>
                    </w:rPr>
                    <w:t>工序</w:t>
                  </w:r>
                </w:p>
                <w:p w14:paraId="5FD219BD">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auto"/>
                      <w:kern w:val="0"/>
                      <w:sz w:val="21"/>
                      <w:szCs w:val="21"/>
                      <w:u w:val="none"/>
                      <w:lang w:val="en-US" w:eastAsia="zh-CN" w:bidi="ar"/>
                    </w:rPr>
                  </w:pPr>
                  <w:r>
                    <w:rPr>
                      <w:rFonts w:hint="default" w:ascii="Times New Roman" w:hAnsi="Times New Roman" w:eastAsia="宋体" w:cs="Times New Roman"/>
                      <w:b/>
                      <w:i w:val="0"/>
                      <w:color w:val="auto"/>
                      <w:kern w:val="0"/>
                      <w:sz w:val="21"/>
                      <w:szCs w:val="21"/>
                      <w:u w:val="none"/>
                      <w:lang w:val="en-US" w:eastAsia="zh-CN" w:bidi="ar"/>
                    </w:rPr>
                    <w:t>/生产线</w:t>
                  </w:r>
                </w:p>
              </w:tc>
              <w:tc>
                <w:tcPr>
                  <w:tcW w:w="741" w:type="pct"/>
                  <w:noWrap w:val="0"/>
                  <w:tcMar>
                    <w:top w:w="15" w:type="dxa"/>
                    <w:left w:w="15" w:type="dxa"/>
                    <w:right w:w="15" w:type="dxa"/>
                  </w:tcMar>
                  <w:vAlign w:val="center"/>
                </w:tcPr>
                <w:p w14:paraId="60953D38">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auto"/>
                      <w:kern w:val="0"/>
                      <w:sz w:val="21"/>
                      <w:szCs w:val="21"/>
                      <w:u w:val="none"/>
                      <w:lang w:val="en-US" w:eastAsia="zh-CN" w:bidi="ar"/>
                    </w:rPr>
                  </w:pPr>
                  <w:r>
                    <w:rPr>
                      <w:rFonts w:hint="default" w:ascii="Times New Roman" w:hAnsi="Times New Roman" w:eastAsia="宋体" w:cs="Times New Roman"/>
                      <w:b/>
                      <w:i w:val="0"/>
                      <w:color w:val="auto"/>
                      <w:kern w:val="0"/>
                      <w:sz w:val="21"/>
                      <w:szCs w:val="21"/>
                      <w:u w:val="none"/>
                      <w:lang w:val="en-US" w:eastAsia="zh-CN" w:bidi="ar"/>
                    </w:rPr>
                    <w:t>固体废物</w:t>
                  </w:r>
                </w:p>
                <w:p w14:paraId="7844D614">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auto"/>
                      <w:sz w:val="21"/>
                      <w:szCs w:val="21"/>
                      <w:u w:val="none"/>
                    </w:rPr>
                  </w:pPr>
                  <w:r>
                    <w:rPr>
                      <w:rFonts w:hint="default" w:ascii="Times New Roman" w:hAnsi="Times New Roman" w:eastAsia="宋体" w:cs="Times New Roman"/>
                      <w:b/>
                      <w:i w:val="0"/>
                      <w:color w:val="auto"/>
                      <w:kern w:val="0"/>
                      <w:sz w:val="21"/>
                      <w:szCs w:val="21"/>
                      <w:u w:val="none"/>
                      <w:lang w:val="en-US" w:eastAsia="zh-CN" w:bidi="ar"/>
                    </w:rPr>
                    <w:t>名称</w:t>
                  </w:r>
                </w:p>
              </w:tc>
              <w:tc>
                <w:tcPr>
                  <w:tcW w:w="519" w:type="pct"/>
                  <w:noWrap w:val="0"/>
                  <w:tcMar>
                    <w:top w:w="15" w:type="dxa"/>
                    <w:left w:w="15" w:type="dxa"/>
                    <w:right w:w="15" w:type="dxa"/>
                  </w:tcMar>
                  <w:vAlign w:val="center"/>
                </w:tcPr>
                <w:p w14:paraId="1FDA6BD7">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auto"/>
                      <w:sz w:val="21"/>
                      <w:szCs w:val="21"/>
                      <w:u w:val="none"/>
                    </w:rPr>
                  </w:pPr>
                  <w:r>
                    <w:rPr>
                      <w:rFonts w:hint="default" w:ascii="Times New Roman" w:hAnsi="Times New Roman" w:eastAsia="宋体" w:cs="Times New Roman"/>
                      <w:b/>
                      <w:i w:val="0"/>
                      <w:color w:val="auto"/>
                      <w:kern w:val="0"/>
                      <w:sz w:val="21"/>
                      <w:szCs w:val="21"/>
                      <w:u w:val="none"/>
                      <w:lang w:val="en-US" w:eastAsia="zh-CN" w:bidi="ar"/>
                    </w:rPr>
                    <w:t>固废属性</w:t>
                  </w:r>
                </w:p>
              </w:tc>
              <w:tc>
                <w:tcPr>
                  <w:tcW w:w="636" w:type="pct"/>
                  <w:noWrap w:val="0"/>
                  <w:tcMar>
                    <w:top w:w="15" w:type="dxa"/>
                    <w:left w:w="15" w:type="dxa"/>
                    <w:right w:w="15" w:type="dxa"/>
                  </w:tcMar>
                  <w:vAlign w:val="center"/>
                </w:tcPr>
                <w:p w14:paraId="3BCE6F93">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auto"/>
                      <w:sz w:val="21"/>
                      <w:szCs w:val="21"/>
                      <w:u w:val="none"/>
                    </w:rPr>
                  </w:pPr>
                  <w:r>
                    <w:rPr>
                      <w:rFonts w:hint="default" w:ascii="Times New Roman" w:hAnsi="Times New Roman" w:eastAsia="宋体" w:cs="Times New Roman"/>
                      <w:b/>
                      <w:i w:val="0"/>
                      <w:color w:val="auto"/>
                      <w:kern w:val="0"/>
                      <w:sz w:val="21"/>
                      <w:szCs w:val="21"/>
                      <w:u w:val="none"/>
                      <w:lang w:val="en-US" w:eastAsia="zh-CN" w:bidi="ar"/>
                    </w:rPr>
                    <w:t>废物编码</w:t>
                  </w:r>
                </w:p>
              </w:tc>
              <w:tc>
                <w:tcPr>
                  <w:tcW w:w="556" w:type="pct"/>
                  <w:noWrap w:val="0"/>
                  <w:tcMar>
                    <w:top w:w="15" w:type="dxa"/>
                    <w:left w:w="15" w:type="dxa"/>
                    <w:right w:w="15" w:type="dxa"/>
                  </w:tcMar>
                  <w:vAlign w:val="center"/>
                </w:tcPr>
                <w:p w14:paraId="22CCF2D6">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auto"/>
                      <w:sz w:val="21"/>
                      <w:szCs w:val="21"/>
                      <w:u w:val="none"/>
                    </w:rPr>
                  </w:pPr>
                  <w:r>
                    <w:rPr>
                      <w:rFonts w:hint="default" w:ascii="Times New Roman" w:hAnsi="Times New Roman" w:eastAsia="宋体" w:cs="Times New Roman"/>
                      <w:b/>
                      <w:i w:val="0"/>
                      <w:color w:val="auto"/>
                      <w:kern w:val="0"/>
                      <w:sz w:val="21"/>
                      <w:szCs w:val="21"/>
                      <w:u w:val="none"/>
                      <w:lang w:val="en-US" w:eastAsia="zh-CN" w:bidi="ar"/>
                    </w:rPr>
                    <w:t>有毒有害物质名称</w:t>
                  </w:r>
                </w:p>
              </w:tc>
              <w:tc>
                <w:tcPr>
                  <w:tcW w:w="469" w:type="pct"/>
                  <w:noWrap w:val="0"/>
                  <w:tcMar>
                    <w:top w:w="15" w:type="dxa"/>
                    <w:left w:w="15" w:type="dxa"/>
                    <w:right w:w="15" w:type="dxa"/>
                  </w:tcMar>
                  <w:vAlign w:val="center"/>
                </w:tcPr>
                <w:p w14:paraId="48E57C0A">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auto"/>
                      <w:sz w:val="21"/>
                      <w:szCs w:val="21"/>
                      <w:u w:val="none"/>
                    </w:rPr>
                  </w:pPr>
                  <w:r>
                    <w:rPr>
                      <w:rFonts w:hint="default" w:ascii="Times New Roman" w:hAnsi="Times New Roman" w:eastAsia="宋体" w:cs="Times New Roman"/>
                      <w:b/>
                      <w:i w:val="0"/>
                      <w:color w:val="auto"/>
                      <w:kern w:val="0"/>
                      <w:sz w:val="21"/>
                      <w:szCs w:val="21"/>
                      <w:u w:val="none"/>
                      <w:lang w:val="en-US" w:eastAsia="zh-CN" w:bidi="ar"/>
                    </w:rPr>
                    <w:t>环境危险特性</w:t>
                  </w:r>
                </w:p>
              </w:tc>
              <w:tc>
                <w:tcPr>
                  <w:tcW w:w="397" w:type="pct"/>
                  <w:noWrap w:val="0"/>
                  <w:tcMar>
                    <w:top w:w="15" w:type="dxa"/>
                    <w:left w:w="15" w:type="dxa"/>
                    <w:right w:w="15" w:type="dxa"/>
                  </w:tcMar>
                  <w:vAlign w:val="center"/>
                </w:tcPr>
                <w:p w14:paraId="22549905">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auto"/>
                      <w:sz w:val="21"/>
                      <w:szCs w:val="21"/>
                      <w:u w:val="none"/>
                    </w:rPr>
                  </w:pPr>
                  <w:r>
                    <w:rPr>
                      <w:rFonts w:hint="default" w:ascii="Times New Roman" w:hAnsi="Times New Roman" w:eastAsia="宋体" w:cs="Times New Roman"/>
                      <w:b/>
                      <w:i w:val="0"/>
                      <w:color w:val="auto"/>
                      <w:kern w:val="0"/>
                      <w:sz w:val="21"/>
                      <w:szCs w:val="21"/>
                      <w:u w:val="none"/>
                      <w:lang w:val="en-US" w:eastAsia="zh-CN" w:bidi="ar"/>
                    </w:rPr>
                    <w:t>产生量</w:t>
                  </w:r>
                </w:p>
              </w:tc>
              <w:tc>
                <w:tcPr>
                  <w:tcW w:w="356" w:type="pct"/>
                  <w:noWrap w:val="0"/>
                  <w:tcMar>
                    <w:top w:w="15" w:type="dxa"/>
                    <w:left w:w="15" w:type="dxa"/>
                    <w:right w:w="15" w:type="dxa"/>
                  </w:tcMar>
                  <w:vAlign w:val="center"/>
                </w:tcPr>
                <w:p w14:paraId="614AE1E9">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auto"/>
                      <w:sz w:val="21"/>
                      <w:szCs w:val="21"/>
                      <w:u w:val="none"/>
                    </w:rPr>
                  </w:pPr>
                  <w:r>
                    <w:rPr>
                      <w:rFonts w:hint="default" w:ascii="Times New Roman" w:hAnsi="Times New Roman" w:eastAsia="宋体" w:cs="Times New Roman"/>
                      <w:b/>
                      <w:i w:val="0"/>
                      <w:color w:val="auto"/>
                      <w:kern w:val="0"/>
                      <w:sz w:val="21"/>
                      <w:szCs w:val="21"/>
                      <w:u w:val="none"/>
                      <w:lang w:val="en-US" w:eastAsia="zh-CN" w:bidi="ar"/>
                    </w:rPr>
                    <w:t>贮存方式</w:t>
                  </w:r>
                </w:p>
              </w:tc>
              <w:tc>
                <w:tcPr>
                  <w:tcW w:w="730" w:type="pct"/>
                  <w:noWrap w:val="0"/>
                  <w:tcMar>
                    <w:top w:w="15" w:type="dxa"/>
                    <w:left w:w="15" w:type="dxa"/>
                    <w:right w:w="15" w:type="dxa"/>
                  </w:tcMar>
                  <w:vAlign w:val="center"/>
                </w:tcPr>
                <w:p w14:paraId="25F50B9D">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auto"/>
                      <w:sz w:val="21"/>
                      <w:szCs w:val="21"/>
                      <w:u w:val="none"/>
                    </w:rPr>
                  </w:pPr>
                  <w:r>
                    <w:rPr>
                      <w:rFonts w:hint="default" w:ascii="Times New Roman" w:hAnsi="Times New Roman" w:eastAsia="宋体" w:cs="Times New Roman"/>
                      <w:b/>
                      <w:i w:val="0"/>
                      <w:color w:val="auto"/>
                      <w:kern w:val="0"/>
                      <w:sz w:val="21"/>
                      <w:szCs w:val="21"/>
                      <w:u w:val="none"/>
                      <w:lang w:val="en-US" w:eastAsia="zh-CN" w:bidi="ar"/>
                    </w:rPr>
                    <w:t>最终去向</w:t>
                  </w:r>
                </w:p>
              </w:tc>
            </w:tr>
            <w:tr w14:paraId="28225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92" w:type="pct"/>
                  <w:noWrap w:val="0"/>
                  <w:tcMar>
                    <w:top w:w="15" w:type="dxa"/>
                    <w:left w:w="15" w:type="dxa"/>
                    <w:right w:w="15" w:type="dxa"/>
                  </w:tcMar>
                  <w:vAlign w:val="center"/>
                </w:tcPr>
                <w:p w14:paraId="7A0B0AD1">
                  <w:pPr>
                    <w:adjustRightInd w:val="0"/>
                    <w:snapToGrid w:val="0"/>
                    <w:spacing w:line="240" w:lineRule="auto"/>
                    <w:jc w:val="center"/>
                    <w:rPr>
                      <w:rFonts w:hint="default" w:ascii="Times New Roman" w:hAnsi="Times New Roman" w:eastAsia="宋体" w:cs="Times New Roman"/>
                      <w:i w:val="0"/>
                      <w:color w:val="auto"/>
                      <w:sz w:val="21"/>
                      <w:szCs w:val="21"/>
                      <w:u w:val="none"/>
                      <w:lang w:val="en-US" w:eastAsia="zh-CN"/>
                    </w:rPr>
                  </w:pPr>
                  <w:r>
                    <w:rPr>
                      <w:rFonts w:hint="eastAsia" w:ascii="Times New Roman" w:hAnsi="Times New Roman" w:eastAsia="宋体" w:cs="Times New Roman"/>
                      <w:i w:val="0"/>
                      <w:color w:val="auto"/>
                      <w:sz w:val="21"/>
                      <w:szCs w:val="21"/>
                      <w:u w:val="none"/>
                      <w:lang w:val="en-US" w:eastAsia="zh-CN"/>
                    </w:rPr>
                    <w:t>锅炉</w:t>
                  </w:r>
                </w:p>
              </w:tc>
              <w:tc>
                <w:tcPr>
                  <w:tcW w:w="741" w:type="pct"/>
                  <w:noWrap w:val="0"/>
                  <w:tcMar>
                    <w:top w:w="15" w:type="dxa"/>
                    <w:left w:w="15" w:type="dxa"/>
                    <w:right w:w="15" w:type="dxa"/>
                  </w:tcMar>
                  <w:vAlign w:val="center"/>
                </w:tcPr>
                <w:p w14:paraId="5FD5B8AA">
                  <w:pPr>
                    <w:adjustRightInd w:val="0"/>
                    <w:snapToGrid w:val="0"/>
                    <w:spacing w:line="240" w:lineRule="auto"/>
                    <w:jc w:val="center"/>
                    <w:rPr>
                      <w:rFonts w:hint="default" w:ascii="Times New Roman" w:hAnsi="Times New Roman" w:eastAsia="宋体" w:cs="Times New Roman"/>
                      <w:i w:val="0"/>
                      <w:color w:val="auto"/>
                      <w:sz w:val="21"/>
                      <w:szCs w:val="21"/>
                      <w:u w:val="none"/>
                      <w:lang w:val="en-US" w:eastAsia="zh-CN"/>
                    </w:rPr>
                  </w:pPr>
                  <w:r>
                    <w:rPr>
                      <w:rFonts w:hint="eastAsia" w:ascii="Times New Roman" w:hAnsi="Times New Roman" w:eastAsia="宋体" w:cs="Times New Roman"/>
                      <w:i w:val="0"/>
                      <w:color w:val="auto"/>
                      <w:sz w:val="21"/>
                      <w:szCs w:val="21"/>
                      <w:u w:val="none"/>
                      <w:lang w:val="en-US" w:eastAsia="zh-CN"/>
                    </w:rPr>
                    <w:t>锅炉灰渣</w:t>
                  </w:r>
                </w:p>
              </w:tc>
              <w:tc>
                <w:tcPr>
                  <w:tcW w:w="519" w:type="pct"/>
                  <w:noWrap w:val="0"/>
                  <w:tcMar>
                    <w:top w:w="15" w:type="dxa"/>
                    <w:left w:w="15" w:type="dxa"/>
                    <w:right w:w="15" w:type="dxa"/>
                  </w:tcMar>
                  <w:vAlign w:val="center"/>
                </w:tcPr>
                <w:p w14:paraId="67A05474">
                  <w:pPr>
                    <w:keepNext w:val="0"/>
                    <w:keepLines w:val="0"/>
                    <w:widowControl/>
                    <w:suppressLineNumbers w:val="0"/>
                    <w:spacing w:line="240" w:lineRule="auto"/>
                    <w:jc w:val="center"/>
                    <w:textAlignment w:val="center"/>
                    <w:rPr>
                      <w:rFonts w:hint="default" w:ascii="Times New Roman" w:hAnsi="Times New Roman" w:cs="Times New Roman"/>
                      <w:i w:val="0"/>
                      <w:color w:val="auto"/>
                      <w:sz w:val="21"/>
                      <w:szCs w:val="21"/>
                      <w:u w:val="none"/>
                      <w:lang w:val="en-US" w:eastAsia="zh-CN"/>
                    </w:rPr>
                  </w:pPr>
                  <w:r>
                    <w:rPr>
                      <w:rFonts w:hint="default" w:ascii="Times New Roman" w:hAnsi="Times New Roman" w:cs="Times New Roman"/>
                      <w:i w:val="0"/>
                      <w:color w:val="auto"/>
                      <w:sz w:val="21"/>
                      <w:szCs w:val="21"/>
                      <w:u w:val="none"/>
                      <w:lang w:val="en-US" w:eastAsia="zh-CN"/>
                    </w:rPr>
                    <w:t>一般</w:t>
                  </w:r>
                </w:p>
                <w:p w14:paraId="45FF8548">
                  <w:pPr>
                    <w:keepNext w:val="0"/>
                    <w:keepLines w:val="0"/>
                    <w:widowControl/>
                    <w:suppressLineNumbers w:val="0"/>
                    <w:spacing w:line="240" w:lineRule="auto"/>
                    <w:jc w:val="center"/>
                    <w:textAlignment w:val="center"/>
                    <w:rPr>
                      <w:rFonts w:hint="default" w:ascii="Times New Roman" w:hAnsi="Times New Roman" w:cs="Times New Roman"/>
                      <w:i w:val="0"/>
                      <w:color w:val="auto"/>
                      <w:sz w:val="21"/>
                      <w:szCs w:val="21"/>
                      <w:u w:val="none"/>
                      <w:lang w:val="en-US" w:eastAsia="zh-CN"/>
                    </w:rPr>
                  </w:pPr>
                  <w:r>
                    <w:rPr>
                      <w:rFonts w:hint="default" w:ascii="Times New Roman" w:hAnsi="Times New Roman" w:cs="Times New Roman"/>
                      <w:i w:val="0"/>
                      <w:color w:val="auto"/>
                      <w:sz w:val="21"/>
                      <w:szCs w:val="21"/>
                      <w:u w:val="none"/>
                      <w:lang w:val="en-US" w:eastAsia="zh-CN"/>
                    </w:rPr>
                    <w:t>固废</w:t>
                  </w:r>
                </w:p>
              </w:tc>
              <w:tc>
                <w:tcPr>
                  <w:tcW w:w="636" w:type="pct"/>
                  <w:noWrap w:val="0"/>
                  <w:tcMar>
                    <w:top w:w="15" w:type="dxa"/>
                    <w:left w:w="15" w:type="dxa"/>
                    <w:right w:w="15" w:type="dxa"/>
                  </w:tcMar>
                  <w:vAlign w:val="center"/>
                </w:tcPr>
                <w:p w14:paraId="05E089AB">
                  <w:pPr>
                    <w:keepNext w:val="0"/>
                    <w:keepLines w:val="0"/>
                    <w:widowControl/>
                    <w:suppressLineNumbers w:val="0"/>
                    <w:spacing w:line="240" w:lineRule="auto"/>
                    <w:jc w:val="center"/>
                    <w:textAlignment w:val="center"/>
                    <w:rPr>
                      <w:rFonts w:hint="default" w:ascii="Times New Roman" w:hAnsi="Times New Roman" w:cs="Times New Roman"/>
                      <w:i w:val="0"/>
                      <w:color w:val="auto"/>
                      <w:sz w:val="21"/>
                      <w:szCs w:val="21"/>
                      <w:u w:val="none"/>
                      <w:lang w:val="en-US" w:eastAsia="zh-CN"/>
                    </w:rPr>
                  </w:pPr>
                  <w:r>
                    <w:rPr>
                      <w:rFonts w:hint="eastAsia" w:ascii="Times New Roman" w:hAnsi="Times New Roman" w:cs="Times New Roman"/>
                      <w:i w:val="0"/>
                      <w:color w:val="auto"/>
                      <w:sz w:val="21"/>
                      <w:szCs w:val="21"/>
                      <w:u w:val="none"/>
                      <w:lang w:val="en-US" w:eastAsia="zh-CN"/>
                    </w:rPr>
                    <w:t>/</w:t>
                  </w:r>
                </w:p>
              </w:tc>
              <w:tc>
                <w:tcPr>
                  <w:tcW w:w="556" w:type="pct"/>
                  <w:noWrap w:val="0"/>
                  <w:tcMar>
                    <w:top w:w="15" w:type="dxa"/>
                    <w:left w:w="15" w:type="dxa"/>
                    <w:right w:w="15" w:type="dxa"/>
                  </w:tcMar>
                  <w:vAlign w:val="center"/>
                </w:tcPr>
                <w:p w14:paraId="74BF6179">
                  <w:pPr>
                    <w:keepNext w:val="0"/>
                    <w:keepLines w:val="0"/>
                    <w:widowControl/>
                    <w:suppressLineNumbers w:val="0"/>
                    <w:spacing w:line="240" w:lineRule="auto"/>
                    <w:jc w:val="center"/>
                    <w:textAlignment w:val="center"/>
                    <w:rPr>
                      <w:rFonts w:hint="default" w:ascii="Times New Roman" w:hAnsi="Times New Roman" w:cs="Times New Roman"/>
                      <w:i w:val="0"/>
                      <w:color w:val="auto"/>
                      <w:kern w:val="2"/>
                      <w:sz w:val="21"/>
                      <w:szCs w:val="21"/>
                      <w:u w:val="none"/>
                      <w:lang w:val="en-US" w:eastAsia="zh-CN" w:bidi="ar-SA"/>
                    </w:rPr>
                  </w:pPr>
                  <w:r>
                    <w:rPr>
                      <w:rFonts w:hint="default" w:ascii="Times New Roman" w:hAnsi="Times New Roman" w:cs="Times New Roman"/>
                      <w:i w:val="0"/>
                      <w:color w:val="auto"/>
                      <w:kern w:val="2"/>
                      <w:sz w:val="21"/>
                      <w:szCs w:val="21"/>
                      <w:u w:val="none"/>
                      <w:lang w:val="en-US" w:eastAsia="zh-CN" w:bidi="ar-SA"/>
                    </w:rPr>
                    <w:t>/</w:t>
                  </w:r>
                </w:p>
              </w:tc>
              <w:tc>
                <w:tcPr>
                  <w:tcW w:w="469" w:type="pct"/>
                  <w:noWrap w:val="0"/>
                  <w:tcMar>
                    <w:top w:w="15" w:type="dxa"/>
                    <w:left w:w="15" w:type="dxa"/>
                    <w:right w:w="15" w:type="dxa"/>
                  </w:tcMar>
                  <w:vAlign w:val="center"/>
                </w:tcPr>
                <w:p w14:paraId="59FDAE9D">
                  <w:pPr>
                    <w:adjustRightInd w:val="0"/>
                    <w:snapToGrid w:val="0"/>
                    <w:spacing w:line="240" w:lineRule="auto"/>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w:t>
                  </w:r>
                </w:p>
              </w:tc>
              <w:tc>
                <w:tcPr>
                  <w:tcW w:w="397" w:type="pct"/>
                  <w:noWrap w:val="0"/>
                  <w:tcMar>
                    <w:top w:w="15" w:type="dxa"/>
                    <w:left w:w="15" w:type="dxa"/>
                    <w:right w:w="15" w:type="dxa"/>
                  </w:tcMar>
                  <w:vAlign w:val="center"/>
                </w:tcPr>
                <w:p w14:paraId="4D6F9DDD">
                  <w:pPr>
                    <w:adjustRightInd w:val="0"/>
                    <w:snapToGrid w:val="0"/>
                    <w:spacing w:line="240" w:lineRule="auto"/>
                    <w:jc w:val="center"/>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5t/a</w:t>
                  </w:r>
                </w:p>
              </w:tc>
              <w:tc>
                <w:tcPr>
                  <w:tcW w:w="356" w:type="pct"/>
                  <w:noWrap w:val="0"/>
                  <w:tcMar>
                    <w:top w:w="15" w:type="dxa"/>
                    <w:left w:w="15" w:type="dxa"/>
                    <w:right w:w="15" w:type="dxa"/>
                  </w:tcMar>
                  <w:vAlign w:val="center"/>
                </w:tcPr>
                <w:p w14:paraId="07061C62">
                  <w:pPr>
                    <w:adjustRightInd w:val="0"/>
                    <w:snapToGrid w:val="0"/>
                    <w:spacing w:line="240" w:lineRule="auto"/>
                    <w:jc w:val="center"/>
                    <w:rPr>
                      <w:rFonts w:hint="default" w:ascii="Times New Roman" w:hAnsi="Times New Roman" w:cs="Times New Roman"/>
                      <w:i w:val="0"/>
                      <w:color w:val="auto"/>
                      <w:sz w:val="21"/>
                      <w:szCs w:val="21"/>
                      <w:u w:val="none"/>
                      <w:lang w:val="en-US" w:eastAsia="zh-CN"/>
                    </w:rPr>
                  </w:pPr>
                  <w:r>
                    <w:rPr>
                      <w:rFonts w:hint="default" w:ascii="Times New Roman" w:hAnsi="Times New Roman" w:cs="Times New Roman"/>
                      <w:i w:val="0"/>
                      <w:color w:val="auto"/>
                      <w:sz w:val="21"/>
                      <w:szCs w:val="21"/>
                      <w:u w:val="none"/>
                      <w:lang w:val="en-US" w:eastAsia="zh-CN"/>
                    </w:rPr>
                    <w:t>袋装</w:t>
                  </w:r>
                </w:p>
              </w:tc>
              <w:tc>
                <w:tcPr>
                  <w:tcW w:w="730" w:type="pct"/>
                  <w:noWrap w:val="0"/>
                  <w:tcMar>
                    <w:top w:w="15" w:type="dxa"/>
                    <w:left w:w="15" w:type="dxa"/>
                    <w:right w:w="15" w:type="dxa"/>
                  </w:tcMar>
                  <w:vAlign w:val="center"/>
                </w:tcPr>
                <w:p w14:paraId="0CD02D2F">
                  <w:pPr>
                    <w:keepNext w:val="0"/>
                    <w:keepLines w:val="0"/>
                    <w:widowControl/>
                    <w:suppressLineNumbers w:val="0"/>
                    <w:spacing w:line="240" w:lineRule="auto"/>
                    <w:jc w:val="center"/>
                    <w:textAlignment w:val="center"/>
                    <w:rPr>
                      <w:rFonts w:hint="default" w:ascii="Times New Roman" w:hAnsi="Times New Roman" w:cs="Times New Roman"/>
                      <w:i w:val="0"/>
                      <w:color w:val="auto"/>
                      <w:kern w:val="2"/>
                      <w:sz w:val="21"/>
                      <w:szCs w:val="21"/>
                      <w:u w:val="none"/>
                      <w:lang w:val="en-US" w:eastAsia="zh-CN" w:bidi="ar-SA"/>
                    </w:rPr>
                  </w:pPr>
                  <w:r>
                    <w:rPr>
                      <w:rFonts w:hint="default" w:ascii="Times New Roman" w:hAnsi="Times New Roman" w:cs="Times New Roman"/>
                      <w:i w:val="0"/>
                      <w:color w:val="auto"/>
                      <w:kern w:val="2"/>
                      <w:sz w:val="21"/>
                      <w:szCs w:val="21"/>
                      <w:u w:val="none"/>
                      <w:lang w:val="en-US" w:eastAsia="zh-CN" w:bidi="ar-SA"/>
                    </w:rPr>
                    <w:t>由周边农户作有机肥料</w:t>
                  </w:r>
                </w:p>
              </w:tc>
            </w:tr>
            <w:tr w14:paraId="66724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atLeast"/>
                <w:jc w:val="center"/>
              </w:trPr>
              <w:tc>
                <w:tcPr>
                  <w:tcW w:w="592" w:type="pct"/>
                  <w:noWrap w:val="0"/>
                  <w:tcMar>
                    <w:top w:w="15" w:type="dxa"/>
                    <w:left w:w="15" w:type="dxa"/>
                    <w:right w:w="15" w:type="dxa"/>
                  </w:tcMar>
                  <w:vAlign w:val="center"/>
                </w:tcPr>
                <w:p w14:paraId="0EB1CB23">
                  <w:pPr>
                    <w:adjustRightInd w:val="0"/>
                    <w:snapToGrid w:val="0"/>
                    <w:spacing w:line="240" w:lineRule="auto"/>
                    <w:jc w:val="center"/>
                    <w:rPr>
                      <w:rFonts w:hint="default" w:ascii="Times New Roman" w:hAnsi="Times New Roman" w:eastAsia="宋体" w:cs="Times New Roman"/>
                      <w:i w:val="0"/>
                      <w:color w:val="auto"/>
                      <w:sz w:val="21"/>
                      <w:szCs w:val="21"/>
                      <w:u w:val="none"/>
                      <w:lang w:val="en-US" w:eastAsia="zh-CN"/>
                    </w:rPr>
                  </w:pPr>
                  <w:r>
                    <w:rPr>
                      <w:rFonts w:hint="eastAsia" w:ascii="Times New Roman" w:hAnsi="Times New Roman" w:eastAsia="宋体" w:cs="Times New Roman"/>
                      <w:i w:val="0"/>
                      <w:color w:val="auto"/>
                      <w:sz w:val="21"/>
                      <w:szCs w:val="21"/>
                      <w:u w:val="none"/>
                      <w:lang w:val="en-US" w:eastAsia="zh-CN"/>
                    </w:rPr>
                    <w:t>锅炉</w:t>
                  </w:r>
                </w:p>
              </w:tc>
              <w:tc>
                <w:tcPr>
                  <w:tcW w:w="741" w:type="pct"/>
                  <w:noWrap w:val="0"/>
                  <w:tcMar>
                    <w:top w:w="15" w:type="dxa"/>
                    <w:left w:w="15" w:type="dxa"/>
                    <w:right w:w="15" w:type="dxa"/>
                  </w:tcMar>
                  <w:vAlign w:val="center"/>
                </w:tcPr>
                <w:p w14:paraId="55AAFA87">
                  <w:pPr>
                    <w:adjustRightInd w:val="0"/>
                    <w:snapToGrid w:val="0"/>
                    <w:spacing w:line="240" w:lineRule="auto"/>
                    <w:jc w:val="center"/>
                    <w:rPr>
                      <w:rFonts w:hint="default" w:ascii="Times New Roman" w:hAnsi="Times New Roman" w:eastAsia="宋体" w:cs="Times New Roman"/>
                      <w:i w:val="0"/>
                      <w:color w:val="auto"/>
                      <w:sz w:val="21"/>
                      <w:szCs w:val="21"/>
                      <w:u w:val="none"/>
                      <w:lang w:val="en-US" w:eastAsia="zh-CN"/>
                    </w:rPr>
                  </w:pPr>
                  <w:r>
                    <w:rPr>
                      <w:rFonts w:hint="eastAsia" w:ascii="Times New Roman" w:hAnsi="Times New Roman" w:eastAsia="宋体" w:cs="Times New Roman"/>
                      <w:i w:val="0"/>
                      <w:color w:val="auto"/>
                      <w:sz w:val="21"/>
                      <w:szCs w:val="21"/>
                      <w:u w:val="none"/>
                      <w:lang w:val="en-US" w:eastAsia="zh-CN"/>
                    </w:rPr>
                    <w:t>废导热油</w:t>
                  </w:r>
                </w:p>
              </w:tc>
              <w:tc>
                <w:tcPr>
                  <w:tcW w:w="519" w:type="pct"/>
                  <w:noWrap w:val="0"/>
                  <w:tcMar>
                    <w:top w:w="15" w:type="dxa"/>
                    <w:left w:w="15" w:type="dxa"/>
                    <w:right w:w="15" w:type="dxa"/>
                  </w:tcMar>
                  <w:vAlign w:val="center"/>
                </w:tcPr>
                <w:p w14:paraId="1564DBDD">
                  <w:pPr>
                    <w:keepNext w:val="0"/>
                    <w:keepLines w:val="0"/>
                    <w:widowControl/>
                    <w:suppressLineNumbers w:val="0"/>
                    <w:spacing w:line="240" w:lineRule="auto"/>
                    <w:jc w:val="center"/>
                    <w:textAlignment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危险</w:t>
                  </w:r>
                </w:p>
                <w:p w14:paraId="6CAE9619">
                  <w:pPr>
                    <w:keepNext w:val="0"/>
                    <w:keepLines w:val="0"/>
                    <w:widowControl/>
                    <w:suppressLineNumbers w:val="0"/>
                    <w:spacing w:line="240" w:lineRule="auto"/>
                    <w:jc w:val="center"/>
                    <w:textAlignment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废物</w:t>
                  </w:r>
                </w:p>
              </w:tc>
              <w:tc>
                <w:tcPr>
                  <w:tcW w:w="636" w:type="pct"/>
                  <w:noWrap w:val="0"/>
                  <w:tcMar>
                    <w:top w:w="15" w:type="dxa"/>
                    <w:left w:w="15" w:type="dxa"/>
                    <w:right w:w="15" w:type="dxa"/>
                  </w:tcMar>
                  <w:vAlign w:val="center"/>
                </w:tcPr>
                <w:p w14:paraId="7C7026D3">
                  <w:pPr>
                    <w:adjustRightInd w:val="0"/>
                    <w:snapToGrid w:val="0"/>
                    <w:spacing w:line="240" w:lineRule="auto"/>
                    <w:jc w:val="center"/>
                    <w:rPr>
                      <w:rFonts w:hint="default" w:ascii="Times New Roman" w:hAnsi="Times New Roman" w:cs="Times New Roman"/>
                      <w:i w:val="0"/>
                      <w:color w:val="auto"/>
                      <w:kern w:val="2"/>
                      <w:sz w:val="21"/>
                      <w:szCs w:val="21"/>
                      <w:u w:val="none"/>
                      <w:lang w:val="en-US" w:eastAsia="zh-CN" w:bidi="ar-SA"/>
                    </w:rPr>
                  </w:pPr>
                  <w:r>
                    <w:rPr>
                      <w:rFonts w:hint="default" w:ascii="Times New Roman" w:hAnsi="Times New Roman" w:cs="Times New Roman"/>
                      <w:i w:val="0"/>
                      <w:color w:val="auto"/>
                      <w:kern w:val="2"/>
                      <w:sz w:val="21"/>
                      <w:szCs w:val="21"/>
                      <w:u w:val="none"/>
                      <w:lang w:val="en-US" w:eastAsia="zh-CN" w:bidi="ar-SA"/>
                    </w:rPr>
                    <w:t>900-249-08</w:t>
                  </w:r>
                </w:p>
              </w:tc>
              <w:tc>
                <w:tcPr>
                  <w:tcW w:w="556" w:type="pct"/>
                  <w:noWrap w:val="0"/>
                  <w:tcMar>
                    <w:top w:w="15" w:type="dxa"/>
                    <w:left w:w="15" w:type="dxa"/>
                    <w:right w:w="15" w:type="dxa"/>
                  </w:tcMar>
                  <w:vAlign w:val="center"/>
                </w:tcPr>
                <w:p w14:paraId="0BEBF2F4">
                  <w:pPr>
                    <w:adjustRightInd w:val="0"/>
                    <w:snapToGrid w:val="0"/>
                    <w:spacing w:line="240" w:lineRule="auto"/>
                    <w:jc w:val="center"/>
                    <w:rPr>
                      <w:rFonts w:hint="default" w:ascii="Times New Roman" w:hAnsi="Times New Roman" w:eastAsia="宋体" w:cs="Times New Roman"/>
                      <w:i w:val="0"/>
                      <w:color w:val="auto"/>
                      <w:kern w:val="2"/>
                      <w:sz w:val="21"/>
                      <w:szCs w:val="21"/>
                      <w:u w:val="none"/>
                      <w:lang w:val="en-US" w:eastAsia="zh-CN" w:bidi="ar-SA"/>
                    </w:rPr>
                  </w:pPr>
                  <w:r>
                    <w:rPr>
                      <w:rFonts w:hint="eastAsia" w:ascii="Times New Roman" w:hAnsi="Times New Roman" w:eastAsia="宋体" w:cs="Times New Roman"/>
                      <w:i w:val="0"/>
                      <w:color w:val="auto"/>
                      <w:kern w:val="2"/>
                      <w:sz w:val="21"/>
                      <w:szCs w:val="21"/>
                      <w:u w:val="none"/>
                      <w:lang w:val="en-US" w:eastAsia="zh-CN" w:bidi="ar-SA"/>
                    </w:rPr>
                    <w:t>石油烃</w:t>
                  </w:r>
                </w:p>
              </w:tc>
              <w:tc>
                <w:tcPr>
                  <w:tcW w:w="469" w:type="pct"/>
                  <w:noWrap w:val="0"/>
                  <w:tcMar>
                    <w:top w:w="15" w:type="dxa"/>
                    <w:left w:w="15" w:type="dxa"/>
                    <w:right w:w="15" w:type="dxa"/>
                  </w:tcMar>
                  <w:vAlign w:val="center"/>
                </w:tcPr>
                <w:p w14:paraId="3D3EEA5D">
                  <w:pPr>
                    <w:adjustRightInd w:val="0"/>
                    <w:snapToGrid w:val="0"/>
                    <w:spacing w:line="240" w:lineRule="auto"/>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T</w:t>
                  </w:r>
                  <w:r>
                    <w:rPr>
                      <w:rFonts w:hint="default" w:ascii="Times New Roman" w:hAnsi="Times New Roman" w:cs="Times New Roman"/>
                      <w:color w:val="auto"/>
                      <w:sz w:val="21"/>
                      <w:szCs w:val="21"/>
                      <w:lang w:val="en-US" w:eastAsia="zh-CN"/>
                    </w:rPr>
                    <w:t>/I</w:t>
                  </w:r>
                </w:p>
              </w:tc>
              <w:tc>
                <w:tcPr>
                  <w:tcW w:w="397" w:type="pct"/>
                  <w:noWrap w:val="0"/>
                  <w:tcMar>
                    <w:top w:w="15" w:type="dxa"/>
                    <w:left w:w="15" w:type="dxa"/>
                    <w:right w:w="15" w:type="dxa"/>
                  </w:tcMar>
                  <w:vAlign w:val="center"/>
                </w:tcPr>
                <w:p w14:paraId="6ABE3870">
                  <w:pPr>
                    <w:adjustRightInd w:val="0"/>
                    <w:snapToGrid w:val="0"/>
                    <w:spacing w:line="240" w:lineRule="auto"/>
                    <w:jc w:val="center"/>
                    <w:rPr>
                      <w:rFonts w:hint="default" w:ascii="Times New Roman" w:hAnsi="Times New Roman" w:eastAsia="宋体" w:cs="Times New Roman"/>
                      <w:i w:val="0"/>
                      <w:color w:val="auto"/>
                      <w:sz w:val="21"/>
                      <w:szCs w:val="21"/>
                      <w:u w:val="none"/>
                      <w:lang w:val="en-US" w:eastAsia="zh-CN"/>
                    </w:rPr>
                  </w:pPr>
                  <w:r>
                    <w:rPr>
                      <w:rFonts w:hint="eastAsia" w:ascii="Times New Roman" w:hAnsi="Times New Roman" w:eastAsia="宋体" w:cs="Times New Roman"/>
                      <w:i w:val="0"/>
                      <w:color w:val="auto"/>
                      <w:sz w:val="21"/>
                      <w:szCs w:val="21"/>
                      <w:u w:val="none"/>
                      <w:lang w:val="en-US" w:eastAsia="zh-CN"/>
                    </w:rPr>
                    <w:t>3t/5a</w:t>
                  </w:r>
                </w:p>
              </w:tc>
              <w:tc>
                <w:tcPr>
                  <w:tcW w:w="356" w:type="pct"/>
                  <w:noWrap w:val="0"/>
                  <w:tcMar>
                    <w:top w:w="15" w:type="dxa"/>
                    <w:left w:w="15" w:type="dxa"/>
                    <w:right w:w="15" w:type="dxa"/>
                  </w:tcMar>
                  <w:vAlign w:val="center"/>
                </w:tcPr>
                <w:p w14:paraId="30B8E23B">
                  <w:pPr>
                    <w:keepNext w:val="0"/>
                    <w:keepLines w:val="0"/>
                    <w:widowControl/>
                    <w:suppressLineNumbers w:val="0"/>
                    <w:spacing w:line="240" w:lineRule="auto"/>
                    <w:jc w:val="center"/>
                    <w:textAlignment w:val="center"/>
                    <w:rPr>
                      <w:rFonts w:hint="default" w:ascii="Times New Roman" w:hAnsi="Times New Roman" w:eastAsia="宋体" w:cs="Times New Roman"/>
                      <w:i w:val="0"/>
                      <w:color w:val="auto"/>
                      <w:sz w:val="21"/>
                      <w:szCs w:val="21"/>
                      <w:u w:val="none"/>
                      <w:lang w:val="en-US" w:eastAsia="zh-CN"/>
                    </w:rPr>
                  </w:pPr>
                  <w:r>
                    <w:rPr>
                      <w:rFonts w:hint="eastAsia" w:ascii="Times New Roman" w:hAnsi="Times New Roman" w:eastAsia="宋体" w:cs="Times New Roman"/>
                      <w:i w:val="0"/>
                      <w:color w:val="auto"/>
                      <w:sz w:val="21"/>
                      <w:szCs w:val="21"/>
                      <w:u w:val="none"/>
                      <w:lang w:val="en-US" w:eastAsia="zh-CN"/>
                    </w:rPr>
                    <w:t>桶</w:t>
                  </w:r>
                  <w:r>
                    <w:rPr>
                      <w:rFonts w:hint="default" w:ascii="Times New Roman" w:hAnsi="Times New Roman" w:eastAsia="宋体" w:cs="Times New Roman"/>
                      <w:i w:val="0"/>
                      <w:color w:val="auto"/>
                      <w:sz w:val="21"/>
                      <w:szCs w:val="21"/>
                      <w:u w:val="none"/>
                      <w:lang w:eastAsia="zh-CN"/>
                    </w:rPr>
                    <w:t>装</w:t>
                  </w:r>
                </w:p>
              </w:tc>
              <w:tc>
                <w:tcPr>
                  <w:tcW w:w="730" w:type="pct"/>
                  <w:noWrap w:val="0"/>
                  <w:tcMar>
                    <w:top w:w="15" w:type="dxa"/>
                    <w:left w:w="15" w:type="dxa"/>
                    <w:right w:w="15" w:type="dxa"/>
                  </w:tcMar>
                  <w:vAlign w:val="center"/>
                </w:tcPr>
                <w:p w14:paraId="03064E93">
                  <w:pPr>
                    <w:keepNext w:val="0"/>
                    <w:keepLines w:val="0"/>
                    <w:widowControl/>
                    <w:suppressLineNumbers w:val="0"/>
                    <w:spacing w:line="240" w:lineRule="auto"/>
                    <w:jc w:val="center"/>
                    <w:textAlignment w:val="center"/>
                    <w:rPr>
                      <w:rFonts w:hint="default" w:ascii="Times New Roman" w:hAnsi="Times New Roman" w:cs="Times New Roman"/>
                      <w:i w:val="0"/>
                      <w:color w:val="auto"/>
                      <w:sz w:val="21"/>
                      <w:szCs w:val="21"/>
                      <w:u w:val="none"/>
                      <w:lang w:eastAsia="zh-CN"/>
                    </w:rPr>
                  </w:pPr>
                  <w:r>
                    <w:rPr>
                      <w:rFonts w:hint="default" w:ascii="Times New Roman" w:hAnsi="Times New Roman" w:cs="Times New Roman"/>
                      <w:i w:val="0"/>
                      <w:color w:val="auto"/>
                      <w:sz w:val="21"/>
                      <w:szCs w:val="21"/>
                      <w:u w:val="none"/>
                      <w:lang w:eastAsia="zh-CN"/>
                    </w:rPr>
                    <w:t>交由危废资质单位清运处理</w:t>
                  </w:r>
                </w:p>
              </w:tc>
            </w:tr>
          </w:tbl>
          <w:p w14:paraId="12A8228F">
            <w:pPr>
              <w:pStyle w:val="15"/>
              <w:snapToGrid w:val="0"/>
              <w:spacing w:before="120" w:beforeLines="50" w:line="360" w:lineRule="auto"/>
              <w:ind w:firstLine="422" w:firstLineChars="200"/>
              <w:rPr>
                <w:rFonts w:ascii="Times New Roman" w:hAnsi="Times New Roman" w:eastAsia="宋体"/>
                <w:b/>
                <w:bCs/>
                <w:color w:val="auto"/>
                <w:sz w:val="21"/>
              </w:rPr>
            </w:pPr>
            <w:r>
              <w:rPr>
                <w:rFonts w:ascii="Times New Roman" w:hAnsi="Times New Roman" w:eastAsia="宋体"/>
                <w:b/>
                <w:bCs/>
                <w:color w:val="auto"/>
                <w:sz w:val="21"/>
              </w:rPr>
              <w:t>（</w:t>
            </w:r>
            <w:r>
              <w:rPr>
                <w:rFonts w:hint="eastAsia" w:ascii="Times New Roman" w:hAnsi="Times New Roman" w:eastAsia="宋体"/>
                <w:b/>
                <w:bCs/>
                <w:color w:val="auto"/>
                <w:sz w:val="21"/>
                <w:lang w:val="en-US" w:eastAsia="zh-CN"/>
              </w:rPr>
              <w:t>2</w:t>
            </w:r>
            <w:r>
              <w:rPr>
                <w:rFonts w:ascii="Times New Roman" w:hAnsi="Times New Roman" w:eastAsia="宋体"/>
                <w:b/>
                <w:bCs/>
                <w:color w:val="auto"/>
                <w:sz w:val="21"/>
              </w:rPr>
              <w:t>）环境管理要求</w:t>
            </w:r>
          </w:p>
          <w:p w14:paraId="508BC70B">
            <w:pPr>
              <w:pStyle w:val="118"/>
              <w:keepNext w:val="0"/>
              <w:keepLines w:val="0"/>
              <w:pageBreakBefore w:val="0"/>
              <w:widowControl w:val="0"/>
              <w:kinsoku/>
              <w:wordWrap/>
              <w:overflowPunct/>
              <w:topLinePunct w:val="0"/>
              <w:autoSpaceDE/>
              <w:autoSpaceDN/>
              <w:bidi w:val="0"/>
              <w:adjustRightInd/>
              <w:snapToGrid/>
              <w:spacing w:before="0" w:line="360" w:lineRule="auto"/>
              <w:ind w:firstLine="422" w:firstLineChars="200"/>
              <w:jc w:val="both"/>
              <w:textAlignment w:val="auto"/>
              <w:rPr>
                <w:rFonts w:hint="default" w:ascii="Times New Roman" w:hAnsi="Times New Roman" w:eastAsia="宋体" w:cs="Times New Roman"/>
                <w:b/>
                <w:bCs w:val="0"/>
                <w:smallCaps w:val="0"/>
                <w:color w:val="auto"/>
                <w:spacing w:val="0"/>
                <w:sz w:val="21"/>
                <w:szCs w:val="21"/>
                <w:vertAlign w:val="baseline"/>
                <w:lang w:val="en-US" w:eastAsia="zh-CN"/>
              </w:rPr>
            </w:pPr>
            <w:r>
              <w:rPr>
                <w:rFonts w:hint="eastAsia" w:ascii="Times New Roman" w:hAnsi="Times New Roman" w:cs="Times New Roman"/>
                <w:b/>
                <w:bCs w:val="0"/>
                <w:smallCaps w:val="0"/>
                <w:color w:val="auto"/>
                <w:spacing w:val="0"/>
                <w:sz w:val="21"/>
                <w:szCs w:val="21"/>
                <w:vertAlign w:val="baseline"/>
                <w:lang w:val="en-US" w:eastAsia="zh-CN"/>
              </w:rPr>
              <w:t>一般固废：</w:t>
            </w:r>
          </w:p>
          <w:p w14:paraId="39143757">
            <w:pPr>
              <w:pStyle w:val="118"/>
              <w:keepNext w:val="0"/>
              <w:keepLines w:val="0"/>
              <w:pageBreakBefore w:val="0"/>
              <w:widowControl w:val="0"/>
              <w:kinsoku/>
              <w:wordWrap/>
              <w:overflowPunct/>
              <w:topLinePunct w:val="0"/>
              <w:autoSpaceDE/>
              <w:autoSpaceDN/>
              <w:bidi w:val="0"/>
              <w:adjustRightInd/>
              <w:snapToGrid/>
              <w:spacing w:before="0" w:line="360" w:lineRule="auto"/>
              <w:ind w:firstLine="420" w:firstLineChars="200"/>
              <w:jc w:val="both"/>
              <w:textAlignment w:val="auto"/>
              <w:rPr>
                <w:rFonts w:hint="default" w:ascii="Times New Roman" w:hAnsi="Times New Roman" w:eastAsia="宋体" w:cs="Times New Roman"/>
                <w:b w:val="0"/>
                <w:bCs/>
                <w:smallCaps w:val="0"/>
                <w:color w:val="auto"/>
                <w:spacing w:val="0"/>
                <w:sz w:val="21"/>
                <w:szCs w:val="21"/>
                <w:vertAlign w:val="baseline"/>
                <w:lang w:val="en-US" w:eastAsia="zh-CN"/>
              </w:rPr>
            </w:pPr>
            <w:r>
              <w:rPr>
                <w:rFonts w:hint="default" w:ascii="Times New Roman" w:hAnsi="Times New Roman" w:eastAsia="宋体" w:cs="Times New Roman"/>
                <w:b w:val="0"/>
                <w:bCs/>
                <w:smallCaps w:val="0"/>
                <w:color w:val="auto"/>
                <w:spacing w:val="0"/>
                <w:sz w:val="21"/>
                <w:szCs w:val="21"/>
                <w:vertAlign w:val="baseline"/>
                <w:lang w:val="en-US" w:eastAsia="zh-CN"/>
              </w:rPr>
              <w:t>①</w:t>
            </w:r>
            <w:bookmarkStart w:id="27" w:name="_Toc13927"/>
            <w:bookmarkStart w:id="28" w:name="_Toc28586"/>
            <w:bookmarkStart w:id="29" w:name="_Toc27506"/>
            <w:bookmarkStart w:id="30" w:name="_Toc21465"/>
            <w:bookmarkStart w:id="31" w:name="_Toc22771"/>
            <w:bookmarkStart w:id="32" w:name="_Toc20310"/>
            <w:r>
              <w:rPr>
                <w:rFonts w:hint="eastAsia" w:ascii="Times New Roman" w:hAnsi="Times New Roman" w:cs="Times New Roman"/>
                <w:b w:val="0"/>
                <w:bCs/>
                <w:smallCaps w:val="0"/>
                <w:color w:val="auto"/>
                <w:spacing w:val="0"/>
                <w:sz w:val="21"/>
                <w:szCs w:val="21"/>
                <w:vertAlign w:val="baseline"/>
                <w:lang w:val="en-US" w:eastAsia="zh-CN"/>
              </w:rPr>
              <w:t>本项目锅炉灰渣依托现有暂存区</w:t>
            </w:r>
            <w:r>
              <w:rPr>
                <w:rFonts w:hint="default" w:ascii="Times New Roman" w:hAnsi="Times New Roman" w:cs="Times New Roman"/>
                <w:color w:val="auto"/>
                <w:szCs w:val="21"/>
                <w:lang w:eastAsia="zh-CN"/>
              </w:rPr>
              <w:t>，</w:t>
            </w:r>
            <w:r>
              <w:rPr>
                <w:rFonts w:hint="eastAsia" w:ascii="Times New Roman" w:hAnsi="Times New Roman" w:cs="Times New Roman"/>
                <w:color w:val="auto"/>
                <w:szCs w:val="21"/>
                <w:lang w:val="en-US" w:eastAsia="zh-CN"/>
              </w:rPr>
              <w:t>位于锅炉房内，面积约10m</w:t>
            </w:r>
            <w:r>
              <w:rPr>
                <w:rFonts w:hint="eastAsia" w:ascii="Times New Roman" w:hAnsi="Times New Roman" w:cs="Times New Roman"/>
                <w:color w:val="auto"/>
                <w:szCs w:val="21"/>
                <w:vertAlign w:val="superscript"/>
                <w:lang w:val="en-US" w:eastAsia="zh-CN"/>
              </w:rPr>
              <w:t>2</w:t>
            </w:r>
            <w:r>
              <w:rPr>
                <w:rFonts w:hint="eastAsia" w:ascii="Times New Roman" w:hAnsi="Times New Roman" w:cs="Times New Roman"/>
                <w:color w:val="auto"/>
                <w:szCs w:val="21"/>
                <w:lang w:val="en-US" w:eastAsia="zh-CN"/>
              </w:rPr>
              <w:t>，地面硬底化，</w:t>
            </w:r>
            <w:r>
              <w:rPr>
                <w:rFonts w:hint="default" w:ascii="Times New Roman" w:hAnsi="Times New Roman" w:cs="Times New Roman"/>
                <w:color w:val="auto"/>
                <w:szCs w:val="21"/>
              </w:rPr>
              <w:t>暂存</w:t>
            </w:r>
            <w:r>
              <w:rPr>
                <w:rFonts w:hint="default" w:ascii="Times New Roman" w:hAnsi="Times New Roman" w:cs="Times New Roman"/>
                <w:color w:val="auto"/>
                <w:szCs w:val="21"/>
                <w:lang w:val="en-US" w:eastAsia="zh-CN"/>
              </w:rPr>
              <w:t>区</w:t>
            </w:r>
            <w:r>
              <w:rPr>
                <w:rFonts w:hint="eastAsia" w:ascii="Times New Roman" w:hAnsi="Times New Roman" w:cs="Times New Roman"/>
                <w:color w:val="auto"/>
                <w:szCs w:val="21"/>
                <w:lang w:val="en-US" w:eastAsia="zh-CN"/>
              </w:rPr>
              <w:t>满足</w:t>
            </w:r>
            <w:r>
              <w:rPr>
                <w:rFonts w:hint="default" w:ascii="Times New Roman" w:hAnsi="Times New Roman" w:eastAsia="宋体" w:cs="Times New Roman"/>
                <w:b w:val="0"/>
                <w:bCs/>
                <w:smallCaps w:val="0"/>
                <w:color w:val="auto"/>
                <w:spacing w:val="0"/>
                <w:sz w:val="21"/>
                <w:szCs w:val="21"/>
                <w:vertAlign w:val="baseline"/>
                <w:lang w:val="en-US" w:eastAsia="zh-CN"/>
              </w:rPr>
              <w:t>《一般工业固体废物贮存和填埋污染控制标准》(GB 18599-2020)的要求设置。</w:t>
            </w:r>
          </w:p>
          <w:p w14:paraId="484FEF03">
            <w:pPr>
              <w:pStyle w:val="118"/>
              <w:keepNext w:val="0"/>
              <w:keepLines w:val="0"/>
              <w:pageBreakBefore w:val="0"/>
              <w:widowControl w:val="0"/>
              <w:kinsoku/>
              <w:wordWrap/>
              <w:overflowPunct/>
              <w:topLinePunct w:val="0"/>
              <w:autoSpaceDE/>
              <w:autoSpaceDN/>
              <w:bidi w:val="0"/>
              <w:adjustRightInd/>
              <w:snapToGrid/>
              <w:spacing w:before="0" w:line="360" w:lineRule="auto"/>
              <w:ind w:firstLine="420" w:firstLineChars="200"/>
              <w:jc w:val="both"/>
              <w:textAlignment w:val="auto"/>
              <w:rPr>
                <w:rFonts w:hint="default" w:ascii="Times New Roman" w:hAnsi="Times New Roman" w:eastAsia="宋体" w:cs="Times New Roman"/>
                <w:b w:val="0"/>
                <w:bCs/>
                <w:smallCaps w:val="0"/>
                <w:color w:val="auto"/>
                <w:spacing w:val="0"/>
                <w:sz w:val="21"/>
                <w:szCs w:val="21"/>
                <w:vertAlign w:val="baseline"/>
                <w:lang w:val="en-US" w:eastAsia="zh-CN"/>
              </w:rPr>
            </w:pPr>
            <w:r>
              <w:rPr>
                <w:rFonts w:hint="default" w:ascii="Times New Roman" w:hAnsi="Times New Roman" w:eastAsia="宋体" w:cs="Times New Roman"/>
                <w:b w:val="0"/>
                <w:bCs/>
                <w:smallCaps w:val="0"/>
                <w:color w:val="auto"/>
                <w:spacing w:val="0"/>
                <w:sz w:val="21"/>
                <w:szCs w:val="21"/>
                <w:vertAlign w:val="baseline"/>
                <w:lang w:val="en-US" w:eastAsia="zh-CN"/>
              </w:rPr>
              <w:t>②贮存场的设置必须与将要堆放的一般工业固体废物的类别相一致。</w:t>
            </w:r>
          </w:p>
          <w:p w14:paraId="1770F19C">
            <w:pPr>
              <w:pStyle w:val="118"/>
              <w:keepNext w:val="0"/>
              <w:keepLines w:val="0"/>
              <w:pageBreakBefore w:val="0"/>
              <w:widowControl w:val="0"/>
              <w:kinsoku/>
              <w:wordWrap/>
              <w:overflowPunct/>
              <w:topLinePunct w:val="0"/>
              <w:autoSpaceDE/>
              <w:autoSpaceDN/>
              <w:bidi w:val="0"/>
              <w:adjustRightInd/>
              <w:snapToGrid/>
              <w:spacing w:before="0" w:line="360" w:lineRule="auto"/>
              <w:ind w:firstLine="420" w:firstLineChars="200"/>
              <w:jc w:val="both"/>
              <w:textAlignment w:val="auto"/>
              <w:rPr>
                <w:rFonts w:hint="default" w:ascii="Times New Roman" w:hAnsi="Times New Roman" w:eastAsia="宋体" w:cs="Times New Roman"/>
                <w:b w:val="0"/>
                <w:bCs/>
                <w:smallCaps w:val="0"/>
                <w:color w:val="auto"/>
                <w:spacing w:val="0"/>
                <w:sz w:val="21"/>
                <w:szCs w:val="21"/>
                <w:vertAlign w:val="baseline"/>
                <w:lang w:val="en-US" w:eastAsia="zh-CN"/>
              </w:rPr>
            </w:pPr>
            <w:r>
              <w:rPr>
                <w:rFonts w:hint="default" w:ascii="Times New Roman" w:hAnsi="Times New Roman" w:eastAsia="宋体" w:cs="Times New Roman"/>
                <w:b w:val="0"/>
                <w:bCs/>
                <w:smallCaps w:val="0"/>
                <w:color w:val="auto"/>
                <w:spacing w:val="0"/>
                <w:sz w:val="21"/>
                <w:szCs w:val="21"/>
                <w:vertAlign w:val="baseline"/>
                <w:lang w:val="en-US" w:eastAsia="zh-CN"/>
              </w:rPr>
              <w:t>③不得露天堆放，防止雨水进入产生二次污染。</w:t>
            </w:r>
          </w:p>
          <w:p w14:paraId="434F1938">
            <w:pPr>
              <w:pStyle w:val="118"/>
              <w:keepNext w:val="0"/>
              <w:keepLines w:val="0"/>
              <w:pageBreakBefore w:val="0"/>
              <w:widowControl w:val="0"/>
              <w:kinsoku/>
              <w:wordWrap/>
              <w:overflowPunct/>
              <w:topLinePunct w:val="0"/>
              <w:autoSpaceDE/>
              <w:autoSpaceDN/>
              <w:bidi w:val="0"/>
              <w:adjustRightInd/>
              <w:snapToGrid/>
              <w:spacing w:before="0" w:line="360" w:lineRule="auto"/>
              <w:ind w:firstLine="420" w:firstLineChars="200"/>
              <w:jc w:val="both"/>
              <w:textAlignment w:val="auto"/>
              <w:rPr>
                <w:rFonts w:hint="default" w:ascii="Times New Roman" w:hAnsi="Times New Roman" w:eastAsia="宋体" w:cs="Times New Roman"/>
                <w:b w:val="0"/>
                <w:bCs/>
                <w:smallCaps w:val="0"/>
                <w:color w:val="auto"/>
                <w:spacing w:val="0"/>
                <w:sz w:val="21"/>
                <w:szCs w:val="21"/>
                <w:vertAlign w:val="baseline"/>
                <w:lang w:val="en-US" w:eastAsia="zh-CN"/>
              </w:rPr>
            </w:pPr>
            <w:r>
              <w:rPr>
                <w:rFonts w:hint="default" w:ascii="Times New Roman" w:hAnsi="Times New Roman" w:eastAsia="宋体" w:cs="Times New Roman"/>
                <w:b w:val="0"/>
                <w:bCs/>
                <w:smallCaps w:val="0"/>
                <w:color w:val="auto"/>
                <w:spacing w:val="0"/>
                <w:sz w:val="21"/>
                <w:szCs w:val="21"/>
                <w:vertAlign w:val="baseline"/>
                <w:lang w:val="en-US" w:eastAsia="zh-CN"/>
              </w:rPr>
              <w:t>④建立检查维护制度，定期检查</w:t>
            </w:r>
            <w:r>
              <w:rPr>
                <w:rFonts w:hint="default" w:ascii="Times New Roman" w:hAnsi="Times New Roman" w:cs="Times New Roman"/>
                <w:b w:val="0"/>
                <w:bCs/>
                <w:smallCaps w:val="0"/>
                <w:color w:val="auto"/>
                <w:spacing w:val="0"/>
                <w:sz w:val="21"/>
                <w:szCs w:val="21"/>
                <w:vertAlign w:val="baseline"/>
                <w:lang w:val="en-US" w:eastAsia="zh-CN"/>
              </w:rPr>
              <w:t>储存设施</w:t>
            </w:r>
            <w:r>
              <w:rPr>
                <w:rFonts w:hint="default" w:ascii="Times New Roman" w:hAnsi="Times New Roman" w:eastAsia="宋体" w:cs="Times New Roman"/>
                <w:b w:val="0"/>
                <w:bCs/>
                <w:smallCaps w:val="0"/>
                <w:color w:val="auto"/>
                <w:spacing w:val="0"/>
                <w:sz w:val="21"/>
                <w:szCs w:val="21"/>
                <w:vertAlign w:val="baseline"/>
                <w:lang w:val="en-US" w:eastAsia="zh-CN"/>
              </w:rPr>
              <w:t>等，发现有损坏可能或异常，应及时采取必要措施，以保障正常运行。</w:t>
            </w:r>
          </w:p>
          <w:p w14:paraId="3CBFEC35">
            <w:pPr>
              <w:pStyle w:val="118"/>
              <w:keepNext w:val="0"/>
              <w:keepLines w:val="0"/>
              <w:pageBreakBefore w:val="0"/>
              <w:widowControl w:val="0"/>
              <w:kinsoku/>
              <w:wordWrap/>
              <w:overflowPunct/>
              <w:topLinePunct w:val="0"/>
              <w:autoSpaceDE/>
              <w:autoSpaceDN/>
              <w:bidi w:val="0"/>
              <w:adjustRightInd/>
              <w:snapToGrid/>
              <w:spacing w:before="0" w:line="360" w:lineRule="auto"/>
              <w:ind w:firstLine="420" w:firstLineChars="200"/>
              <w:jc w:val="both"/>
              <w:textAlignment w:val="auto"/>
              <w:rPr>
                <w:rFonts w:hint="default" w:ascii="Times New Roman" w:hAnsi="Times New Roman" w:eastAsia="宋体" w:cs="Times New Roman"/>
                <w:b w:val="0"/>
                <w:bCs/>
                <w:smallCaps w:val="0"/>
                <w:color w:val="auto"/>
                <w:spacing w:val="0"/>
                <w:sz w:val="21"/>
                <w:szCs w:val="21"/>
                <w:vertAlign w:val="baseline"/>
                <w:lang w:val="en-US" w:eastAsia="zh-CN"/>
              </w:rPr>
            </w:pPr>
            <w:r>
              <w:rPr>
                <w:rFonts w:hint="default" w:ascii="Times New Roman" w:hAnsi="Times New Roman" w:eastAsia="宋体" w:cs="Times New Roman"/>
                <w:b w:val="0"/>
                <w:bCs/>
                <w:smallCaps w:val="0"/>
                <w:color w:val="auto"/>
                <w:spacing w:val="0"/>
                <w:sz w:val="21"/>
                <w:szCs w:val="21"/>
                <w:vertAlign w:val="baseline"/>
                <w:lang w:val="en-US" w:eastAsia="zh-CN"/>
              </w:rPr>
              <w:t>⑤针对员工进行培训，加强安全及防止污染的意识，培训通过后上岗，对于固体废弃物的收集、</w:t>
            </w:r>
            <w:r>
              <w:rPr>
                <w:rFonts w:hint="eastAsia" w:ascii="Times New Roman" w:hAnsi="Times New Roman" w:cs="Times New Roman"/>
                <w:b w:val="0"/>
                <w:bCs/>
                <w:smallCaps w:val="0"/>
                <w:color w:val="auto"/>
                <w:spacing w:val="0"/>
                <w:sz w:val="21"/>
                <w:szCs w:val="21"/>
                <w:vertAlign w:val="baseline"/>
                <w:lang w:val="en-US" w:eastAsia="zh-CN"/>
              </w:rPr>
              <w:t>储存</w:t>
            </w:r>
            <w:r>
              <w:rPr>
                <w:rFonts w:hint="default" w:ascii="Times New Roman" w:hAnsi="Times New Roman" w:eastAsia="宋体" w:cs="Times New Roman"/>
                <w:b w:val="0"/>
                <w:bCs/>
                <w:smallCaps w:val="0"/>
                <w:color w:val="auto"/>
                <w:spacing w:val="0"/>
                <w:sz w:val="21"/>
                <w:szCs w:val="21"/>
                <w:vertAlign w:val="baseline"/>
                <w:lang w:val="en-US" w:eastAsia="zh-CN"/>
              </w:rPr>
              <w:t>要实施专人专职管理制度并建立好档案制度。</w:t>
            </w:r>
          </w:p>
          <w:p w14:paraId="137708AA">
            <w:pPr>
              <w:pStyle w:val="118"/>
              <w:keepNext w:val="0"/>
              <w:keepLines w:val="0"/>
              <w:pageBreakBefore w:val="0"/>
              <w:widowControl w:val="0"/>
              <w:kinsoku/>
              <w:wordWrap/>
              <w:overflowPunct/>
              <w:topLinePunct w:val="0"/>
              <w:autoSpaceDE/>
              <w:autoSpaceDN/>
              <w:bidi w:val="0"/>
              <w:adjustRightInd/>
              <w:snapToGrid/>
              <w:spacing w:before="0" w:line="360" w:lineRule="auto"/>
              <w:ind w:firstLine="422" w:firstLineChars="200"/>
              <w:jc w:val="both"/>
              <w:textAlignment w:val="auto"/>
              <w:rPr>
                <w:rFonts w:hint="default" w:ascii="Times New Roman" w:hAnsi="Times New Roman" w:eastAsia="宋体" w:cs="Times New Roman"/>
                <w:b/>
                <w:bCs w:val="0"/>
                <w:smallCaps w:val="0"/>
                <w:color w:val="auto"/>
                <w:spacing w:val="0"/>
                <w:sz w:val="21"/>
                <w:szCs w:val="21"/>
                <w:vertAlign w:val="baseline"/>
                <w:lang w:val="en-US" w:eastAsia="zh-CN"/>
              </w:rPr>
            </w:pPr>
            <w:r>
              <w:rPr>
                <w:rFonts w:hint="eastAsia" w:ascii="Times New Roman" w:hAnsi="Times New Roman" w:cs="Times New Roman"/>
                <w:b/>
                <w:bCs w:val="0"/>
                <w:smallCaps w:val="0"/>
                <w:color w:val="auto"/>
                <w:spacing w:val="0"/>
                <w:sz w:val="21"/>
                <w:szCs w:val="21"/>
                <w:vertAlign w:val="baseline"/>
                <w:lang w:val="en-US" w:eastAsia="zh-CN"/>
              </w:rPr>
              <w:t>危险废物：</w:t>
            </w:r>
          </w:p>
          <w:p w14:paraId="68773A3C">
            <w:pPr>
              <w:pStyle w:val="118"/>
              <w:keepNext w:val="0"/>
              <w:keepLines w:val="0"/>
              <w:pageBreakBefore w:val="0"/>
              <w:widowControl w:val="0"/>
              <w:kinsoku/>
              <w:wordWrap/>
              <w:overflowPunct/>
              <w:topLinePunct w:val="0"/>
              <w:autoSpaceDE/>
              <w:autoSpaceDN/>
              <w:bidi w:val="0"/>
              <w:adjustRightInd/>
              <w:snapToGrid/>
              <w:spacing w:before="0" w:line="360" w:lineRule="auto"/>
              <w:ind w:firstLine="420" w:firstLineChars="200"/>
              <w:jc w:val="both"/>
              <w:textAlignment w:val="auto"/>
              <w:rPr>
                <w:rFonts w:hint="eastAsia" w:ascii="Times New Roman" w:hAnsi="Times New Roman" w:cs="Times New Roman"/>
                <w:b w:val="0"/>
                <w:bCs/>
                <w:smallCaps w:val="0"/>
                <w:color w:val="auto"/>
                <w:spacing w:val="0"/>
                <w:sz w:val="21"/>
                <w:szCs w:val="21"/>
                <w:vertAlign w:val="baseline"/>
                <w:lang w:val="en-US" w:eastAsia="zh-CN"/>
              </w:rPr>
            </w:pPr>
            <w:r>
              <w:rPr>
                <w:rFonts w:hint="eastAsia" w:ascii="Times New Roman" w:hAnsi="Times New Roman" w:cs="Times New Roman"/>
                <w:b w:val="0"/>
                <w:bCs/>
                <w:smallCaps w:val="0"/>
                <w:color w:val="auto"/>
                <w:spacing w:val="0"/>
                <w:sz w:val="21"/>
                <w:szCs w:val="21"/>
                <w:vertAlign w:val="baseline"/>
                <w:lang w:val="en-US" w:eastAsia="zh-CN"/>
              </w:rPr>
              <w:t>本项目危险废物主要为废导热油，更换后即委托有资质单位清运处理，不在厂区内储存。建设单位应严格按照《中华人民共和国固体废物污染环境防治法》和《广东省固体废物污染环境防治条例》等法律法规要求对本项目产生的危废进行管理，具体为：</w:t>
            </w:r>
          </w:p>
          <w:p w14:paraId="4274ABD1">
            <w:pPr>
              <w:pStyle w:val="118"/>
              <w:keepNext w:val="0"/>
              <w:keepLines w:val="0"/>
              <w:pageBreakBefore w:val="0"/>
              <w:widowControl w:val="0"/>
              <w:kinsoku/>
              <w:wordWrap/>
              <w:overflowPunct/>
              <w:topLinePunct w:val="0"/>
              <w:autoSpaceDE/>
              <w:autoSpaceDN/>
              <w:bidi w:val="0"/>
              <w:adjustRightInd/>
              <w:snapToGrid/>
              <w:spacing w:before="0" w:line="360" w:lineRule="auto"/>
              <w:ind w:firstLine="420" w:firstLineChars="200"/>
              <w:jc w:val="both"/>
              <w:textAlignment w:val="auto"/>
              <w:rPr>
                <w:rFonts w:hint="eastAsia" w:ascii="Times New Roman" w:hAnsi="Times New Roman" w:cs="Times New Roman"/>
                <w:b w:val="0"/>
                <w:bCs/>
                <w:smallCaps w:val="0"/>
                <w:color w:val="auto"/>
                <w:spacing w:val="0"/>
                <w:sz w:val="21"/>
                <w:szCs w:val="21"/>
                <w:vertAlign w:val="baseline"/>
                <w:lang w:val="en-US" w:eastAsia="zh-CN"/>
              </w:rPr>
            </w:pPr>
            <w:r>
              <w:rPr>
                <w:rFonts w:hint="eastAsia" w:ascii="Times New Roman" w:hAnsi="Times New Roman" w:cs="Times New Roman"/>
                <w:b w:val="0"/>
                <w:bCs/>
                <w:smallCaps w:val="0"/>
                <w:color w:val="auto"/>
                <w:spacing w:val="0"/>
                <w:sz w:val="21"/>
                <w:szCs w:val="21"/>
                <w:vertAlign w:val="baseline"/>
                <w:lang w:val="en-US" w:eastAsia="zh-CN"/>
              </w:rPr>
              <w:t>A.建设单位应当按照规定在固体废物环境信息化管理平台申报登记。</w:t>
            </w:r>
          </w:p>
          <w:p w14:paraId="5F38D2BB">
            <w:pPr>
              <w:pStyle w:val="118"/>
              <w:keepNext w:val="0"/>
              <w:keepLines w:val="0"/>
              <w:pageBreakBefore w:val="0"/>
              <w:widowControl w:val="0"/>
              <w:kinsoku/>
              <w:wordWrap/>
              <w:overflowPunct/>
              <w:topLinePunct w:val="0"/>
              <w:autoSpaceDE/>
              <w:autoSpaceDN/>
              <w:bidi w:val="0"/>
              <w:adjustRightInd/>
              <w:snapToGrid/>
              <w:spacing w:before="0" w:line="360" w:lineRule="auto"/>
              <w:ind w:firstLine="420" w:firstLineChars="200"/>
              <w:jc w:val="both"/>
              <w:textAlignment w:val="auto"/>
              <w:rPr>
                <w:rFonts w:hint="eastAsia" w:ascii="Times New Roman" w:hAnsi="Times New Roman" w:cs="Times New Roman"/>
                <w:b w:val="0"/>
                <w:bCs/>
                <w:smallCaps w:val="0"/>
                <w:color w:val="auto"/>
                <w:spacing w:val="0"/>
                <w:sz w:val="21"/>
                <w:szCs w:val="21"/>
                <w:vertAlign w:val="baseline"/>
                <w:lang w:val="en-US" w:eastAsia="zh-CN"/>
              </w:rPr>
            </w:pPr>
            <w:r>
              <w:rPr>
                <w:rFonts w:hint="eastAsia" w:ascii="Times New Roman" w:hAnsi="Times New Roman" w:cs="Times New Roman"/>
                <w:b w:val="0"/>
                <w:bCs/>
                <w:smallCaps w:val="0"/>
                <w:color w:val="auto"/>
                <w:spacing w:val="0"/>
                <w:sz w:val="21"/>
                <w:szCs w:val="21"/>
                <w:vertAlign w:val="baseline"/>
                <w:lang w:val="en-US" w:eastAsia="zh-CN"/>
              </w:rPr>
              <w:t>B.建设单位应当按照规定制定危险废物管理计划，建立危险废物台账，如实记载产生的危险废物种类、数量、流向、贮存、利用、处置等信息，并依法向当地生态环境主管部门提交危险废物的种类、产生量、流向、贮存、处置等有关资料。</w:t>
            </w:r>
          </w:p>
          <w:p w14:paraId="4787D371">
            <w:pPr>
              <w:pStyle w:val="118"/>
              <w:keepNext w:val="0"/>
              <w:keepLines w:val="0"/>
              <w:pageBreakBefore w:val="0"/>
              <w:widowControl w:val="0"/>
              <w:kinsoku/>
              <w:wordWrap/>
              <w:overflowPunct/>
              <w:topLinePunct w:val="0"/>
              <w:autoSpaceDE/>
              <w:autoSpaceDN/>
              <w:bidi w:val="0"/>
              <w:adjustRightInd/>
              <w:snapToGrid/>
              <w:spacing w:before="0" w:line="360" w:lineRule="auto"/>
              <w:ind w:firstLine="420" w:firstLineChars="200"/>
              <w:jc w:val="both"/>
              <w:textAlignment w:val="auto"/>
              <w:rPr>
                <w:rFonts w:hint="eastAsia" w:ascii="Times New Roman" w:hAnsi="Times New Roman" w:cs="Times New Roman"/>
                <w:b w:val="0"/>
                <w:bCs/>
                <w:smallCaps w:val="0"/>
                <w:color w:val="auto"/>
                <w:spacing w:val="0"/>
                <w:sz w:val="21"/>
                <w:szCs w:val="21"/>
                <w:vertAlign w:val="baseline"/>
                <w:lang w:val="en-US" w:eastAsia="zh-CN"/>
              </w:rPr>
            </w:pPr>
            <w:r>
              <w:rPr>
                <w:rFonts w:hint="eastAsia" w:ascii="Times New Roman" w:hAnsi="Times New Roman" w:cs="Times New Roman"/>
                <w:b w:val="0"/>
                <w:bCs/>
                <w:smallCaps w:val="0"/>
                <w:color w:val="auto"/>
                <w:spacing w:val="0"/>
                <w:sz w:val="21"/>
                <w:szCs w:val="21"/>
                <w:vertAlign w:val="baseline"/>
                <w:lang w:val="en-US" w:eastAsia="zh-CN"/>
              </w:rPr>
              <w:t>C.危险废物台账应当保存十年以上。</w:t>
            </w:r>
          </w:p>
          <w:p w14:paraId="39853C51">
            <w:pPr>
              <w:pStyle w:val="118"/>
              <w:keepNext w:val="0"/>
              <w:keepLines w:val="0"/>
              <w:pageBreakBefore w:val="0"/>
              <w:widowControl w:val="0"/>
              <w:kinsoku/>
              <w:wordWrap/>
              <w:overflowPunct/>
              <w:topLinePunct w:val="0"/>
              <w:autoSpaceDE/>
              <w:autoSpaceDN/>
              <w:bidi w:val="0"/>
              <w:adjustRightInd/>
              <w:snapToGrid/>
              <w:spacing w:before="0" w:line="360" w:lineRule="auto"/>
              <w:ind w:firstLine="420" w:firstLineChars="200"/>
              <w:jc w:val="both"/>
              <w:textAlignment w:val="auto"/>
              <w:rPr>
                <w:rFonts w:hint="default" w:ascii="Times New Roman" w:hAnsi="Times New Roman" w:cs="Times New Roman"/>
                <w:b w:val="0"/>
                <w:bCs/>
                <w:smallCaps w:val="0"/>
                <w:color w:val="auto"/>
                <w:spacing w:val="0"/>
                <w:sz w:val="21"/>
                <w:szCs w:val="21"/>
                <w:vertAlign w:val="baseline"/>
                <w:lang w:val="en-US" w:eastAsia="zh-CN"/>
              </w:rPr>
            </w:pPr>
            <w:r>
              <w:rPr>
                <w:rFonts w:hint="default" w:ascii="Times New Roman" w:hAnsi="Times New Roman" w:cs="Times New Roman"/>
                <w:b w:val="0"/>
                <w:bCs/>
                <w:smallCaps w:val="0"/>
                <w:color w:val="auto"/>
                <w:spacing w:val="0"/>
                <w:sz w:val="21"/>
                <w:szCs w:val="21"/>
                <w:vertAlign w:val="baseline"/>
                <w:lang w:val="en-US" w:eastAsia="zh-CN"/>
              </w:rPr>
              <w:t>危险废物的转移</w:t>
            </w:r>
            <w:r>
              <w:rPr>
                <w:rFonts w:hint="eastAsia" w:ascii="Times New Roman" w:hAnsi="Times New Roman" w:cs="Times New Roman"/>
                <w:b w:val="0"/>
                <w:bCs/>
                <w:smallCaps w:val="0"/>
                <w:color w:val="auto"/>
                <w:spacing w:val="0"/>
                <w:sz w:val="21"/>
                <w:szCs w:val="21"/>
                <w:vertAlign w:val="baseline"/>
                <w:lang w:val="en-US" w:eastAsia="zh-CN"/>
              </w:rPr>
              <w:t>需</w:t>
            </w:r>
            <w:r>
              <w:rPr>
                <w:rFonts w:hint="default" w:ascii="Times New Roman" w:hAnsi="Times New Roman" w:cs="Times New Roman"/>
                <w:b w:val="0"/>
                <w:bCs/>
                <w:smallCaps w:val="0"/>
                <w:color w:val="auto"/>
                <w:spacing w:val="0"/>
                <w:sz w:val="21"/>
                <w:szCs w:val="21"/>
                <w:vertAlign w:val="baseline"/>
                <w:lang w:val="en-US" w:eastAsia="zh-CN"/>
              </w:rPr>
              <w:t>按照《危险废物产生单位危险废物规范化管理工作指引》的要求，危险废物产生单位委托有资质单位处理处置危险废物时，必须严格执行危险废物转移计划报批和依法运行危险废物转移联单</w:t>
            </w:r>
            <w:r>
              <w:rPr>
                <w:rFonts w:hint="eastAsia" w:ascii="Times New Roman" w:hAnsi="Times New Roman" w:cs="Times New Roman"/>
                <w:b w:val="0"/>
                <w:bCs/>
                <w:smallCaps w:val="0"/>
                <w:color w:val="auto"/>
                <w:spacing w:val="0"/>
                <w:sz w:val="21"/>
                <w:szCs w:val="21"/>
                <w:vertAlign w:val="baseline"/>
                <w:lang w:val="en-US" w:eastAsia="zh-CN"/>
              </w:rPr>
              <w:t>。</w:t>
            </w:r>
          </w:p>
          <w:p w14:paraId="0C62159B">
            <w:pPr>
              <w:pStyle w:val="118"/>
              <w:keepNext w:val="0"/>
              <w:keepLines w:val="0"/>
              <w:pageBreakBefore w:val="0"/>
              <w:widowControl w:val="0"/>
              <w:kinsoku/>
              <w:wordWrap/>
              <w:overflowPunct/>
              <w:topLinePunct w:val="0"/>
              <w:autoSpaceDE/>
              <w:autoSpaceDN/>
              <w:bidi w:val="0"/>
              <w:adjustRightInd/>
              <w:snapToGrid/>
              <w:spacing w:before="0" w:line="360" w:lineRule="auto"/>
              <w:ind w:firstLine="420" w:firstLineChars="200"/>
              <w:jc w:val="both"/>
              <w:textAlignment w:val="auto"/>
              <w:rPr>
                <w:rFonts w:hint="default" w:ascii="Times New Roman" w:hAnsi="Times New Roman" w:eastAsia="宋体" w:cs="Times New Roman"/>
                <w:b w:val="0"/>
                <w:bCs/>
                <w:smallCaps w:val="0"/>
                <w:color w:val="auto"/>
                <w:spacing w:val="0"/>
                <w:sz w:val="21"/>
                <w:szCs w:val="21"/>
                <w:vertAlign w:val="baseline"/>
                <w:lang w:val="en-US" w:eastAsia="zh-CN"/>
              </w:rPr>
            </w:pPr>
            <w:r>
              <w:rPr>
                <w:rFonts w:hint="default" w:ascii="Times New Roman" w:hAnsi="Times New Roman" w:eastAsia="宋体" w:cs="Times New Roman"/>
                <w:b w:val="0"/>
                <w:bCs/>
                <w:smallCaps w:val="0"/>
                <w:color w:val="auto"/>
                <w:spacing w:val="0"/>
                <w:sz w:val="21"/>
                <w:szCs w:val="21"/>
                <w:vertAlign w:val="baseline"/>
                <w:lang w:val="en-US" w:eastAsia="zh-CN"/>
              </w:rPr>
              <w:t>在做到以上固体废物防治措施后，本项目产生的固废均能得到合理有效</w:t>
            </w:r>
            <w:r>
              <w:rPr>
                <w:rFonts w:hint="eastAsia" w:ascii="Times New Roman" w:hAnsi="Times New Roman" w:cs="Times New Roman"/>
                <w:b w:val="0"/>
                <w:bCs/>
                <w:smallCaps w:val="0"/>
                <w:color w:val="auto"/>
                <w:spacing w:val="0"/>
                <w:sz w:val="21"/>
                <w:szCs w:val="21"/>
                <w:vertAlign w:val="baseline"/>
                <w:lang w:val="en-US" w:eastAsia="zh-CN"/>
              </w:rPr>
              <w:t>地</w:t>
            </w:r>
            <w:r>
              <w:rPr>
                <w:rFonts w:hint="default" w:ascii="Times New Roman" w:hAnsi="Times New Roman" w:eastAsia="宋体" w:cs="Times New Roman"/>
                <w:b w:val="0"/>
                <w:bCs/>
                <w:smallCaps w:val="0"/>
                <w:color w:val="auto"/>
                <w:spacing w:val="0"/>
                <w:sz w:val="21"/>
                <w:szCs w:val="21"/>
                <w:vertAlign w:val="baseline"/>
                <w:lang w:val="en-US" w:eastAsia="zh-CN"/>
              </w:rPr>
              <w:t>收集、存储和处置，其全过程不对外环境产生不良影响。</w:t>
            </w:r>
          </w:p>
          <w:bookmarkEnd w:id="27"/>
          <w:bookmarkEnd w:id="28"/>
          <w:bookmarkEnd w:id="29"/>
          <w:bookmarkEnd w:id="30"/>
          <w:bookmarkEnd w:id="31"/>
          <w:bookmarkEnd w:id="32"/>
          <w:p w14:paraId="000CC749">
            <w:pPr>
              <w:pStyle w:val="84"/>
              <w:adjustRightInd w:val="0"/>
              <w:snapToGrid w:val="0"/>
              <w:ind w:firstLine="422" w:firstLineChars="200"/>
              <w:rPr>
                <w:rFonts w:ascii="Times New Roman" w:hAnsi="Times New Roman"/>
                <w:b/>
                <w:bCs/>
                <w:color w:val="auto"/>
                <w:sz w:val="21"/>
                <w:szCs w:val="21"/>
              </w:rPr>
            </w:pPr>
            <w:r>
              <w:rPr>
                <w:rFonts w:ascii="Times New Roman" w:hAnsi="Times New Roman"/>
                <w:b/>
                <w:bCs/>
                <w:color w:val="auto"/>
                <w:sz w:val="21"/>
                <w:szCs w:val="21"/>
              </w:rPr>
              <w:t>五、地下水、土壤</w:t>
            </w:r>
          </w:p>
          <w:p w14:paraId="6684AB68">
            <w:pPr>
              <w:adjustRightInd w:val="0"/>
              <w:snapToGrid w:val="0"/>
              <w:spacing w:line="360" w:lineRule="auto"/>
              <w:ind w:firstLine="420" w:firstLineChars="200"/>
              <w:rPr>
                <w:rFonts w:hint="eastAsia"/>
                <w:color w:val="auto"/>
                <w:kern w:val="0"/>
                <w:szCs w:val="21"/>
                <w:lang w:val="en-US" w:eastAsia="zh-CN"/>
              </w:rPr>
            </w:pPr>
            <w:r>
              <w:rPr>
                <w:rFonts w:hint="eastAsia"/>
                <w:color w:val="auto"/>
                <w:kern w:val="0"/>
                <w:szCs w:val="21"/>
                <w:lang w:val="en-US" w:eastAsia="zh-CN"/>
              </w:rPr>
              <w:t>（1）污染源、污染物类型及污染途径</w:t>
            </w:r>
          </w:p>
          <w:p w14:paraId="2EDAA76D">
            <w:pPr>
              <w:adjustRightInd w:val="0"/>
              <w:snapToGrid w:val="0"/>
              <w:spacing w:line="360" w:lineRule="auto"/>
              <w:ind w:firstLine="420" w:firstLineChars="200"/>
              <w:rPr>
                <w:rFonts w:hint="eastAsia"/>
                <w:color w:val="auto"/>
                <w:kern w:val="0"/>
                <w:szCs w:val="21"/>
                <w:lang w:val="en-US" w:eastAsia="zh-CN"/>
              </w:rPr>
            </w:pPr>
            <w:r>
              <w:rPr>
                <w:rFonts w:hint="eastAsia"/>
                <w:color w:val="auto"/>
                <w:kern w:val="0"/>
                <w:szCs w:val="21"/>
                <w:lang w:val="en-US" w:eastAsia="zh-CN"/>
              </w:rPr>
              <w:t>本项目运营期间产生废气主要为锅炉燃烧废气，主要污染物为颗粒物、SO</w:t>
            </w:r>
            <w:r>
              <w:rPr>
                <w:rFonts w:hint="eastAsia"/>
                <w:color w:val="auto"/>
                <w:kern w:val="0"/>
                <w:szCs w:val="21"/>
                <w:vertAlign w:val="subscript"/>
                <w:lang w:val="en-US" w:eastAsia="zh-CN"/>
              </w:rPr>
              <w:t>2</w:t>
            </w:r>
            <w:r>
              <w:rPr>
                <w:rFonts w:hint="eastAsia"/>
                <w:color w:val="auto"/>
                <w:kern w:val="0"/>
                <w:szCs w:val="21"/>
                <w:lang w:val="en-US" w:eastAsia="zh-CN"/>
              </w:rPr>
              <w:t>和 NO</w:t>
            </w:r>
            <w:r>
              <w:rPr>
                <w:rFonts w:hint="eastAsia"/>
                <w:color w:val="auto"/>
                <w:kern w:val="0"/>
                <w:szCs w:val="21"/>
                <w:vertAlign w:val="subscript"/>
                <w:lang w:val="en-US" w:eastAsia="zh-CN"/>
              </w:rPr>
              <w:t>X</w:t>
            </w:r>
            <w:r>
              <w:rPr>
                <w:rFonts w:hint="eastAsia"/>
                <w:color w:val="auto"/>
                <w:kern w:val="0"/>
                <w:szCs w:val="21"/>
                <w:lang w:val="en-US" w:eastAsia="zh-CN"/>
              </w:rPr>
              <w:t>，排放量不大，且不属于持久性污染物和重金属污染物，对土壤和地下水环境影响较小；项目无废水产生，正常情况下不会对土壤和地下水环境造成明显影响。</w:t>
            </w:r>
          </w:p>
          <w:p w14:paraId="5B41FF04">
            <w:pPr>
              <w:adjustRightInd w:val="0"/>
              <w:snapToGrid w:val="0"/>
              <w:spacing w:line="360" w:lineRule="auto"/>
              <w:ind w:firstLine="420" w:firstLineChars="200"/>
              <w:rPr>
                <w:rFonts w:hint="eastAsia"/>
                <w:color w:val="auto"/>
                <w:kern w:val="0"/>
                <w:szCs w:val="21"/>
                <w:lang w:val="en-US" w:eastAsia="zh-CN"/>
              </w:rPr>
            </w:pPr>
            <w:r>
              <w:rPr>
                <w:rFonts w:hint="eastAsia"/>
                <w:color w:val="auto"/>
                <w:kern w:val="0"/>
                <w:szCs w:val="21"/>
                <w:lang w:val="en-US" w:eastAsia="zh-CN"/>
              </w:rPr>
              <w:t>（2）防控措施</w:t>
            </w:r>
          </w:p>
          <w:p w14:paraId="7EE480D0">
            <w:pPr>
              <w:adjustRightInd w:val="0"/>
              <w:snapToGrid w:val="0"/>
              <w:spacing w:line="360" w:lineRule="auto"/>
              <w:ind w:firstLine="420" w:firstLineChars="200"/>
              <w:rPr>
                <w:rFonts w:hint="eastAsia"/>
                <w:color w:val="auto"/>
                <w:kern w:val="0"/>
                <w:szCs w:val="21"/>
                <w:lang w:val="en-US" w:eastAsia="zh-CN"/>
              </w:rPr>
            </w:pPr>
            <w:r>
              <w:rPr>
                <w:rFonts w:hint="eastAsia"/>
                <w:color w:val="auto"/>
                <w:kern w:val="0"/>
                <w:szCs w:val="21"/>
                <w:lang w:val="en-US" w:eastAsia="zh-CN"/>
              </w:rPr>
              <w:t>源头控制措施：主要包括提出实施清洁生产及各类废物循环利用的具体方案，减少污染物的排放量；提出工艺、管道、设备及处理构筑物应采取的控制措施防止污染物的跑、冒、滴、漏，将污染物泄漏的环境风险事故降到最低限度。</w:t>
            </w:r>
          </w:p>
          <w:p w14:paraId="75B4F382">
            <w:pPr>
              <w:adjustRightInd w:val="0"/>
              <w:snapToGrid w:val="0"/>
              <w:spacing w:line="360" w:lineRule="auto"/>
              <w:ind w:firstLine="420" w:firstLineChars="200"/>
              <w:rPr>
                <w:rFonts w:hint="default"/>
                <w:color w:val="auto"/>
                <w:kern w:val="0"/>
                <w:szCs w:val="21"/>
                <w:lang w:val="en-US" w:eastAsia="zh-CN"/>
              </w:rPr>
            </w:pPr>
            <w:r>
              <w:rPr>
                <w:rFonts w:hint="eastAsia"/>
                <w:color w:val="auto"/>
                <w:kern w:val="0"/>
                <w:szCs w:val="21"/>
                <w:lang w:val="en-US" w:eastAsia="zh-CN"/>
              </w:rPr>
              <w:t>分区防治措施：结合建设项目各生产设备、管廊或管线、贮存与运输装置、污染物贮存与处理装置等的布局，根据可能进入地下水环境的各种有毒有害原辅材料、中间物料和产品的泄漏（含跑、冒、滴、漏）量及其他各类污染物的性质、产生量和排放量，划分污染防治区，提出不同区域的地面防渗方案。本项目锅炉房已进行硬底化防渗处理，满足分区防治要求。</w:t>
            </w:r>
          </w:p>
          <w:p w14:paraId="035DE5E5">
            <w:pPr>
              <w:pStyle w:val="84"/>
              <w:adjustRightInd w:val="0"/>
              <w:snapToGrid w:val="0"/>
              <w:ind w:firstLine="422" w:firstLineChars="200"/>
              <w:rPr>
                <w:rFonts w:ascii="Times New Roman" w:hAnsi="Times New Roman"/>
                <w:b/>
                <w:bCs/>
                <w:color w:val="auto"/>
                <w:sz w:val="21"/>
                <w:szCs w:val="21"/>
              </w:rPr>
            </w:pPr>
            <w:r>
              <w:rPr>
                <w:rFonts w:ascii="Times New Roman" w:hAnsi="Times New Roman"/>
                <w:b/>
                <w:bCs/>
                <w:color w:val="auto"/>
                <w:sz w:val="21"/>
                <w:szCs w:val="21"/>
              </w:rPr>
              <w:t>六、生态</w:t>
            </w:r>
          </w:p>
          <w:p w14:paraId="2825B72E">
            <w:pPr>
              <w:pStyle w:val="82"/>
              <w:spacing w:before="0" w:beforeLines="0"/>
              <w:ind w:left="0" w:leftChars="0" w:firstLine="420" w:firstLineChars="200"/>
              <w:rPr>
                <w:rFonts w:cs="Times New Roman"/>
                <w:bCs/>
                <w:color w:val="auto"/>
              </w:rPr>
            </w:pPr>
            <w:r>
              <w:rPr>
                <w:rFonts w:hint="eastAsia" w:cs="Times New Roman"/>
                <w:bCs/>
                <w:color w:val="auto"/>
                <w:lang w:val="en-US" w:eastAsia="zh-CN"/>
              </w:rPr>
              <w:t>本</w:t>
            </w:r>
            <w:r>
              <w:rPr>
                <w:rFonts w:hint="eastAsia" w:cs="Times New Roman"/>
                <w:bCs/>
                <w:color w:val="auto"/>
              </w:rPr>
              <w:t>项目在</w:t>
            </w:r>
            <w:r>
              <w:rPr>
                <w:rFonts w:hint="eastAsia" w:cs="Times New Roman"/>
                <w:bCs/>
                <w:color w:val="auto"/>
                <w:lang w:val="en-US" w:eastAsia="zh-CN"/>
              </w:rPr>
              <w:t>现有厂区内进行技改</w:t>
            </w:r>
            <w:r>
              <w:rPr>
                <w:rFonts w:hint="eastAsia" w:cs="Times New Roman"/>
                <w:bCs/>
                <w:color w:val="auto"/>
              </w:rPr>
              <w:t>，不涉及新增用地和生态环境保护目标，厂界周边无珍稀动植物资源等。本项目所排放的污染物均能达标排放，对周围生态环境的影响不大</w:t>
            </w:r>
            <w:r>
              <w:rPr>
                <w:rFonts w:cs="Times New Roman"/>
                <w:color w:val="auto"/>
                <w:szCs w:val="21"/>
              </w:rPr>
              <w:t>。</w:t>
            </w:r>
          </w:p>
          <w:p w14:paraId="431E4B2F">
            <w:pPr>
              <w:pStyle w:val="84"/>
              <w:adjustRightInd w:val="0"/>
              <w:snapToGrid w:val="0"/>
              <w:ind w:firstLine="422" w:firstLineChars="200"/>
              <w:rPr>
                <w:rFonts w:ascii="Times New Roman" w:hAnsi="Times New Roman"/>
                <w:b/>
                <w:bCs/>
                <w:color w:val="auto"/>
                <w:sz w:val="21"/>
                <w:szCs w:val="21"/>
              </w:rPr>
            </w:pPr>
            <w:r>
              <w:rPr>
                <w:rFonts w:ascii="Times New Roman" w:hAnsi="Times New Roman"/>
                <w:b/>
                <w:bCs/>
                <w:color w:val="auto"/>
                <w:sz w:val="21"/>
                <w:szCs w:val="21"/>
              </w:rPr>
              <w:t>七、环境风险</w:t>
            </w:r>
          </w:p>
          <w:p w14:paraId="68C709F9">
            <w:pPr>
              <w:autoSpaceDE w:val="0"/>
              <w:autoSpaceDN w:val="0"/>
              <w:spacing w:line="360" w:lineRule="auto"/>
              <w:ind w:firstLine="422" w:firstLineChars="200"/>
              <w:jc w:val="left"/>
              <w:rPr>
                <w:b/>
                <w:color w:val="auto"/>
                <w:szCs w:val="21"/>
              </w:rPr>
            </w:pPr>
            <w:r>
              <w:rPr>
                <w:rFonts w:hint="eastAsia"/>
                <w:b/>
                <w:color w:val="auto"/>
                <w:szCs w:val="21"/>
              </w:rPr>
              <w:t>1、环境风险物质识别</w:t>
            </w:r>
          </w:p>
          <w:p w14:paraId="4AA2E9D9">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hAnsi="宋体"/>
                <w:color w:val="auto"/>
                <w:kern w:val="0"/>
                <w:szCs w:val="21"/>
              </w:rPr>
            </w:pPr>
            <w:r>
              <w:rPr>
                <w:rFonts w:hint="eastAsia" w:hAnsi="宋体"/>
                <w:color w:val="auto"/>
                <w:kern w:val="0"/>
                <w:szCs w:val="21"/>
              </w:rPr>
              <w:t>对照《建设项目环境风险评价技术导则》（HJ169-2018）附录B重点关注的危险物</w:t>
            </w:r>
          </w:p>
          <w:p w14:paraId="4AA438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olor w:val="auto"/>
                <w:szCs w:val="21"/>
                <w:lang w:eastAsia="zh-CN"/>
              </w:rPr>
            </w:pPr>
            <w:r>
              <w:rPr>
                <w:rFonts w:hint="eastAsia" w:hAnsi="宋体"/>
                <w:color w:val="auto"/>
                <w:kern w:val="0"/>
                <w:szCs w:val="21"/>
              </w:rPr>
              <w:t>质及临界量-表B.1突发环境事件风险物质及临界量，本项目</w:t>
            </w:r>
            <w:r>
              <w:rPr>
                <w:rFonts w:hint="eastAsia" w:hAnsi="宋体"/>
                <w:color w:val="auto"/>
                <w:kern w:val="0"/>
                <w:szCs w:val="21"/>
                <w:lang w:val="en-US" w:eastAsia="zh-CN"/>
              </w:rPr>
              <w:t>涉及危险物质主要为导热油</w:t>
            </w:r>
            <w:r>
              <w:rPr>
                <w:rFonts w:hint="eastAsia"/>
                <w:color w:val="auto"/>
                <w:szCs w:val="21"/>
                <w:lang w:eastAsia="zh-CN"/>
              </w:rPr>
              <w:t>。</w:t>
            </w:r>
          </w:p>
          <w:p w14:paraId="6AF7021D">
            <w:pPr>
              <w:adjustRightInd w:val="0"/>
              <w:snapToGrid w:val="0"/>
              <w:spacing w:line="312" w:lineRule="auto"/>
              <w:ind w:firstLine="422" w:firstLineChars="200"/>
              <w:jc w:val="center"/>
              <w:rPr>
                <w:b/>
                <w:color w:val="auto"/>
                <w:szCs w:val="21"/>
              </w:rPr>
            </w:pPr>
            <w:r>
              <w:rPr>
                <w:b/>
                <w:color w:val="auto"/>
                <w:szCs w:val="21"/>
              </w:rPr>
              <w:t>表</w:t>
            </w:r>
            <w:r>
              <w:rPr>
                <w:rFonts w:hint="eastAsia"/>
                <w:b/>
                <w:color w:val="auto"/>
                <w:szCs w:val="21"/>
              </w:rPr>
              <w:t>4</w:t>
            </w:r>
            <w:r>
              <w:rPr>
                <w:rFonts w:hint="eastAsia"/>
                <w:b/>
                <w:color w:val="auto"/>
                <w:szCs w:val="21"/>
                <w:lang w:val="en-US" w:eastAsia="zh-CN"/>
              </w:rPr>
              <w:t>-10</w:t>
            </w:r>
            <w:r>
              <w:rPr>
                <w:rFonts w:hint="eastAsia"/>
                <w:b/>
                <w:color w:val="auto"/>
                <w:szCs w:val="21"/>
              </w:rPr>
              <w:t>项目危险物质与临界量的比值</w:t>
            </w:r>
          </w:p>
          <w:tbl>
            <w:tblPr>
              <w:tblStyle w:val="35"/>
              <w:tblW w:w="7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779"/>
              <w:gridCol w:w="1133"/>
              <w:gridCol w:w="2021"/>
              <w:gridCol w:w="1919"/>
            </w:tblGrid>
            <w:tr w14:paraId="6B34E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2" w:type="dxa"/>
                  <w:vAlign w:val="center"/>
                </w:tcPr>
                <w:p w14:paraId="5C0E7556">
                  <w:pPr>
                    <w:adjustRightInd w:val="0"/>
                    <w:snapToGrid w:val="0"/>
                    <w:jc w:val="center"/>
                    <w:rPr>
                      <w:b/>
                      <w:color w:val="auto"/>
                      <w:szCs w:val="21"/>
                    </w:rPr>
                  </w:pPr>
                  <w:r>
                    <w:rPr>
                      <w:rFonts w:hint="eastAsia" w:hAnsi="Arial"/>
                      <w:b/>
                      <w:color w:val="auto"/>
                      <w:szCs w:val="21"/>
                    </w:rPr>
                    <w:t>序号</w:t>
                  </w:r>
                </w:p>
              </w:tc>
              <w:tc>
                <w:tcPr>
                  <w:tcW w:w="1779" w:type="dxa"/>
                  <w:vAlign w:val="center"/>
                </w:tcPr>
                <w:p w14:paraId="1C2818A3">
                  <w:pPr>
                    <w:adjustRightInd w:val="0"/>
                    <w:snapToGrid w:val="0"/>
                    <w:jc w:val="center"/>
                    <w:rPr>
                      <w:b/>
                      <w:color w:val="auto"/>
                      <w:szCs w:val="21"/>
                    </w:rPr>
                  </w:pPr>
                  <w:r>
                    <w:rPr>
                      <w:rFonts w:hint="eastAsia" w:hAnsi="Arial"/>
                      <w:b/>
                      <w:color w:val="auto"/>
                      <w:szCs w:val="21"/>
                      <w:lang w:val="en-US" w:eastAsia="zh-CN"/>
                    </w:rPr>
                    <w:t>风险</w:t>
                  </w:r>
                  <w:r>
                    <w:rPr>
                      <w:rFonts w:hAnsi="Arial"/>
                      <w:b/>
                      <w:color w:val="auto"/>
                      <w:szCs w:val="21"/>
                    </w:rPr>
                    <w:t>物质</w:t>
                  </w:r>
                </w:p>
              </w:tc>
              <w:tc>
                <w:tcPr>
                  <w:tcW w:w="1133" w:type="dxa"/>
                  <w:vAlign w:val="center"/>
                </w:tcPr>
                <w:p w14:paraId="369A8EA2">
                  <w:pPr>
                    <w:adjustRightInd w:val="0"/>
                    <w:snapToGrid w:val="0"/>
                    <w:jc w:val="center"/>
                    <w:rPr>
                      <w:b/>
                      <w:color w:val="auto"/>
                      <w:szCs w:val="21"/>
                    </w:rPr>
                  </w:pPr>
                  <w:r>
                    <w:rPr>
                      <w:rFonts w:hAnsi="Arial"/>
                      <w:b/>
                      <w:color w:val="auto"/>
                      <w:szCs w:val="21"/>
                    </w:rPr>
                    <w:t>临界量</w:t>
                  </w:r>
                </w:p>
              </w:tc>
              <w:tc>
                <w:tcPr>
                  <w:tcW w:w="2021" w:type="dxa"/>
                  <w:vAlign w:val="center"/>
                </w:tcPr>
                <w:p w14:paraId="6221ACA9">
                  <w:pPr>
                    <w:adjustRightInd w:val="0"/>
                    <w:snapToGrid w:val="0"/>
                    <w:jc w:val="center"/>
                    <w:rPr>
                      <w:b/>
                      <w:color w:val="auto"/>
                      <w:szCs w:val="21"/>
                    </w:rPr>
                  </w:pPr>
                  <w:r>
                    <w:rPr>
                      <w:b/>
                      <w:color w:val="auto"/>
                      <w:szCs w:val="21"/>
                      <w:lang w:val="zh-CN"/>
                    </w:rPr>
                    <w:t>最大存量</w:t>
                  </w:r>
                  <w:r>
                    <w:rPr>
                      <w:rFonts w:hint="eastAsia"/>
                      <w:b/>
                      <w:color w:val="auto"/>
                      <w:szCs w:val="21"/>
                    </w:rPr>
                    <w:t>在</w:t>
                  </w:r>
                  <w:r>
                    <w:rPr>
                      <w:rFonts w:hint="eastAsia"/>
                      <w:b/>
                      <w:color w:val="auto"/>
                      <w:szCs w:val="21"/>
                      <w:lang w:val="zh-CN"/>
                    </w:rPr>
                    <w:t>/</w:t>
                  </w:r>
                  <w:r>
                    <w:rPr>
                      <w:b/>
                      <w:color w:val="auto"/>
                      <w:szCs w:val="21"/>
                      <w:lang w:val="zh-CN"/>
                    </w:rPr>
                    <w:t>q</w:t>
                  </w:r>
                  <w:r>
                    <w:rPr>
                      <w:rFonts w:hint="eastAsia"/>
                      <w:b/>
                      <w:color w:val="auto"/>
                      <w:szCs w:val="21"/>
                      <w:vertAlign w:val="subscript"/>
                      <w:lang w:val="zh-CN"/>
                    </w:rPr>
                    <w:t>n</w:t>
                  </w:r>
                </w:p>
              </w:tc>
              <w:tc>
                <w:tcPr>
                  <w:tcW w:w="1919" w:type="dxa"/>
                  <w:vAlign w:val="center"/>
                </w:tcPr>
                <w:p w14:paraId="1CCA1375">
                  <w:pPr>
                    <w:adjustRightInd w:val="0"/>
                    <w:snapToGrid w:val="0"/>
                    <w:jc w:val="center"/>
                    <w:rPr>
                      <w:rFonts w:hAnsi="Arial"/>
                      <w:b/>
                      <w:color w:val="auto"/>
                      <w:szCs w:val="21"/>
                    </w:rPr>
                  </w:pPr>
                  <w:r>
                    <w:rPr>
                      <w:rFonts w:hint="eastAsia" w:hAnsi="Arial"/>
                      <w:b/>
                      <w:color w:val="auto"/>
                      <w:szCs w:val="21"/>
                    </w:rPr>
                    <w:t>q/Q</w:t>
                  </w:r>
                </w:p>
              </w:tc>
            </w:tr>
            <w:tr w14:paraId="5AF2E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2" w:type="dxa"/>
                  <w:vAlign w:val="center"/>
                </w:tcPr>
                <w:p w14:paraId="4067A485">
                  <w:pPr>
                    <w:spacing w:line="240" w:lineRule="exact"/>
                    <w:jc w:val="center"/>
                    <w:rPr>
                      <w:color w:val="auto"/>
                      <w:szCs w:val="21"/>
                    </w:rPr>
                  </w:pPr>
                  <w:r>
                    <w:rPr>
                      <w:rFonts w:hint="eastAsia"/>
                      <w:color w:val="auto"/>
                      <w:szCs w:val="21"/>
                    </w:rPr>
                    <w:t>1</w:t>
                  </w:r>
                </w:p>
              </w:tc>
              <w:tc>
                <w:tcPr>
                  <w:tcW w:w="1779" w:type="dxa"/>
                  <w:vAlign w:val="center"/>
                </w:tcPr>
                <w:p w14:paraId="69A32268">
                  <w:pPr>
                    <w:spacing w:line="240" w:lineRule="exact"/>
                    <w:jc w:val="center"/>
                    <w:rPr>
                      <w:rFonts w:hint="default" w:eastAsia="宋体"/>
                      <w:color w:val="auto"/>
                      <w:szCs w:val="21"/>
                      <w:lang w:val="en-US" w:eastAsia="zh-CN"/>
                    </w:rPr>
                  </w:pPr>
                  <w:r>
                    <w:rPr>
                      <w:rFonts w:hint="eastAsia" w:eastAsia="宋体"/>
                      <w:color w:val="auto"/>
                      <w:szCs w:val="21"/>
                      <w:lang w:val="en-US" w:eastAsia="zh-CN"/>
                    </w:rPr>
                    <w:t>导热油</w:t>
                  </w:r>
                </w:p>
              </w:tc>
              <w:tc>
                <w:tcPr>
                  <w:tcW w:w="1133" w:type="dxa"/>
                  <w:vAlign w:val="center"/>
                </w:tcPr>
                <w:p w14:paraId="6F2CE69C">
                  <w:pPr>
                    <w:spacing w:line="240" w:lineRule="exact"/>
                    <w:jc w:val="center"/>
                    <w:rPr>
                      <w:rFonts w:hint="default" w:eastAsia="宋体"/>
                      <w:color w:val="auto"/>
                      <w:szCs w:val="21"/>
                      <w:lang w:val="en-US" w:eastAsia="zh-CN"/>
                    </w:rPr>
                  </w:pPr>
                  <w:r>
                    <w:rPr>
                      <w:rFonts w:hint="eastAsia"/>
                      <w:color w:val="auto"/>
                      <w:szCs w:val="21"/>
                      <w:lang w:val="en-US" w:eastAsia="zh-CN"/>
                    </w:rPr>
                    <w:t>2500</w:t>
                  </w:r>
                </w:p>
              </w:tc>
              <w:tc>
                <w:tcPr>
                  <w:tcW w:w="2021" w:type="dxa"/>
                  <w:vAlign w:val="center"/>
                </w:tcPr>
                <w:p w14:paraId="54E51148">
                  <w:pPr>
                    <w:spacing w:line="240" w:lineRule="exact"/>
                    <w:jc w:val="center"/>
                    <w:rPr>
                      <w:rFonts w:hint="default" w:eastAsia="宋体"/>
                      <w:color w:val="auto"/>
                      <w:szCs w:val="21"/>
                      <w:lang w:val="en-US" w:eastAsia="zh-CN"/>
                    </w:rPr>
                  </w:pPr>
                  <w:r>
                    <w:rPr>
                      <w:rFonts w:hint="eastAsia"/>
                      <w:color w:val="auto"/>
                      <w:szCs w:val="21"/>
                      <w:lang w:val="en-US" w:eastAsia="zh-CN"/>
                    </w:rPr>
                    <w:t>3t</w:t>
                  </w:r>
                </w:p>
              </w:tc>
              <w:tc>
                <w:tcPr>
                  <w:tcW w:w="1919" w:type="dxa"/>
                  <w:vAlign w:val="center"/>
                </w:tcPr>
                <w:p w14:paraId="30091651">
                  <w:pPr>
                    <w:spacing w:line="240" w:lineRule="exact"/>
                    <w:jc w:val="center"/>
                    <w:rPr>
                      <w:rFonts w:hint="default" w:eastAsia="宋体"/>
                      <w:color w:val="auto"/>
                      <w:szCs w:val="21"/>
                      <w:lang w:val="en-US" w:eastAsia="zh-CN"/>
                    </w:rPr>
                  </w:pPr>
                  <w:r>
                    <w:rPr>
                      <w:rFonts w:hint="eastAsia" w:ascii="Times New Roman" w:hAnsi="Times New Roman" w:cs="Times New Roman"/>
                      <w:color w:val="auto"/>
                      <w:szCs w:val="21"/>
                      <w:lang w:val="en-US" w:eastAsia="zh-CN"/>
                    </w:rPr>
                    <w:t>0.0</w:t>
                  </w:r>
                  <w:r>
                    <w:rPr>
                      <w:rFonts w:hint="eastAsia" w:cs="Times New Roman"/>
                      <w:color w:val="auto"/>
                      <w:szCs w:val="21"/>
                      <w:lang w:val="en-US" w:eastAsia="zh-CN"/>
                    </w:rPr>
                    <w:t>0</w:t>
                  </w:r>
                  <w:r>
                    <w:rPr>
                      <w:rFonts w:hint="eastAsia" w:ascii="Times New Roman" w:hAnsi="Times New Roman" w:cs="Times New Roman"/>
                      <w:color w:val="auto"/>
                      <w:szCs w:val="21"/>
                      <w:lang w:val="en-US" w:eastAsia="zh-CN"/>
                    </w:rPr>
                    <w:t>12</w:t>
                  </w:r>
                </w:p>
              </w:tc>
            </w:tr>
            <w:tr w14:paraId="797DF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4" w:type="dxa"/>
                  <w:gridSpan w:val="5"/>
                  <w:vAlign w:val="center"/>
                </w:tcPr>
                <w:p w14:paraId="63E8B4F4">
                  <w:pPr>
                    <w:spacing w:line="240" w:lineRule="exact"/>
                    <w:jc w:val="left"/>
                    <w:rPr>
                      <w:rFonts w:hint="default" w:eastAsia="宋体"/>
                      <w:color w:val="auto"/>
                      <w:szCs w:val="21"/>
                      <w:lang w:val="en-US" w:eastAsia="zh-CN"/>
                    </w:rPr>
                  </w:pPr>
                  <w:r>
                    <w:rPr>
                      <w:rFonts w:hint="eastAsia" w:eastAsia="宋体"/>
                      <w:color w:val="auto"/>
                      <w:szCs w:val="21"/>
                      <w:lang w:val="en-US" w:eastAsia="zh-CN"/>
                    </w:rPr>
                    <w:t>注：锅炉系统导热油装机量为3t。</w:t>
                  </w:r>
                </w:p>
              </w:tc>
            </w:tr>
          </w:tbl>
          <w:p w14:paraId="7F896B92">
            <w:pPr>
              <w:keepNext w:val="0"/>
              <w:keepLines w:val="0"/>
              <w:pageBreakBefore w:val="0"/>
              <w:widowControl w:val="0"/>
              <w:kinsoku/>
              <w:wordWrap/>
              <w:overflowPunct/>
              <w:topLinePunct w:val="0"/>
              <w:autoSpaceDE/>
              <w:autoSpaceDN/>
              <w:bidi w:val="0"/>
              <w:adjustRightInd/>
              <w:snapToGrid/>
              <w:spacing w:before="157" w:beforeLines="50" w:line="360" w:lineRule="auto"/>
              <w:ind w:firstLine="420" w:firstLineChars="200"/>
              <w:textAlignment w:val="auto"/>
              <w:rPr>
                <w:color w:val="auto"/>
                <w:szCs w:val="21"/>
              </w:rPr>
            </w:pPr>
            <w:r>
              <w:rPr>
                <w:rFonts w:hint="eastAsia"/>
                <w:color w:val="auto"/>
                <w:szCs w:val="21"/>
              </w:rPr>
              <w:t>根据计算结果，本项目Q值＜1，风险潜势为Ⅰ。</w:t>
            </w:r>
          </w:p>
          <w:p w14:paraId="128987B3">
            <w:pPr>
              <w:spacing w:line="360" w:lineRule="auto"/>
              <w:ind w:left="420" w:leftChars="200"/>
              <w:rPr>
                <w:b/>
                <w:bCs/>
                <w:color w:val="auto"/>
                <w:szCs w:val="21"/>
              </w:rPr>
            </w:pPr>
            <w:r>
              <w:rPr>
                <w:rFonts w:hint="eastAsia"/>
                <w:b/>
                <w:bCs/>
                <w:color w:val="auto"/>
                <w:szCs w:val="21"/>
              </w:rPr>
              <w:t>2、环境风险识别</w:t>
            </w:r>
          </w:p>
          <w:p w14:paraId="6DC4B9C9">
            <w:pPr>
              <w:spacing w:line="360" w:lineRule="auto"/>
              <w:ind w:firstLine="420" w:firstLineChars="200"/>
              <w:rPr>
                <w:rFonts w:hint="eastAsia"/>
                <w:color w:val="auto"/>
                <w:kern w:val="0"/>
                <w:szCs w:val="21"/>
                <w:lang w:val="en-US" w:eastAsia="zh-CN"/>
              </w:rPr>
            </w:pPr>
            <w:r>
              <w:rPr>
                <w:rFonts w:hint="eastAsia"/>
                <w:color w:val="auto"/>
                <w:kern w:val="0"/>
                <w:szCs w:val="21"/>
                <w:lang w:val="en-US" w:eastAsia="zh-CN"/>
              </w:rPr>
              <w:t>本</w:t>
            </w:r>
            <w:r>
              <w:rPr>
                <w:rFonts w:hint="eastAsia"/>
                <w:color w:val="auto"/>
                <w:kern w:val="0"/>
                <w:szCs w:val="21"/>
              </w:rPr>
              <w:t>项目</w:t>
            </w:r>
            <w:r>
              <w:rPr>
                <w:rFonts w:hint="eastAsia"/>
                <w:color w:val="auto"/>
                <w:kern w:val="0"/>
                <w:szCs w:val="21"/>
                <w:lang w:val="en-US" w:eastAsia="zh-CN"/>
              </w:rPr>
              <w:t>在生产过程中，可能发生的</w:t>
            </w:r>
            <w:r>
              <w:rPr>
                <w:rFonts w:hint="eastAsia"/>
                <w:color w:val="auto"/>
                <w:kern w:val="0"/>
                <w:szCs w:val="21"/>
              </w:rPr>
              <w:t>环境风险</w:t>
            </w:r>
            <w:r>
              <w:rPr>
                <w:rFonts w:hint="eastAsia"/>
                <w:color w:val="auto"/>
                <w:kern w:val="0"/>
                <w:szCs w:val="21"/>
                <w:lang w:val="en-US" w:eastAsia="zh-CN"/>
              </w:rPr>
              <w:t>事故主要包括：</w:t>
            </w:r>
          </w:p>
          <w:p w14:paraId="1BB5D476">
            <w:pPr>
              <w:numPr>
                <w:ilvl w:val="0"/>
                <w:numId w:val="0"/>
              </w:numPr>
              <w:spacing w:line="360" w:lineRule="auto"/>
              <w:ind w:firstLine="420" w:firstLineChars="200"/>
              <w:rPr>
                <w:rFonts w:hint="default"/>
                <w:color w:val="auto"/>
                <w:kern w:val="0"/>
                <w:szCs w:val="21"/>
                <w:lang w:val="en-US" w:eastAsia="zh-CN"/>
              </w:rPr>
            </w:pPr>
            <w:r>
              <w:rPr>
                <w:rFonts w:hint="eastAsia"/>
                <w:color w:val="auto"/>
                <w:kern w:val="0"/>
                <w:szCs w:val="21"/>
                <w:lang w:val="en-US" w:eastAsia="zh-CN"/>
              </w:rPr>
              <w:t>（1）导热油在储存、使用过程中发生泄漏，经过地表径流或者雨水管道进入周边河流，污染周边水体的水质；或通过地表下渗污染土壤、地下水环境；</w:t>
            </w:r>
          </w:p>
          <w:p w14:paraId="24259FBB">
            <w:pPr>
              <w:numPr>
                <w:ilvl w:val="0"/>
                <w:numId w:val="0"/>
              </w:numPr>
              <w:spacing w:line="360" w:lineRule="auto"/>
              <w:ind w:firstLine="420" w:firstLineChars="200"/>
              <w:rPr>
                <w:rFonts w:hint="eastAsia"/>
                <w:color w:val="auto"/>
                <w:kern w:val="0"/>
                <w:szCs w:val="21"/>
                <w:lang w:val="en-US" w:eastAsia="zh-CN"/>
              </w:rPr>
            </w:pPr>
            <w:r>
              <w:rPr>
                <w:rFonts w:hint="eastAsia"/>
                <w:color w:val="auto"/>
                <w:kern w:val="0"/>
                <w:szCs w:val="21"/>
                <w:lang w:val="en-US" w:eastAsia="zh-CN"/>
              </w:rPr>
              <w:t>（2）废气治理设备故障，或管道损坏，会导致废气未经有效收集处理直接排放，影响周边大气环境；</w:t>
            </w:r>
          </w:p>
          <w:p w14:paraId="25C95817">
            <w:pPr>
              <w:numPr>
                <w:ilvl w:val="0"/>
                <w:numId w:val="0"/>
              </w:numPr>
              <w:spacing w:line="360" w:lineRule="auto"/>
              <w:ind w:firstLine="420" w:firstLineChars="200"/>
              <w:rPr>
                <w:color w:val="auto"/>
                <w:kern w:val="0"/>
                <w:szCs w:val="21"/>
              </w:rPr>
            </w:pPr>
            <w:r>
              <w:rPr>
                <w:rFonts w:hint="eastAsia"/>
                <w:color w:val="auto"/>
                <w:kern w:val="0"/>
                <w:szCs w:val="21"/>
                <w:lang w:val="en-US" w:eastAsia="zh-CN"/>
              </w:rPr>
              <w:t>（3）车间内可燃物遇明火造成火灾事故，火灾伴生/次生污染物对大气环境造成污染，消防废水若直接进入地表水体，可能造成水质污染。</w:t>
            </w:r>
          </w:p>
          <w:p w14:paraId="42AA47F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b/>
                <w:bCs/>
                <w:color w:val="auto"/>
                <w:szCs w:val="21"/>
              </w:rPr>
            </w:pPr>
            <w:r>
              <w:rPr>
                <w:rFonts w:hint="eastAsia"/>
                <w:b/>
                <w:bCs/>
                <w:color w:val="auto"/>
                <w:szCs w:val="21"/>
              </w:rPr>
              <w:t>3、环境风险防范措施及应急要求</w:t>
            </w:r>
          </w:p>
          <w:p w14:paraId="2C1F4E86">
            <w:pPr>
              <w:spacing w:line="360" w:lineRule="auto"/>
              <w:ind w:firstLine="422" w:firstLineChars="200"/>
              <w:rPr>
                <w:rFonts w:cs="宋体"/>
                <w:b/>
                <w:color w:val="auto"/>
                <w:kern w:val="0"/>
                <w:szCs w:val="21"/>
              </w:rPr>
            </w:pPr>
            <w:r>
              <w:rPr>
                <w:rFonts w:hint="eastAsia"/>
                <w:b/>
                <w:color w:val="auto"/>
                <w:szCs w:val="21"/>
                <w:lang w:eastAsia="zh-CN"/>
              </w:rPr>
              <w:t>（</w:t>
            </w:r>
            <w:r>
              <w:rPr>
                <w:rFonts w:hint="eastAsia"/>
                <w:b/>
                <w:color w:val="auto"/>
                <w:szCs w:val="21"/>
                <w:lang w:val="en-US" w:eastAsia="zh-CN"/>
              </w:rPr>
              <w:t>1</w:t>
            </w:r>
            <w:r>
              <w:rPr>
                <w:rFonts w:hint="eastAsia"/>
                <w:b/>
                <w:color w:val="auto"/>
                <w:szCs w:val="21"/>
                <w:lang w:eastAsia="zh-CN"/>
              </w:rPr>
              <w:t>）</w:t>
            </w:r>
            <w:r>
              <w:rPr>
                <w:rFonts w:hint="eastAsia"/>
                <w:b/>
                <w:color w:val="auto"/>
                <w:szCs w:val="21"/>
                <w:lang w:val="en-US" w:eastAsia="zh-CN"/>
              </w:rPr>
              <w:t>风险物质泄漏防范措施</w:t>
            </w:r>
            <w:r>
              <w:rPr>
                <w:rFonts w:hint="eastAsia"/>
                <w:b/>
                <w:color w:val="auto"/>
                <w:szCs w:val="21"/>
              </w:rPr>
              <w:t>及应急处置</w:t>
            </w:r>
            <w:r>
              <w:rPr>
                <w:b/>
                <w:color w:val="auto"/>
                <w:szCs w:val="21"/>
              </w:rPr>
              <w:t>措施</w:t>
            </w:r>
          </w:p>
          <w:p w14:paraId="37DB60BD">
            <w:pPr>
              <w:spacing w:line="360" w:lineRule="auto"/>
              <w:ind w:firstLine="420" w:firstLineChars="200"/>
              <w:rPr>
                <w:rFonts w:hint="default" w:eastAsia="宋体"/>
                <w:b/>
                <w:color w:val="auto"/>
                <w:szCs w:val="21"/>
                <w:lang w:val="en-US" w:eastAsia="zh-CN"/>
              </w:rPr>
            </w:pPr>
            <w:r>
              <w:rPr>
                <w:rFonts w:hint="eastAsia"/>
                <w:b w:val="0"/>
                <w:bCs/>
                <w:color w:val="auto"/>
                <w:szCs w:val="21"/>
                <w:lang w:val="en-US" w:eastAsia="zh-CN"/>
              </w:rPr>
              <w:t>本项目涉及环境风险物质主要为导热油，导热油主要存在于管线中，企业应制定严格的工艺操作规程，加强监督和管理，增强职工安全意识和环保意识。对管道、阀门、接口处都要定期检查。当发生泄漏事故时，开启手动紧急截断阀，及时切断风险物质的泄漏源，泄漏导热油使用专用容器及时收集，作为危险废物送有资质单位处置，不会对周边环境造成影响。</w:t>
            </w:r>
          </w:p>
          <w:p w14:paraId="535A02E3">
            <w:pPr>
              <w:spacing w:line="360" w:lineRule="auto"/>
              <w:ind w:firstLine="422" w:firstLineChars="200"/>
              <w:rPr>
                <w:rFonts w:cs="宋体"/>
                <w:b/>
                <w:color w:val="auto"/>
                <w:kern w:val="0"/>
                <w:szCs w:val="21"/>
              </w:rPr>
            </w:pPr>
            <w:r>
              <w:rPr>
                <w:rFonts w:hint="eastAsia"/>
                <w:b/>
                <w:color w:val="auto"/>
                <w:szCs w:val="21"/>
              </w:rPr>
              <w:t>（</w:t>
            </w:r>
            <w:r>
              <w:rPr>
                <w:rFonts w:hint="eastAsia"/>
                <w:b/>
                <w:color w:val="auto"/>
                <w:szCs w:val="21"/>
                <w:lang w:val="en-US" w:eastAsia="zh-CN"/>
              </w:rPr>
              <w:t>2</w:t>
            </w:r>
            <w:r>
              <w:rPr>
                <w:rFonts w:hint="eastAsia"/>
                <w:b/>
                <w:color w:val="auto"/>
                <w:szCs w:val="21"/>
              </w:rPr>
              <w:t>）废气事故排放</w:t>
            </w:r>
            <w:r>
              <w:rPr>
                <w:b/>
                <w:color w:val="auto"/>
                <w:szCs w:val="21"/>
              </w:rPr>
              <w:t>风险防范</w:t>
            </w:r>
            <w:r>
              <w:rPr>
                <w:rFonts w:hint="eastAsia"/>
                <w:b/>
                <w:color w:val="auto"/>
                <w:szCs w:val="21"/>
              </w:rPr>
              <w:t>及应急处置</w:t>
            </w:r>
            <w:r>
              <w:rPr>
                <w:b/>
                <w:color w:val="auto"/>
                <w:szCs w:val="21"/>
              </w:rPr>
              <w:t>措施</w:t>
            </w:r>
          </w:p>
          <w:p w14:paraId="72668DDC">
            <w:pPr>
              <w:autoSpaceDE w:val="0"/>
              <w:autoSpaceDN w:val="0"/>
              <w:adjustRightInd w:val="0"/>
              <w:snapToGrid w:val="0"/>
              <w:spacing w:line="360" w:lineRule="auto"/>
              <w:ind w:firstLine="420" w:firstLineChars="200"/>
              <w:rPr>
                <w:b/>
                <w:color w:val="auto"/>
                <w:szCs w:val="21"/>
              </w:rPr>
            </w:pPr>
            <w:r>
              <w:rPr>
                <w:color w:val="auto"/>
                <w:kern w:val="0"/>
                <w:szCs w:val="21"/>
                <w:lang w:bidi="ar"/>
              </w:rPr>
              <w:t>建设单位应定期对废气收集、处理设备进行维护、修理，并对风机等关键集气设备设置备用设备，确保在用设备故障时，能够及时启用备用设备，同时，建设单位应建立健全环保设备设施维护管理台账，全面掌控环保设备设施的运行状态，确保生产运营过程中，环保设备始终处于最佳运行状态，杜绝事故性排放。一旦发现废气收集、处理设备出现故障，须立即停止生产，待故障排除完毕，治理设施正常运行后方可恢复生产。</w:t>
            </w:r>
          </w:p>
          <w:p w14:paraId="4370BA80">
            <w:pPr>
              <w:spacing w:line="360" w:lineRule="auto"/>
              <w:ind w:firstLine="422" w:firstLineChars="200"/>
              <w:rPr>
                <w:b/>
                <w:color w:val="auto"/>
                <w:szCs w:val="21"/>
              </w:rPr>
            </w:pPr>
            <w:r>
              <w:rPr>
                <w:rFonts w:hint="eastAsia"/>
                <w:b/>
                <w:color w:val="auto"/>
                <w:szCs w:val="21"/>
              </w:rPr>
              <w:t>（2）火灾及次生灾害风险防范措施</w:t>
            </w:r>
          </w:p>
          <w:p w14:paraId="16E34F0E">
            <w:pPr>
              <w:spacing w:line="360" w:lineRule="auto"/>
              <w:ind w:firstLine="420" w:firstLineChars="200"/>
              <w:rPr>
                <w:bCs/>
                <w:color w:val="auto"/>
                <w:szCs w:val="21"/>
              </w:rPr>
            </w:pPr>
            <w:r>
              <w:rPr>
                <w:rFonts w:hint="eastAsia"/>
                <w:bCs/>
                <w:color w:val="auto"/>
                <w:szCs w:val="21"/>
              </w:rPr>
              <w:t>项目在运营过程中要做好火灾及次生灾害风险防范措施：</w:t>
            </w:r>
          </w:p>
          <w:p w14:paraId="4006DC20">
            <w:pPr>
              <w:spacing w:line="360" w:lineRule="auto"/>
              <w:ind w:firstLine="420" w:firstLineChars="200"/>
              <w:rPr>
                <w:color w:val="auto"/>
                <w:szCs w:val="21"/>
              </w:rPr>
            </w:pPr>
            <w:r>
              <w:rPr>
                <w:rFonts w:hint="eastAsia"/>
                <w:color w:val="auto"/>
                <w:szCs w:val="21"/>
              </w:rPr>
              <w:t>①生产车间区域应严禁烟火，安全用电杜绝明火产生，</w:t>
            </w:r>
            <w:r>
              <w:rPr>
                <w:rFonts w:hint="eastAsia" w:ascii="宋体" w:hAnsi="宋体"/>
                <w:color w:val="auto"/>
                <w:szCs w:val="21"/>
              </w:rPr>
              <w:t>使用时做好隔离措施并远离</w:t>
            </w:r>
            <w:r>
              <w:rPr>
                <w:rFonts w:hint="eastAsia" w:ascii="宋体" w:hAnsi="宋体"/>
                <w:color w:val="auto"/>
                <w:szCs w:val="21"/>
                <w:lang w:eastAsia="zh-CN"/>
              </w:rPr>
              <w:t>易燃</w:t>
            </w:r>
            <w:r>
              <w:rPr>
                <w:rFonts w:hint="eastAsia" w:ascii="宋体" w:hAnsi="宋体"/>
                <w:color w:val="auto"/>
                <w:szCs w:val="21"/>
              </w:rPr>
              <w:t>源，</w:t>
            </w:r>
            <w:r>
              <w:rPr>
                <w:rFonts w:hint="eastAsia"/>
                <w:color w:val="auto"/>
                <w:szCs w:val="21"/>
              </w:rPr>
              <w:t>并配备灭火器等消防器材。</w:t>
            </w:r>
          </w:p>
          <w:p w14:paraId="617DC45B">
            <w:pPr>
              <w:spacing w:line="360" w:lineRule="auto"/>
              <w:ind w:firstLine="420" w:firstLineChars="200"/>
              <w:rPr>
                <w:color w:val="auto"/>
                <w:szCs w:val="21"/>
              </w:rPr>
            </w:pPr>
            <w:r>
              <w:rPr>
                <w:rFonts w:hint="eastAsia"/>
                <w:color w:val="auto"/>
                <w:szCs w:val="21"/>
              </w:rPr>
              <w:t>②厂区配备足够</w:t>
            </w:r>
            <w:r>
              <w:rPr>
                <w:rFonts w:hint="eastAsia" w:ascii="宋体" w:hAnsi="宋体"/>
                <w:color w:val="auto"/>
                <w:szCs w:val="21"/>
              </w:rPr>
              <w:t>二氧化碳</w:t>
            </w:r>
            <w:r>
              <w:rPr>
                <w:rFonts w:hint="eastAsia"/>
                <w:color w:val="auto"/>
                <w:szCs w:val="21"/>
              </w:rPr>
              <w:t>灭火器、干粉灭火器及干沙等消防设备，</w:t>
            </w:r>
            <w:r>
              <w:rPr>
                <w:rFonts w:hint="eastAsia" w:ascii="宋体" w:hAnsi="宋体"/>
                <w:color w:val="auto"/>
                <w:szCs w:val="21"/>
              </w:rPr>
              <w:t>建筑物内设置手提灭火器作为扑救初起火灾的重要消防器材，手提式灭火器设置在灭火器箱内，</w:t>
            </w:r>
            <w:r>
              <w:rPr>
                <w:rFonts w:hint="eastAsia"/>
                <w:color w:val="auto"/>
                <w:szCs w:val="21"/>
              </w:rPr>
              <w:t>并定期检查，设置禁烟火</w:t>
            </w:r>
            <w:r>
              <w:rPr>
                <w:rFonts w:hint="eastAsia"/>
                <w:color w:val="auto"/>
                <w:szCs w:val="21"/>
                <w:lang w:eastAsia="zh-CN"/>
              </w:rPr>
              <w:t>标识牌</w:t>
            </w:r>
            <w:r>
              <w:rPr>
                <w:rFonts w:hint="eastAsia"/>
                <w:color w:val="auto"/>
                <w:szCs w:val="21"/>
              </w:rPr>
              <w:t>，</w:t>
            </w:r>
            <w:r>
              <w:rPr>
                <w:color w:val="auto"/>
                <w:szCs w:val="21"/>
              </w:rPr>
              <w:t>贮存区周围设置环形的消防通道</w:t>
            </w:r>
            <w:r>
              <w:rPr>
                <w:rFonts w:hint="eastAsia"/>
                <w:color w:val="auto"/>
                <w:szCs w:val="21"/>
              </w:rPr>
              <w:t>，消防通道需畅通。</w:t>
            </w:r>
          </w:p>
          <w:p w14:paraId="79CE0206">
            <w:pPr>
              <w:adjustRightInd w:val="0"/>
              <w:snapToGrid w:val="0"/>
              <w:spacing w:line="360" w:lineRule="auto"/>
              <w:ind w:firstLine="420" w:firstLineChars="200"/>
              <w:textAlignment w:val="baseline"/>
              <w:rPr>
                <w:color w:val="auto"/>
                <w:szCs w:val="21"/>
              </w:rPr>
            </w:pPr>
            <w:r>
              <w:rPr>
                <w:rFonts w:hint="eastAsia"/>
                <w:color w:val="auto"/>
                <w:szCs w:val="21"/>
              </w:rPr>
              <w:t>③</w:t>
            </w:r>
            <w:r>
              <w:rPr>
                <w:rFonts w:hint="eastAsia"/>
                <w:color w:val="auto"/>
                <w:kern w:val="0"/>
                <w:szCs w:val="21"/>
              </w:rPr>
              <w:t>加强工人的安全生产意识，车间内应设置严禁烟火，安全防火用电的警示标志；</w:t>
            </w:r>
          </w:p>
          <w:p w14:paraId="32FCE35C">
            <w:pPr>
              <w:spacing w:line="360" w:lineRule="auto"/>
              <w:ind w:firstLine="420" w:firstLineChars="200"/>
              <w:rPr>
                <w:color w:val="auto"/>
                <w:kern w:val="0"/>
                <w:szCs w:val="21"/>
              </w:rPr>
            </w:pPr>
            <w:r>
              <w:rPr>
                <w:rFonts w:hint="eastAsia"/>
                <w:color w:val="auto"/>
                <w:szCs w:val="21"/>
              </w:rPr>
              <w:t>④车间的紧急疏散通道设置醒目的标志和指示箭头，满足人员紧急疏散的需要；</w:t>
            </w:r>
          </w:p>
          <w:p w14:paraId="3FE3B048">
            <w:pPr>
              <w:spacing w:line="360" w:lineRule="auto"/>
              <w:ind w:firstLine="420" w:firstLineChars="200"/>
              <w:rPr>
                <w:color w:val="auto"/>
                <w:szCs w:val="21"/>
              </w:rPr>
            </w:pPr>
            <w:r>
              <w:rPr>
                <w:rFonts w:hint="eastAsia"/>
                <w:color w:val="auto"/>
                <w:kern w:val="0"/>
                <w:szCs w:val="21"/>
              </w:rPr>
              <w:t>⑤</w:t>
            </w:r>
            <w:r>
              <w:rPr>
                <w:rFonts w:hint="eastAsia"/>
                <w:color w:val="auto"/>
                <w:szCs w:val="21"/>
              </w:rPr>
              <w:t>一旦发生火灾等事故，立即启动事故应急预案，及时通知消防部门，及时控制火势、抢救伤员、扑灭火灾，防止环境污染的发生和扩大。</w:t>
            </w:r>
          </w:p>
          <w:p w14:paraId="4D6C6D2E">
            <w:pPr>
              <w:adjustRightInd w:val="0"/>
              <w:snapToGrid w:val="0"/>
              <w:spacing w:line="360" w:lineRule="auto"/>
              <w:ind w:firstLine="422" w:firstLineChars="200"/>
              <w:rPr>
                <w:b/>
                <w:color w:val="auto"/>
                <w:szCs w:val="21"/>
              </w:rPr>
            </w:pPr>
            <w:r>
              <w:rPr>
                <w:rFonts w:hint="eastAsia"/>
                <w:b/>
                <w:color w:val="auto"/>
                <w:szCs w:val="21"/>
              </w:rPr>
              <w:t>4、环境风险影响</w:t>
            </w:r>
            <w:r>
              <w:rPr>
                <w:b/>
                <w:color w:val="auto"/>
                <w:szCs w:val="21"/>
              </w:rPr>
              <w:t>分析结论</w:t>
            </w:r>
          </w:p>
          <w:p w14:paraId="1628B505">
            <w:pPr>
              <w:pStyle w:val="19"/>
              <w:spacing w:line="360" w:lineRule="auto"/>
              <w:ind w:firstLine="420"/>
              <w:jc w:val="center"/>
              <w:rPr>
                <w:rFonts w:hint="default"/>
                <w:color w:val="auto"/>
                <w:sz w:val="21"/>
                <w:szCs w:val="21"/>
              </w:rPr>
            </w:pPr>
            <w:r>
              <w:rPr>
                <w:color w:val="auto"/>
                <w:sz w:val="21"/>
                <w:szCs w:val="21"/>
              </w:rPr>
              <w:t>项目涉及的环境风险因素主要为废气事故排放</w:t>
            </w:r>
            <w:r>
              <w:rPr>
                <w:rFonts w:hint="eastAsia"/>
                <w:color w:val="auto"/>
                <w:sz w:val="21"/>
                <w:szCs w:val="21"/>
                <w:lang w:eastAsia="zh-CN"/>
              </w:rPr>
              <w:t>、</w:t>
            </w:r>
            <w:r>
              <w:rPr>
                <w:color w:val="auto"/>
                <w:sz w:val="21"/>
                <w:szCs w:val="21"/>
              </w:rPr>
              <w:t>火灾事故。在工程的设计及生产运行过程中，严格按工程设计、操作规程运行和管理，并认真落实评价提出的各项风险防范措施，可把事故发生的几率降至最低。通过采取各项风险防范及应急救援措施，可降</w:t>
            </w:r>
          </w:p>
          <w:p w14:paraId="6E799026">
            <w:pPr>
              <w:pStyle w:val="19"/>
              <w:spacing w:line="360" w:lineRule="auto"/>
              <w:rPr>
                <w:bCs/>
                <w:color w:val="auto"/>
                <w:spacing w:val="-10"/>
                <w:szCs w:val="21"/>
              </w:rPr>
            </w:pPr>
            <w:r>
              <w:rPr>
                <w:color w:val="auto"/>
                <w:sz w:val="21"/>
                <w:szCs w:val="21"/>
              </w:rPr>
              <w:t>低各种事故发生的概率及对周围环境的影响，环境风险在可接受范围内。</w:t>
            </w:r>
          </w:p>
        </w:tc>
      </w:tr>
    </w:tbl>
    <w:p w14:paraId="2992D68E">
      <w:pPr>
        <w:pStyle w:val="31"/>
        <w:adjustRightInd w:val="0"/>
        <w:snapToGrid w:val="0"/>
        <w:jc w:val="center"/>
        <w:outlineLvl w:val="0"/>
        <w:rPr>
          <w:rFonts w:ascii="Times New Roman" w:hAnsi="Times New Roman" w:eastAsia="黑体" w:cs="Times New Roman"/>
          <w:snapToGrid w:val="0"/>
          <w:color w:val="auto"/>
          <w:sz w:val="30"/>
          <w:szCs w:val="30"/>
        </w:rPr>
      </w:pPr>
      <w:bookmarkStart w:id="33" w:name="_Toc12278_WPSOffice_Level1"/>
      <w:bookmarkStart w:id="34" w:name="_Toc23107_WPSOffice_Level1"/>
      <w:bookmarkStart w:id="35" w:name="_Toc11110"/>
      <w:bookmarkStart w:id="36" w:name="_Toc10899_WPSOffice_Level1"/>
      <w:bookmarkStart w:id="37" w:name="_Toc11424"/>
      <w:bookmarkStart w:id="38" w:name="_Toc12770"/>
      <w:bookmarkStart w:id="39" w:name="_Toc27619_WPSOffice_Level1"/>
      <w:r>
        <w:rPr>
          <w:rFonts w:ascii="Times New Roman" w:hAnsi="Times New Roman" w:eastAsia="黑体" w:cs="Times New Roman"/>
          <w:snapToGrid w:val="0"/>
          <w:color w:val="auto"/>
          <w:sz w:val="30"/>
          <w:szCs w:val="30"/>
        </w:rPr>
        <w:t>五、</w:t>
      </w:r>
      <w:bookmarkStart w:id="40" w:name="_Hlk54167917"/>
      <w:r>
        <w:rPr>
          <w:rFonts w:ascii="Times New Roman" w:hAnsi="Times New Roman" w:eastAsia="黑体" w:cs="Times New Roman"/>
          <w:snapToGrid w:val="0"/>
          <w:color w:val="auto"/>
          <w:sz w:val="30"/>
          <w:szCs w:val="30"/>
        </w:rPr>
        <w:t>环境保护措施监督检查清单</w:t>
      </w:r>
      <w:bookmarkEnd w:id="33"/>
      <w:bookmarkEnd w:id="34"/>
      <w:bookmarkEnd w:id="35"/>
      <w:bookmarkEnd w:id="36"/>
      <w:bookmarkEnd w:id="37"/>
      <w:bookmarkEnd w:id="38"/>
      <w:bookmarkEnd w:id="39"/>
      <w:bookmarkEnd w:id="40"/>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1600"/>
        <w:gridCol w:w="1315"/>
        <w:gridCol w:w="2451"/>
        <w:gridCol w:w="2554"/>
      </w:tblGrid>
      <w:tr w14:paraId="64E3D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133" w:type="dxa"/>
            <w:tcBorders>
              <w:tl2br w:val="single" w:color="auto" w:sz="4" w:space="0"/>
            </w:tcBorders>
            <w:vAlign w:val="center"/>
          </w:tcPr>
          <w:p w14:paraId="76735E78">
            <w:pPr>
              <w:adjustRightInd w:val="0"/>
              <w:snapToGrid w:val="0"/>
              <w:jc w:val="right"/>
              <w:rPr>
                <w:b/>
                <w:bCs/>
                <w:color w:val="auto"/>
                <w:szCs w:val="21"/>
              </w:rPr>
            </w:pPr>
            <w:r>
              <w:rPr>
                <w:b/>
                <w:bCs/>
                <w:color w:val="auto"/>
                <w:szCs w:val="21"/>
              </w:rPr>
              <w:t>内容</w:t>
            </w:r>
          </w:p>
          <w:p w14:paraId="38F3C9CB">
            <w:pPr>
              <w:adjustRightInd w:val="0"/>
              <w:snapToGrid w:val="0"/>
              <w:jc w:val="left"/>
              <w:rPr>
                <w:b/>
                <w:bCs/>
                <w:color w:val="auto"/>
                <w:szCs w:val="21"/>
              </w:rPr>
            </w:pPr>
            <w:r>
              <w:rPr>
                <w:b/>
                <w:bCs/>
                <w:color w:val="auto"/>
                <w:szCs w:val="21"/>
              </w:rPr>
              <w:t>类型</w:t>
            </w:r>
          </w:p>
        </w:tc>
        <w:tc>
          <w:tcPr>
            <w:tcW w:w="1600" w:type="dxa"/>
            <w:vAlign w:val="center"/>
          </w:tcPr>
          <w:p w14:paraId="37C50042">
            <w:pPr>
              <w:adjustRightInd w:val="0"/>
              <w:snapToGrid w:val="0"/>
              <w:jc w:val="center"/>
              <w:rPr>
                <w:b/>
                <w:bCs/>
                <w:color w:val="auto"/>
                <w:szCs w:val="21"/>
              </w:rPr>
            </w:pPr>
            <w:r>
              <w:rPr>
                <w:b/>
                <w:bCs/>
                <w:color w:val="auto"/>
                <w:szCs w:val="21"/>
              </w:rPr>
              <w:t>排放口</w:t>
            </w:r>
          </w:p>
          <w:p w14:paraId="7EC0853D">
            <w:pPr>
              <w:adjustRightInd w:val="0"/>
              <w:snapToGrid w:val="0"/>
              <w:jc w:val="center"/>
              <w:rPr>
                <w:b/>
                <w:bCs/>
                <w:color w:val="auto"/>
                <w:szCs w:val="21"/>
              </w:rPr>
            </w:pPr>
            <w:r>
              <w:rPr>
                <w:b/>
                <w:bCs/>
                <w:color w:val="auto"/>
                <w:szCs w:val="21"/>
              </w:rPr>
              <w:t>（编号、名称）/污染源</w:t>
            </w:r>
          </w:p>
        </w:tc>
        <w:tc>
          <w:tcPr>
            <w:tcW w:w="1315" w:type="dxa"/>
            <w:vAlign w:val="center"/>
          </w:tcPr>
          <w:p w14:paraId="58723B9B">
            <w:pPr>
              <w:adjustRightInd w:val="0"/>
              <w:snapToGrid w:val="0"/>
              <w:jc w:val="center"/>
              <w:rPr>
                <w:b/>
                <w:bCs/>
                <w:color w:val="auto"/>
                <w:szCs w:val="21"/>
              </w:rPr>
            </w:pPr>
            <w:r>
              <w:rPr>
                <w:b/>
                <w:bCs/>
                <w:color w:val="auto"/>
                <w:szCs w:val="21"/>
              </w:rPr>
              <w:t>污染物项目</w:t>
            </w:r>
          </w:p>
        </w:tc>
        <w:tc>
          <w:tcPr>
            <w:tcW w:w="2451" w:type="dxa"/>
            <w:vAlign w:val="center"/>
          </w:tcPr>
          <w:p w14:paraId="53B2FD2A">
            <w:pPr>
              <w:adjustRightInd w:val="0"/>
              <w:snapToGrid w:val="0"/>
              <w:jc w:val="center"/>
              <w:rPr>
                <w:b/>
                <w:bCs/>
                <w:color w:val="auto"/>
                <w:szCs w:val="21"/>
              </w:rPr>
            </w:pPr>
            <w:r>
              <w:rPr>
                <w:b/>
                <w:bCs/>
                <w:color w:val="auto"/>
                <w:szCs w:val="21"/>
              </w:rPr>
              <w:t>环境保护措施</w:t>
            </w:r>
          </w:p>
        </w:tc>
        <w:tc>
          <w:tcPr>
            <w:tcW w:w="2554" w:type="dxa"/>
            <w:vAlign w:val="center"/>
          </w:tcPr>
          <w:p w14:paraId="4D528241">
            <w:pPr>
              <w:adjustRightInd w:val="0"/>
              <w:snapToGrid w:val="0"/>
              <w:jc w:val="center"/>
              <w:rPr>
                <w:b/>
                <w:bCs/>
                <w:color w:val="auto"/>
                <w:szCs w:val="21"/>
              </w:rPr>
            </w:pPr>
            <w:r>
              <w:rPr>
                <w:b/>
                <w:color w:val="auto"/>
                <w:szCs w:val="21"/>
              </w:rPr>
              <w:t>执行标准</w:t>
            </w:r>
          </w:p>
        </w:tc>
      </w:tr>
      <w:tr w14:paraId="26796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5" w:hRule="atLeast"/>
          <w:jc w:val="center"/>
        </w:trPr>
        <w:tc>
          <w:tcPr>
            <w:tcW w:w="1133" w:type="dxa"/>
            <w:vMerge w:val="restart"/>
            <w:textDirection w:val="tbRlV"/>
            <w:vAlign w:val="center"/>
          </w:tcPr>
          <w:p w14:paraId="3365C223">
            <w:pPr>
              <w:adjustRightInd w:val="0"/>
              <w:snapToGrid w:val="0"/>
              <w:jc w:val="center"/>
              <w:rPr>
                <w:color w:val="auto"/>
                <w:szCs w:val="21"/>
              </w:rPr>
            </w:pPr>
            <w:r>
              <w:rPr>
                <w:color w:val="auto"/>
                <w:szCs w:val="21"/>
              </w:rPr>
              <w:t>大气环境</w:t>
            </w:r>
          </w:p>
        </w:tc>
        <w:tc>
          <w:tcPr>
            <w:tcW w:w="1600" w:type="dxa"/>
            <w:vAlign w:val="center"/>
          </w:tcPr>
          <w:p w14:paraId="01473D9D">
            <w:pPr>
              <w:widowControl/>
              <w:jc w:val="center"/>
              <w:rPr>
                <w:rFonts w:hint="default"/>
                <w:color w:val="auto"/>
                <w:szCs w:val="21"/>
                <w:lang w:val="en-US"/>
              </w:rPr>
            </w:pPr>
            <w:r>
              <w:rPr>
                <w:rFonts w:hint="eastAsia"/>
                <w:color w:val="auto"/>
                <w:szCs w:val="21"/>
                <w:lang w:val="en-US" w:eastAsia="zh-CN"/>
              </w:rPr>
              <w:t>锅炉废气DA001</w:t>
            </w:r>
          </w:p>
        </w:tc>
        <w:tc>
          <w:tcPr>
            <w:tcW w:w="1315" w:type="dxa"/>
            <w:vAlign w:val="center"/>
          </w:tcPr>
          <w:p w14:paraId="7A3E3F30">
            <w:pPr>
              <w:adjustRightInd w:val="0"/>
              <w:snapToGrid w:val="0"/>
              <w:jc w:val="center"/>
              <w:rPr>
                <w:rFonts w:hint="default" w:eastAsia="宋体"/>
                <w:color w:val="auto"/>
                <w:szCs w:val="21"/>
                <w:lang w:val="en-US" w:eastAsia="zh-CN"/>
              </w:rPr>
            </w:pPr>
            <w:r>
              <w:rPr>
                <w:color w:val="auto"/>
                <w:szCs w:val="21"/>
              </w:rPr>
              <w:t>颗粒物</w:t>
            </w:r>
            <w:r>
              <w:rPr>
                <w:rFonts w:hint="eastAsia"/>
                <w:color w:val="auto"/>
                <w:szCs w:val="21"/>
                <w:lang w:eastAsia="zh-CN"/>
              </w:rPr>
              <w:t>、</w:t>
            </w:r>
            <w:r>
              <w:rPr>
                <w:rFonts w:hint="eastAsia"/>
                <w:color w:val="auto"/>
                <w:szCs w:val="21"/>
                <w:lang w:val="en-US" w:eastAsia="zh-CN"/>
              </w:rPr>
              <w:t>二氧化硫、氮氧化物、烟气黑度</w:t>
            </w:r>
          </w:p>
        </w:tc>
        <w:tc>
          <w:tcPr>
            <w:tcW w:w="2451" w:type="dxa"/>
            <w:vAlign w:val="center"/>
          </w:tcPr>
          <w:p w14:paraId="377948DA">
            <w:pPr>
              <w:adjustRightInd w:val="0"/>
              <w:snapToGrid w:val="0"/>
              <w:jc w:val="center"/>
              <w:rPr>
                <w:rFonts w:hint="eastAsia" w:eastAsia="宋体"/>
                <w:color w:val="auto"/>
                <w:szCs w:val="21"/>
                <w:lang w:eastAsia="zh-CN"/>
              </w:rPr>
            </w:pPr>
            <w:r>
              <w:rPr>
                <w:rFonts w:hint="eastAsia"/>
                <w:color w:val="auto"/>
                <w:szCs w:val="21"/>
                <w:lang w:val="en-US" w:eastAsia="zh-CN"/>
              </w:rPr>
              <w:t>低氮燃烧</w:t>
            </w:r>
            <w:r>
              <w:rPr>
                <w:rFonts w:hint="eastAsia"/>
                <w:color w:val="auto"/>
                <w:szCs w:val="21"/>
              </w:rPr>
              <w:t>+旋风除尘+水膜除尘+静电除尘+30m</w:t>
            </w:r>
            <w:r>
              <w:rPr>
                <w:rFonts w:hint="eastAsia"/>
                <w:color w:val="auto"/>
                <w:szCs w:val="21"/>
                <w:lang w:val="en-US" w:eastAsia="zh-CN"/>
              </w:rPr>
              <w:t>排气筒</w:t>
            </w:r>
          </w:p>
        </w:tc>
        <w:tc>
          <w:tcPr>
            <w:tcW w:w="2554" w:type="dxa"/>
            <w:vAlign w:val="center"/>
          </w:tcPr>
          <w:p w14:paraId="545EF212">
            <w:pPr>
              <w:adjustRightInd w:val="0"/>
              <w:snapToGrid w:val="0"/>
              <w:jc w:val="center"/>
              <w:rPr>
                <w:color w:val="auto"/>
              </w:rPr>
            </w:pPr>
            <w:r>
              <w:rPr>
                <w:rFonts w:hint="eastAsia"/>
                <w:color w:val="auto"/>
              </w:rPr>
              <w:t>广东省《锅炉大气污染物排放标准》（DB44/765-2019）表2新建燃生物质成型燃料锅炉限值</w:t>
            </w:r>
          </w:p>
        </w:tc>
      </w:tr>
      <w:tr w14:paraId="1D9E3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9" w:hRule="atLeast"/>
          <w:jc w:val="center"/>
        </w:trPr>
        <w:tc>
          <w:tcPr>
            <w:tcW w:w="1133" w:type="dxa"/>
            <w:textDirection w:val="tbRlV"/>
            <w:vAlign w:val="center"/>
          </w:tcPr>
          <w:p w14:paraId="52F7E134">
            <w:pPr>
              <w:adjustRightInd w:val="0"/>
              <w:snapToGrid w:val="0"/>
              <w:jc w:val="center"/>
              <w:rPr>
                <w:color w:val="auto"/>
                <w:szCs w:val="21"/>
              </w:rPr>
            </w:pPr>
            <w:r>
              <w:rPr>
                <w:color w:val="auto"/>
                <w:szCs w:val="21"/>
              </w:rPr>
              <w:t>地表水环境</w:t>
            </w:r>
          </w:p>
        </w:tc>
        <w:tc>
          <w:tcPr>
            <w:tcW w:w="1600" w:type="dxa"/>
            <w:vAlign w:val="center"/>
          </w:tcPr>
          <w:p w14:paraId="0484B7DC">
            <w:pPr>
              <w:pStyle w:val="18"/>
              <w:spacing w:line="240" w:lineRule="auto"/>
              <w:jc w:val="center"/>
              <w:textAlignment w:val="auto"/>
              <w:rPr>
                <w:rFonts w:hint="default" w:hAnsi="Times New Roman" w:eastAsia="宋体"/>
                <w:color w:val="auto"/>
                <w:lang w:val="en-US" w:eastAsia="zh-CN"/>
              </w:rPr>
            </w:pPr>
            <w:r>
              <w:rPr>
                <w:rFonts w:hint="eastAsia" w:hAnsi="Times New Roman"/>
                <w:color w:val="auto"/>
                <w:lang w:val="en-US" w:eastAsia="zh-CN"/>
              </w:rPr>
              <w:t>水膜除尘废水</w:t>
            </w:r>
          </w:p>
        </w:tc>
        <w:tc>
          <w:tcPr>
            <w:tcW w:w="1315" w:type="dxa"/>
            <w:vAlign w:val="center"/>
          </w:tcPr>
          <w:p w14:paraId="7359A8D9">
            <w:pPr>
              <w:pStyle w:val="119"/>
              <w:rPr>
                <w:rFonts w:hint="default" w:eastAsia="宋体"/>
                <w:color w:val="auto"/>
                <w:lang w:val="en-US" w:eastAsia="zh-CN"/>
              </w:rPr>
            </w:pPr>
            <w:r>
              <w:rPr>
                <w:rFonts w:hint="eastAsia"/>
                <w:color w:val="auto"/>
                <w:lang w:val="en-US" w:eastAsia="zh-CN"/>
              </w:rPr>
              <w:t>悬浮物</w:t>
            </w:r>
          </w:p>
        </w:tc>
        <w:tc>
          <w:tcPr>
            <w:tcW w:w="2451" w:type="dxa"/>
            <w:vAlign w:val="center"/>
          </w:tcPr>
          <w:p w14:paraId="630593D1">
            <w:pPr>
              <w:pStyle w:val="119"/>
              <w:rPr>
                <w:rFonts w:hint="default" w:eastAsia="宋体"/>
                <w:color w:val="auto"/>
                <w:lang w:val="en-US" w:eastAsia="zh-CN"/>
              </w:rPr>
            </w:pPr>
            <w:r>
              <w:rPr>
                <w:rFonts w:hint="eastAsia"/>
                <w:color w:val="auto"/>
                <w:lang w:val="en-US" w:eastAsia="zh-CN"/>
              </w:rPr>
              <w:t>经沉淀后循环使用，不外排。</w:t>
            </w:r>
          </w:p>
        </w:tc>
        <w:tc>
          <w:tcPr>
            <w:tcW w:w="2554" w:type="dxa"/>
            <w:vAlign w:val="center"/>
          </w:tcPr>
          <w:p w14:paraId="0387B317">
            <w:pPr>
              <w:pStyle w:val="116"/>
              <w:adjustRightInd w:val="0"/>
              <w:snapToGrid w:val="0"/>
              <w:jc w:val="center"/>
              <w:rPr>
                <w:rFonts w:hint="eastAsia" w:eastAsia="宋体"/>
                <w:color w:val="auto"/>
                <w:szCs w:val="21"/>
                <w:lang w:val="en-US" w:eastAsia="zh-CN"/>
              </w:rPr>
            </w:pPr>
            <w:r>
              <w:rPr>
                <w:rFonts w:hint="eastAsia"/>
                <w:color w:val="auto"/>
                <w:szCs w:val="21"/>
                <w:lang w:val="en-US" w:eastAsia="zh-CN"/>
              </w:rPr>
              <w:t>/</w:t>
            </w:r>
          </w:p>
        </w:tc>
      </w:tr>
      <w:tr w14:paraId="7AEE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1133" w:type="dxa"/>
            <w:vMerge w:val="restart"/>
            <w:textDirection w:val="tbRlV"/>
            <w:vAlign w:val="center"/>
          </w:tcPr>
          <w:p w14:paraId="1B484982">
            <w:pPr>
              <w:adjustRightInd w:val="0"/>
              <w:snapToGrid w:val="0"/>
              <w:jc w:val="center"/>
              <w:rPr>
                <w:color w:val="auto"/>
                <w:szCs w:val="21"/>
              </w:rPr>
            </w:pPr>
            <w:r>
              <w:rPr>
                <w:color w:val="auto"/>
                <w:szCs w:val="21"/>
              </w:rPr>
              <w:t>固体废物</w:t>
            </w:r>
          </w:p>
        </w:tc>
        <w:tc>
          <w:tcPr>
            <w:tcW w:w="1600" w:type="dxa"/>
            <w:vAlign w:val="center"/>
          </w:tcPr>
          <w:p w14:paraId="4623A3DD">
            <w:pPr>
              <w:pStyle w:val="128"/>
              <w:autoSpaceDE/>
              <w:autoSpaceDN/>
              <w:snapToGrid w:val="0"/>
              <w:textAlignment w:val="auto"/>
              <w:rPr>
                <w:rFonts w:ascii="Times New Roman" w:hAnsi="Times New Roman"/>
                <w:color w:val="auto"/>
                <w:sz w:val="21"/>
                <w:szCs w:val="21"/>
              </w:rPr>
            </w:pPr>
            <w:r>
              <w:rPr>
                <w:rFonts w:ascii="Times New Roman" w:hAnsi="Times New Roman"/>
                <w:color w:val="auto"/>
                <w:sz w:val="21"/>
                <w:szCs w:val="21"/>
              </w:rPr>
              <w:t>一般固废</w:t>
            </w:r>
          </w:p>
        </w:tc>
        <w:tc>
          <w:tcPr>
            <w:tcW w:w="1315" w:type="dxa"/>
            <w:vAlign w:val="center"/>
          </w:tcPr>
          <w:p w14:paraId="17EDA238">
            <w:pPr>
              <w:jc w:val="center"/>
              <w:rPr>
                <w:rFonts w:hint="default" w:eastAsia="宋体"/>
                <w:color w:val="auto"/>
                <w:szCs w:val="21"/>
                <w:lang w:val="en-US" w:eastAsia="zh-CN"/>
              </w:rPr>
            </w:pPr>
            <w:r>
              <w:rPr>
                <w:rFonts w:hint="eastAsia"/>
                <w:color w:val="auto"/>
                <w:szCs w:val="21"/>
                <w:lang w:val="en-US" w:eastAsia="zh-CN"/>
              </w:rPr>
              <w:t>锅炉灰渣</w:t>
            </w:r>
          </w:p>
        </w:tc>
        <w:tc>
          <w:tcPr>
            <w:tcW w:w="2451" w:type="dxa"/>
            <w:vAlign w:val="center"/>
          </w:tcPr>
          <w:p w14:paraId="43A4D708">
            <w:pPr>
              <w:pStyle w:val="128"/>
              <w:autoSpaceDE/>
              <w:autoSpaceDN/>
              <w:snapToGrid w:val="0"/>
              <w:textAlignment w:val="auto"/>
              <w:rPr>
                <w:rFonts w:ascii="Times New Roman" w:hAnsi="Times New Roman"/>
                <w:color w:val="auto"/>
                <w:sz w:val="21"/>
                <w:szCs w:val="21"/>
              </w:rPr>
            </w:pPr>
            <w:r>
              <w:rPr>
                <w:rFonts w:hint="eastAsia" w:ascii="Times New Roman" w:hAnsi="Times New Roman" w:eastAsia="宋体" w:cs="宋体"/>
                <w:b w:val="0"/>
                <w:bCs w:val="0"/>
                <w:snapToGrid w:val="0"/>
                <w:color w:val="auto"/>
                <w:kern w:val="2"/>
                <w:sz w:val="21"/>
                <w:szCs w:val="21"/>
                <w:highlight w:val="none"/>
                <w:lang w:val="en-US" w:eastAsia="zh-CN" w:bidi="ar-SA"/>
              </w:rPr>
              <w:t>交由周边农户作有机肥料</w:t>
            </w:r>
          </w:p>
        </w:tc>
        <w:tc>
          <w:tcPr>
            <w:tcW w:w="2554" w:type="dxa"/>
            <w:vMerge w:val="restart"/>
            <w:vAlign w:val="center"/>
          </w:tcPr>
          <w:p w14:paraId="21944AEF">
            <w:pPr>
              <w:adjustRightInd w:val="0"/>
              <w:snapToGrid w:val="0"/>
              <w:jc w:val="center"/>
              <w:rPr>
                <w:color w:val="auto"/>
                <w:szCs w:val="21"/>
              </w:rPr>
            </w:pPr>
            <w:r>
              <w:rPr>
                <w:color w:val="auto"/>
                <w:szCs w:val="21"/>
              </w:rPr>
              <w:t>采取相应措施后，均可做到妥善处理，</w:t>
            </w:r>
            <w:r>
              <w:rPr>
                <w:rFonts w:hint="eastAsia"/>
                <w:color w:val="auto"/>
                <w:szCs w:val="21"/>
                <w:lang w:val="en-US" w:eastAsia="zh-CN"/>
              </w:rPr>
              <w:t>不会造成二次污染。</w:t>
            </w:r>
          </w:p>
        </w:tc>
      </w:tr>
      <w:tr w14:paraId="37121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1133" w:type="dxa"/>
            <w:vMerge w:val="continue"/>
            <w:textDirection w:val="tbRlV"/>
            <w:vAlign w:val="center"/>
          </w:tcPr>
          <w:p w14:paraId="3261EB9C">
            <w:pPr>
              <w:pStyle w:val="128"/>
              <w:autoSpaceDE/>
              <w:autoSpaceDN/>
              <w:snapToGrid w:val="0"/>
              <w:textAlignment w:val="auto"/>
              <w:rPr>
                <w:color w:val="auto"/>
              </w:rPr>
            </w:pPr>
          </w:p>
        </w:tc>
        <w:tc>
          <w:tcPr>
            <w:tcW w:w="1600" w:type="dxa"/>
            <w:vAlign w:val="center"/>
          </w:tcPr>
          <w:p w14:paraId="31BE8B70">
            <w:pPr>
              <w:pStyle w:val="128"/>
              <w:autoSpaceDE/>
              <w:autoSpaceDN/>
              <w:snapToGrid w:val="0"/>
              <w:textAlignment w:val="auto"/>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危险废物</w:t>
            </w:r>
          </w:p>
        </w:tc>
        <w:tc>
          <w:tcPr>
            <w:tcW w:w="1315" w:type="dxa"/>
            <w:vAlign w:val="center"/>
          </w:tcPr>
          <w:p w14:paraId="0E82C92E">
            <w:pPr>
              <w:pStyle w:val="128"/>
              <w:autoSpaceDE/>
              <w:autoSpaceDN/>
              <w:snapToGrid w:val="0"/>
              <w:textAlignment w:val="auto"/>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废导热油</w:t>
            </w:r>
          </w:p>
        </w:tc>
        <w:tc>
          <w:tcPr>
            <w:tcW w:w="2451" w:type="dxa"/>
            <w:vAlign w:val="center"/>
          </w:tcPr>
          <w:p w14:paraId="6633EE92">
            <w:pPr>
              <w:pStyle w:val="128"/>
              <w:autoSpaceDE/>
              <w:autoSpaceDN/>
              <w:snapToGrid w:val="0"/>
              <w:textAlignment w:val="auto"/>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交由有资质单位清运处置</w:t>
            </w:r>
          </w:p>
        </w:tc>
        <w:tc>
          <w:tcPr>
            <w:tcW w:w="2554" w:type="dxa"/>
            <w:vMerge w:val="continue"/>
            <w:vAlign w:val="center"/>
          </w:tcPr>
          <w:p w14:paraId="48E4FDE4">
            <w:pPr>
              <w:pStyle w:val="128"/>
              <w:autoSpaceDE/>
              <w:autoSpaceDN/>
              <w:snapToGrid w:val="0"/>
              <w:textAlignment w:val="auto"/>
              <w:rPr>
                <w:rFonts w:ascii="Times New Roman" w:hAnsi="Times New Roman"/>
                <w:color w:val="auto"/>
                <w:sz w:val="21"/>
                <w:szCs w:val="21"/>
              </w:rPr>
            </w:pPr>
          </w:p>
        </w:tc>
      </w:tr>
      <w:tr w14:paraId="4180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2" w:hRule="atLeast"/>
          <w:jc w:val="center"/>
        </w:trPr>
        <w:tc>
          <w:tcPr>
            <w:tcW w:w="1133" w:type="dxa"/>
            <w:vAlign w:val="center"/>
          </w:tcPr>
          <w:p w14:paraId="5150CBAC">
            <w:pPr>
              <w:adjustRightInd w:val="0"/>
              <w:snapToGrid w:val="0"/>
              <w:jc w:val="center"/>
              <w:rPr>
                <w:color w:val="auto"/>
                <w:szCs w:val="21"/>
              </w:rPr>
            </w:pPr>
            <w:r>
              <w:rPr>
                <w:color w:val="auto"/>
                <w:szCs w:val="21"/>
              </w:rPr>
              <w:t>声环境</w:t>
            </w:r>
          </w:p>
        </w:tc>
        <w:tc>
          <w:tcPr>
            <w:tcW w:w="1600" w:type="dxa"/>
            <w:vAlign w:val="center"/>
          </w:tcPr>
          <w:p w14:paraId="53EFF831">
            <w:pPr>
              <w:adjustRightInd w:val="0"/>
              <w:snapToGrid w:val="0"/>
              <w:jc w:val="center"/>
              <w:rPr>
                <w:color w:val="auto"/>
                <w:szCs w:val="21"/>
              </w:rPr>
            </w:pPr>
            <w:r>
              <w:rPr>
                <w:color w:val="auto"/>
                <w:szCs w:val="21"/>
              </w:rPr>
              <w:t>噪声</w:t>
            </w:r>
          </w:p>
        </w:tc>
        <w:tc>
          <w:tcPr>
            <w:tcW w:w="1315" w:type="dxa"/>
            <w:vAlign w:val="center"/>
          </w:tcPr>
          <w:p w14:paraId="554B0B6E">
            <w:pPr>
              <w:adjustRightInd w:val="0"/>
              <w:snapToGrid w:val="0"/>
              <w:jc w:val="center"/>
              <w:rPr>
                <w:color w:val="auto"/>
                <w:szCs w:val="21"/>
              </w:rPr>
            </w:pPr>
            <w:r>
              <w:rPr>
                <w:color w:val="auto"/>
                <w:szCs w:val="21"/>
              </w:rPr>
              <w:t>运营设备噪声</w:t>
            </w:r>
          </w:p>
        </w:tc>
        <w:tc>
          <w:tcPr>
            <w:tcW w:w="2451" w:type="dxa"/>
            <w:vAlign w:val="center"/>
          </w:tcPr>
          <w:p w14:paraId="35CB9905">
            <w:pPr>
              <w:adjustRightInd w:val="0"/>
              <w:snapToGrid w:val="0"/>
              <w:jc w:val="center"/>
              <w:rPr>
                <w:rFonts w:hint="eastAsia" w:eastAsia="宋体"/>
                <w:color w:val="auto"/>
                <w:kern w:val="24"/>
                <w:szCs w:val="21"/>
                <w:lang w:val="en-US" w:eastAsia="zh-CN"/>
              </w:rPr>
            </w:pPr>
            <w:r>
              <w:rPr>
                <w:rFonts w:ascii="Times New Roman" w:hAnsi="Times New Roman" w:cs="Times New Roman"/>
                <w:color w:val="auto"/>
                <w:szCs w:val="21"/>
              </w:rPr>
              <w:t>选用低噪声设备、基础</w:t>
            </w:r>
            <w:r>
              <w:rPr>
                <w:rFonts w:hint="eastAsia" w:cs="Times New Roman"/>
                <w:color w:val="auto"/>
                <w:szCs w:val="21"/>
                <w:lang w:val="en-US" w:eastAsia="zh-CN"/>
              </w:rPr>
              <w:t>减震</w:t>
            </w:r>
            <w:r>
              <w:rPr>
                <w:rFonts w:ascii="Times New Roman" w:hAnsi="Times New Roman" w:cs="Times New Roman"/>
                <w:color w:val="auto"/>
                <w:szCs w:val="21"/>
              </w:rPr>
              <w:t>、</w:t>
            </w:r>
            <w:r>
              <w:rPr>
                <w:rFonts w:hint="eastAsia" w:cs="Times New Roman"/>
                <w:color w:val="auto"/>
                <w:szCs w:val="21"/>
                <w:lang w:val="en-US" w:eastAsia="zh-CN"/>
              </w:rPr>
              <w:t>隔声</w:t>
            </w:r>
          </w:p>
        </w:tc>
        <w:tc>
          <w:tcPr>
            <w:tcW w:w="2554" w:type="dxa"/>
            <w:vAlign w:val="center"/>
          </w:tcPr>
          <w:p w14:paraId="1AEB715B">
            <w:pPr>
              <w:adjustRightInd w:val="0"/>
              <w:snapToGrid w:val="0"/>
              <w:jc w:val="center"/>
              <w:rPr>
                <w:rFonts w:hint="default" w:eastAsia="宋体"/>
                <w:color w:val="auto"/>
                <w:szCs w:val="21"/>
                <w:lang w:val="en-US" w:eastAsia="zh-CN"/>
              </w:rPr>
            </w:pPr>
            <w:r>
              <w:rPr>
                <w:color w:val="auto"/>
                <w:szCs w:val="21"/>
              </w:rPr>
              <w:t>《工业企业厂界环境噪声排放标准》（GB12348-2008）中</w:t>
            </w:r>
            <w:r>
              <w:rPr>
                <w:rFonts w:hint="eastAsia"/>
                <w:color w:val="auto"/>
                <w:szCs w:val="21"/>
                <w:lang w:val="en-US" w:eastAsia="zh-CN"/>
              </w:rPr>
              <w:t>2</w:t>
            </w:r>
            <w:r>
              <w:rPr>
                <w:rFonts w:hint="eastAsia"/>
                <w:color w:val="auto"/>
                <w:szCs w:val="21"/>
              </w:rPr>
              <w:t>类</w:t>
            </w:r>
          </w:p>
        </w:tc>
      </w:tr>
      <w:tr w14:paraId="1945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1133" w:type="dxa"/>
            <w:vAlign w:val="center"/>
          </w:tcPr>
          <w:p w14:paraId="25624D12">
            <w:pPr>
              <w:adjustRightInd w:val="0"/>
              <w:snapToGrid w:val="0"/>
              <w:jc w:val="center"/>
              <w:rPr>
                <w:color w:val="auto"/>
                <w:szCs w:val="21"/>
              </w:rPr>
            </w:pPr>
            <w:r>
              <w:rPr>
                <w:color w:val="auto"/>
                <w:szCs w:val="21"/>
              </w:rPr>
              <w:t>电磁辐射</w:t>
            </w:r>
          </w:p>
        </w:tc>
        <w:tc>
          <w:tcPr>
            <w:tcW w:w="1600" w:type="dxa"/>
            <w:vAlign w:val="center"/>
          </w:tcPr>
          <w:p w14:paraId="22F750CF">
            <w:pPr>
              <w:adjustRightInd w:val="0"/>
              <w:snapToGrid w:val="0"/>
              <w:jc w:val="center"/>
              <w:rPr>
                <w:color w:val="auto"/>
                <w:szCs w:val="21"/>
              </w:rPr>
            </w:pPr>
            <w:r>
              <w:rPr>
                <w:color w:val="auto"/>
                <w:szCs w:val="21"/>
              </w:rPr>
              <w:t>/</w:t>
            </w:r>
          </w:p>
        </w:tc>
        <w:tc>
          <w:tcPr>
            <w:tcW w:w="1315" w:type="dxa"/>
            <w:vAlign w:val="center"/>
          </w:tcPr>
          <w:p w14:paraId="5A45285E">
            <w:pPr>
              <w:adjustRightInd w:val="0"/>
              <w:snapToGrid w:val="0"/>
              <w:jc w:val="center"/>
              <w:rPr>
                <w:color w:val="auto"/>
                <w:szCs w:val="21"/>
              </w:rPr>
            </w:pPr>
            <w:r>
              <w:rPr>
                <w:color w:val="auto"/>
                <w:szCs w:val="21"/>
              </w:rPr>
              <w:t>/</w:t>
            </w:r>
          </w:p>
        </w:tc>
        <w:tc>
          <w:tcPr>
            <w:tcW w:w="2451" w:type="dxa"/>
            <w:vAlign w:val="center"/>
          </w:tcPr>
          <w:p w14:paraId="411F0578">
            <w:pPr>
              <w:adjustRightInd w:val="0"/>
              <w:snapToGrid w:val="0"/>
              <w:jc w:val="center"/>
              <w:rPr>
                <w:color w:val="auto"/>
                <w:kern w:val="24"/>
                <w:szCs w:val="21"/>
              </w:rPr>
            </w:pPr>
            <w:r>
              <w:rPr>
                <w:color w:val="auto"/>
                <w:szCs w:val="21"/>
              </w:rPr>
              <w:t>/</w:t>
            </w:r>
          </w:p>
        </w:tc>
        <w:tc>
          <w:tcPr>
            <w:tcW w:w="2554" w:type="dxa"/>
            <w:vAlign w:val="center"/>
          </w:tcPr>
          <w:p w14:paraId="0F53A35F">
            <w:pPr>
              <w:adjustRightInd w:val="0"/>
              <w:snapToGrid w:val="0"/>
              <w:jc w:val="center"/>
              <w:rPr>
                <w:color w:val="auto"/>
                <w:szCs w:val="21"/>
              </w:rPr>
            </w:pPr>
            <w:r>
              <w:rPr>
                <w:color w:val="auto"/>
                <w:szCs w:val="21"/>
              </w:rPr>
              <w:t>/</w:t>
            </w:r>
          </w:p>
        </w:tc>
      </w:tr>
      <w:tr w14:paraId="1200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2" w:hRule="atLeast"/>
          <w:jc w:val="center"/>
        </w:trPr>
        <w:tc>
          <w:tcPr>
            <w:tcW w:w="1133" w:type="dxa"/>
            <w:vAlign w:val="center"/>
          </w:tcPr>
          <w:p w14:paraId="4A15C7F5">
            <w:pPr>
              <w:adjustRightInd w:val="0"/>
              <w:snapToGrid w:val="0"/>
              <w:jc w:val="center"/>
              <w:rPr>
                <w:color w:val="auto"/>
                <w:szCs w:val="21"/>
              </w:rPr>
            </w:pPr>
            <w:r>
              <w:rPr>
                <w:color w:val="auto"/>
                <w:szCs w:val="21"/>
              </w:rPr>
              <w:t>土壤及地下水污染防治措施</w:t>
            </w:r>
          </w:p>
        </w:tc>
        <w:tc>
          <w:tcPr>
            <w:tcW w:w="7920" w:type="dxa"/>
            <w:gridSpan w:val="4"/>
            <w:vAlign w:val="center"/>
          </w:tcPr>
          <w:p w14:paraId="234F0726">
            <w:pPr>
              <w:adjustRightInd w:val="0"/>
              <w:snapToGrid w:val="0"/>
              <w:jc w:val="left"/>
              <w:rPr>
                <w:color w:val="auto"/>
                <w:szCs w:val="21"/>
              </w:rPr>
            </w:pPr>
            <w:r>
              <w:rPr>
                <w:color w:val="auto"/>
                <w:szCs w:val="21"/>
              </w:rPr>
              <w:t xml:space="preserve">    </w:t>
            </w:r>
            <w:r>
              <w:rPr>
                <w:rFonts w:hint="eastAsia"/>
                <w:color w:val="auto"/>
                <w:szCs w:val="21"/>
                <w:lang w:val="en-US" w:eastAsia="zh-CN"/>
              </w:rPr>
              <w:t>厂房地面硬底化</w:t>
            </w:r>
            <w:r>
              <w:rPr>
                <w:rFonts w:hint="eastAsia"/>
                <w:color w:val="auto"/>
                <w:szCs w:val="21"/>
              </w:rPr>
              <w:t>。</w:t>
            </w:r>
          </w:p>
        </w:tc>
      </w:tr>
      <w:tr w14:paraId="47953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9" w:hRule="atLeast"/>
          <w:jc w:val="center"/>
        </w:trPr>
        <w:tc>
          <w:tcPr>
            <w:tcW w:w="1133" w:type="dxa"/>
            <w:vAlign w:val="center"/>
          </w:tcPr>
          <w:p w14:paraId="39C6FCCF">
            <w:pPr>
              <w:adjustRightInd w:val="0"/>
              <w:snapToGrid w:val="0"/>
              <w:jc w:val="center"/>
              <w:rPr>
                <w:color w:val="auto"/>
                <w:szCs w:val="21"/>
              </w:rPr>
            </w:pPr>
            <w:r>
              <w:rPr>
                <w:color w:val="auto"/>
                <w:szCs w:val="21"/>
              </w:rPr>
              <w:t>生态保护措施</w:t>
            </w:r>
          </w:p>
        </w:tc>
        <w:tc>
          <w:tcPr>
            <w:tcW w:w="7920" w:type="dxa"/>
            <w:gridSpan w:val="4"/>
            <w:vAlign w:val="center"/>
          </w:tcPr>
          <w:p w14:paraId="0418CDFB">
            <w:pPr>
              <w:pStyle w:val="19"/>
              <w:ind w:firstLine="960" w:firstLineChars="400"/>
              <w:jc w:val="both"/>
              <w:rPr>
                <w:rFonts w:hint="default" w:ascii="Times New Roman" w:hAnsi="Times New Roman"/>
                <w:color w:val="auto"/>
              </w:rPr>
            </w:pPr>
            <w:r>
              <w:rPr>
                <w:rFonts w:hint="default" w:ascii="Times New Roman" w:hAnsi="Times New Roman"/>
                <w:color w:val="auto"/>
              </w:rPr>
              <w:t>/</w:t>
            </w:r>
          </w:p>
          <w:p w14:paraId="46661AEA">
            <w:pPr>
              <w:adjustRightInd w:val="0"/>
              <w:snapToGrid w:val="0"/>
              <w:ind w:firstLine="420" w:firstLineChars="200"/>
              <w:jc w:val="left"/>
              <w:rPr>
                <w:color w:val="auto"/>
                <w:szCs w:val="21"/>
              </w:rPr>
            </w:pPr>
          </w:p>
        </w:tc>
      </w:tr>
      <w:tr w14:paraId="6A75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0" w:hRule="atLeast"/>
          <w:jc w:val="center"/>
        </w:trPr>
        <w:tc>
          <w:tcPr>
            <w:tcW w:w="1133" w:type="dxa"/>
            <w:vAlign w:val="center"/>
          </w:tcPr>
          <w:p w14:paraId="4CE1EA24">
            <w:pPr>
              <w:adjustRightInd w:val="0"/>
              <w:snapToGrid w:val="0"/>
              <w:jc w:val="center"/>
              <w:rPr>
                <w:color w:val="auto"/>
                <w:szCs w:val="21"/>
              </w:rPr>
            </w:pPr>
            <w:r>
              <w:rPr>
                <w:color w:val="auto"/>
                <w:szCs w:val="21"/>
              </w:rPr>
              <w:t>环境风险防范措施</w:t>
            </w:r>
          </w:p>
        </w:tc>
        <w:tc>
          <w:tcPr>
            <w:tcW w:w="7920" w:type="dxa"/>
            <w:gridSpan w:val="4"/>
            <w:vAlign w:val="center"/>
          </w:tcPr>
          <w:p w14:paraId="377FDB27">
            <w:pPr>
              <w:spacing w:line="360" w:lineRule="auto"/>
              <w:ind w:firstLine="422" w:firstLineChars="200"/>
              <w:rPr>
                <w:rFonts w:cs="宋体"/>
                <w:b/>
                <w:color w:val="auto"/>
                <w:kern w:val="0"/>
                <w:szCs w:val="21"/>
              </w:rPr>
            </w:pPr>
            <w:r>
              <w:rPr>
                <w:rFonts w:hint="eastAsia"/>
                <w:b/>
                <w:color w:val="auto"/>
                <w:szCs w:val="21"/>
                <w:lang w:eastAsia="zh-CN"/>
              </w:rPr>
              <w:t>（</w:t>
            </w:r>
            <w:r>
              <w:rPr>
                <w:rFonts w:hint="eastAsia"/>
                <w:b/>
                <w:color w:val="auto"/>
                <w:szCs w:val="21"/>
                <w:lang w:val="en-US" w:eastAsia="zh-CN"/>
              </w:rPr>
              <w:t>1</w:t>
            </w:r>
            <w:r>
              <w:rPr>
                <w:rFonts w:hint="eastAsia"/>
                <w:b/>
                <w:color w:val="auto"/>
                <w:szCs w:val="21"/>
                <w:lang w:eastAsia="zh-CN"/>
              </w:rPr>
              <w:t>）</w:t>
            </w:r>
            <w:r>
              <w:rPr>
                <w:rFonts w:hint="eastAsia"/>
                <w:b/>
                <w:color w:val="auto"/>
                <w:szCs w:val="21"/>
                <w:lang w:val="en-US" w:eastAsia="zh-CN"/>
              </w:rPr>
              <w:t>风险物质泄漏防范措施</w:t>
            </w:r>
            <w:r>
              <w:rPr>
                <w:rFonts w:hint="eastAsia"/>
                <w:b/>
                <w:color w:val="auto"/>
                <w:szCs w:val="21"/>
              </w:rPr>
              <w:t>及应急处置</w:t>
            </w:r>
            <w:r>
              <w:rPr>
                <w:b/>
                <w:color w:val="auto"/>
                <w:szCs w:val="21"/>
              </w:rPr>
              <w:t>措施</w:t>
            </w:r>
          </w:p>
          <w:p w14:paraId="02035CFC">
            <w:pPr>
              <w:spacing w:line="360" w:lineRule="auto"/>
              <w:ind w:firstLine="420" w:firstLineChars="200"/>
              <w:rPr>
                <w:rFonts w:hint="eastAsia"/>
                <w:b/>
                <w:color w:val="auto"/>
                <w:szCs w:val="21"/>
              </w:rPr>
            </w:pPr>
            <w:r>
              <w:rPr>
                <w:rFonts w:hint="eastAsia"/>
                <w:b w:val="0"/>
                <w:bCs/>
                <w:color w:val="auto"/>
                <w:szCs w:val="21"/>
                <w:lang w:val="en-US" w:eastAsia="zh-CN"/>
              </w:rPr>
              <w:t>本项目涉及环境风险物质主要为导热油，导热油主要存在于管线中，企业应制定严格的工艺操作规程，加强监督和管理，增强职工安全意识和环保意识。对管道、阀门、接口处都要定期检查。当发生泄漏事故时，开启手动紧急截断阀，及时切断风险物质的泄漏源，泄漏导热油使用专用容器及时收集，作为危险废物送有资质单位处置，不会对周边环境造成影响。</w:t>
            </w:r>
          </w:p>
          <w:p w14:paraId="75DF4350">
            <w:pPr>
              <w:spacing w:line="360" w:lineRule="auto"/>
              <w:ind w:firstLine="422" w:firstLineChars="200"/>
              <w:rPr>
                <w:rFonts w:cs="宋体"/>
                <w:b/>
                <w:color w:val="auto"/>
                <w:kern w:val="0"/>
                <w:szCs w:val="21"/>
              </w:rPr>
            </w:pPr>
            <w:r>
              <w:rPr>
                <w:rFonts w:hint="eastAsia"/>
                <w:b/>
                <w:color w:val="auto"/>
                <w:szCs w:val="21"/>
              </w:rPr>
              <w:t>（</w:t>
            </w:r>
            <w:r>
              <w:rPr>
                <w:rFonts w:hint="eastAsia"/>
                <w:b/>
                <w:color w:val="auto"/>
                <w:szCs w:val="21"/>
                <w:lang w:val="en-US" w:eastAsia="zh-CN"/>
              </w:rPr>
              <w:t>2</w:t>
            </w:r>
            <w:r>
              <w:rPr>
                <w:rFonts w:hint="eastAsia"/>
                <w:b/>
                <w:color w:val="auto"/>
                <w:szCs w:val="21"/>
              </w:rPr>
              <w:t>）废气事故排放</w:t>
            </w:r>
            <w:r>
              <w:rPr>
                <w:b/>
                <w:color w:val="auto"/>
                <w:szCs w:val="21"/>
              </w:rPr>
              <w:t>风险防范</w:t>
            </w:r>
            <w:r>
              <w:rPr>
                <w:rFonts w:hint="eastAsia"/>
                <w:b/>
                <w:color w:val="auto"/>
                <w:szCs w:val="21"/>
              </w:rPr>
              <w:t>及应急处置</w:t>
            </w:r>
            <w:r>
              <w:rPr>
                <w:b/>
                <w:color w:val="auto"/>
                <w:szCs w:val="21"/>
              </w:rPr>
              <w:t>措施</w:t>
            </w:r>
          </w:p>
          <w:p w14:paraId="0FDEF447">
            <w:pPr>
              <w:spacing w:line="360" w:lineRule="auto"/>
              <w:ind w:firstLine="420" w:firstLineChars="200"/>
              <w:rPr>
                <w:rFonts w:hint="eastAsia"/>
                <w:b/>
                <w:color w:val="auto"/>
                <w:szCs w:val="21"/>
              </w:rPr>
            </w:pPr>
            <w:r>
              <w:rPr>
                <w:color w:val="auto"/>
                <w:kern w:val="0"/>
                <w:szCs w:val="21"/>
                <w:lang w:bidi="ar"/>
              </w:rPr>
              <w:t>建设单位应定期对废气收集、处理设备进行维护、修理，并对风机等关键集气设备设置备用设备，确保在用设备故障时，能够及时启用备用设备，同时，建设单位应建立健全环保设备设施维护管理台账，全面掌控环保设备设施的运行状态，确保生产运营过程中，环保设备始终处于最佳运行状态，杜绝事故性排放。一旦发现废气收集、处理设备出现故障，须立即停止生产，待故障排除完毕，治理设施正常运行后方可恢复生产。</w:t>
            </w:r>
          </w:p>
          <w:p w14:paraId="397FF542">
            <w:pPr>
              <w:spacing w:line="360" w:lineRule="auto"/>
              <w:ind w:firstLine="422" w:firstLineChars="200"/>
              <w:rPr>
                <w:b/>
                <w:color w:val="auto"/>
                <w:szCs w:val="21"/>
              </w:rPr>
            </w:pPr>
            <w:r>
              <w:rPr>
                <w:rFonts w:hint="eastAsia"/>
                <w:b/>
                <w:color w:val="auto"/>
                <w:szCs w:val="21"/>
              </w:rPr>
              <w:t>（</w:t>
            </w:r>
            <w:r>
              <w:rPr>
                <w:rFonts w:hint="eastAsia"/>
                <w:b/>
                <w:color w:val="auto"/>
                <w:szCs w:val="21"/>
                <w:lang w:val="en-US" w:eastAsia="zh-CN"/>
              </w:rPr>
              <w:t>3</w:t>
            </w:r>
            <w:r>
              <w:rPr>
                <w:rFonts w:hint="eastAsia"/>
                <w:b/>
                <w:color w:val="auto"/>
                <w:szCs w:val="21"/>
              </w:rPr>
              <w:t>）火灾及次生灾害风险防范措施</w:t>
            </w:r>
          </w:p>
          <w:p w14:paraId="7AFEB03F">
            <w:pPr>
              <w:spacing w:line="360" w:lineRule="auto"/>
              <w:ind w:firstLine="420" w:firstLineChars="200"/>
              <w:rPr>
                <w:bCs/>
                <w:color w:val="auto"/>
                <w:szCs w:val="21"/>
              </w:rPr>
            </w:pPr>
            <w:r>
              <w:rPr>
                <w:rFonts w:hint="eastAsia"/>
                <w:bCs/>
                <w:color w:val="auto"/>
                <w:szCs w:val="21"/>
              </w:rPr>
              <w:t>项目在运营过程中要做好火灾及次生灾害风险防范措施：</w:t>
            </w:r>
          </w:p>
          <w:p w14:paraId="5890550E">
            <w:pPr>
              <w:spacing w:line="360" w:lineRule="auto"/>
              <w:ind w:firstLine="420" w:firstLineChars="200"/>
              <w:rPr>
                <w:color w:val="auto"/>
                <w:szCs w:val="21"/>
              </w:rPr>
            </w:pPr>
            <w:r>
              <w:rPr>
                <w:rFonts w:hint="eastAsia"/>
                <w:color w:val="auto"/>
                <w:szCs w:val="21"/>
              </w:rPr>
              <w:t>①生产车间、仓库等区域应严禁烟火，安全用电杜绝明火产生，</w:t>
            </w:r>
            <w:r>
              <w:rPr>
                <w:rFonts w:hint="eastAsia" w:ascii="宋体" w:hAnsi="宋体"/>
                <w:color w:val="auto"/>
                <w:szCs w:val="21"/>
              </w:rPr>
              <w:t>使用时做好隔离措施并远离引燃源，</w:t>
            </w:r>
            <w:r>
              <w:rPr>
                <w:rFonts w:hint="eastAsia"/>
                <w:color w:val="auto"/>
                <w:szCs w:val="21"/>
              </w:rPr>
              <w:t>并配备灭火器等消防器材。</w:t>
            </w:r>
          </w:p>
          <w:p w14:paraId="176603FD">
            <w:pPr>
              <w:spacing w:line="360" w:lineRule="auto"/>
              <w:ind w:firstLine="420" w:firstLineChars="200"/>
              <w:rPr>
                <w:color w:val="auto"/>
                <w:szCs w:val="21"/>
              </w:rPr>
            </w:pPr>
            <w:r>
              <w:rPr>
                <w:rFonts w:hint="eastAsia"/>
                <w:color w:val="auto"/>
                <w:szCs w:val="21"/>
              </w:rPr>
              <w:t>②厂区配备足够</w:t>
            </w:r>
            <w:r>
              <w:rPr>
                <w:rFonts w:hint="eastAsia" w:ascii="宋体" w:hAnsi="宋体"/>
                <w:color w:val="auto"/>
                <w:szCs w:val="21"/>
              </w:rPr>
              <w:t>二氧化碳</w:t>
            </w:r>
            <w:r>
              <w:rPr>
                <w:rFonts w:hint="eastAsia"/>
                <w:color w:val="auto"/>
                <w:szCs w:val="21"/>
              </w:rPr>
              <w:t>灭火器、干粉灭火器及干沙等消防设备，</w:t>
            </w:r>
            <w:r>
              <w:rPr>
                <w:rFonts w:hint="eastAsia" w:ascii="宋体" w:hAnsi="宋体"/>
                <w:color w:val="auto"/>
                <w:szCs w:val="21"/>
              </w:rPr>
              <w:t>建筑物内设置手提灭火器作为扑救初起火灾的重要消防器材，手提式灭火器设置在灭火器箱内，</w:t>
            </w:r>
            <w:r>
              <w:rPr>
                <w:rFonts w:hint="eastAsia"/>
                <w:color w:val="auto"/>
                <w:szCs w:val="21"/>
              </w:rPr>
              <w:t>并定期检查，设置禁烟火</w:t>
            </w:r>
            <w:r>
              <w:rPr>
                <w:rFonts w:hint="eastAsia"/>
                <w:color w:val="auto"/>
                <w:szCs w:val="21"/>
                <w:lang w:eastAsia="zh-CN"/>
              </w:rPr>
              <w:t>标识牌</w:t>
            </w:r>
            <w:r>
              <w:rPr>
                <w:rFonts w:hint="eastAsia"/>
                <w:color w:val="auto"/>
                <w:szCs w:val="21"/>
              </w:rPr>
              <w:t>，</w:t>
            </w:r>
            <w:r>
              <w:rPr>
                <w:color w:val="auto"/>
                <w:szCs w:val="21"/>
              </w:rPr>
              <w:t>贮存区周围设置环形的消防通道</w:t>
            </w:r>
            <w:r>
              <w:rPr>
                <w:rFonts w:hint="eastAsia"/>
                <w:color w:val="auto"/>
                <w:szCs w:val="21"/>
              </w:rPr>
              <w:t>，消防通道需畅通。</w:t>
            </w:r>
          </w:p>
          <w:p w14:paraId="23A4FFEA">
            <w:pPr>
              <w:spacing w:line="360" w:lineRule="auto"/>
              <w:ind w:firstLine="420" w:firstLineChars="200"/>
              <w:rPr>
                <w:color w:val="auto"/>
                <w:kern w:val="0"/>
                <w:szCs w:val="21"/>
              </w:rPr>
            </w:pPr>
            <w:r>
              <w:rPr>
                <w:rFonts w:hint="eastAsia"/>
                <w:color w:val="auto"/>
                <w:szCs w:val="21"/>
              </w:rPr>
              <w:t>③</w:t>
            </w:r>
            <w:r>
              <w:rPr>
                <w:rFonts w:hint="eastAsia"/>
                <w:color w:val="auto"/>
                <w:kern w:val="0"/>
                <w:szCs w:val="21"/>
              </w:rPr>
              <w:t>加强工人的安全生产意识，车间内应设置严禁烟火，安全防火用电的警示标志；</w:t>
            </w:r>
          </w:p>
          <w:p w14:paraId="0ED03B90">
            <w:pPr>
              <w:spacing w:line="360" w:lineRule="auto"/>
              <w:ind w:firstLine="420" w:firstLineChars="200"/>
              <w:rPr>
                <w:color w:val="auto"/>
                <w:szCs w:val="21"/>
              </w:rPr>
            </w:pPr>
            <w:r>
              <w:rPr>
                <w:rFonts w:hint="eastAsia"/>
                <w:color w:val="auto"/>
                <w:szCs w:val="21"/>
              </w:rPr>
              <w:t>④车间的紧急疏散通道设置醒目的标志和指示箭头，满足人员紧急疏散的需要；</w:t>
            </w:r>
          </w:p>
          <w:p w14:paraId="31E24926">
            <w:pPr>
              <w:spacing w:line="360" w:lineRule="auto"/>
              <w:ind w:firstLine="420" w:firstLineChars="200"/>
              <w:rPr>
                <w:bCs/>
                <w:color w:val="auto"/>
                <w:szCs w:val="21"/>
              </w:rPr>
            </w:pPr>
            <w:r>
              <w:rPr>
                <w:rFonts w:hint="eastAsia"/>
                <w:color w:val="auto"/>
                <w:kern w:val="0"/>
                <w:szCs w:val="21"/>
              </w:rPr>
              <w:t>⑤</w:t>
            </w:r>
            <w:r>
              <w:rPr>
                <w:rFonts w:hint="eastAsia"/>
                <w:color w:val="auto"/>
                <w:szCs w:val="21"/>
              </w:rPr>
              <w:t>一旦发生火灾等事故，立即启动事故应急预案，及时通知消防部门，及时控制火势、抢救伤员、扑灭火灾，防止环境污染的发生和扩大。</w:t>
            </w:r>
          </w:p>
          <w:p w14:paraId="45CB2103">
            <w:pPr>
              <w:autoSpaceDE w:val="0"/>
              <w:autoSpaceDN w:val="0"/>
              <w:adjustRightInd w:val="0"/>
              <w:snapToGrid w:val="0"/>
              <w:spacing w:line="360" w:lineRule="auto"/>
              <w:ind w:firstLine="420" w:firstLineChars="200"/>
              <w:rPr>
                <w:color w:val="auto"/>
                <w:szCs w:val="21"/>
              </w:rPr>
            </w:pPr>
          </w:p>
        </w:tc>
      </w:tr>
      <w:tr w14:paraId="0B703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7" w:hRule="atLeast"/>
          <w:jc w:val="center"/>
        </w:trPr>
        <w:tc>
          <w:tcPr>
            <w:tcW w:w="1133" w:type="dxa"/>
            <w:vAlign w:val="center"/>
          </w:tcPr>
          <w:p w14:paraId="67D18691">
            <w:pPr>
              <w:adjustRightInd w:val="0"/>
              <w:snapToGrid w:val="0"/>
              <w:jc w:val="center"/>
              <w:rPr>
                <w:color w:val="auto"/>
                <w:spacing w:val="-8"/>
                <w:szCs w:val="21"/>
              </w:rPr>
            </w:pPr>
            <w:r>
              <w:rPr>
                <w:color w:val="auto"/>
                <w:spacing w:val="-8"/>
                <w:szCs w:val="21"/>
              </w:rPr>
              <w:t>其他环境管理要求</w:t>
            </w:r>
          </w:p>
        </w:tc>
        <w:tc>
          <w:tcPr>
            <w:tcW w:w="7920" w:type="dxa"/>
            <w:gridSpan w:val="4"/>
            <w:vAlign w:val="center"/>
          </w:tcPr>
          <w:p w14:paraId="5263F085">
            <w:pPr>
              <w:adjustRightInd w:val="0"/>
              <w:snapToGrid w:val="0"/>
              <w:jc w:val="center"/>
              <w:rPr>
                <w:color w:val="auto"/>
              </w:rPr>
            </w:pPr>
          </w:p>
          <w:p w14:paraId="1285939C">
            <w:pPr>
              <w:pStyle w:val="19"/>
              <w:jc w:val="center"/>
              <w:rPr>
                <w:rFonts w:hint="default" w:ascii="Times New Roman" w:hAnsi="Times New Roman"/>
                <w:color w:val="auto"/>
              </w:rPr>
            </w:pPr>
            <w:r>
              <w:rPr>
                <w:rFonts w:hint="default" w:ascii="Times New Roman" w:hAnsi="Times New Roman"/>
                <w:color w:val="auto"/>
              </w:rPr>
              <w:t>/</w:t>
            </w:r>
          </w:p>
          <w:p w14:paraId="132FBAF1">
            <w:pPr>
              <w:rPr>
                <w:color w:val="auto"/>
              </w:rPr>
            </w:pPr>
          </w:p>
        </w:tc>
      </w:tr>
    </w:tbl>
    <w:p w14:paraId="24795355">
      <w:pPr>
        <w:pStyle w:val="31"/>
        <w:adjustRightInd w:val="0"/>
        <w:snapToGrid w:val="0"/>
        <w:jc w:val="center"/>
        <w:outlineLvl w:val="0"/>
        <w:rPr>
          <w:rFonts w:ascii="Times New Roman" w:hAnsi="Times New Roman" w:eastAsia="黑体" w:cs="Times New Roman"/>
          <w:snapToGrid w:val="0"/>
          <w:color w:val="auto"/>
          <w:sz w:val="30"/>
          <w:szCs w:val="30"/>
        </w:rPr>
        <w:sectPr>
          <w:pgSz w:w="11906" w:h="16838"/>
          <w:pgMar w:top="1701" w:right="1531" w:bottom="1701" w:left="1531" w:header="851" w:footer="851" w:gutter="0"/>
          <w:cols w:space="720" w:num="1"/>
          <w:docGrid w:linePitch="312" w:charSpace="0"/>
        </w:sectPr>
      </w:pPr>
      <w:bookmarkStart w:id="41" w:name="_Toc7187_WPSOffice_Level1"/>
      <w:bookmarkStart w:id="42" w:name="_Toc11505"/>
      <w:bookmarkStart w:id="43" w:name="_Toc14105_WPSOffice_Level1"/>
      <w:bookmarkStart w:id="44" w:name="_Toc4625_WPSOffice_Level1"/>
      <w:bookmarkStart w:id="45" w:name="_Toc12966"/>
      <w:bookmarkStart w:id="46" w:name="_Toc23597_WPSOffice_Level1"/>
    </w:p>
    <w:p w14:paraId="646FD4D5">
      <w:pPr>
        <w:pStyle w:val="31"/>
        <w:adjustRightInd w:val="0"/>
        <w:snapToGrid w:val="0"/>
        <w:jc w:val="center"/>
        <w:outlineLvl w:val="0"/>
        <w:rPr>
          <w:rFonts w:ascii="Times New Roman" w:hAnsi="Times New Roman" w:eastAsia="黑体" w:cs="Times New Roman"/>
          <w:snapToGrid w:val="0"/>
          <w:color w:val="auto"/>
          <w:sz w:val="30"/>
          <w:szCs w:val="30"/>
        </w:rPr>
      </w:pPr>
      <w:bookmarkStart w:id="47" w:name="_Toc4161"/>
      <w:r>
        <w:rPr>
          <w:rFonts w:ascii="Times New Roman" w:hAnsi="Times New Roman" w:eastAsia="黑体" w:cs="Times New Roman"/>
          <w:snapToGrid w:val="0"/>
          <w:color w:val="auto"/>
          <w:sz w:val="30"/>
          <w:szCs w:val="30"/>
        </w:rPr>
        <w:t>六、结论</w:t>
      </w:r>
      <w:bookmarkEnd w:id="41"/>
      <w:bookmarkEnd w:id="42"/>
      <w:bookmarkEnd w:id="43"/>
      <w:bookmarkEnd w:id="44"/>
      <w:bookmarkEnd w:id="45"/>
      <w:bookmarkEnd w:id="46"/>
      <w:bookmarkEnd w:id="47"/>
    </w:p>
    <w:tbl>
      <w:tblPr>
        <w:tblStyle w:val="35"/>
        <w:tblW w:w="88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447214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vAlign w:val="center"/>
          </w:tcPr>
          <w:p w14:paraId="5DCF282F">
            <w:pPr>
              <w:adjustRightInd w:val="0"/>
              <w:snapToGrid w:val="0"/>
              <w:spacing w:line="360" w:lineRule="auto"/>
              <w:ind w:firstLine="480" w:firstLineChars="200"/>
              <w:rPr>
                <w:b/>
                <w:color w:val="auto"/>
                <w:sz w:val="24"/>
                <w:szCs w:val="21"/>
              </w:rPr>
            </w:pPr>
            <w:r>
              <w:rPr>
                <w:color w:val="auto"/>
                <w:sz w:val="24"/>
                <w:szCs w:val="21"/>
              </w:rPr>
              <w:t>综上所述，在建设单位采取相应措施达到本报告所提出的各项要求后，本项目的建设对环境将不会产生明显的影响。</w:t>
            </w:r>
            <w:r>
              <w:rPr>
                <w:b/>
                <w:bCs/>
                <w:color w:val="auto"/>
                <w:sz w:val="24"/>
                <w:szCs w:val="21"/>
              </w:rPr>
              <w:t>从环境保护角度而言，本项目的建设是可行的。</w:t>
            </w:r>
          </w:p>
          <w:p w14:paraId="2852325C">
            <w:pPr>
              <w:adjustRightInd w:val="0"/>
              <w:snapToGrid w:val="0"/>
              <w:spacing w:line="360" w:lineRule="auto"/>
              <w:rPr>
                <w:color w:val="auto"/>
                <w:sz w:val="24"/>
              </w:rPr>
            </w:pPr>
          </w:p>
        </w:tc>
      </w:tr>
    </w:tbl>
    <w:p w14:paraId="14C6D356">
      <w:pPr>
        <w:adjustRightInd w:val="0"/>
        <w:snapToGrid w:val="0"/>
        <w:rPr>
          <w:color w:val="auto"/>
        </w:rPr>
        <w:sectPr>
          <w:pgSz w:w="11906" w:h="16838"/>
          <w:pgMar w:top="1701" w:right="1531" w:bottom="1701" w:left="1531" w:header="851" w:footer="851" w:gutter="0"/>
          <w:cols w:space="720" w:num="1"/>
          <w:docGrid w:linePitch="312" w:charSpace="0"/>
        </w:sectPr>
      </w:pPr>
    </w:p>
    <w:p w14:paraId="34891878">
      <w:pPr>
        <w:pStyle w:val="31"/>
        <w:adjustRightInd w:val="0"/>
        <w:snapToGrid w:val="0"/>
        <w:spacing w:before="0" w:beforeAutospacing="0" w:after="0" w:afterAutospacing="0"/>
        <w:outlineLvl w:val="0"/>
        <w:rPr>
          <w:rFonts w:ascii="Times New Roman" w:hAnsi="Times New Roman" w:eastAsia="黑体" w:cs="Times New Roman"/>
          <w:snapToGrid w:val="0"/>
          <w:color w:val="auto"/>
          <w:sz w:val="32"/>
          <w:szCs w:val="32"/>
        </w:rPr>
      </w:pPr>
      <w:bookmarkStart w:id="48" w:name="_Toc190_WPSOffice_Level1"/>
      <w:bookmarkStart w:id="49" w:name="_Toc8844_WPSOffice_Level1"/>
      <w:bookmarkStart w:id="50" w:name="_Toc6597"/>
      <w:bookmarkStart w:id="51" w:name="_Toc23006_WPSOffice_Level1"/>
      <w:bookmarkStart w:id="52" w:name="_Toc19301_WPSOffice_Level1"/>
      <w:bookmarkStart w:id="53" w:name="_Toc5868"/>
      <w:bookmarkStart w:id="54" w:name="_Toc22263"/>
      <w:bookmarkStart w:id="55" w:name="_Toc14342"/>
      <w:bookmarkStart w:id="56" w:name="_Toc26542"/>
      <w:bookmarkStart w:id="57" w:name="_Toc10164"/>
      <w:r>
        <w:rPr>
          <w:rFonts w:ascii="Times New Roman" w:hAnsi="Times New Roman" w:eastAsia="黑体" w:cs="Times New Roman"/>
          <w:snapToGrid w:val="0"/>
          <w:color w:val="auto"/>
          <w:sz w:val="32"/>
          <w:szCs w:val="32"/>
        </w:rPr>
        <w:t>附表</w:t>
      </w:r>
      <w:bookmarkEnd w:id="48"/>
      <w:bookmarkEnd w:id="49"/>
      <w:bookmarkEnd w:id="50"/>
      <w:bookmarkEnd w:id="51"/>
      <w:bookmarkEnd w:id="52"/>
      <w:bookmarkEnd w:id="53"/>
      <w:bookmarkEnd w:id="54"/>
      <w:bookmarkEnd w:id="55"/>
      <w:bookmarkEnd w:id="56"/>
      <w:bookmarkEnd w:id="57"/>
    </w:p>
    <w:p w14:paraId="471070FD">
      <w:pPr>
        <w:pStyle w:val="31"/>
        <w:adjustRightInd w:val="0"/>
        <w:snapToGrid w:val="0"/>
        <w:spacing w:before="0" w:beforeAutospacing="0" w:after="0" w:afterAutospacing="0"/>
        <w:jc w:val="center"/>
        <w:outlineLvl w:val="0"/>
        <w:rPr>
          <w:rFonts w:ascii="Times New Roman" w:hAnsi="Times New Roman" w:eastAsia="方正小标宋_GBK" w:cs="Times New Roman"/>
          <w:snapToGrid w:val="0"/>
          <w:color w:val="auto"/>
          <w:sz w:val="38"/>
          <w:szCs w:val="38"/>
        </w:rPr>
      </w:pPr>
      <w:bookmarkStart w:id="58" w:name="_Toc26269_WPSOffice_Level1"/>
      <w:bookmarkStart w:id="59" w:name="_Toc11697"/>
      <w:bookmarkStart w:id="60" w:name="_Toc6762_WPSOffice_Level1"/>
      <w:bookmarkStart w:id="61" w:name="_Toc2839"/>
      <w:bookmarkStart w:id="62" w:name="_Toc1992"/>
      <w:bookmarkStart w:id="63" w:name="_Toc6849_WPSOffice_Level1"/>
      <w:bookmarkStart w:id="64" w:name="_Toc22491_WPSOffice_Level1"/>
      <w:bookmarkStart w:id="65" w:name="_Toc7746"/>
      <w:r>
        <w:rPr>
          <w:rFonts w:ascii="Times New Roman" w:hAnsi="Times New Roman" w:eastAsia="方正小标宋_GBK" w:cs="Times New Roman"/>
          <w:snapToGrid w:val="0"/>
          <w:color w:val="auto"/>
          <w:sz w:val="38"/>
          <w:szCs w:val="38"/>
        </w:rPr>
        <w:t>建设项目污染物排放量汇总表</w:t>
      </w:r>
      <w:bookmarkEnd w:id="58"/>
      <w:bookmarkEnd w:id="59"/>
      <w:bookmarkEnd w:id="60"/>
      <w:bookmarkEnd w:id="61"/>
      <w:bookmarkEnd w:id="62"/>
      <w:bookmarkEnd w:id="63"/>
      <w:bookmarkEnd w:id="64"/>
      <w:bookmarkEnd w:id="65"/>
    </w:p>
    <w:tbl>
      <w:tblPr>
        <w:tblStyle w:val="35"/>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984"/>
        <w:gridCol w:w="1701"/>
        <w:gridCol w:w="1276"/>
        <w:gridCol w:w="1701"/>
        <w:gridCol w:w="1559"/>
        <w:gridCol w:w="1761"/>
        <w:gridCol w:w="1641"/>
        <w:gridCol w:w="1144"/>
      </w:tblGrid>
      <w:tr w14:paraId="59A7B7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21" w:type="dxa"/>
            <w:tcBorders>
              <w:tl2br w:val="single" w:color="auto" w:sz="4" w:space="0"/>
            </w:tcBorders>
            <w:tcMar>
              <w:left w:w="28" w:type="dxa"/>
              <w:right w:w="28" w:type="dxa"/>
            </w:tcMar>
            <w:vAlign w:val="center"/>
          </w:tcPr>
          <w:p w14:paraId="492DE341">
            <w:pPr>
              <w:pStyle w:val="71"/>
              <w:spacing w:beforeLines="0" w:afterLines="0" w:line="240" w:lineRule="auto"/>
              <w:jc w:val="right"/>
              <w:rPr>
                <w:rFonts w:ascii="Times New Roman" w:hAnsi="Times New Roman" w:eastAsia="宋体" w:cs="Times New Roman"/>
                <w:snapToGrid w:val="0"/>
                <w:color w:val="auto"/>
                <w:spacing w:val="-6"/>
                <w:kern w:val="21"/>
                <w:szCs w:val="21"/>
              </w:rPr>
            </w:pPr>
            <w:r>
              <w:rPr>
                <w:rFonts w:ascii="Times New Roman" w:hAnsi="Times New Roman" w:eastAsia="宋体" w:cs="Times New Roman"/>
                <w:snapToGrid w:val="0"/>
                <w:color w:val="auto"/>
                <w:spacing w:val="-6"/>
                <w:kern w:val="21"/>
                <w:szCs w:val="21"/>
              </w:rPr>
              <w:t>项目</w:t>
            </w:r>
          </w:p>
          <w:p w14:paraId="68E747A7">
            <w:pPr>
              <w:pStyle w:val="71"/>
              <w:spacing w:beforeLines="0" w:afterLines="0" w:line="240" w:lineRule="auto"/>
              <w:jc w:val="left"/>
              <w:rPr>
                <w:rFonts w:ascii="Times New Roman" w:hAnsi="Times New Roman" w:eastAsia="宋体" w:cs="Times New Roman"/>
                <w:snapToGrid w:val="0"/>
                <w:color w:val="auto"/>
                <w:spacing w:val="-6"/>
                <w:kern w:val="21"/>
                <w:szCs w:val="21"/>
              </w:rPr>
            </w:pPr>
            <w:r>
              <w:rPr>
                <w:rFonts w:ascii="Times New Roman" w:hAnsi="Times New Roman" w:eastAsia="宋体" w:cs="Times New Roman"/>
                <w:snapToGrid w:val="0"/>
                <w:color w:val="auto"/>
                <w:spacing w:val="-6"/>
                <w:kern w:val="21"/>
                <w:szCs w:val="21"/>
              </w:rPr>
              <w:t>分类</w:t>
            </w:r>
          </w:p>
        </w:tc>
        <w:tc>
          <w:tcPr>
            <w:tcW w:w="1984" w:type="dxa"/>
            <w:tcMar>
              <w:left w:w="28" w:type="dxa"/>
              <w:right w:w="28" w:type="dxa"/>
            </w:tcMar>
            <w:vAlign w:val="center"/>
          </w:tcPr>
          <w:p w14:paraId="1DF22338">
            <w:pPr>
              <w:pStyle w:val="71"/>
              <w:spacing w:beforeLines="0" w:afterLines="0" w:line="240" w:lineRule="auto"/>
              <w:rPr>
                <w:rFonts w:ascii="Times New Roman" w:hAnsi="Times New Roman" w:eastAsia="宋体" w:cs="Times New Roman"/>
                <w:snapToGrid w:val="0"/>
                <w:color w:val="auto"/>
                <w:spacing w:val="-6"/>
                <w:kern w:val="21"/>
                <w:szCs w:val="21"/>
              </w:rPr>
            </w:pPr>
            <w:r>
              <w:rPr>
                <w:rFonts w:ascii="Times New Roman" w:hAnsi="Times New Roman" w:eastAsia="宋体" w:cs="Times New Roman"/>
                <w:snapToGrid w:val="0"/>
                <w:color w:val="auto"/>
                <w:spacing w:val="-6"/>
                <w:kern w:val="21"/>
                <w:szCs w:val="21"/>
              </w:rPr>
              <w:t>污染物名称</w:t>
            </w:r>
          </w:p>
        </w:tc>
        <w:tc>
          <w:tcPr>
            <w:tcW w:w="1701" w:type="dxa"/>
            <w:tcMar>
              <w:left w:w="28" w:type="dxa"/>
              <w:right w:w="28" w:type="dxa"/>
            </w:tcMar>
            <w:vAlign w:val="center"/>
          </w:tcPr>
          <w:p w14:paraId="2EDE38C2">
            <w:pPr>
              <w:pStyle w:val="71"/>
              <w:spacing w:beforeLines="0" w:afterLines="0" w:line="240" w:lineRule="auto"/>
              <w:rPr>
                <w:rFonts w:ascii="Times New Roman" w:hAnsi="Times New Roman" w:eastAsia="宋体" w:cs="Times New Roman"/>
                <w:snapToGrid w:val="0"/>
                <w:color w:val="auto"/>
                <w:spacing w:val="-6"/>
                <w:kern w:val="21"/>
                <w:szCs w:val="21"/>
              </w:rPr>
            </w:pPr>
            <w:r>
              <w:rPr>
                <w:rFonts w:ascii="Times New Roman" w:hAnsi="Times New Roman" w:eastAsia="宋体" w:cs="Times New Roman"/>
                <w:snapToGrid w:val="0"/>
                <w:color w:val="auto"/>
                <w:spacing w:val="-6"/>
                <w:kern w:val="21"/>
                <w:szCs w:val="21"/>
              </w:rPr>
              <w:t>现有工程</w:t>
            </w:r>
          </w:p>
          <w:p w14:paraId="779C395F">
            <w:pPr>
              <w:pStyle w:val="71"/>
              <w:spacing w:beforeLines="0" w:afterLines="0" w:line="240" w:lineRule="auto"/>
              <w:rPr>
                <w:rFonts w:ascii="Times New Roman" w:hAnsi="Times New Roman" w:eastAsia="宋体" w:cs="Times New Roman"/>
                <w:snapToGrid w:val="0"/>
                <w:color w:val="auto"/>
                <w:spacing w:val="-6"/>
                <w:kern w:val="21"/>
                <w:szCs w:val="21"/>
              </w:rPr>
            </w:pPr>
            <w:r>
              <w:rPr>
                <w:rFonts w:ascii="Times New Roman" w:hAnsi="Times New Roman" w:eastAsia="宋体" w:cs="Times New Roman"/>
                <w:snapToGrid w:val="0"/>
                <w:color w:val="auto"/>
                <w:spacing w:val="-6"/>
                <w:kern w:val="21"/>
                <w:szCs w:val="21"/>
              </w:rPr>
              <w:t>排放量（固体废物产生量）</w:t>
            </w:r>
            <w:r>
              <w:rPr>
                <w:rFonts w:ascii="Times New Roman" w:hAnsi="Times New Roman" w:eastAsia="宋体" w:cs="Times New Roman"/>
                <w:snapToGrid w:val="0"/>
                <w:color w:val="auto"/>
                <w:spacing w:val="-6"/>
                <w:kern w:val="21"/>
                <w:szCs w:val="21"/>
              </w:rPr>
              <w:fldChar w:fldCharType="begin"/>
            </w:r>
            <w:r>
              <w:rPr>
                <w:rFonts w:ascii="Times New Roman" w:hAnsi="Times New Roman" w:eastAsia="宋体" w:cs="Times New Roman"/>
                <w:snapToGrid w:val="0"/>
                <w:color w:val="auto"/>
                <w:spacing w:val="-6"/>
                <w:kern w:val="21"/>
                <w:szCs w:val="21"/>
              </w:rPr>
              <w:instrText xml:space="preserve"> = 1 \* GB3 \* MERGEFORMAT </w:instrText>
            </w:r>
            <w:r>
              <w:rPr>
                <w:rFonts w:ascii="Times New Roman" w:hAnsi="Times New Roman" w:eastAsia="宋体" w:cs="Times New Roman"/>
                <w:snapToGrid w:val="0"/>
                <w:color w:val="auto"/>
                <w:spacing w:val="-6"/>
                <w:kern w:val="21"/>
                <w:szCs w:val="21"/>
              </w:rPr>
              <w:fldChar w:fldCharType="separate"/>
            </w:r>
            <w:r>
              <w:rPr>
                <w:rFonts w:hint="eastAsia" w:hAnsi="宋体" w:eastAsia="宋体" w:cs="宋体"/>
                <w:color w:val="auto"/>
                <w:szCs w:val="21"/>
              </w:rPr>
              <w:t>①</w:t>
            </w:r>
            <w:r>
              <w:rPr>
                <w:rFonts w:ascii="Times New Roman" w:hAnsi="Times New Roman" w:eastAsia="宋体" w:cs="Times New Roman"/>
                <w:snapToGrid w:val="0"/>
                <w:color w:val="auto"/>
                <w:spacing w:val="-6"/>
                <w:kern w:val="21"/>
                <w:szCs w:val="21"/>
              </w:rPr>
              <w:fldChar w:fldCharType="end"/>
            </w:r>
          </w:p>
        </w:tc>
        <w:tc>
          <w:tcPr>
            <w:tcW w:w="1276" w:type="dxa"/>
            <w:tcMar>
              <w:left w:w="28" w:type="dxa"/>
              <w:right w:w="28" w:type="dxa"/>
            </w:tcMar>
            <w:vAlign w:val="center"/>
          </w:tcPr>
          <w:p w14:paraId="3EB834A7">
            <w:pPr>
              <w:pStyle w:val="71"/>
              <w:spacing w:beforeLines="0" w:afterLines="0" w:line="240" w:lineRule="auto"/>
              <w:rPr>
                <w:rFonts w:ascii="Times New Roman" w:hAnsi="Times New Roman" w:eastAsia="宋体" w:cs="Times New Roman"/>
                <w:snapToGrid w:val="0"/>
                <w:color w:val="auto"/>
                <w:spacing w:val="-6"/>
                <w:kern w:val="21"/>
                <w:szCs w:val="21"/>
              </w:rPr>
            </w:pPr>
            <w:r>
              <w:rPr>
                <w:rFonts w:ascii="Times New Roman" w:hAnsi="Times New Roman" w:eastAsia="宋体" w:cs="Times New Roman"/>
                <w:snapToGrid w:val="0"/>
                <w:color w:val="auto"/>
                <w:spacing w:val="-6"/>
                <w:kern w:val="21"/>
                <w:szCs w:val="21"/>
              </w:rPr>
              <w:t>现有工程</w:t>
            </w:r>
          </w:p>
          <w:p w14:paraId="28D00B62">
            <w:pPr>
              <w:pStyle w:val="71"/>
              <w:spacing w:beforeLines="0" w:afterLines="0" w:line="240" w:lineRule="auto"/>
              <w:rPr>
                <w:rFonts w:ascii="Times New Roman" w:hAnsi="Times New Roman" w:eastAsia="宋体" w:cs="Times New Roman"/>
                <w:snapToGrid w:val="0"/>
                <w:color w:val="auto"/>
                <w:spacing w:val="-6"/>
                <w:kern w:val="21"/>
                <w:szCs w:val="21"/>
              </w:rPr>
            </w:pPr>
            <w:r>
              <w:rPr>
                <w:rFonts w:ascii="Times New Roman" w:hAnsi="Times New Roman" w:eastAsia="宋体" w:cs="Times New Roman"/>
                <w:snapToGrid w:val="0"/>
                <w:color w:val="auto"/>
                <w:spacing w:val="-6"/>
                <w:kern w:val="21"/>
                <w:szCs w:val="21"/>
              </w:rPr>
              <w:t>许可排放量</w:t>
            </w:r>
          </w:p>
          <w:p w14:paraId="74AA9260">
            <w:pPr>
              <w:pStyle w:val="71"/>
              <w:spacing w:beforeLines="0" w:afterLines="0"/>
              <w:rPr>
                <w:rFonts w:ascii="Times New Roman" w:hAnsi="Times New Roman" w:eastAsia="宋体" w:cs="Times New Roman"/>
                <w:snapToGrid w:val="0"/>
                <w:color w:val="auto"/>
                <w:spacing w:val="-6"/>
                <w:kern w:val="21"/>
                <w:szCs w:val="21"/>
              </w:rPr>
            </w:pPr>
            <w:r>
              <w:rPr>
                <w:rFonts w:ascii="Times New Roman" w:hAnsi="Times New Roman" w:eastAsia="宋体" w:cs="Times New Roman"/>
                <w:snapToGrid w:val="0"/>
                <w:color w:val="auto"/>
                <w:spacing w:val="-6"/>
                <w:kern w:val="21"/>
                <w:szCs w:val="21"/>
              </w:rPr>
              <w:fldChar w:fldCharType="begin"/>
            </w:r>
            <w:r>
              <w:rPr>
                <w:rFonts w:ascii="Times New Roman" w:hAnsi="Times New Roman" w:eastAsia="宋体" w:cs="Times New Roman"/>
                <w:snapToGrid w:val="0"/>
                <w:color w:val="auto"/>
                <w:spacing w:val="-6"/>
                <w:kern w:val="21"/>
                <w:szCs w:val="21"/>
              </w:rPr>
              <w:instrText xml:space="preserve"> = 2 \* GB3 \* MERGEFORMAT </w:instrText>
            </w:r>
            <w:r>
              <w:rPr>
                <w:rFonts w:ascii="Times New Roman" w:hAnsi="Times New Roman" w:eastAsia="宋体" w:cs="Times New Roman"/>
                <w:snapToGrid w:val="0"/>
                <w:color w:val="auto"/>
                <w:spacing w:val="-6"/>
                <w:kern w:val="21"/>
                <w:szCs w:val="21"/>
              </w:rPr>
              <w:fldChar w:fldCharType="separate"/>
            </w:r>
            <w:r>
              <w:rPr>
                <w:rFonts w:hint="eastAsia" w:hAnsi="宋体" w:eastAsia="宋体" w:cs="宋体"/>
                <w:snapToGrid w:val="0"/>
                <w:color w:val="auto"/>
                <w:spacing w:val="-6"/>
                <w:kern w:val="21"/>
                <w:szCs w:val="21"/>
              </w:rPr>
              <w:t>②</w:t>
            </w:r>
            <w:r>
              <w:rPr>
                <w:rFonts w:ascii="Times New Roman" w:hAnsi="Times New Roman" w:eastAsia="宋体" w:cs="Times New Roman"/>
                <w:snapToGrid w:val="0"/>
                <w:color w:val="auto"/>
                <w:spacing w:val="-6"/>
                <w:kern w:val="21"/>
                <w:szCs w:val="21"/>
              </w:rPr>
              <w:fldChar w:fldCharType="end"/>
            </w:r>
          </w:p>
        </w:tc>
        <w:tc>
          <w:tcPr>
            <w:tcW w:w="1701" w:type="dxa"/>
            <w:tcMar>
              <w:left w:w="28" w:type="dxa"/>
              <w:right w:w="28" w:type="dxa"/>
            </w:tcMar>
            <w:vAlign w:val="center"/>
          </w:tcPr>
          <w:p w14:paraId="4AAD25D9">
            <w:pPr>
              <w:pStyle w:val="71"/>
              <w:spacing w:beforeLines="0" w:afterLines="0" w:line="240" w:lineRule="auto"/>
              <w:rPr>
                <w:rFonts w:ascii="Times New Roman" w:hAnsi="Times New Roman" w:eastAsia="宋体" w:cs="Times New Roman"/>
                <w:snapToGrid w:val="0"/>
                <w:color w:val="auto"/>
                <w:spacing w:val="-6"/>
                <w:kern w:val="21"/>
                <w:szCs w:val="21"/>
              </w:rPr>
            </w:pPr>
            <w:r>
              <w:rPr>
                <w:rFonts w:ascii="Times New Roman" w:hAnsi="Times New Roman" w:eastAsia="宋体" w:cs="Times New Roman"/>
                <w:snapToGrid w:val="0"/>
                <w:color w:val="auto"/>
                <w:spacing w:val="-6"/>
                <w:kern w:val="21"/>
                <w:szCs w:val="21"/>
              </w:rPr>
              <w:t>在建工程</w:t>
            </w:r>
          </w:p>
          <w:p w14:paraId="08C9574C">
            <w:pPr>
              <w:pStyle w:val="71"/>
              <w:spacing w:beforeLines="0" w:afterLines="0" w:line="240" w:lineRule="auto"/>
              <w:rPr>
                <w:rFonts w:ascii="Times New Roman" w:hAnsi="Times New Roman" w:eastAsia="宋体" w:cs="Times New Roman"/>
                <w:snapToGrid w:val="0"/>
                <w:color w:val="auto"/>
                <w:spacing w:val="-6"/>
                <w:kern w:val="21"/>
                <w:szCs w:val="21"/>
              </w:rPr>
            </w:pPr>
            <w:r>
              <w:rPr>
                <w:rFonts w:ascii="Times New Roman" w:hAnsi="Times New Roman" w:eastAsia="宋体" w:cs="Times New Roman"/>
                <w:snapToGrid w:val="0"/>
                <w:color w:val="auto"/>
                <w:spacing w:val="-6"/>
                <w:kern w:val="21"/>
                <w:szCs w:val="21"/>
              </w:rPr>
              <w:t>排放量（固体废物产生量）</w:t>
            </w:r>
            <w:r>
              <w:rPr>
                <w:rFonts w:ascii="Times New Roman" w:hAnsi="Times New Roman" w:eastAsia="宋体" w:cs="Times New Roman"/>
                <w:snapToGrid w:val="0"/>
                <w:color w:val="auto"/>
                <w:spacing w:val="-6"/>
                <w:kern w:val="21"/>
                <w:szCs w:val="21"/>
              </w:rPr>
              <w:fldChar w:fldCharType="begin"/>
            </w:r>
            <w:r>
              <w:rPr>
                <w:rFonts w:ascii="Times New Roman" w:hAnsi="Times New Roman" w:eastAsia="宋体" w:cs="Times New Roman"/>
                <w:snapToGrid w:val="0"/>
                <w:color w:val="auto"/>
                <w:spacing w:val="-6"/>
                <w:kern w:val="21"/>
                <w:szCs w:val="21"/>
              </w:rPr>
              <w:instrText xml:space="preserve"> = 3 \* GB3 \* MERGEFORMAT </w:instrText>
            </w:r>
            <w:r>
              <w:rPr>
                <w:rFonts w:ascii="Times New Roman" w:hAnsi="Times New Roman" w:eastAsia="宋体" w:cs="Times New Roman"/>
                <w:snapToGrid w:val="0"/>
                <w:color w:val="auto"/>
                <w:spacing w:val="-6"/>
                <w:kern w:val="21"/>
                <w:szCs w:val="21"/>
              </w:rPr>
              <w:fldChar w:fldCharType="separate"/>
            </w:r>
            <w:r>
              <w:rPr>
                <w:rFonts w:hint="eastAsia" w:hAnsi="宋体" w:eastAsia="宋体" w:cs="宋体"/>
                <w:color w:val="auto"/>
                <w:szCs w:val="21"/>
              </w:rPr>
              <w:t>③</w:t>
            </w:r>
            <w:r>
              <w:rPr>
                <w:rFonts w:ascii="Times New Roman" w:hAnsi="Times New Roman" w:eastAsia="宋体" w:cs="Times New Roman"/>
                <w:snapToGrid w:val="0"/>
                <w:color w:val="auto"/>
                <w:spacing w:val="-6"/>
                <w:kern w:val="21"/>
                <w:szCs w:val="21"/>
              </w:rPr>
              <w:fldChar w:fldCharType="end"/>
            </w:r>
          </w:p>
        </w:tc>
        <w:tc>
          <w:tcPr>
            <w:tcW w:w="1559" w:type="dxa"/>
            <w:tcMar>
              <w:left w:w="28" w:type="dxa"/>
              <w:right w:w="28" w:type="dxa"/>
            </w:tcMar>
            <w:vAlign w:val="center"/>
          </w:tcPr>
          <w:p w14:paraId="7F28C5F1">
            <w:pPr>
              <w:pStyle w:val="71"/>
              <w:spacing w:beforeLines="0" w:afterLines="0" w:line="240" w:lineRule="auto"/>
              <w:rPr>
                <w:rFonts w:ascii="Times New Roman" w:hAnsi="Times New Roman" w:eastAsia="宋体" w:cs="Times New Roman"/>
                <w:snapToGrid w:val="0"/>
                <w:color w:val="auto"/>
                <w:spacing w:val="-6"/>
                <w:kern w:val="21"/>
                <w:szCs w:val="21"/>
              </w:rPr>
            </w:pPr>
            <w:r>
              <w:rPr>
                <w:rFonts w:ascii="Times New Roman" w:hAnsi="Times New Roman" w:eastAsia="宋体" w:cs="Times New Roman"/>
                <w:snapToGrid w:val="0"/>
                <w:color w:val="auto"/>
                <w:spacing w:val="-6"/>
                <w:kern w:val="21"/>
                <w:szCs w:val="21"/>
              </w:rPr>
              <w:t>本项目</w:t>
            </w:r>
          </w:p>
          <w:p w14:paraId="31C30F79">
            <w:pPr>
              <w:pStyle w:val="71"/>
              <w:spacing w:beforeLines="0" w:afterLines="0" w:line="240" w:lineRule="auto"/>
              <w:rPr>
                <w:rFonts w:ascii="Times New Roman" w:hAnsi="Times New Roman" w:eastAsia="宋体" w:cs="Times New Roman"/>
                <w:snapToGrid w:val="0"/>
                <w:color w:val="auto"/>
                <w:spacing w:val="-6"/>
                <w:kern w:val="21"/>
                <w:szCs w:val="21"/>
              </w:rPr>
            </w:pPr>
            <w:r>
              <w:rPr>
                <w:rFonts w:ascii="Times New Roman" w:hAnsi="Times New Roman" w:eastAsia="宋体" w:cs="Times New Roman"/>
                <w:snapToGrid w:val="0"/>
                <w:color w:val="auto"/>
                <w:spacing w:val="-6"/>
                <w:kern w:val="21"/>
                <w:szCs w:val="21"/>
              </w:rPr>
              <w:t>排放量（固体废物产生量）</w:t>
            </w:r>
            <w:r>
              <w:rPr>
                <w:rFonts w:ascii="Times New Roman" w:hAnsi="Times New Roman" w:eastAsia="宋体" w:cs="Times New Roman"/>
                <w:snapToGrid w:val="0"/>
                <w:color w:val="auto"/>
                <w:spacing w:val="-6"/>
                <w:kern w:val="21"/>
                <w:szCs w:val="21"/>
              </w:rPr>
              <w:fldChar w:fldCharType="begin"/>
            </w:r>
            <w:r>
              <w:rPr>
                <w:rFonts w:ascii="Times New Roman" w:hAnsi="Times New Roman" w:eastAsia="宋体" w:cs="Times New Roman"/>
                <w:snapToGrid w:val="0"/>
                <w:color w:val="auto"/>
                <w:spacing w:val="-6"/>
                <w:kern w:val="21"/>
                <w:szCs w:val="21"/>
              </w:rPr>
              <w:instrText xml:space="preserve"> = 4 \* GB3 \* MERGEFORMAT </w:instrText>
            </w:r>
            <w:r>
              <w:rPr>
                <w:rFonts w:ascii="Times New Roman" w:hAnsi="Times New Roman" w:eastAsia="宋体" w:cs="Times New Roman"/>
                <w:snapToGrid w:val="0"/>
                <w:color w:val="auto"/>
                <w:spacing w:val="-6"/>
                <w:kern w:val="21"/>
                <w:szCs w:val="21"/>
              </w:rPr>
              <w:fldChar w:fldCharType="separate"/>
            </w:r>
            <w:r>
              <w:rPr>
                <w:rFonts w:hint="eastAsia" w:hAnsi="宋体" w:eastAsia="宋体" w:cs="宋体"/>
                <w:color w:val="auto"/>
                <w:szCs w:val="21"/>
              </w:rPr>
              <w:t>④</w:t>
            </w:r>
            <w:r>
              <w:rPr>
                <w:rFonts w:ascii="Times New Roman" w:hAnsi="Times New Roman" w:eastAsia="宋体" w:cs="Times New Roman"/>
                <w:snapToGrid w:val="0"/>
                <w:color w:val="auto"/>
                <w:spacing w:val="-6"/>
                <w:kern w:val="21"/>
                <w:szCs w:val="21"/>
              </w:rPr>
              <w:fldChar w:fldCharType="end"/>
            </w:r>
          </w:p>
        </w:tc>
        <w:tc>
          <w:tcPr>
            <w:tcW w:w="1761" w:type="dxa"/>
            <w:tcMar>
              <w:left w:w="28" w:type="dxa"/>
              <w:right w:w="28" w:type="dxa"/>
            </w:tcMar>
            <w:vAlign w:val="center"/>
          </w:tcPr>
          <w:p w14:paraId="4F81CFD2">
            <w:pPr>
              <w:pStyle w:val="71"/>
              <w:spacing w:beforeLines="0" w:afterLines="0" w:line="240" w:lineRule="auto"/>
              <w:rPr>
                <w:rFonts w:ascii="Times New Roman" w:hAnsi="Times New Roman" w:eastAsia="宋体" w:cs="Times New Roman"/>
                <w:snapToGrid w:val="0"/>
                <w:color w:val="auto"/>
                <w:spacing w:val="-16"/>
                <w:kern w:val="21"/>
                <w:szCs w:val="21"/>
              </w:rPr>
            </w:pPr>
            <w:r>
              <w:rPr>
                <w:rFonts w:ascii="Times New Roman" w:hAnsi="Times New Roman" w:eastAsia="宋体" w:cs="Times New Roman"/>
                <w:snapToGrid w:val="0"/>
                <w:color w:val="auto"/>
                <w:spacing w:val="-16"/>
                <w:kern w:val="21"/>
                <w:szCs w:val="21"/>
              </w:rPr>
              <w:t>以新带老削减量</w:t>
            </w:r>
          </w:p>
          <w:p w14:paraId="7A5402F1">
            <w:pPr>
              <w:pStyle w:val="71"/>
              <w:spacing w:beforeLines="0" w:afterLines="0" w:line="240" w:lineRule="auto"/>
              <w:rPr>
                <w:rFonts w:ascii="Times New Roman" w:hAnsi="Times New Roman" w:eastAsia="宋体" w:cs="Times New Roman"/>
                <w:snapToGrid w:val="0"/>
                <w:color w:val="auto"/>
                <w:spacing w:val="-16"/>
                <w:kern w:val="21"/>
                <w:szCs w:val="21"/>
              </w:rPr>
            </w:pPr>
            <w:r>
              <w:rPr>
                <w:rFonts w:ascii="Times New Roman" w:hAnsi="Times New Roman" w:eastAsia="宋体" w:cs="Times New Roman"/>
                <w:snapToGrid w:val="0"/>
                <w:color w:val="auto"/>
                <w:spacing w:val="-16"/>
                <w:kern w:val="21"/>
                <w:szCs w:val="21"/>
              </w:rPr>
              <w:t>（新建项目不填）</w:t>
            </w:r>
            <w:r>
              <w:rPr>
                <w:rFonts w:ascii="Times New Roman" w:hAnsi="Times New Roman" w:eastAsia="宋体" w:cs="Times New Roman"/>
                <w:snapToGrid w:val="0"/>
                <w:color w:val="auto"/>
                <w:spacing w:val="-16"/>
                <w:kern w:val="21"/>
                <w:szCs w:val="21"/>
              </w:rPr>
              <w:fldChar w:fldCharType="begin"/>
            </w:r>
            <w:r>
              <w:rPr>
                <w:rFonts w:ascii="Times New Roman" w:hAnsi="Times New Roman" w:eastAsia="宋体" w:cs="Times New Roman"/>
                <w:snapToGrid w:val="0"/>
                <w:color w:val="auto"/>
                <w:spacing w:val="-16"/>
                <w:kern w:val="21"/>
                <w:szCs w:val="21"/>
              </w:rPr>
              <w:instrText xml:space="preserve"> = 5 \* GB3 \* MERGEFORMAT </w:instrText>
            </w:r>
            <w:r>
              <w:rPr>
                <w:rFonts w:ascii="Times New Roman" w:hAnsi="Times New Roman" w:eastAsia="宋体" w:cs="Times New Roman"/>
                <w:snapToGrid w:val="0"/>
                <w:color w:val="auto"/>
                <w:spacing w:val="-16"/>
                <w:kern w:val="21"/>
                <w:szCs w:val="21"/>
              </w:rPr>
              <w:fldChar w:fldCharType="separate"/>
            </w:r>
            <w:r>
              <w:rPr>
                <w:rFonts w:hint="eastAsia" w:hAnsi="宋体" w:eastAsia="宋体" w:cs="宋体"/>
                <w:color w:val="auto"/>
                <w:szCs w:val="21"/>
              </w:rPr>
              <w:t>⑤</w:t>
            </w:r>
            <w:r>
              <w:rPr>
                <w:rFonts w:ascii="Times New Roman" w:hAnsi="Times New Roman" w:eastAsia="宋体" w:cs="Times New Roman"/>
                <w:snapToGrid w:val="0"/>
                <w:color w:val="auto"/>
                <w:spacing w:val="-16"/>
                <w:kern w:val="21"/>
                <w:szCs w:val="21"/>
              </w:rPr>
              <w:fldChar w:fldCharType="end"/>
            </w:r>
          </w:p>
        </w:tc>
        <w:tc>
          <w:tcPr>
            <w:tcW w:w="1641" w:type="dxa"/>
            <w:tcMar>
              <w:left w:w="28" w:type="dxa"/>
              <w:right w:w="28" w:type="dxa"/>
            </w:tcMar>
            <w:vAlign w:val="center"/>
          </w:tcPr>
          <w:p w14:paraId="4B43AB88">
            <w:pPr>
              <w:pStyle w:val="71"/>
              <w:spacing w:beforeLines="0" w:afterLines="0" w:line="240" w:lineRule="auto"/>
              <w:rPr>
                <w:rFonts w:ascii="Times New Roman" w:hAnsi="Times New Roman" w:eastAsia="宋体" w:cs="Times New Roman"/>
                <w:snapToGrid w:val="0"/>
                <w:color w:val="auto"/>
                <w:spacing w:val="-16"/>
                <w:kern w:val="21"/>
                <w:szCs w:val="21"/>
              </w:rPr>
            </w:pPr>
            <w:r>
              <w:rPr>
                <w:rFonts w:ascii="Times New Roman" w:hAnsi="Times New Roman" w:eastAsia="宋体" w:cs="Times New Roman"/>
                <w:snapToGrid w:val="0"/>
                <w:color w:val="auto"/>
                <w:spacing w:val="-16"/>
                <w:kern w:val="21"/>
                <w:szCs w:val="21"/>
              </w:rPr>
              <w:t>本项目建成后</w:t>
            </w:r>
          </w:p>
          <w:p w14:paraId="6D250B0F">
            <w:pPr>
              <w:pStyle w:val="71"/>
              <w:spacing w:beforeLines="0" w:afterLines="0" w:line="240" w:lineRule="auto"/>
              <w:rPr>
                <w:rFonts w:ascii="Times New Roman" w:hAnsi="Times New Roman" w:eastAsia="宋体" w:cs="Times New Roman"/>
                <w:snapToGrid w:val="0"/>
                <w:color w:val="auto"/>
                <w:spacing w:val="-16"/>
                <w:kern w:val="21"/>
                <w:szCs w:val="21"/>
              </w:rPr>
            </w:pPr>
            <w:r>
              <w:rPr>
                <w:rFonts w:ascii="Times New Roman" w:hAnsi="Times New Roman" w:eastAsia="宋体" w:cs="Times New Roman"/>
                <w:snapToGrid w:val="0"/>
                <w:color w:val="auto"/>
                <w:spacing w:val="-16"/>
                <w:kern w:val="21"/>
                <w:szCs w:val="21"/>
              </w:rPr>
              <w:t>全厂排放量（固体废物产生量）</w:t>
            </w:r>
            <w:r>
              <w:rPr>
                <w:rFonts w:ascii="Times New Roman" w:hAnsi="Times New Roman" w:eastAsia="宋体" w:cs="Times New Roman"/>
                <w:snapToGrid w:val="0"/>
                <w:color w:val="auto"/>
                <w:spacing w:val="-16"/>
                <w:kern w:val="21"/>
                <w:szCs w:val="21"/>
              </w:rPr>
              <w:fldChar w:fldCharType="begin"/>
            </w:r>
            <w:r>
              <w:rPr>
                <w:rFonts w:ascii="Times New Roman" w:hAnsi="Times New Roman" w:eastAsia="宋体" w:cs="Times New Roman"/>
                <w:snapToGrid w:val="0"/>
                <w:color w:val="auto"/>
                <w:spacing w:val="-16"/>
                <w:kern w:val="21"/>
                <w:szCs w:val="21"/>
              </w:rPr>
              <w:instrText xml:space="preserve"> = 6 \* GB3 \* MERGEFORMAT </w:instrText>
            </w:r>
            <w:r>
              <w:rPr>
                <w:rFonts w:ascii="Times New Roman" w:hAnsi="Times New Roman" w:eastAsia="宋体" w:cs="Times New Roman"/>
                <w:snapToGrid w:val="0"/>
                <w:color w:val="auto"/>
                <w:spacing w:val="-16"/>
                <w:kern w:val="21"/>
                <w:szCs w:val="21"/>
              </w:rPr>
              <w:fldChar w:fldCharType="separate"/>
            </w:r>
            <w:r>
              <w:rPr>
                <w:rFonts w:hint="eastAsia" w:hAnsi="宋体" w:eastAsia="宋体" w:cs="宋体"/>
                <w:color w:val="auto"/>
                <w:szCs w:val="21"/>
              </w:rPr>
              <w:t>⑥</w:t>
            </w:r>
            <w:r>
              <w:rPr>
                <w:rFonts w:ascii="Times New Roman" w:hAnsi="Times New Roman" w:eastAsia="宋体" w:cs="Times New Roman"/>
                <w:snapToGrid w:val="0"/>
                <w:color w:val="auto"/>
                <w:spacing w:val="-16"/>
                <w:kern w:val="21"/>
                <w:szCs w:val="21"/>
              </w:rPr>
              <w:fldChar w:fldCharType="end"/>
            </w:r>
          </w:p>
        </w:tc>
        <w:tc>
          <w:tcPr>
            <w:tcW w:w="1144" w:type="dxa"/>
            <w:tcMar>
              <w:left w:w="28" w:type="dxa"/>
              <w:right w:w="28" w:type="dxa"/>
            </w:tcMar>
            <w:vAlign w:val="center"/>
          </w:tcPr>
          <w:p w14:paraId="74B6FECB">
            <w:pPr>
              <w:pStyle w:val="71"/>
              <w:spacing w:beforeLines="0" w:afterLines="0" w:line="240" w:lineRule="auto"/>
              <w:rPr>
                <w:rFonts w:ascii="Times New Roman" w:hAnsi="Times New Roman" w:eastAsia="宋体" w:cs="Times New Roman"/>
                <w:snapToGrid w:val="0"/>
                <w:color w:val="auto"/>
                <w:spacing w:val="-6"/>
                <w:kern w:val="21"/>
                <w:szCs w:val="21"/>
              </w:rPr>
            </w:pPr>
            <w:r>
              <w:rPr>
                <w:rFonts w:ascii="Times New Roman" w:hAnsi="Times New Roman" w:eastAsia="宋体" w:cs="Times New Roman"/>
                <w:snapToGrid w:val="0"/>
                <w:color w:val="auto"/>
                <w:spacing w:val="-6"/>
                <w:kern w:val="21"/>
                <w:szCs w:val="21"/>
              </w:rPr>
              <w:t>变化量</w:t>
            </w:r>
          </w:p>
          <w:p w14:paraId="6EB9B4E4">
            <w:pPr>
              <w:pStyle w:val="71"/>
              <w:spacing w:beforeLines="0" w:afterLines="0" w:line="240" w:lineRule="auto"/>
              <w:rPr>
                <w:rFonts w:ascii="Times New Roman" w:hAnsi="Times New Roman" w:eastAsia="宋体" w:cs="Times New Roman"/>
                <w:snapToGrid w:val="0"/>
                <w:color w:val="auto"/>
                <w:spacing w:val="-6"/>
                <w:kern w:val="21"/>
                <w:szCs w:val="21"/>
              </w:rPr>
            </w:pPr>
            <w:r>
              <w:rPr>
                <w:rFonts w:ascii="Times New Roman" w:hAnsi="Times New Roman" w:eastAsia="宋体" w:cs="Times New Roman"/>
                <w:snapToGrid w:val="0"/>
                <w:color w:val="auto"/>
                <w:spacing w:val="-6"/>
                <w:kern w:val="21"/>
                <w:szCs w:val="21"/>
              </w:rPr>
              <w:fldChar w:fldCharType="begin"/>
            </w:r>
            <w:r>
              <w:rPr>
                <w:rFonts w:ascii="Times New Roman" w:hAnsi="Times New Roman" w:eastAsia="宋体" w:cs="Times New Roman"/>
                <w:snapToGrid w:val="0"/>
                <w:color w:val="auto"/>
                <w:spacing w:val="-6"/>
                <w:kern w:val="21"/>
                <w:szCs w:val="21"/>
              </w:rPr>
              <w:instrText xml:space="preserve"> = 7 \* GB3 \* MERGEFORMAT </w:instrText>
            </w:r>
            <w:r>
              <w:rPr>
                <w:rFonts w:ascii="Times New Roman" w:hAnsi="Times New Roman" w:eastAsia="宋体" w:cs="Times New Roman"/>
                <w:snapToGrid w:val="0"/>
                <w:color w:val="auto"/>
                <w:spacing w:val="-6"/>
                <w:kern w:val="21"/>
                <w:szCs w:val="21"/>
              </w:rPr>
              <w:fldChar w:fldCharType="separate"/>
            </w:r>
            <w:r>
              <w:rPr>
                <w:rFonts w:hint="eastAsia" w:hAnsi="宋体" w:eastAsia="宋体" w:cs="宋体"/>
                <w:color w:val="auto"/>
                <w:szCs w:val="21"/>
              </w:rPr>
              <w:t>⑦</w:t>
            </w:r>
            <w:r>
              <w:rPr>
                <w:rFonts w:ascii="Times New Roman" w:hAnsi="Times New Roman" w:eastAsia="宋体" w:cs="Times New Roman"/>
                <w:snapToGrid w:val="0"/>
                <w:color w:val="auto"/>
                <w:spacing w:val="-6"/>
                <w:kern w:val="21"/>
                <w:szCs w:val="21"/>
              </w:rPr>
              <w:fldChar w:fldCharType="end"/>
            </w:r>
          </w:p>
        </w:tc>
      </w:tr>
      <w:tr w14:paraId="35DA3A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restart"/>
            <w:vAlign w:val="center"/>
          </w:tcPr>
          <w:p w14:paraId="4B61E688">
            <w:pPr>
              <w:pStyle w:val="71"/>
              <w:spacing w:beforeLines="0" w:afterLines="0" w:line="240" w:lineRule="auto"/>
              <w:rPr>
                <w:rFonts w:ascii="Times New Roman" w:hAnsi="Times New Roman" w:eastAsia="宋体" w:cs="Times New Roman"/>
                <w:snapToGrid w:val="0"/>
                <w:color w:val="auto"/>
                <w:kern w:val="21"/>
                <w:szCs w:val="21"/>
              </w:rPr>
            </w:pPr>
            <w:r>
              <w:rPr>
                <w:rFonts w:ascii="Times New Roman" w:hAnsi="Times New Roman" w:eastAsia="宋体" w:cs="Times New Roman"/>
                <w:snapToGrid w:val="0"/>
                <w:color w:val="auto"/>
                <w:kern w:val="21"/>
                <w:szCs w:val="21"/>
              </w:rPr>
              <w:t>废气</w:t>
            </w:r>
          </w:p>
        </w:tc>
        <w:tc>
          <w:tcPr>
            <w:tcW w:w="1984" w:type="dxa"/>
            <w:vAlign w:val="center"/>
          </w:tcPr>
          <w:p w14:paraId="7FBA9D52">
            <w:pPr>
              <w:jc w:val="center"/>
              <w:rPr>
                <w:color w:val="auto"/>
                <w:kern w:val="0"/>
                <w:szCs w:val="21"/>
              </w:rPr>
            </w:pPr>
            <w:r>
              <w:rPr>
                <w:color w:val="auto"/>
                <w:szCs w:val="21"/>
              </w:rPr>
              <w:t>颗粒物</w:t>
            </w:r>
          </w:p>
        </w:tc>
        <w:tc>
          <w:tcPr>
            <w:tcW w:w="1701" w:type="dxa"/>
            <w:vAlign w:val="center"/>
          </w:tcPr>
          <w:p w14:paraId="251F5D2E">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21"/>
                <w:szCs w:val="21"/>
                <w:lang w:val="en-US" w:eastAsia="zh-CN"/>
              </w:rPr>
            </w:pPr>
            <w:r>
              <w:rPr>
                <w:rFonts w:hint="eastAsia" w:cs="Times New Roman"/>
                <w:snapToGrid w:val="0"/>
                <w:color w:val="auto"/>
                <w:kern w:val="21"/>
                <w:szCs w:val="21"/>
                <w:lang w:val="en-US" w:eastAsia="zh-CN"/>
              </w:rPr>
              <w:t>0.1152</w:t>
            </w:r>
          </w:p>
        </w:tc>
        <w:tc>
          <w:tcPr>
            <w:tcW w:w="1276" w:type="dxa"/>
            <w:vAlign w:val="center"/>
          </w:tcPr>
          <w:p w14:paraId="7B782466">
            <w:pPr>
              <w:pStyle w:val="71"/>
              <w:spacing w:beforeLines="0" w:afterLines="0" w:line="240" w:lineRule="auto"/>
              <w:rPr>
                <w:rFonts w:hint="eastAsia" w:ascii="Times New Roman" w:hAnsi="Times New Roman" w:eastAsia="宋体" w:cs="Times New Roman"/>
                <w:snapToGrid w:val="0"/>
                <w:color w:val="auto"/>
                <w:kern w:val="21"/>
                <w:szCs w:val="21"/>
                <w:lang w:val="en-US" w:eastAsia="zh-CN"/>
              </w:rPr>
            </w:pPr>
            <w:r>
              <w:rPr>
                <w:rFonts w:hint="eastAsia" w:ascii="Times New Roman" w:hAnsi="Times New Roman" w:eastAsia="宋体" w:cs="Times New Roman"/>
                <w:snapToGrid w:val="0"/>
                <w:color w:val="auto"/>
                <w:kern w:val="21"/>
                <w:szCs w:val="21"/>
                <w:lang w:val="en-US" w:eastAsia="zh-CN"/>
              </w:rPr>
              <w:t>/</w:t>
            </w:r>
          </w:p>
        </w:tc>
        <w:tc>
          <w:tcPr>
            <w:tcW w:w="1701" w:type="dxa"/>
            <w:vAlign w:val="center"/>
          </w:tcPr>
          <w:p w14:paraId="56959D8D">
            <w:pPr>
              <w:spacing w:beforeLines="0" w:afterLines="0" w:line="240" w:lineRule="auto"/>
              <w:jc w:val="center"/>
              <w:rPr>
                <w:rFonts w:hint="eastAsia" w:ascii="Times New Roman" w:hAnsi="Times New Roman" w:eastAsia="宋体" w:cs="Times New Roman"/>
                <w:snapToGrid w:val="0"/>
                <w:color w:val="auto"/>
                <w:kern w:val="21"/>
                <w:szCs w:val="21"/>
                <w:lang w:val="en-US" w:eastAsia="zh-CN"/>
              </w:rPr>
            </w:pPr>
            <w:r>
              <w:rPr>
                <w:rFonts w:hint="eastAsia" w:ascii="Times New Roman" w:hAnsi="Times New Roman" w:eastAsia="宋体" w:cs="Times New Roman"/>
                <w:snapToGrid w:val="0"/>
                <w:color w:val="auto"/>
                <w:kern w:val="21"/>
                <w:szCs w:val="21"/>
                <w:lang w:val="en-US" w:eastAsia="zh-CN"/>
              </w:rPr>
              <w:t>/</w:t>
            </w:r>
          </w:p>
        </w:tc>
        <w:tc>
          <w:tcPr>
            <w:tcW w:w="1559" w:type="dxa"/>
            <w:vAlign w:val="center"/>
          </w:tcPr>
          <w:p w14:paraId="01EF3EF0">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Cs w:val="21"/>
                <w:lang w:val="en-US" w:eastAsia="zh-CN"/>
              </w:rPr>
            </w:pPr>
            <w:r>
              <w:rPr>
                <w:rFonts w:hint="eastAsia" w:cs="Times New Roman"/>
                <w:snapToGrid w:val="0"/>
                <w:color w:val="auto"/>
                <w:kern w:val="21"/>
                <w:szCs w:val="21"/>
                <w:lang w:val="en-US" w:eastAsia="zh-CN"/>
              </w:rPr>
              <w:t>0.1152</w:t>
            </w:r>
          </w:p>
        </w:tc>
        <w:tc>
          <w:tcPr>
            <w:tcW w:w="1761" w:type="dxa"/>
            <w:vAlign w:val="center"/>
          </w:tcPr>
          <w:p w14:paraId="40F9D6CF">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21"/>
                <w:szCs w:val="21"/>
                <w:lang w:val="en-US" w:eastAsia="zh-CN"/>
              </w:rPr>
            </w:pPr>
            <w:r>
              <w:rPr>
                <w:rFonts w:hint="eastAsia" w:cs="Times New Roman"/>
                <w:snapToGrid w:val="0"/>
                <w:color w:val="auto"/>
                <w:kern w:val="21"/>
                <w:szCs w:val="21"/>
                <w:lang w:val="en-US" w:eastAsia="zh-CN"/>
              </w:rPr>
              <w:t>0.1152</w:t>
            </w:r>
          </w:p>
        </w:tc>
        <w:tc>
          <w:tcPr>
            <w:tcW w:w="1641" w:type="dxa"/>
            <w:vAlign w:val="center"/>
          </w:tcPr>
          <w:p w14:paraId="54829D38">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Cs w:val="21"/>
                <w:lang w:val="en-US" w:eastAsia="zh-CN"/>
              </w:rPr>
            </w:pPr>
            <w:r>
              <w:rPr>
                <w:rFonts w:hint="eastAsia" w:cs="Times New Roman"/>
                <w:snapToGrid w:val="0"/>
                <w:color w:val="auto"/>
                <w:kern w:val="21"/>
                <w:szCs w:val="21"/>
                <w:lang w:val="en-US" w:eastAsia="zh-CN"/>
              </w:rPr>
              <w:t>0.1152</w:t>
            </w:r>
          </w:p>
        </w:tc>
        <w:tc>
          <w:tcPr>
            <w:tcW w:w="1144" w:type="dxa"/>
            <w:vAlign w:val="center"/>
          </w:tcPr>
          <w:p w14:paraId="4EAEF252">
            <w:pPr>
              <w:pStyle w:val="88"/>
              <w:ind w:left="0" w:leftChars="0" w:right="0" w:rightChars="0" w:firstLine="0" w:firstLineChars="0"/>
              <w:rPr>
                <w:rFonts w:hint="default" w:eastAsia="宋体"/>
                <w:color w:val="auto"/>
                <w:szCs w:val="21"/>
                <w:lang w:val="en-US" w:eastAsia="zh-CN"/>
              </w:rPr>
            </w:pPr>
            <w:r>
              <w:rPr>
                <w:rFonts w:hint="eastAsia"/>
                <w:color w:val="auto"/>
                <w:szCs w:val="21"/>
                <w:lang w:val="en-US" w:eastAsia="zh-CN"/>
              </w:rPr>
              <w:t>0</w:t>
            </w:r>
          </w:p>
        </w:tc>
      </w:tr>
      <w:tr w14:paraId="4900D9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continue"/>
            <w:vAlign w:val="center"/>
          </w:tcPr>
          <w:p w14:paraId="50F6EE1B">
            <w:pPr>
              <w:pStyle w:val="71"/>
              <w:spacing w:beforeLines="0" w:afterLines="0" w:line="240" w:lineRule="auto"/>
              <w:rPr>
                <w:rFonts w:ascii="Times New Roman" w:hAnsi="Times New Roman" w:eastAsia="宋体" w:cs="Times New Roman"/>
                <w:snapToGrid w:val="0"/>
                <w:color w:val="auto"/>
                <w:kern w:val="21"/>
                <w:szCs w:val="21"/>
              </w:rPr>
            </w:pPr>
          </w:p>
        </w:tc>
        <w:tc>
          <w:tcPr>
            <w:tcW w:w="1984" w:type="dxa"/>
            <w:vAlign w:val="center"/>
          </w:tcPr>
          <w:p w14:paraId="664BACD4">
            <w:pPr>
              <w:jc w:val="center"/>
              <w:rPr>
                <w:color w:val="auto"/>
                <w:kern w:val="0"/>
                <w:szCs w:val="21"/>
              </w:rPr>
            </w:pPr>
            <w:r>
              <w:rPr>
                <w:color w:val="auto"/>
                <w:szCs w:val="21"/>
              </w:rPr>
              <w:t>SO</w:t>
            </w:r>
            <w:r>
              <w:rPr>
                <w:color w:val="auto"/>
                <w:szCs w:val="21"/>
                <w:vertAlign w:val="subscript"/>
              </w:rPr>
              <w:t>2</w:t>
            </w:r>
          </w:p>
        </w:tc>
        <w:tc>
          <w:tcPr>
            <w:tcW w:w="1701" w:type="dxa"/>
            <w:vAlign w:val="center"/>
          </w:tcPr>
          <w:p w14:paraId="0E274F0F">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21"/>
                <w:szCs w:val="21"/>
                <w:lang w:val="en-US"/>
              </w:rPr>
            </w:pPr>
            <w:r>
              <w:rPr>
                <w:rFonts w:hint="eastAsia" w:cs="Times New Roman"/>
                <w:color w:val="auto"/>
                <w:sz w:val="21"/>
                <w:szCs w:val="21"/>
                <w:vertAlign w:val="baseline"/>
                <w:lang w:val="en-US" w:eastAsia="zh-CN"/>
              </w:rPr>
              <w:t>0.0432</w:t>
            </w:r>
          </w:p>
        </w:tc>
        <w:tc>
          <w:tcPr>
            <w:tcW w:w="1276" w:type="dxa"/>
            <w:vAlign w:val="center"/>
          </w:tcPr>
          <w:p w14:paraId="2689A7B0">
            <w:pPr>
              <w:pStyle w:val="71"/>
              <w:spacing w:beforeLines="0" w:afterLines="0" w:line="240" w:lineRule="auto"/>
              <w:rPr>
                <w:rFonts w:hint="eastAsia" w:ascii="Times New Roman" w:hAnsi="Times New Roman" w:eastAsia="宋体" w:cs="Times New Roman"/>
                <w:snapToGrid w:val="0"/>
                <w:color w:val="auto"/>
                <w:kern w:val="21"/>
                <w:szCs w:val="21"/>
                <w:lang w:val="en-US" w:eastAsia="zh-CN"/>
              </w:rPr>
            </w:pPr>
            <w:r>
              <w:rPr>
                <w:rFonts w:hint="eastAsia" w:ascii="Times New Roman" w:hAnsi="Times New Roman" w:eastAsia="宋体" w:cs="Times New Roman"/>
                <w:snapToGrid w:val="0"/>
                <w:color w:val="auto"/>
                <w:kern w:val="21"/>
                <w:szCs w:val="21"/>
                <w:lang w:val="en-US" w:eastAsia="zh-CN"/>
              </w:rPr>
              <w:t>/</w:t>
            </w:r>
          </w:p>
        </w:tc>
        <w:tc>
          <w:tcPr>
            <w:tcW w:w="1701" w:type="dxa"/>
            <w:vAlign w:val="center"/>
          </w:tcPr>
          <w:p w14:paraId="43D495AF">
            <w:pPr>
              <w:spacing w:beforeLines="0" w:afterLines="0" w:line="240" w:lineRule="auto"/>
              <w:jc w:val="center"/>
              <w:rPr>
                <w:rFonts w:hint="eastAsia" w:ascii="Times New Roman" w:hAnsi="Times New Roman" w:eastAsia="宋体" w:cs="Times New Roman"/>
                <w:snapToGrid w:val="0"/>
                <w:color w:val="auto"/>
                <w:kern w:val="21"/>
                <w:szCs w:val="21"/>
                <w:lang w:val="en-US" w:eastAsia="zh-CN"/>
              </w:rPr>
            </w:pPr>
            <w:r>
              <w:rPr>
                <w:rFonts w:hint="eastAsia" w:ascii="Times New Roman" w:hAnsi="Times New Roman" w:eastAsia="宋体" w:cs="Times New Roman"/>
                <w:snapToGrid w:val="0"/>
                <w:color w:val="auto"/>
                <w:kern w:val="21"/>
                <w:szCs w:val="21"/>
                <w:lang w:val="en-US" w:eastAsia="zh-CN"/>
              </w:rPr>
              <w:t>/</w:t>
            </w:r>
          </w:p>
        </w:tc>
        <w:tc>
          <w:tcPr>
            <w:tcW w:w="1559" w:type="dxa"/>
            <w:vAlign w:val="center"/>
          </w:tcPr>
          <w:p w14:paraId="7A8161C3">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Cs w:val="21"/>
                <w:lang w:val="en-US" w:eastAsia="zh-CN"/>
              </w:rPr>
            </w:pPr>
            <w:r>
              <w:rPr>
                <w:rFonts w:hint="eastAsia" w:cs="Times New Roman"/>
                <w:color w:val="auto"/>
                <w:sz w:val="21"/>
                <w:szCs w:val="21"/>
                <w:vertAlign w:val="baseline"/>
                <w:lang w:val="en-US" w:eastAsia="zh-CN"/>
              </w:rPr>
              <w:t>0.0432</w:t>
            </w:r>
          </w:p>
        </w:tc>
        <w:tc>
          <w:tcPr>
            <w:tcW w:w="1761" w:type="dxa"/>
            <w:vAlign w:val="center"/>
          </w:tcPr>
          <w:p w14:paraId="658BFC17">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snapToGrid w:val="0"/>
                <w:color w:val="auto"/>
                <w:kern w:val="21"/>
                <w:szCs w:val="21"/>
                <w:lang w:val="en-US"/>
              </w:rPr>
            </w:pPr>
            <w:r>
              <w:rPr>
                <w:rFonts w:hint="eastAsia" w:cs="Times New Roman"/>
                <w:color w:val="auto"/>
                <w:sz w:val="21"/>
                <w:szCs w:val="21"/>
                <w:vertAlign w:val="baseline"/>
                <w:lang w:val="en-US" w:eastAsia="zh-CN"/>
              </w:rPr>
              <w:t>0.0432</w:t>
            </w:r>
          </w:p>
        </w:tc>
        <w:tc>
          <w:tcPr>
            <w:tcW w:w="1641" w:type="dxa"/>
            <w:vAlign w:val="center"/>
          </w:tcPr>
          <w:p w14:paraId="6898DA8A">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Cs w:val="21"/>
                <w:lang w:val="en-US" w:eastAsia="zh-CN"/>
              </w:rPr>
            </w:pPr>
            <w:r>
              <w:rPr>
                <w:rFonts w:hint="eastAsia" w:cs="Times New Roman"/>
                <w:color w:val="auto"/>
                <w:sz w:val="21"/>
                <w:szCs w:val="21"/>
                <w:vertAlign w:val="baseline"/>
                <w:lang w:val="en-US" w:eastAsia="zh-CN"/>
              </w:rPr>
              <w:t>0.0432</w:t>
            </w:r>
          </w:p>
        </w:tc>
        <w:tc>
          <w:tcPr>
            <w:tcW w:w="1144" w:type="dxa"/>
            <w:vAlign w:val="center"/>
          </w:tcPr>
          <w:p w14:paraId="58835B49">
            <w:pPr>
              <w:pStyle w:val="88"/>
              <w:ind w:left="0" w:leftChars="0" w:right="0" w:rightChars="0" w:firstLine="0" w:firstLineChars="0"/>
              <w:rPr>
                <w:rFonts w:hint="default" w:eastAsia="宋体"/>
                <w:color w:val="auto"/>
                <w:szCs w:val="21"/>
                <w:lang w:val="en-US" w:eastAsia="zh-CN"/>
              </w:rPr>
            </w:pPr>
            <w:r>
              <w:rPr>
                <w:rFonts w:hint="eastAsia"/>
                <w:color w:val="auto"/>
                <w:szCs w:val="21"/>
                <w:lang w:val="en-US" w:eastAsia="zh-CN"/>
              </w:rPr>
              <w:t>0</w:t>
            </w:r>
          </w:p>
        </w:tc>
      </w:tr>
      <w:tr w14:paraId="0D111C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continue"/>
            <w:vAlign w:val="center"/>
          </w:tcPr>
          <w:p w14:paraId="0B73517D">
            <w:pPr>
              <w:pStyle w:val="71"/>
              <w:spacing w:beforeLines="0" w:afterLines="0" w:line="240" w:lineRule="auto"/>
              <w:rPr>
                <w:rFonts w:ascii="Times New Roman" w:hAnsi="Times New Roman" w:eastAsia="宋体" w:cs="Times New Roman"/>
                <w:snapToGrid w:val="0"/>
                <w:color w:val="auto"/>
                <w:kern w:val="21"/>
                <w:szCs w:val="21"/>
              </w:rPr>
            </w:pPr>
          </w:p>
        </w:tc>
        <w:tc>
          <w:tcPr>
            <w:tcW w:w="1984" w:type="dxa"/>
            <w:vAlign w:val="center"/>
          </w:tcPr>
          <w:p w14:paraId="7CB834E9">
            <w:pPr>
              <w:jc w:val="center"/>
              <w:rPr>
                <w:color w:val="auto"/>
                <w:kern w:val="0"/>
                <w:szCs w:val="21"/>
              </w:rPr>
            </w:pPr>
            <w:r>
              <w:rPr>
                <w:color w:val="auto"/>
                <w:szCs w:val="21"/>
              </w:rPr>
              <w:t>NOx</w:t>
            </w:r>
          </w:p>
        </w:tc>
        <w:tc>
          <w:tcPr>
            <w:tcW w:w="1701" w:type="dxa"/>
            <w:vAlign w:val="center"/>
          </w:tcPr>
          <w:p w14:paraId="03F2F29A">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21"/>
                <w:szCs w:val="21"/>
                <w:lang w:val="en-US" w:eastAsia="zh-CN"/>
              </w:rPr>
            </w:pPr>
            <w:r>
              <w:rPr>
                <w:rFonts w:hint="eastAsia" w:cs="Times New Roman"/>
                <w:snapToGrid w:val="0"/>
                <w:color w:val="auto"/>
                <w:kern w:val="21"/>
                <w:szCs w:val="21"/>
                <w:lang w:val="en-US" w:eastAsia="zh-CN"/>
              </w:rPr>
              <w:t>0.696</w:t>
            </w:r>
          </w:p>
        </w:tc>
        <w:tc>
          <w:tcPr>
            <w:tcW w:w="1276" w:type="dxa"/>
            <w:vAlign w:val="center"/>
          </w:tcPr>
          <w:p w14:paraId="77288E83">
            <w:pPr>
              <w:pStyle w:val="71"/>
              <w:spacing w:beforeLines="0" w:afterLines="0" w:line="240" w:lineRule="auto"/>
              <w:rPr>
                <w:rFonts w:hint="eastAsia" w:ascii="Times New Roman" w:hAnsi="Times New Roman" w:eastAsia="宋体" w:cs="Times New Roman"/>
                <w:snapToGrid w:val="0"/>
                <w:color w:val="auto"/>
                <w:kern w:val="21"/>
                <w:szCs w:val="21"/>
                <w:lang w:val="en-US" w:eastAsia="zh-CN"/>
              </w:rPr>
            </w:pPr>
            <w:r>
              <w:rPr>
                <w:rFonts w:hint="eastAsia" w:ascii="Times New Roman" w:hAnsi="Times New Roman" w:eastAsia="宋体" w:cs="Times New Roman"/>
                <w:snapToGrid w:val="0"/>
                <w:color w:val="auto"/>
                <w:kern w:val="21"/>
                <w:szCs w:val="21"/>
                <w:lang w:val="en-US" w:eastAsia="zh-CN"/>
              </w:rPr>
              <w:t>/</w:t>
            </w:r>
          </w:p>
        </w:tc>
        <w:tc>
          <w:tcPr>
            <w:tcW w:w="1701" w:type="dxa"/>
            <w:vAlign w:val="center"/>
          </w:tcPr>
          <w:p w14:paraId="0E860440">
            <w:pPr>
              <w:spacing w:beforeLines="0" w:afterLines="0" w:line="240" w:lineRule="auto"/>
              <w:jc w:val="center"/>
              <w:rPr>
                <w:rFonts w:hint="eastAsia" w:ascii="Times New Roman" w:hAnsi="Times New Roman" w:eastAsia="宋体" w:cs="Times New Roman"/>
                <w:snapToGrid w:val="0"/>
                <w:color w:val="auto"/>
                <w:kern w:val="21"/>
                <w:szCs w:val="21"/>
                <w:lang w:val="en-US" w:eastAsia="zh-CN"/>
              </w:rPr>
            </w:pPr>
            <w:r>
              <w:rPr>
                <w:rFonts w:hint="eastAsia" w:ascii="Times New Roman" w:hAnsi="Times New Roman" w:eastAsia="宋体" w:cs="Times New Roman"/>
                <w:snapToGrid w:val="0"/>
                <w:color w:val="auto"/>
                <w:kern w:val="21"/>
                <w:szCs w:val="21"/>
                <w:lang w:val="en-US" w:eastAsia="zh-CN"/>
              </w:rPr>
              <w:t>/</w:t>
            </w:r>
          </w:p>
        </w:tc>
        <w:tc>
          <w:tcPr>
            <w:tcW w:w="1559" w:type="dxa"/>
            <w:vAlign w:val="center"/>
          </w:tcPr>
          <w:p w14:paraId="1B96E058">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Cs w:val="21"/>
                <w:lang w:val="en-US" w:eastAsia="zh-CN"/>
              </w:rPr>
            </w:pPr>
            <w:r>
              <w:rPr>
                <w:rFonts w:hint="eastAsia" w:cs="Times New Roman"/>
                <w:color w:val="auto"/>
                <w:sz w:val="21"/>
                <w:szCs w:val="21"/>
                <w:vertAlign w:val="baseline"/>
                <w:lang w:val="en-US" w:eastAsia="zh-CN"/>
              </w:rPr>
              <w:t>0.487</w:t>
            </w:r>
          </w:p>
        </w:tc>
        <w:tc>
          <w:tcPr>
            <w:tcW w:w="1761" w:type="dxa"/>
            <w:vAlign w:val="center"/>
          </w:tcPr>
          <w:p w14:paraId="4940BA0F">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snapToGrid w:val="0"/>
                <w:color w:val="auto"/>
                <w:kern w:val="21"/>
                <w:szCs w:val="21"/>
              </w:rPr>
            </w:pPr>
            <w:r>
              <w:rPr>
                <w:rFonts w:hint="eastAsia" w:cs="Times New Roman"/>
                <w:snapToGrid w:val="0"/>
                <w:color w:val="auto"/>
                <w:kern w:val="21"/>
                <w:szCs w:val="21"/>
                <w:lang w:val="en-US" w:eastAsia="zh-CN"/>
              </w:rPr>
              <w:t>0.696</w:t>
            </w:r>
          </w:p>
        </w:tc>
        <w:tc>
          <w:tcPr>
            <w:tcW w:w="1641" w:type="dxa"/>
            <w:vAlign w:val="center"/>
          </w:tcPr>
          <w:p w14:paraId="140911CD">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Cs w:val="21"/>
                <w:lang w:val="en-US" w:eastAsia="zh-CN"/>
              </w:rPr>
            </w:pPr>
            <w:r>
              <w:rPr>
                <w:rFonts w:hint="eastAsia" w:cs="Times New Roman"/>
                <w:color w:val="auto"/>
                <w:sz w:val="21"/>
                <w:szCs w:val="21"/>
                <w:vertAlign w:val="baseline"/>
                <w:lang w:val="en-US" w:eastAsia="zh-CN"/>
              </w:rPr>
              <w:t>0.487</w:t>
            </w:r>
          </w:p>
        </w:tc>
        <w:tc>
          <w:tcPr>
            <w:tcW w:w="1144" w:type="dxa"/>
            <w:vAlign w:val="center"/>
          </w:tcPr>
          <w:p w14:paraId="49EDAFDD">
            <w:pPr>
              <w:pStyle w:val="88"/>
              <w:ind w:left="0" w:leftChars="0" w:right="0" w:rightChars="0" w:firstLine="0" w:firstLineChars="0"/>
              <w:rPr>
                <w:rFonts w:hint="default" w:eastAsia="宋体"/>
                <w:color w:val="auto"/>
                <w:szCs w:val="21"/>
                <w:lang w:val="en-US" w:eastAsia="zh-CN"/>
              </w:rPr>
            </w:pPr>
            <w:r>
              <w:rPr>
                <w:rFonts w:hint="eastAsia"/>
                <w:color w:val="auto"/>
                <w:szCs w:val="21"/>
                <w:lang w:val="en-US" w:eastAsia="zh-CN"/>
              </w:rPr>
              <w:t>-0.209</w:t>
            </w:r>
          </w:p>
        </w:tc>
      </w:tr>
      <w:tr w14:paraId="680E58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continue"/>
            <w:vAlign w:val="center"/>
          </w:tcPr>
          <w:p w14:paraId="6E137E45">
            <w:pPr>
              <w:pStyle w:val="71"/>
              <w:spacing w:beforeLines="0" w:afterLines="0" w:line="240" w:lineRule="auto"/>
              <w:rPr>
                <w:rFonts w:ascii="Times New Roman" w:hAnsi="Times New Roman" w:eastAsia="宋体" w:cs="Times New Roman"/>
                <w:snapToGrid w:val="0"/>
                <w:color w:val="auto"/>
                <w:kern w:val="21"/>
                <w:szCs w:val="21"/>
              </w:rPr>
            </w:pPr>
          </w:p>
        </w:tc>
        <w:tc>
          <w:tcPr>
            <w:tcW w:w="1984" w:type="dxa"/>
            <w:vAlign w:val="center"/>
          </w:tcPr>
          <w:p w14:paraId="09FF3AC9">
            <w:pPr>
              <w:jc w:val="center"/>
              <w:rPr>
                <w:rFonts w:hint="default" w:eastAsia="宋体"/>
                <w:color w:val="auto"/>
                <w:szCs w:val="21"/>
                <w:lang w:val="en-US" w:eastAsia="zh-CN"/>
              </w:rPr>
            </w:pPr>
            <w:r>
              <w:rPr>
                <w:rFonts w:hint="eastAsia"/>
                <w:color w:val="auto"/>
                <w:szCs w:val="21"/>
                <w:lang w:val="en-US" w:eastAsia="zh-CN"/>
              </w:rPr>
              <w:t>VOCs</w:t>
            </w:r>
          </w:p>
        </w:tc>
        <w:tc>
          <w:tcPr>
            <w:tcW w:w="1701" w:type="dxa"/>
            <w:vAlign w:val="center"/>
          </w:tcPr>
          <w:p w14:paraId="76734A88">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0.038</w:t>
            </w:r>
          </w:p>
        </w:tc>
        <w:tc>
          <w:tcPr>
            <w:tcW w:w="1276" w:type="dxa"/>
            <w:vAlign w:val="center"/>
          </w:tcPr>
          <w:p w14:paraId="626CDA46">
            <w:pPr>
              <w:pStyle w:val="71"/>
              <w:spacing w:beforeLines="0" w:afterLines="0" w:line="240" w:lineRule="auto"/>
              <w:rPr>
                <w:rFonts w:hint="eastAsia" w:ascii="Times New Roman" w:hAnsi="Times New Roman" w:eastAsia="宋体" w:cs="Times New Roman"/>
                <w:snapToGrid w:val="0"/>
                <w:color w:val="auto"/>
                <w:kern w:val="21"/>
                <w:szCs w:val="21"/>
                <w:lang w:val="en-US" w:eastAsia="zh-CN"/>
              </w:rPr>
            </w:pPr>
            <w:r>
              <w:rPr>
                <w:rFonts w:hint="eastAsia" w:ascii="Times New Roman" w:hAnsi="Times New Roman" w:eastAsia="宋体" w:cs="Times New Roman"/>
                <w:snapToGrid w:val="0"/>
                <w:color w:val="auto"/>
                <w:kern w:val="21"/>
                <w:szCs w:val="21"/>
                <w:lang w:val="en-US" w:eastAsia="zh-CN"/>
              </w:rPr>
              <w:t>/</w:t>
            </w:r>
          </w:p>
        </w:tc>
        <w:tc>
          <w:tcPr>
            <w:tcW w:w="1701" w:type="dxa"/>
            <w:vAlign w:val="center"/>
          </w:tcPr>
          <w:p w14:paraId="7A131931">
            <w:pPr>
              <w:spacing w:beforeLines="0" w:afterLines="0" w:line="240" w:lineRule="auto"/>
              <w:jc w:val="center"/>
              <w:rPr>
                <w:rFonts w:hint="eastAsia" w:ascii="Times New Roman" w:hAnsi="Times New Roman" w:eastAsia="宋体" w:cs="Times New Roman"/>
                <w:snapToGrid w:val="0"/>
                <w:color w:val="auto"/>
                <w:kern w:val="21"/>
                <w:szCs w:val="21"/>
                <w:lang w:val="en-US" w:eastAsia="zh-CN"/>
              </w:rPr>
            </w:pPr>
            <w:r>
              <w:rPr>
                <w:rFonts w:hint="eastAsia" w:ascii="Times New Roman" w:hAnsi="Times New Roman" w:eastAsia="宋体" w:cs="Times New Roman"/>
                <w:snapToGrid w:val="0"/>
                <w:color w:val="auto"/>
                <w:kern w:val="21"/>
                <w:szCs w:val="21"/>
                <w:lang w:val="en-US" w:eastAsia="zh-CN"/>
              </w:rPr>
              <w:t>/</w:t>
            </w:r>
          </w:p>
        </w:tc>
        <w:tc>
          <w:tcPr>
            <w:tcW w:w="1559" w:type="dxa"/>
            <w:vAlign w:val="center"/>
          </w:tcPr>
          <w:p w14:paraId="6013289F">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0</w:t>
            </w:r>
          </w:p>
        </w:tc>
        <w:tc>
          <w:tcPr>
            <w:tcW w:w="1761" w:type="dxa"/>
            <w:vAlign w:val="center"/>
          </w:tcPr>
          <w:p w14:paraId="1FC4566E">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0.023</w:t>
            </w:r>
          </w:p>
        </w:tc>
        <w:tc>
          <w:tcPr>
            <w:tcW w:w="1641" w:type="dxa"/>
            <w:vAlign w:val="center"/>
          </w:tcPr>
          <w:p w14:paraId="2B895E16">
            <w:pPr>
              <w:pStyle w:val="88"/>
              <w:ind w:left="0" w:leftChars="0" w:right="0" w:rightChars="0" w:firstLine="0" w:firstLineChars="0"/>
              <w:rPr>
                <w:rFonts w:hint="default" w:eastAsia="宋体"/>
                <w:color w:val="auto"/>
                <w:szCs w:val="21"/>
                <w:lang w:val="en-US" w:eastAsia="zh-CN"/>
              </w:rPr>
            </w:pPr>
            <w:r>
              <w:rPr>
                <w:rFonts w:hint="eastAsia"/>
                <w:color w:val="auto"/>
                <w:szCs w:val="21"/>
                <w:lang w:val="en-US" w:eastAsia="zh-CN"/>
              </w:rPr>
              <w:t>0.015</w:t>
            </w:r>
          </w:p>
        </w:tc>
        <w:tc>
          <w:tcPr>
            <w:tcW w:w="1144" w:type="dxa"/>
            <w:vAlign w:val="center"/>
          </w:tcPr>
          <w:p w14:paraId="027BE952">
            <w:pPr>
              <w:pStyle w:val="88"/>
              <w:ind w:left="0" w:leftChars="0" w:right="0" w:rightChars="0" w:firstLine="0" w:firstLineChars="0"/>
              <w:rPr>
                <w:rFonts w:hint="default" w:eastAsia="宋体"/>
                <w:color w:val="auto"/>
                <w:szCs w:val="21"/>
                <w:lang w:val="en-US" w:eastAsia="zh-CN"/>
              </w:rPr>
            </w:pPr>
            <w:r>
              <w:rPr>
                <w:rFonts w:hint="eastAsia"/>
                <w:color w:val="auto"/>
                <w:szCs w:val="21"/>
                <w:lang w:val="en-US" w:eastAsia="zh-CN"/>
              </w:rPr>
              <w:t>-0.023</w:t>
            </w:r>
          </w:p>
        </w:tc>
      </w:tr>
      <w:tr w14:paraId="7471D6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restart"/>
            <w:vAlign w:val="center"/>
          </w:tcPr>
          <w:p w14:paraId="2A94127B">
            <w:pPr>
              <w:pStyle w:val="71"/>
              <w:spacing w:beforeLines="0" w:afterLines="0" w:line="240" w:lineRule="auto"/>
              <w:rPr>
                <w:rFonts w:ascii="Times New Roman" w:hAnsi="Times New Roman" w:eastAsia="宋体" w:cs="Times New Roman"/>
                <w:snapToGrid w:val="0"/>
                <w:color w:val="auto"/>
                <w:kern w:val="21"/>
                <w:szCs w:val="21"/>
              </w:rPr>
            </w:pPr>
            <w:r>
              <w:rPr>
                <w:rFonts w:ascii="Times New Roman" w:hAnsi="Times New Roman" w:eastAsia="宋体" w:cs="Times New Roman"/>
                <w:snapToGrid w:val="0"/>
                <w:color w:val="auto"/>
                <w:kern w:val="21"/>
                <w:szCs w:val="21"/>
              </w:rPr>
              <w:t>废水</w:t>
            </w:r>
          </w:p>
        </w:tc>
        <w:tc>
          <w:tcPr>
            <w:tcW w:w="1984" w:type="dxa"/>
            <w:vAlign w:val="center"/>
          </w:tcPr>
          <w:p w14:paraId="645DE3A9">
            <w:pPr>
              <w:pStyle w:val="18"/>
              <w:jc w:val="center"/>
              <w:rPr>
                <w:rFonts w:hAnsi="Times New Roman"/>
                <w:color w:val="auto"/>
              </w:rPr>
            </w:pPr>
            <w:r>
              <w:rPr>
                <w:rFonts w:hint="eastAsia" w:hAnsi="Times New Roman"/>
                <w:color w:val="auto"/>
              </w:rPr>
              <w:t>废水量</w:t>
            </w:r>
          </w:p>
        </w:tc>
        <w:tc>
          <w:tcPr>
            <w:tcW w:w="1701" w:type="dxa"/>
            <w:vAlign w:val="center"/>
          </w:tcPr>
          <w:p w14:paraId="0CA4FFBF">
            <w:pPr>
              <w:keepNext w:val="0"/>
              <w:keepLines w:val="0"/>
              <w:widowControl/>
              <w:suppressLineNumbers w:val="0"/>
              <w:jc w:val="center"/>
              <w:textAlignment w:val="center"/>
              <w:rPr>
                <w:rFonts w:ascii="Times New Roman" w:hAnsi="Times New Roman" w:eastAsia="宋体" w:cs="Times New Roman"/>
                <w:snapToGrid w:val="0"/>
                <w:color w:val="auto"/>
                <w:kern w:val="21"/>
                <w:szCs w:val="21"/>
              </w:rPr>
            </w:pPr>
            <w:r>
              <w:rPr>
                <w:rFonts w:hint="eastAsia" w:cs="Times New Roman"/>
                <w:color w:val="auto"/>
                <w:kern w:val="2"/>
                <w:sz w:val="21"/>
                <w:szCs w:val="21"/>
                <w:vertAlign w:val="baseline"/>
                <w:lang w:val="en-US" w:eastAsia="zh-CN" w:bidi="ar-SA"/>
              </w:rPr>
              <w:t>0</w:t>
            </w:r>
          </w:p>
        </w:tc>
        <w:tc>
          <w:tcPr>
            <w:tcW w:w="1276" w:type="dxa"/>
            <w:vAlign w:val="center"/>
          </w:tcPr>
          <w:p w14:paraId="21A0ED66">
            <w:pPr>
              <w:spacing w:beforeLines="0" w:afterLines="0" w:line="240" w:lineRule="auto"/>
              <w:jc w:val="center"/>
              <w:rPr>
                <w:rFonts w:ascii="Times New Roman" w:hAnsi="Times New Roman" w:eastAsia="宋体" w:cs="Times New Roman"/>
                <w:snapToGrid w:val="0"/>
                <w:color w:val="auto"/>
                <w:kern w:val="21"/>
                <w:szCs w:val="21"/>
              </w:rPr>
            </w:pPr>
            <w:r>
              <w:rPr>
                <w:rFonts w:hint="eastAsia" w:ascii="Times New Roman" w:hAnsi="Times New Roman" w:eastAsia="宋体" w:cs="Times New Roman"/>
                <w:snapToGrid w:val="0"/>
                <w:color w:val="auto"/>
                <w:kern w:val="21"/>
                <w:szCs w:val="21"/>
                <w:lang w:val="en-US" w:eastAsia="zh-CN"/>
              </w:rPr>
              <w:t>/</w:t>
            </w:r>
          </w:p>
        </w:tc>
        <w:tc>
          <w:tcPr>
            <w:tcW w:w="1701" w:type="dxa"/>
            <w:vAlign w:val="center"/>
          </w:tcPr>
          <w:p w14:paraId="05EA9556">
            <w:pPr>
              <w:spacing w:beforeLines="0" w:afterLines="0" w:line="240" w:lineRule="auto"/>
              <w:jc w:val="center"/>
              <w:rPr>
                <w:rFonts w:ascii="Times New Roman" w:hAnsi="Times New Roman" w:eastAsia="宋体" w:cs="Times New Roman"/>
                <w:snapToGrid w:val="0"/>
                <w:color w:val="auto"/>
                <w:kern w:val="21"/>
                <w:szCs w:val="21"/>
              </w:rPr>
            </w:pPr>
            <w:r>
              <w:rPr>
                <w:rFonts w:hint="eastAsia" w:ascii="Times New Roman" w:hAnsi="Times New Roman" w:eastAsia="宋体" w:cs="Times New Roman"/>
                <w:snapToGrid w:val="0"/>
                <w:color w:val="auto"/>
                <w:kern w:val="21"/>
                <w:szCs w:val="21"/>
                <w:lang w:val="en-US" w:eastAsia="zh-CN"/>
              </w:rPr>
              <w:t>/</w:t>
            </w:r>
          </w:p>
        </w:tc>
        <w:tc>
          <w:tcPr>
            <w:tcW w:w="1559" w:type="dxa"/>
            <w:vAlign w:val="center"/>
          </w:tcPr>
          <w:p w14:paraId="65A18DCF">
            <w:pPr>
              <w:adjustRightInd w:val="0"/>
              <w:snapToGrid w:val="0"/>
              <w:jc w:val="center"/>
              <w:rPr>
                <w:rFonts w:hint="default" w:eastAsia="宋体"/>
                <w:color w:val="auto"/>
                <w:szCs w:val="21"/>
                <w:lang w:val="en-US" w:eastAsia="zh-CN" w:bidi="ar"/>
              </w:rPr>
            </w:pPr>
            <w:r>
              <w:rPr>
                <w:rFonts w:hint="eastAsia"/>
                <w:color w:val="auto"/>
                <w:szCs w:val="21"/>
                <w:lang w:val="en-US" w:eastAsia="zh-CN" w:bidi="ar"/>
              </w:rPr>
              <w:t>0</w:t>
            </w:r>
          </w:p>
        </w:tc>
        <w:tc>
          <w:tcPr>
            <w:tcW w:w="1761" w:type="dxa"/>
            <w:vAlign w:val="center"/>
          </w:tcPr>
          <w:p w14:paraId="5C441425">
            <w:pPr>
              <w:adjustRightInd w:val="0"/>
              <w:snapToGrid w:val="0"/>
              <w:jc w:val="center"/>
              <w:rPr>
                <w:rFonts w:hint="default" w:eastAsia="宋体"/>
                <w:snapToGrid w:val="0"/>
                <w:color w:val="auto"/>
                <w:kern w:val="21"/>
                <w:szCs w:val="21"/>
                <w:lang w:val="en-US" w:eastAsia="zh-CN"/>
              </w:rPr>
            </w:pPr>
            <w:r>
              <w:rPr>
                <w:rFonts w:hint="eastAsia" w:ascii="Times New Roman" w:hAnsi="Times New Roman" w:eastAsia="宋体" w:cs="Times New Roman"/>
                <w:snapToGrid w:val="0"/>
                <w:color w:val="auto"/>
                <w:kern w:val="21"/>
                <w:szCs w:val="21"/>
                <w:lang w:val="en-US" w:eastAsia="zh-CN"/>
              </w:rPr>
              <w:t>0</w:t>
            </w:r>
          </w:p>
        </w:tc>
        <w:tc>
          <w:tcPr>
            <w:tcW w:w="1641" w:type="dxa"/>
            <w:vAlign w:val="center"/>
          </w:tcPr>
          <w:p w14:paraId="395F040B">
            <w:pPr>
              <w:keepNext w:val="0"/>
              <w:keepLines w:val="0"/>
              <w:widowControl/>
              <w:suppressLineNumbers w:val="0"/>
              <w:jc w:val="center"/>
              <w:textAlignment w:val="center"/>
              <w:rPr>
                <w:rFonts w:hint="default" w:eastAsia="宋体"/>
                <w:color w:val="auto"/>
                <w:szCs w:val="21"/>
                <w:lang w:val="en-US" w:eastAsia="zh-CN" w:bidi="ar"/>
              </w:rPr>
            </w:pPr>
            <w:r>
              <w:rPr>
                <w:rFonts w:hint="eastAsia"/>
                <w:color w:val="auto"/>
                <w:szCs w:val="21"/>
                <w:lang w:val="en-US" w:eastAsia="zh-CN" w:bidi="ar"/>
              </w:rPr>
              <w:t>0</w:t>
            </w:r>
          </w:p>
        </w:tc>
        <w:tc>
          <w:tcPr>
            <w:tcW w:w="1144" w:type="dxa"/>
            <w:vAlign w:val="center"/>
          </w:tcPr>
          <w:p w14:paraId="2BF8D289">
            <w:pPr>
              <w:adjustRightInd w:val="0"/>
              <w:snapToGrid w:val="0"/>
              <w:jc w:val="center"/>
              <w:rPr>
                <w:rFonts w:hint="default" w:eastAsia="宋体"/>
                <w:color w:val="auto"/>
                <w:szCs w:val="21"/>
                <w:lang w:val="en-US" w:eastAsia="zh-CN" w:bidi="ar"/>
              </w:rPr>
            </w:pPr>
            <w:r>
              <w:rPr>
                <w:rFonts w:hint="eastAsia"/>
                <w:color w:val="auto"/>
                <w:szCs w:val="21"/>
                <w:lang w:val="en-US" w:eastAsia="zh-CN" w:bidi="ar"/>
              </w:rPr>
              <w:t>0</w:t>
            </w:r>
          </w:p>
        </w:tc>
      </w:tr>
      <w:tr w14:paraId="05E444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continue"/>
            <w:vAlign w:val="center"/>
          </w:tcPr>
          <w:p w14:paraId="1E3E0CE9">
            <w:pPr>
              <w:pStyle w:val="71"/>
              <w:spacing w:beforeLines="0" w:afterLines="0" w:line="240" w:lineRule="auto"/>
              <w:rPr>
                <w:rFonts w:ascii="Times New Roman" w:hAnsi="Times New Roman" w:eastAsia="宋体" w:cs="Times New Roman"/>
                <w:snapToGrid w:val="0"/>
                <w:color w:val="auto"/>
                <w:kern w:val="21"/>
                <w:szCs w:val="21"/>
              </w:rPr>
            </w:pPr>
          </w:p>
        </w:tc>
        <w:tc>
          <w:tcPr>
            <w:tcW w:w="1984" w:type="dxa"/>
            <w:vAlign w:val="center"/>
          </w:tcPr>
          <w:p w14:paraId="75006C47">
            <w:pPr>
              <w:pStyle w:val="18"/>
              <w:jc w:val="center"/>
              <w:rPr>
                <w:rFonts w:hAnsi="Times New Roman"/>
                <w:color w:val="auto"/>
              </w:rPr>
            </w:pPr>
            <w:r>
              <w:rPr>
                <w:rFonts w:hAnsi="Times New Roman"/>
                <w:color w:val="auto"/>
              </w:rPr>
              <w:t>COD</w:t>
            </w:r>
            <w:r>
              <w:rPr>
                <w:rFonts w:hAnsi="Times New Roman"/>
                <w:color w:val="auto"/>
                <w:vertAlign w:val="subscript"/>
              </w:rPr>
              <w:t>Cr</w:t>
            </w:r>
          </w:p>
        </w:tc>
        <w:tc>
          <w:tcPr>
            <w:tcW w:w="1701" w:type="dxa"/>
            <w:vAlign w:val="center"/>
          </w:tcPr>
          <w:p w14:paraId="4A5E6FE3">
            <w:pPr>
              <w:keepNext w:val="0"/>
              <w:keepLines w:val="0"/>
              <w:widowControl/>
              <w:suppressLineNumbers w:val="0"/>
              <w:jc w:val="center"/>
              <w:textAlignment w:val="center"/>
              <w:rPr>
                <w:rFonts w:ascii="Times New Roman" w:hAnsi="Times New Roman" w:eastAsia="宋体" w:cs="Times New Roman"/>
                <w:snapToGrid w:val="0"/>
                <w:color w:val="auto"/>
                <w:kern w:val="21"/>
                <w:szCs w:val="21"/>
              </w:rPr>
            </w:pPr>
            <w:r>
              <w:rPr>
                <w:rFonts w:hint="eastAsia" w:cs="Times New Roman"/>
                <w:color w:val="auto"/>
                <w:kern w:val="2"/>
                <w:sz w:val="21"/>
                <w:szCs w:val="21"/>
                <w:vertAlign w:val="baseline"/>
                <w:lang w:val="en-US" w:eastAsia="zh-CN" w:bidi="ar-SA"/>
              </w:rPr>
              <w:t>0</w:t>
            </w:r>
          </w:p>
        </w:tc>
        <w:tc>
          <w:tcPr>
            <w:tcW w:w="1276" w:type="dxa"/>
            <w:vAlign w:val="center"/>
          </w:tcPr>
          <w:p w14:paraId="272045F6">
            <w:pPr>
              <w:spacing w:beforeLines="0" w:afterLines="0" w:line="240" w:lineRule="auto"/>
              <w:jc w:val="center"/>
              <w:rPr>
                <w:rFonts w:ascii="Times New Roman" w:hAnsi="Times New Roman" w:eastAsia="宋体" w:cs="Times New Roman"/>
                <w:snapToGrid w:val="0"/>
                <w:color w:val="auto"/>
                <w:kern w:val="21"/>
                <w:szCs w:val="21"/>
              </w:rPr>
            </w:pPr>
            <w:r>
              <w:rPr>
                <w:rFonts w:hint="eastAsia" w:ascii="Times New Roman" w:hAnsi="Times New Roman" w:eastAsia="宋体" w:cs="Times New Roman"/>
                <w:snapToGrid w:val="0"/>
                <w:color w:val="auto"/>
                <w:kern w:val="21"/>
                <w:szCs w:val="21"/>
                <w:lang w:val="en-US" w:eastAsia="zh-CN"/>
              </w:rPr>
              <w:t>/</w:t>
            </w:r>
          </w:p>
        </w:tc>
        <w:tc>
          <w:tcPr>
            <w:tcW w:w="1701" w:type="dxa"/>
            <w:vAlign w:val="center"/>
          </w:tcPr>
          <w:p w14:paraId="0F2247FF">
            <w:pPr>
              <w:spacing w:beforeLines="0" w:afterLines="0" w:line="240" w:lineRule="auto"/>
              <w:jc w:val="center"/>
              <w:rPr>
                <w:rFonts w:ascii="Times New Roman" w:hAnsi="Times New Roman" w:eastAsia="宋体" w:cs="Times New Roman"/>
                <w:snapToGrid w:val="0"/>
                <w:color w:val="auto"/>
                <w:kern w:val="21"/>
                <w:szCs w:val="21"/>
              </w:rPr>
            </w:pPr>
            <w:r>
              <w:rPr>
                <w:rFonts w:hint="eastAsia" w:ascii="Times New Roman" w:hAnsi="Times New Roman" w:eastAsia="宋体" w:cs="Times New Roman"/>
                <w:snapToGrid w:val="0"/>
                <w:color w:val="auto"/>
                <w:kern w:val="21"/>
                <w:szCs w:val="21"/>
                <w:lang w:val="en-US" w:eastAsia="zh-CN"/>
              </w:rPr>
              <w:t>/</w:t>
            </w:r>
          </w:p>
        </w:tc>
        <w:tc>
          <w:tcPr>
            <w:tcW w:w="1559" w:type="dxa"/>
            <w:vAlign w:val="center"/>
          </w:tcPr>
          <w:p w14:paraId="417F16BE">
            <w:pPr>
              <w:adjustRightInd w:val="0"/>
              <w:snapToGrid w:val="0"/>
              <w:jc w:val="center"/>
              <w:rPr>
                <w:rFonts w:hint="default" w:eastAsia="宋体"/>
                <w:color w:val="auto"/>
                <w:szCs w:val="21"/>
                <w:lang w:val="en-US" w:eastAsia="zh-CN" w:bidi="ar"/>
              </w:rPr>
            </w:pPr>
            <w:r>
              <w:rPr>
                <w:rFonts w:hint="eastAsia"/>
                <w:color w:val="auto"/>
                <w:szCs w:val="21"/>
                <w:lang w:val="en-US" w:eastAsia="zh-CN" w:bidi="ar"/>
              </w:rPr>
              <w:t>0</w:t>
            </w:r>
          </w:p>
        </w:tc>
        <w:tc>
          <w:tcPr>
            <w:tcW w:w="1761" w:type="dxa"/>
            <w:vAlign w:val="center"/>
          </w:tcPr>
          <w:p w14:paraId="4B3843DB">
            <w:pPr>
              <w:adjustRightInd w:val="0"/>
              <w:snapToGrid w:val="0"/>
              <w:jc w:val="center"/>
              <w:rPr>
                <w:rFonts w:hint="default" w:eastAsia="宋体"/>
                <w:snapToGrid w:val="0"/>
                <w:color w:val="auto"/>
                <w:kern w:val="21"/>
                <w:szCs w:val="21"/>
                <w:lang w:val="en-US" w:eastAsia="zh-CN"/>
              </w:rPr>
            </w:pPr>
            <w:r>
              <w:rPr>
                <w:rFonts w:hint="eastAsia" w:ascii="Times New Roman" w:hAnsi="Times New Roman" w:eastAsia="宋体" w:cs="Times New Roman"/>
                <w:snapToGrid w:val="0"/>
                <w:color w:val="auto"/>
                <w:kern w:val="21"/>
                <w:szCs w:val="21"/>
                <w:lang w:val="en-US" w:eastAsia="zh-CN"/>
              </w:rPr>
              <w:t>0</w:t>
            </w:r>
          </w:p>
        </w:tc>
        <w:tc>
          <w:tcPr>
            <w:tcW w:w="1641" w:type="dxa"/>
            <w:vAlign w:val="center"/>
          </w:tcPr>
          <w:p w14:paraId="1022E83E">
            <w:pPr>
              <w:keepNext w:val="0"/>
              <w:keepLines w:val="0"/>
              <w:widowControl/>
              <w:suppressLineNumbers w:val="0"/>
              <w:jc w:val="center"/>
              <w:textAlignment w:val="center"/>
              <w:rPr>
                <w:rFonts w:hint="default" w:eastAsia="宋体"/>
                <w:color w:val="auto"/>
                <w:szCs w:val="21"/>
                <w:lang w:val="en-US" w:eastAsia="zh-CN" w:bidi="ar"/>
              </w:rPr>
            </w:pPr>
            <w:r>
              <w:rPr>
                <w:rFonts w:hint="eastAsia"/>
                <w:color w:val="auto"/>
                <w:szCs w:val="21"/>
                <w:lang w:val="en-US" w:eastAsia="zh-CN" w:bidi="ar"/>
              </w:rPr>
              <w:t>0</w:t>
            </w:r>
          </w:p>
        </w:tc>
        <w:tc>
          <w:tcPr>
            <w:tcW w:w="1144" w:type="dxa"/>
            <w:vAlign w:val="center"/>
          </w:tcPr>
          <w:p w14:paraId="1AED3B5F">
            <w:pPr>
              <w:adjustRightInd w:val="0"/>
              <w:snapToGrid w:val="0"/>
              <w:jc w:val="center"/>
              <w:rPr>
                <w:rFonts w:hint="default" w:eastAsia="宋体"/>
                <w:color w:val="auto"/>
                <w:szCs w:val="21"/>
                <w:lang w:val="en-US" w:eastAsia="zh-CN" w:bidi="ar"/>
              </w:rPr>
            </w:pPr>
            <w:r>
              <w:rPr>
                <w:rFonts w:hint="eastAsia"/>
                <w:color w:val="auto"/>
                <w:szCs w:val="21"/>
                <w:lang w:val="en-US" w:eastAsia="zh-CN" w:bidi="ar"/>
              </w:rPr>
              <w:t>0</w:t>
            </w:r>
          </w:p>
        </w:tc>
      </w:tr>
      <w:tr w14:paraId="5E419A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continue"/>
            <w:vAlign w:val="center"/>
          </w:tcPr>
          <w:p w14:paraId="32014A59">
            <w:pPr>
              <w:pStyle w:val="71"/>
              <w:spacing w:beforeLines="0" w:afterLines="0" w:line="240" w:lineRule="auto"/>
              <w:rPr>
                <w:rFonts w:ascii="Times New Roman" w:hAnsi="Times New Roman" w:eastAsia="宋体" w:cs="Times New Roman"/>
                <w:snapToGrid w:val="0"/>
                <w:color w:val="auto"/>
                <w:kern w:val="21"/>
                <w:szCs w:val="21"/>
              </w:rPr>
            </w:pPr>
          </w:p>
        </w:tc>
        <w:tc>
          <w:tcPr>
            <w:tcW w:w="1984" w:type="dxa"/>
            <w:vAlign w:val="center"/>
          </w:tcPr>
          <w:p w14:paraId="008DA760">
            <w:pPr>
              <w:pStyle w:val="18"/>
              <w:jc w:val="center"/>
              <w:rPr>
                <w:rFonts w:hAnsi="Times New Roman"/>
                <w:color w:val="auto"/>
              </w:rPr>
            </w:pPr>
            <w:r>
              <w:rPr>
                <w:rFonts w:hAnsi="Times New Roman"/>
                <w:color w:val="auto"/>
              </w:rPr>
              <w:t>NH</w:t>
            </w:r>
            <w:r>
              <w:rPr>
                <w:rFonts w:hAnsi="Times New Roman"/>
                <w:color w:val="auto"/>
                <w:vertAlign w:val="subscript"/>
              </w:rPr>
              <w:t>3</w:t>
            </w:r>
            <w:r>
              <w:rPr>
                <w:rFonts w:hAnsi="Times New Roman"/>
                <w:color w:val="auto"/>
              </w:rPr>
              <w:t>-N</w:t>
            </w:r>
          </w:p>
        </w:tc>
        <w:tc>
          <w:tcPr>
            <w:tcW w:w="1701" w:type="dxa"/>
            <w:vAlign w:val="center"/>
          </w:tcPr>
          <w:p w14:paraId="348BEDD2">
            <w:pPr>
              <w:keepNext w:val="0"/>
              <w:keepLines w:val="0"/>
              <w:widowControl/>
              <w:suppressLineNumbers w:val="0"/>
              <w:jc w:val="center"/>
              <w:textAlignment w:val="center"/>
              <w:rPr>
                <w:rFonts w:ascii="Times New Roman" w:hAnsi="Times New Roman" w:eastAsia="宋体" w:cs="Times New Roman"/>
                <w:snapToGrid w:val="0"/>
                <w:color w:val="auto"/>
                <w:kern w:val="21"/>
                <w:szCs w:val="21"/>
              </w:rPr>
            </w:pPr>
            <w:r>
              <w:rPr>
                <w:rFonts w:hint="eastAsia" w:cs="Times New Roman"/>
                <w:color w:val="auto"/>
                <w:kern w:val="2"/>
                <w:sz w:val="21"/>
                <w:szCs w:val="21"/>
                <w:vertAlign w:val="baseline"/>
                <w:lang w:val="en-US" w:eastAsia="zh-CN" w:bidi="ar-SA"/>
              </w:rPr>
              <w:t>0</w:t>
            </w:r>
          </w:p>
        </w:tc>
        <w:tc>
          <w:tcPr>
            <w:tcW w:w="1276" w:type="dxa"/>
            <w:vAlign w:val="center"/>
          </w:tcPr>
          <w:p w14:paraId="0A72268A">
            <w:pPr>
              <w:spacing w:beforeLines="0" w:afterLines="0" w:line="240" w:lineRule="auto"/>
              <w:jc w:val="center"/>
              <w:rPr>
                <w:rFonts w:ascii="Times New Roman" w:hAnsi="Times New Roman" w:eastAsia="宋体" w:cs="Times New Roman"/>
                <w:snapToGrid w:val="0"/>
                <w:color w:val="auto"/>
                <w:kern w:val="21"/>
                <w:szCs w:val="21"/>
              </w:rPr>
            </w:pPr>
            <w:r>
              <w:rPr>
                <w:rFonts w:hint="eastAsia" w:ascii="Times New Roman" w:hAnsi="Times New Roman" w:eastAsia="宋体" w:cs="Times New Roman"/>
                <w:snapToGrid w:val="0"/>
                <w:color w:val="auto"/>
                <w:kern w:val="21"/>
                <w:szCs w:val="21"/>
                <w:lang w:val="en-US" w:eastAsia="zh-CN"/>
              </w:rPr>
              <w:t>/</w:t>
            </w:r>
          </w:p>
        </w:tc>
        <w:tc>
          <w:tcPr>
            <w:tcW w:w="1701" w:type="dxa"/>
            <w:vAlign w:val="center"/>
          </w:tcPr>
          <w:p w14:paraId="32F12B38">
            <w:pPr>
              <w:spacing w:beforeLines="0" w:afterLines="0" w:line="240" w:lineRule="auto"/>
              <w:jc w:val="center"/>
              <w:rPr>
                <w:rFonts w:ascii="Times New Roman" w:hAnsi="Times New Roman" w:eastAsia="宋体" w:cs="Times New Roman"/>
                <w:snapToGrid w:val="0"/>
                <w:color w:val="auto"/>
                <w:kern w:val="21"/>
                <w:szCs w:val="21"/>
              </w:rPr>
            </w:pPr>
            <w:r>
              <w:rPr>
                <w:rFonts w:hint="eastAsia" w:ascii="Times New Roman" w:hAnsi="Times New Roman" w:eastAsia="宋体" w:cs="Times New Roman"/>
                <w:snapToGrid w:val="0"/>
                <w:color w:val="auto"/>
                <w:kern w:val="21"/>
                <w:szCs w:val="21"/>
                <w:lang w:val="en-US" w:eastAsia="zh-CN"/>
              </w:rPr>
              <w:t>/</w:t>
            </w:r>
          </w:p>
        </w:tc>
        <w:tc>
          <w:tcPr>
            <w:tcW w:w="1559" w:type="dxa"/>
            <w:vAlign w:val="center"/>
          </w:tcPr>
          <w:p w14:paraId="6B213FB4">
            <w:pPr>
              <w:adjustRightInd w:val="0"/>
              <w:snapToGrid w:val="0"/>
              <w:jc w:val="center"/>
              <w:rPr>
                <w:rFonts w:hint="eastAsia" w:eastAsia="宋体"/>
                <w:color w:val="auto"/>
                <w:szCs w:val="21"/>
                <w:lang w:val="en-US" w:eastAsia="zh-CN" w:bidi="ar"/>
              </w:rPr>
            </w:pPr>
            <w:r>
              <w:rPr>
                <w:rFonts w:hint="eastAsia"/>
                <w:color w:val="auto"/>
                <w:szCs w:val="21"/>
                <w:lang w:val="en-US" w:eastAsia="zh-CN" w:bidi="ar"/>
              </w:rPr>
              <w:t>0</w:t>
            </w:r>
          </w:p>
        </w:tc>
        <w:tc>
          <w:tcPr>
            <w:tcW w:w="1761" w:type="dxa"/>
            <w:vAlign w:val="center"/>
          </w:tcPr>
          <w:p w14:paraId="0A1D7616">
            <w:pPr>
              <w:adjustRightInd w:val="0"/>
              <w:snapToGrid w:val="0"/>
              <w:jc w:val="center"/>
              <w:rPr>
                <w:rFonts w:hint="eastAsia" w:eastAsia="宋体"/>
                <w:snapToGrid w:val="0"/>
                <w:color w:val="auto"/>
                <w:kern w:val="21"/>
                <w:szCs w:val="21"/>
                <w:lang w:val="en-US" w:eastAsia="zh-CN"/>
              </w:rPr>
            </w:pPr>
            <w:r>
              <w:rPr>
                <w:rFonts w:hint="eastAsia" w:ascii="Times New Roman" w:hAnsi="Times New Roman" w:eastAsia="宋体" w:cs="Times New Roman"/>
                <w:snapToGrid w:val="0"/>
                <w:color w:val="auto"/>
                <w:kern w:val="21"/>
                <w:szCs w:val="21"/>
                <w:lang w:val="en-US" w:eastAsia="zh-CN"/>
              </w:rPr>
              <w:t>0</w:t>
            </w:r>
          </w:p>
        </w:tc>
        <w:tc>
          <w:tcPr>
            <w:tcW w:w="1641" w:type="dxa"/>
            <w:vAlign w:val="center"/>
          </w:tcPr>
          <w:p w14:paraId="7AB745C1">
            <w:pPr>
              <w:keepNext w:val="0"/>
              <w:keepLines w:val="0"/>
              <w:widowControl/>
              <w:suppressLineNumbers w:val="0"/>
              <w:jc w:val="center"/>
              <w:textAlignment w:val="center"/>
              <w:rPr>
                <w:rFonts w:hint="eastAsia" w:eastAsia="宋体"/>
                <w:color w:val="auto"/>
                <w:szCs w:val="21"/>
                <w:lang w:val="en-US" w:eastAsia="zh-CN" w:bidi="ar"/>
              </w:rPr>
            </w:pPr>
            <w:r>
              <w:rPr>
                <w:rFonts w:hint="eastAsia"/>
                <w:color w:val="auto"/>
                <w:szCs w:val="21"/>
                <w:lang w:val="en-US" w:eastAsia="zh-CN" w:bidi="ar"/>
              </w:rPr>
              <w:t>0</w:t>
            </w:r>
          </w:p>
        </w:tc>
        <w:tc>
          <w:tcPr>
            <w:tcW w:w="1144" w:type="dxa"/>
            <w:vAlign w:val="center"/>
          </w:tcPr>
          <w:p w14:paraId="2E4F51B8">
            <w:pPr>
              <w:adjustRightInd w:val="0"/>
              <w:snapToGrid w:val="0"/>
              <w:jc w:val="center"/>
              <w:rPr>
                <w:rFonts w:hint="eastAsia" w:eastAsia="宋体"/>
                <w:color w:val="auto"/>
                <w:szCs w:val="21"/>
                <w:lang w:val="en-US" w:eastAsia="zh-CN" w:bidi="ar"/>
              </w:rPr>
            </w:pPr>
            <w:r>
              <w:rPr>
                <w:rFonts w:hint="eastAsia"/>
                <w:color w:val="auto"/>
                <w:szCs w:val="21"/>
                <w:lang w:val="en-US" w:eastAsia="zh-CN" w:bidi="ar"/>
              </w:rPr>
              <w:t>0</w:t>
            </w:r>
          </w:p>
        </w:tc>
      </w:tr>
      <w:tr w14:paraId="5A180E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restart"/>
            <w:vAlign w:val="center"/>
          </w:tcPr>
          <w:p w14:paraId="6E18C54E">
            <w:pPr>
              <w:pStyle w:val="71"/>
              <w:spacing w:beforeLines="0" w:afterLines="0" w:line="240" w:lineRule="auto"/>
              <w:rPr>
                <w:rFonts w:ascii="Times New Roman" w:hAnsi="Times New Roman" w:eastAsia="宋体" w:cs="Times New Roman"/>
                <w:snapToGrid w:val="0"/>
                <w:color w:val="auto"/>
                <w:kern w:val="21"/>
                <w:szCs w:val="21"/>
              </w:rPr>
            </w:pPr>
            <w:r>
              <w:rPr>
                <w:rFonts w:ascii="Times New Roman" w:hAnsi="Times New Roman" w:eastAsia="宋体" w:cs="Times New Roman"/>
                <w:snapToGrid w:val="0"/>
                <w:color w:val="auto"/>
                <w:kern w:val="21"/>
                <w:szCs w:val="21"/>
              </w:rPr>
              <w:t>一般工业固体废物</w:t>
            </w:r>
          </w:p>
        </w:tc>
        <w:tc>
          <w:tcPr>
            <w:tcW w:w="1984" w:type="dxa"/>
            <w:vAlign w:val="center"/>
          </w:tcPr>
          <w:p w14:paraId="10D02B3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color w:val="auto"/>
                <w:szCs w:val="21"/>
              </w:rPr>
            </w:pPr>
            <w:r>
              <w:rPr>
                <w:rFonts w:hint="eastAsia" w:cs="Times New Roman"/>
                <w:color w:val="auto"/>
                <w:szCs w:val="21"/>
                <w:vertAlign w:val="baseline"/>
                <w:lang w:val="en-US" w:eastAsia="zh-CN"/>
              </w:rPr>
              <w:t>废边角料</w:t>
            </w:r>
          </w:p>
        </w:tc>
        <w:tc>
          <w:tcPr>
            <w:tcW w:w="1701" w:type="dxa"/>
            <w:vAlign w:val="center"/>
          </w:tcPr>
          <w:p w14:paraId="7F12E66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snapToGrid w:val="0"/>
                <w:color w:val="auto"/>
                <w:kern w:val="21"/>
                <w:szCs w:val="21"/>
                <w:lang w:val="en-US"/>
              </w:rPr>
            </w:pPr>
            <w:r>
              <w:rPr>
                <w:rFonts w:hint="eastAsia" w:cs="Times New Roman"/>
                <w:color w:val="auto"/>
                <w:szCs w:val="21"/>
                <w:vertAlign w:val="baseline"/>
                <w:lang w:val="en-US" w:eastAsia="zh-CN"/>
              </w:rPr>
              <w:t>100</w:t>
            </w:r>
          </w:p>
        </w:tc>
        <w:tc>
          <w:tcPr>
            <w:tcW w:w="1276" w:type="dxa"/>
            <w:vAlign w:val="center"/>
          </w:tcPr>
          <w:p w14:paraId="6ACE72C8">
            <w:pPr>
              <w:pStyle w:val="71"/>
              <w:spacing w:beforeLines="0" w:afterLines="0" w:line="240" w:lineRule="auto"/>
              <w:rPr>
                <w:rFonts w:ascii="Times New Roman" w:hAnsi="Times New Roman" w:eastAsia="宋体" w:cs="Times New Roman"/>
                <w:snapToGrid w:val="0"/>
                <w:color w:val="auto"/>
                <w:kern w:val="21"/>
                <w:szCs w:val="21"/>
              </w:rPr>
            </w:pPr>
            <w:r>
              <w:rPr>
                <w:rFonts w:hint="eastAsia" w:ascii="Times New Roman" w:hAnsi="Times New Roman" w:eastAsia="宋体" w:cs="Times New Roman"/>
                <w:snapToGrid w:val="0"/>
                <w:color w:val="auto"/>
                <w:kern w:val="21"/>
                <w:szCs w:val="21"/>
                <w:lang w:val="en-US" w:eastAsia="zh-CN"/>
              </w:rPr>
              <w:t>/</w:t>
            </w:r>
          </w:p>
        </w:tc>
        <w:tc>
          <w:tcPr>
            <w:tcW w:w="1701" w:type="dxa"/>
            <w:vAlign w:val="center"/>
          </w:tcPr>
          <w:p w14:paraId="5C592DF8">
            <w:pPr>
              <w:spacing w:beforeLines="0" w:afterLines="0" w:line="240" w:lineRule="auto"/>
              <w:jc w:val="center"/>
              <w:rPr>
                <w:rFonts w:hint="eastAsia" w:ascii="Times New Roman" w:hAnsi="Times New Roman" w:eastAsia="宋体" w:cs="Times New Roman"/>
                <w:snapToGrid w:val="0"/>
                <w:color w:val="auto"/>
                <w:kern w:val="21"/>
                <w:szCs w:val="21"/>
                <w:lang w:val="en-US" w:eastAsia="zh-CN"/>
              </w:rPr>
            </w:pPr>
            <w:r>
              <w:rPr>
                <w:rFonts w:hint="eastAsia" w:ascii="Times New Roman" w:hAnsi="Times New Roman" w:eastAsia="宋体" w:cs="Times New Roman"/>
                <w:snapToGrid w:val="0"/>
                <w:color w:val="auto"/>
                <w:kern w:val="21"/>
                <w:szCs w:val="21"/>
                <w:lang w:val="en-US" w:eastAsia="zh-CN"/>
              </w:rPr>
              <w:t>/</w:t>
            </w:r>
          </w:p>
        </w:tc>
        <w:tc>
          <w:tcPr>
            <w:tcW w:w="1559" w:type="dxa"/>
            <w:vAlign w:val="center"/>
          </w:tcPr>
          <w:p w14:paraId="77DAB8F7">
            <w:pPr>
              <w:jc w:val="center"/>
              <w:rPr>
                <w:rFonts w:hint="default" w:eastAsia="宋体"/>
                <w:color w:val="auto"/>
                <w:szCs w:val="21"/>
                <w:lang w:val="en-US" w:eastAsia="zh-CN"/>
              </w:rPr>
            </w:pPr>
            <w:r>
              <w:rPr>
                <w:rFonts w:hint="eastAsia"/>
                <w:color w:val="auto"/>
                <w:szCs w:val="21"/>
                <w:lang w:val="en-US" w:eastAsia="zh-CN"/>
              </w:rPr>
              <w:t>0</w:t>
            </w:r>
          </w:p>
        </w:tc>
        <w:tc>
          <w:tcPr>
            <w:tcW w:w="1761" w:type="dxa"/>
            <w:vAlign w:val="center"/>
          </w:tcPr>
          <w:p w14:paraId="101980D9">
            <w:pPr>
              <w:jc w:val="center"/>
              <w:rPr>
                <w:rFonts w:hint="eastAsia" w:eastAsia="宋体"/>
                <w:snapToGrid w:val="0"/>
                <w:color w:val="auto"/>
                <w:kern w:val="21"/>
                <w:szCs w:val="21"/>
                <w:lang w:val="en-US" w:eastAsia="zh-CN"/>
              </w:rPr>
            </w:pPr>
            <w:r>
              <w:rPr>
                <w:rFonts w:hint="eastAsia"/>
                <w:snapToGrid w:val="0"/>
                <w:color w:val="auto"/>
                <w:kern w:val="21"/>
                <w:szCs w:val="21"/>
                <w:lang w:val="en-US" w:eastAsia="zh-CN"/>
              </w:rPr>
              <w:t>0</w:t>
            </w:r>
          </w:p>
        </w:tc>
        <w:tc>
          <w:tcPr>
            <w:tcW w:w="1641" w:type="dxa"/>
            <w:vAlign w:val="center"/>
          </w:tcPr>
          <w:p w14:paraId="4C3EA7D2">
            <w:pPr>
              <w:jc w:val="center"/>
              <w:rPr>
                <w:rFonts w:hint="default" w:eastAsia="宋体"/>
                <w:color w:val="auto"/>
                <w:szCs w:val="21"/>
                <w:lang w:val="en-US" w:eastAsia="zh-CN"/>
              </w:rPr>
            </w:pPr>
            <w:r>
              <w:rPr>
                <w:rFonts w:hint="eastAsia"/>
                <w:color w:val="auto"/>
                <w:szCs w:val="21"/>
                <w:lang w:val="en-US" w:eastAsia="zh-CN"/>
              </w:rPr>
              <w:t>100</w:t>
            </w:r>
          </w:p>
        </w:tc>
        <w:tc>
          <w:tcPr>
            <w:tcW w:w="1144" w:type="dxa"/>
            <w:vAlign w:val="center"/>
          </w:tcPr>
          <w:p w14:paraId="01A87B32">
            <w:pPr>
              <w:jc w:val="center"/>
              <w:rPr>
                <w:rFonts w:hint="eastAsia" w:eastAsia="宋体"/>
                <w:color w:val="auto"/>
                <w:szCs w:val="21"/>
                <w:lang w:val="en-US" w:eastAsia="zh-CN"/>
              </w:rPr>
            </w:pPr>
            <w:r>
              <w:rPr>
                <w:rFonts w:hint="eastAsia"/>
                <w:color w:val="auto"/>
                <w:szCs w:val="21"/>
                <w:lang w:val="en-US" w:eastAsia="zh-CN"/>
              </w:rPr>
              <w:t>0</w:t>
            </w:r>
          </w:p>
        </w:tc>
      </w:tr>
      <w:tr w14:paraId="10B91E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continue"/>
            <w:vAlign w:val="center"/>
          </w:tcPr>
          <w:p w14:paraId="57CC7FF5">
            <w:pPr>
              <w:pStyle w:val="71"/>
              <w:spacing w:beforeLines="0" w:afterLines="0" w:line="240" w:lineRule="auto"/>
              <w:rPr>
                <w:rFonts w:ascii="Times New Roman" w:hAnsi="Times New Roman" w:eastAsia="宋体" w:cs="Times New Roman"/>
                <w:snapToGrid w:val="0"/>
                <w:color w:val="auto"/>
                <w:kern w:val="21"/>
                <w:szCs w:val="21"/>
              </w:rPr>
            </w:pPr>
          </w:p>
        </w:tc>
        <w:tc>
          <w:tcPr>
            <w:tcW w:w="1984" w:type="dxa"/>
            <w:vAlign w:val="center"/>
          </w:tcPr>
          <w:p w14:paraId="51F541A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eastAsia="宋体"/>
                <w:color w:val="auto"/>
                <w:szCs w:val="21"/>
                <w:lang w:val="en-US" w:eastAsia="zh-CN"/>
              </w:rPr>
            </w:pPr>
            <w:r>
              <w:rPr>
                <w:rFonts w:hint="eastAsia" w:cs="Times New Roman"/>
                <w:color w:val="auto"/>
                <w:szCs w:val="21"/>
                <w:vertAlign w:val="baseline"/>
                <w:lang w:val="en-US" w:eastAsia="zh-CN"/>
              </w:rPr>
              <w:t>锅炉灰渣</w:t>
            </w:r>
          </w:p>
        </w:tc>
        <w:tc>
          <w:tcPr>
            <w:tcW w:w="1701" w:type="dxa"/>
            <w:vAlign w:val="center"/>
          </w:tcPr>
          <w:p w14:paraId="7526B3F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bCs/>
                <w:color w:val="auto"/>
                <w:szCs w:val="21"/>
                <w:lang w:val="en-US" w:eastAsia="zh-CN"/>
              </w:rPr>
            </w:pPr>
            <w:r>
              <w:rPr>
                <w:rFonts w:hint="eastAsia" w:cs="Times New Roman"/>
                <w:b w:val="0"/>
                <w:bCs w:val="0"/>
                <w:color w:val="auto"/>
                <w:szCs w:val="21"/>
                <w:lang w:val="en-US" w:eastAsia="zh-CN"/>
              </w:rPr>
              <w:t>5</w:t>
            </w:r>
          </w:p>
        </w:tc>
        <w:tc>
          <w:tcPr>
            <w:tcW w:w="1276" w:type="dxa"/>
            <w:vAlign w:val="center"/>
          </w:tcPr>
          <w:p w14:paraId="0D8DDF2F">
            <w:pPr>
              <w:jc w:val="center"/>
              <w:rPr>
                <w:rFonts w:hint="eastAsia" w:eastAsia="宋体"/>
                <w:snapToGrid w:val="0"/>
                <w:color w:val="auto"/>
                <w:kern w:val="21"/>
                <w:szCs w:val="21"/>
                <w:lang w:val="en-US" w:eastAsia="zh-CN"/>
              </w:rPr>
            </w:pPr>
            <w:r>
              <w:rPr>
                <w:rFonts w:hint="eastAsia"/>
                <w:snapToGrid w:val="0"/>
                <w:color w:val="auto"/>
                <w:kern w:val="21"/>
                <w:szCs w:val="21"/>
                <w:lang w:val="en-US" w:eastAsia="zh-CN"/>
              </w:rPr>
              <w:t>/</w:t>
            </w:r>
          </w:p>
        </w:tc>
        <w:tc>
          <w:tcPr>
            <w:tcW w:w="1701" w:type="dxa"/>
            <w:vAlign w:val="center"/>
          </w:tcPr>
          <w:p w14:paraId="5311EFFB">
            <w:pPr>
              <w:jc w:val="center"/>
              <w:rPr>
                <w:rFonts w:hint="eastAsia" w:eastAsia="宋体"/>
                <w:snapToGrid w:val="0"/>
                <w:color w:val="auto"/>
                <w:kern w:val="21"/>
                <w:szCs w:val="21"/>
                <w:lang w:val="en-US" w:eastAsia="zh-CN"/>
              </w:rPr>
            </w:pPr>
            <w:r>
              <w:rPr>
                <w:rFonts w:hint="eastAsia" w:ascii="Times New Roman" w:hAnsi="Times New Roman" w:eastAsia="宋体" w:cs="Times New Roman"/>
                <w:snapToGrid w:val="0"/>
                <w:color w:val="auto"/>
                <w:kern w:val="21"/>
                <w:szCs w:val="21"/>
                <w:lang w:val="en-US" w:eastAsia="zh-CN"/>
              </w:rPr>
              <w:t>/</w:t>
            </w:r>
          </w:p>
        </w:tc>
        <w:tc>
          <w:tcPr>
            <w:tcW w:w="1559" w:type="dxa"/>
            <w:vAlign w:val="center"/>
          </w:tcPr>
          <w:p w14:paraId="635356E6">
            <w:pPr>
              <w:jc w:val="center"/>
              <w:rPr>
                <w:rFonts w:hint="default" w:eastAsia="宋体"/>
                <w:snapToGrid w:val="0"/>
                <w:color w:val="auto"/>
                <w:kern w:val="21"/>
                <w:szCs w:val="21"/>
                <w:lang w:val="en-US" w:eastAsia="zh-CN"/>
              </w:rPr>
            </w:pPr>
            <w:r>
              <w:rPr>
                <w:rFonts w:hint="eastAsia"/>
                <w:snapToGrid w:val="0"/>
                <w:color w:val="auto"/>
                <w:kern w:val="21"/>
                <w:szCs w:val="21"/>
                <w:lang w:val="en-US" w:eastAsia="zh-CN"/>
              </w:rPr>
              <w:t>5</w:t>
            </w:r>
          </w:p>
        </w:tc>
        <w:tc>
          <w:tcPr>
            <w:tcW w:w="1761" w:type="dxa"/>
            <w:vAlign w:val="center"/>
          </w:tcPr>
          <w:p w14:paraId="60EEB4AD">
            <w:pPr>
              <w:jc w:val="center"/>
              <w:rPr>
                <w:rFonts w:hint="default" w:eastAsia="宋体"/>
                <w:snapToGrid w:val="0"/>
                <w:color w:val="auto"/>
                <w:kern w:val="21"/>
                <w:szCs w:val="21"/>
                <w:lang w:val="en-US" w:eastAsia="zh-CN"/>
              </w:rPr>
            </w:pPr>
            <w:r>
              <w:rPr>
                <w:rFonts w:hint="eastAsia"/>
                <w:snapToGrid w:val="0"/>
                <w:color w:val="auto"/>
                <w:kern w:val="21"/>
                <w:szCs w:val="21"/>
                <w:lang w:val="en-US" w:eastAsia="zh-CN"/>
              </w:rPr>
              <w:t>5</w:t>
            </w:r>
          </w:p>
        </w:tc>
        <w:tc>
          <w:tcPr>
            <w:tcW w:w="1641" w:type="dxa"/>
            <w:vAlign w:val="center"/>
          </w:tcPr>
          <w:p w14:paraId="2A577E00">
            <w:pPr>
              <w:jc w:val="center"/>
              <w:rPr>
                <w:rFonts w:hint="default" w:eastAsia="宋体"/>
                <w:snapToGrid w:val="0"/>
                <w:color w:val="auto"/>
                <w:kern w:val="21"/>
                <w:szCs w:val="21"/>
                <w:lang w:val="en-US" w:eastAsia="zh-CN"/>
              </w:rPr>
            </w:pPr>
            <w:r>
              <w:rPr>
                <w:rFonts w:hint="eastAsia"/>
                <w:snapToGrid w:val="0"/>
                <w:color w:val="auto"/>
                <w:kern w:val="21"/>
                <w:szCs w:val="21"/>
                <w:lang w:val="en-US" w:eastAsia="zh-CN"/>
              </w:rPr>
              <w:t>5</w:t>
            </w:r>
          </w:p>
        </w:tc>
        <w:tc>
          <w:tcPr>
            <w:tcW w:w="1144" w:type="dxa"/>
            <w:vAlign w:val="center"/>
          </w:tcPr>
          <w:p w14:paraId="7A73131C">
            <w:pPr>
              <w:jc w:val="center"/>
              <w:rPr>
                <w:rFonts w:hint="default" w:eastAsia="宋体"/>
                <w:snapToGrid w:val="0"/>
                <w:color w:val="auto"/>
                <w:kern w:val="21"/>
                <w:szCs w:val="21"/>
                <w:lang w:val="en-US" w:eastAsia="zh-CN"/>
              </w:rPr>
            </w:pPr>
            <w:r>
              <w:rPr>
                <w:rFonts w:hint="eastAsia"/>
                <w:snapToGrid w:val="0"/>
                <w:color w:val="auto"/>
                <w:kern w:val="21"/>
                <w:szCs w:val="21"/>
                <w:lang w:val="en-US" w:eastAsia="zh-CN"/>
              </w:rPr>
              <w:t>0</w:t>
            </w:r>
          </w:p>
        </w:tc>
      </w:tr>
      <w:tr w14:paraId="24BC8F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Align w:val="center"/>
          </w:tcPr>
          <w:p w14:paraId="5CC9E2DE">
            <w:pPr>
              <w:pStyle w:val="71"/>
              <w:spacing w:beforeLines="0" w:afterLines="0" w:line="240" w:lineRule="auto"/>
              <w:rPr>
                <w:rFonts w:hint="eastAsia" w:ascii="Times New Roman" w:hAnsi="Times New Roman" w:eastAsia="宋体" w:cs="Times New Roman"/>
                <w:snapToGrid w:val="0"/>
                <w:color w:val="auto"/>
                <w:kern w:val="21"/>
                <w:szCs w:val="21"/>
                <w:lang w:val="en-US" w:eastAsia="zh-CN"/>
              </w:rPr>
            </w:pPr>
            <w:bookmarkStart w:id="66" w:name="_Toc19590_WPSOffice_Level1"/>
            <w:bookmarkStart w:id="67" w:name="_Toc6766_WPSOffice_Level1"/>
            <w:r>
              <w:rPr>
                <w:rFonts w:hint="eastAsia" w:ascii="Times New Roman" w:hAnsi="Times New Roman" w:eastAsia="宋体" w:cs="Times New Roman"/>
                <w:snapToGrid w:val="0"/>
                <w:color w:val="auto"/>
                <w:kern w:val="21"/>
                <w:szCs w:val="21"/>
                <w:lang w:val="en-US" w:eastAsia="zh-CN"/>
              </w:rPr>
              <w:t>危险废物</w:t>
            </w:r>
          </w:p>
        </w:tc>
        <w:tc>
          <w:tcPr>
            <w:tcW w:w="1984" w:type="dxa"/>
            <w:vAlign w:val="center"/>
          </w:tcPr>
          <w:p w14:paraId="24E695C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废导热油</w:t>
            </w:r>
          </w:p>
        </w:tc>
        <w:tc>
          <w:tcPr>
            <w:tcW w:w="1701" w:type="dxa"/>
            <w:vAlign w:val="center"/>
          </w:tcPr>
          <w:p w14:paraId="294081B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 w:val="0"/>
                <w:bCs w:val="0"/>
                <w:color w:val="auto"/>
                <w:szCs w:val="21"/>
                <w:lang w:val="en-US" w:eastAsia="zh-CN"/>
              </w:rPr>
            </w:pPr>
            <w:r>
              <w:rPr>
                <w:rFonts w:hint="eastAsia" w:cs="Times New Roman"/>
                <w:b w:val="0"/>
                <w:bCs w:val="0"/>
                <w:color w:val="auto"/>
                <w:szCs w:val="21"/>
                <w:lang w:val="en-US" w:eastAsia="zh-CN"/>
              </w:rPr>
              <w:t>3t/5a</w:t>
            </w:r>
          </w:p>
        </w:tc>
        <w:tc>
          <w:tcPr>
            <w:tcW w:w="1276" w:type="dxa"/>
            <w:vAlign w:val="center"/>
          </w:tcPr>
          <w:p w14:paraId="7003D400">
            <w:pPr>
              <w:jc w:val="center"/>
              <w:rPr>
                <w:rFonts w:hint="default"/>
                <w:snapToGrid w:val="0"/>
                <w:color w:val="auto"/>
                <w:kern w:val="21"/>
                <w:szCs w:val="21"/>
                <w:lang w:val="en-US" w:eastAsia="zh-CN"/>
              </w:rPr>
            </w:pPr>
            <w:r>
              <w:rPr>
                <w:rFonts w:hint="eastAsia"/>
                <w:snapToGrid w:val="0"/>
                <w:color w:val="auto"/>
                <w:kern w:val="21"/>
                <w:szCs w:val="21"/>
                <w:lang w:val="en-US" w:eastAsia="zh-CN"/>
              </w:rPr>
              <w:t>/</w:t>
            </w:r>
          </w:p>
        </w:tc>
        <w:tc>
          <w:tcPr>
            <w:tcW w:w="1701" w:type="dxa"/>
            <w:vAlign w:val="center"/>
          </w:tcPr>
          <w:p w14:paraId="3B7485F4">
            <w:pPr>
              <w:jc w:val="center"/>
              <w:rPr>
                <w:rFonts w:hint="default"/>
                <w:snapToGrid w:val="0"/>
                <w:color w:val="auto"/>
                <w:kern w:val="21"/>
                <w:szCs w:val="21"/>
                <w:lang w:val="en-US" w:eastAsia="zh-CN"/>
              </w:rPr>
            </w:pPr>
            <w:r>
              <w:rPr>
                <w:rFonts w:hint="eastAsia" w:ascii="Times New Roman" w:hAnsi="Times New Roman" w:eastAsia="宋体" w:cs="Times New Roman"/>
                <w:snapToGrid w:val="0"/>
                <w:color w:val="auto"/>
                <w:kern w:val="21"/>
                <w:szCs w:val="21"/>
                <w:lang w:val="en-US" w:eastAsia="zh-CN"/>
              </w:rPr>
              <w:t>/</w:t>
            </w:r>
          </w:p>
        </w:tc>
        <w:tc>
          <w:tcPr>
            <w:tcW w:w="1559" w:type="dxa"/>
            <w:vAlign w:val="center"/>
          </w:tcPr>
          <w:p w14:paraId="27614C95">
            <w:pPr>
              <w:jc w:val="center"/>
              <w:rPr>
                <w:rFonts w:hint="eastAsia"/>
                <w:snapToGrid w:val="0"/>
                <w:color w:val="auto"/>
                <w:kern w:val="21"/>
                <w:szCs w:val="21"/>
                <w:lang w:val="en-US" w:eastAsia="zh-CN"/>
              </w:rPr>
            </w:pPr>
            <w:r>
              <w:rPr>
                <w:rFonts w:hint="eastAsia" w:cs="Times New Roman"/>
                <w:b w:val="0"/>
                <w:bCs w:val="0"/>
                <w:color w:val="auto"/>
                <w:szCs w:val="21"/>
                <w:lang w:val="en-US" w:eastAsia="zh-CN"/>
              </w:rPr>
              <w:t>3t/5a</w:t>
            </w:r>
          </w:p>
        </w:tc>
        <w:tc>
          <w:tcPr>
            <w:tcW w:w="1761" w:type="dxa"/>
            <w:vAlign w:val="center"/>
          </w:tcPr>
          <w:p w14:paraId="508346D7">
            <w:pPr>
              <w:jc w:val="center"/>
              <w:rPr>
                <w:rFonts w:hint="eastAsia"/>
                <w:snapToGrid w:val="0"/>
                <w:color w:val="auto"/>
                <w:kern w:val="21"/>
                <w:szCs w:val="21"/>
                <w:lang w:val="en-US" w:eastAsia="zh-CN"/>
              </w:rPr>
            </w:pPr>
            <w:r>
              <w:rPr>
                <w:rFonts w:hint="eastAsia" w:cs="Times New Roman"/>
                <w:b w:val="0"/>
                <w:bCs w:val="0"/>
                <w:color w:val="auto"/>
                <w:szCs w:val="21"/>
                <w:lang w:val="en-US" w:eastAsia="zh-CN"/>
              </w:rPr>
              <w:t>3t/5a</w:t>
            </w:r>
          </w:p>
        </w:tc>
        <w:tc>
          <w:tcPr>
            <w:tcW w:w="1641" w:type="dxa"/>
            <w:vAlign w:val="center"/>
          </w:tcPr>
          <w:p w14:paraId="174AB794">
            <w:pPr>
              <w:jc w:val="center"/>
              <w:rPr>
                <w:rFonts w:hint="eastAsia"/>
                <w:snapToGrid w:val="0"/>
                <w:color w:val="auto"/>
                <w:kern w:val="21"/>
                <w:szCs w:val="21"/>
                <w:lang w:val="en-US" w:eastAsia="zh-CN"/>
              </w:rPr>
            </w:pPr>
            <w:r>
              <w:rPr>
                <w:rFonts w:hint="eastAsia" w:cs="Times New Roman"/>
                <w:b w:val="0"/>
                <w:bCs w:val="0"/>
                <w:color w:val="auto"/>
                <w:szCs w:val="21"/>
                <w:lang w:val="en-US" w:eastAsia="zh-CN"/>
              </w:rPr>
              <w:t>3t/5a</w:t>
            </w:r>
          </w:p>
        </w:tc>
        <w:tc>
          <w:tcPr>
            <w:tcW w:w="1144" w:type="dxa"/>
            <w:vAlign w:val="center"/>
          </w:tcPr>
          <w:p w14:paraId="154C458C">
            <w:pPr>
              <w:jc w:val="center"/>
              <w:rPr>
                <w:rFonts w:hint="default"/>
                <w:snapToGrid w:val="0"/>
                <w:color w:val="auto"/>
                <w:kern w:val="21"/>
                <w:szCs w:val="21"/>
                <w:lang w:val="en-US" w:eastAsia="zh-CN"/>
              </w:rPr>
            </w:pPr>
            <w:r>
              <w:rPr>
                <w:rFonts w:hint="eastAsia"/>
                <w:snapToGrid w:val="0"/>
                <w:color w:val="auto"/>
                <w:kern w:val="21"/>
                <w:szCs w:val="21"/>
                <w:lang w:val="en-US" w:eastAsia="zh-CN"/>
              </w:rPr>
              <w:t>0</w:t>
            </w:r>
          </w:p>
        </w:tc>
      </w:tr>
      <w:tr w14:paraId="7A4F50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05" w:type="dxa"/>
            <w:gridSpan w:val="2"/>
            <w:vAlign w:val="center"/>
          </w:tcPr>
          <w:p w14:paraId="7B07CEB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color w:val="auto"/>
                <w:szCs w:val="21"/>
              </w:rPr>
            </w:pPr>
            <w:r>
              <w:rPr>
                <w:rFonts w:hint="eastAsia" w:ascii="Times New Roman" w:hAnsi="Times New Roman" w:eastAsia="宋体" w:cs="Times New Roman"/>
                <w:snapToGrid w:val="0"/>
                <w:color w:val="auto"/>
                <w:kern w:val="21"/>
                <w:szCs w:val="21"/>
                <w:lang w:val="en-US" w:eastAsia="zh-CN"/>
              </w:rPr>
              <w:t>生活垃圾</w:t>
            </w:r>
          </w:p>
        </w:tc>
        <w:tc>
          <w:tcPr>
            <w:tcW w:w="1701" w:type="dxa"/>
            <w:vAlign w:val="center"/>
          </w:tcPr>
          <w:p w14:paraId="4F5B497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snapToGrid w:val="0"/>
                <w:color w:val="auto"/>
                <w:kern w:val="21"/>
                <w:szCs w:val="21"/>
                <w:lang w:val="en-US" w:eastAsia="zh-CN"/>
              </w:rPr>
            </w:pPr>
            <w:r>
              <w:rPr>
                <w:rFonts w:hint="eastAsia" w:cs="Times New Roman"/>
                <w:snapToGrid w:val="0"/>
                <w:color w:val="auto"/>
                <w:kern w:val="21"/>
                <w:szCs w:val="21"/>
                <w:lang w:val="en-US" w:eastAsia="zh-CN"/>
              </w:rPr>
              <w:t>3.2</w:t>
            </w:r>
          </w:p>
        </w:tc>
        <w:tc>
          <w:tcPr>
            <w:tcW w:w="1276" w:type="dxa"/>
            <w:vAlign w:val="center"/>
          </w:tcPr>
          <w:p w14:paraId="7FE9F8BC">
            <w:pPr>
              <w:jc w:val="center"/>
              <w:rPr>
                <w:rFonts w:hint="default" w:eastAsia="宋体"/>
                <w:snapToGrid w:val="0"/>
                <w:color w:val="auto"/>
                <w:kern w:val="21"/>
                <w:szCs w:val="21"/>
                <w:lang w:val="en-US" w:eastAsia="zh-CN"/>
              </w:rPr>
            </w:pPr>
            <w:r>
              <w:rPr>
                <w:rFonts w:hint="eastAsia"/>
                <w:snapToGrid w:val="0"/>
                <w:color w:val="auto"/>
                <w:kern w:val="21"/>
                <w:szCs w:val="21"/>
                <w:lang w:val="en-US" w:eastAsia="zh-CN"/>
              </w:rPr>
              <w:t>/</w:t>
            </w:r>
          </w:p>
        </w:tc>
        <w:tc>
          <w:tcPr>
            <w:tcW w:w="1701" w:type="dxa"/>
            <w:vAlign w:val="center"/>
          </w:tcPr>
          <w:p w14:paraId="2DB19839">
            <w:pPr>
              <w:jc w:val="center"/>
              <w:rPr>
                <w:rFonts w:hint="eastAsia" w:eastAsia="宋体"/>
                <w:snapToGrid w:val="0"/>
                <w:color w:val="auto"/>
                <w:kern w:val="21"/>
                <w:szCs w:val="21"/>
                <w:lang w:val="en-US" w:eastAsia="zh-CN"/>
              </w:rPr>
            </w:pPr>
            <w:r>
              <w:rPr>
                <w:rFonts w:hint="eastAsia" w:ascii="Times New Roman" w:hAnsi="Times New Roman" w:eastAsia="宋体" w:cs="Times New Roman"/>
                <w:snapToGrid w:val="0"/>
                <w:color w:val="auto"/>
                <w:kern w:val="21"/>
                <w:szCs w:val="21"/>
                <w:lang w:val="en-US" w:eastAsia="zh-CN"/>
              </w:rPr>
              <w:t>/</w:t>
            </w:r>
          </w:p>
        </w:tc>
        <w:tc>
          <w:tcPr>
            <w:tcW w:w="1559" w:type="dxa"/>
            <w:vAlign w:val="center"/>
          </w:tcPr>
          <w:p w14:paraId="726C8E83">
            <w:pPr>
              <w:jc w:val="center"/>
              <w:rPr>
                <w:rFonts w:hint="default" w:eastAsia="宋体"/>
                <w:color w:val="auto"/>
                <w:szCs w:val="21"/>
                <w:lang w:val="en-US" w:eastAsia="zh-CN"/>
              </w:rPr>
            </w:pPr>
            <w:r>
              <w:rPr>
                <w:rFonts w:hint="eastAsia" w:ascii="Times New Roman" w:hAnsi="Times New Roman" w:eastAsia="宋体" w:cs="Times New Roman"/>
                <w:snapToGrid w:val="0"/>
                <w:color w:val="auto"/>
                <w:kern w:val="21"/>
                <w:szCs w:val="21"/>
                <w:lang w:val="en-US" w:eastAsia="zh-CN"/>
              </w:rPr>
              <w:t>0</w:t>
            </w:r>
          </w:p>
        </w:tc>
        <w:tc>
          <w:tcPr>
            <w:tcW w:w="1761" w:type="dxa"/>
            <w:vAlign w:val="center"/>
          </w:tcPr>
          <w:p w14:paraId="60BD1249">
            <w:pPr>
              <w:jc w:val="center"/>
              <w:rPr>
                <w:rFonts w:hint="default" w:eastAsia="宋体"/>
                <w:snapToGrid w:val="0"/>
                <w:color w:val="auto"/>
                <w:kern w:val="21"/>
                <w:szCs w:val="21"/>
                <w:lang w:val="en-US" w:eastAsia="zh-CN"/>
              </w:rPr>
            </w:pPr>
            <w:r>
              <w:rPr>
                <w:rFonts w:hint="eastAsia"/>
                <w:snapToGrid w:val="0"/>
                <w:color w:val="auto"/>
                <w:kern w:val="21"/>
                <w:szCs w:val="21"/>
                <w:lang w:val="en-US" w:eastAsia="zh-CN"/>
              </w:rPr>
              <w:t>0</w:t>
            </w:r>
          </w:p>
        </w:tc>
        <w:tc>
          <w:tcPr>
            <w:tcW w:w="1641" w:type="dxa"/>
            <w:vAlign w:val="center"/>
          </w:tcPr>
          <w:p w14:paraId="49B2703A">
            <w:pPr>
              <w:jc w:val="center"/>
              <w:rPr>
                <w:rFonts w:hint="default" w:eastAsia="宋体"/>
                <w:color w:val="auto"/>
                <w:szCs w:val="21"/>
                <w:lang w:val="en-US" w:eastAsia="zh-CN"/>
              </w:rPr>
            </w:pPr>
            <w:r>
              <w:rPr>
                <w:rFonts w:hint="eastAsia"/>
                <w:color w:val="auto"/>
                <w:szCs w:val="21"/>
                <w:lang w:val="en-US" w:eastAsia="zh-CN"/>
              </w:rPr>
              <w:t>3.2</w:t>
            </w:r>
          </w:p>
        </w:tc>
        <w:tc>
          <w:tcPr>
            <w:tcW w:w="1144" w:type="dxa"/>
            <w:vAlign w:val="center"/>
          </w:tcPr>
          <w:p w14:paraId="4B020BAA">
            <w:pPr>
              <w:jc w:val="center"/>
              <w:rPr>
                <w:rFonts w:hint="default" w:eastAsia="宋体"/>
                <w:color w:val="auto"/>
                <w:szCs w:val="21"/>
                <w:lang w:val="en-US" w:eastAsia="zh-CN"/>
              </w:rPr>
            </w:pPr>
            <w:r>
              <w:rPr>
                <w:rFonts w:hint="eastAsia"/>
                <w:color w:val="auto"/>
                <w:szCs w:val="21"/>
                <w:lang w:val="en-US" w:eastAsia="zh-CN"/>
              </w:rPr>
              <w:t>0</w:t>
            </w:r>
          </w:p>
        </w:tc>
      </w:tr>
    </w:tbl>
    <w:p w14:paraId="4888C5D8">
      <w:pPr>
        <w:pStyle w:val="71"/>
        <w:spacing w:before="192" w:beforeLines="80" w:after="24"/>
        <w:jc w:val="left"/>
        <w:rPr>
          <w:rFonts w:ascii="Times New Roman" w:hAnsi="Times New Roman" w:eastAsia="宋体" w:cs="Times New Roman"/>
          <w:snapToGrid w:val="0"/>
          <w:color w:val="auto"/>
          <w:spacing w:val="-6"/>
          <w:kern w:val="21"/>
          <w:szCs w:val="21"/>
        </w:rPr>
      </w:pPr>
      <w:r>
        <w:rPr>
          <w:rFonts w:ascii="Times New Roman" w:hAnsi="Times New Roman" w:eastAsia="宋体" w:cs="Times New Roman"/>
          <w:snapToGrid w:val="0"/>
          <w:color w:val="auto"/>
          <w:kern w:val="21"/>
          <w:szCs w:val="21"/>
        </w:rPr>
        <w:t>注：</w:t>
      </w:r>
      <w:r>
        <w:rPr>
          <w:rFonts w:ascii="Times New Roman" w:hAnsi="Times New Roman" w:eastAsia="宋体" w:cs="Times New Roman"/>
          <w:snapToGrid w:val="0"/>
          <w:color w:val="auto"/>
          <w:spacing w:val="-16"/>
          <w:kern w:val="21"/>
          <w:szCs w:val="21"/>
        </w:rPr>
        <w:fldChar w:fldCharType="begin"/>
      </w:r>
      <w:r>
        <w:rPr>
          <w:rFonts w:ascii="Times New Roman" w:hAnsi="Times New Roman" w:eastAsia="宋体" w:cs="Times New Roman"/>
          <w:snapToGrid w:val="0"/>
          <w:color w:val="auto"/>
          <w:spacing w:val="-16"/>
          <w:kern w:val="21"/>
          <w:szCs w:val="21"/>
        </w:rPr>
        <w:instrText xml:space="preserve"> = 6 \* GB3 \*</w:instrText>
      </w:r>
      <w:bookmarkEnd w:id="66"/>
      <w:bookmarkEnd w:id="67"/>
      <w:r>
        <w:rPr>
          <w:rFonts w:ascii="Times New Roman" w:hAnsi="Times New Roman" w:eastAsia="宋体" w:cs="Times New Roman"/>
          <w:snapToGrid w:val="0"/>
          <w:color w:val="auto"/>
          <w:spacing w:val="-16"/>
          <w:kern w:val="21"/>
          <w:szCs w:val="21"/>
        </w:rPr>
        <w:instrText xml:space="preserve"> MERGEFORMAT </w:instrText>
      </w:r>
      <w:r>
        <w:rPr>
          <w:rFonts w:ascii="Times New Roman" w:hAnsi="Times New Roman" w:eastAsia="宋体" w:cs="Times New Roman"/>
          <w:snapToGrid w:val="0"/>
          <w:color w:val="auto"/>
          <w:spacing w:val="-16"/>
          <w:kern w:val="21"/>
          <w:szCs w:val="21"/>
        </w:rPr>
        <w:fldChar w:fldCharType="separate"/>
      </w:r>
      <w:r>
        <w:rPr>
          <w:rFonts w:hint="eastAsia" w:hAnsi="宋体" w:eastAsia="宋体" w:cs="宋体"/>
          <w:color w:val="auto"/>
          <w:szCs w:val="21"/>
        </w:rPr>
        <w:t>⑥</w:t>
      </w:r>
      <w:r>
        <w:rPr>
          <w:rFonts w:ascii="Times New Roman" w:hAnsi="Times New Roman" w:eastAsia="宋体" w:cs="Times New Roman"/>
          <w:snapToGrid w:val="0"/>
          <w:color w:val="auto"/>
          <w:spacing w:val="-16"/>
          <w:kern w:val="21"/>
          <w:szCs w:val="21"/>
        </w:rPr>
        <w:fldChar w:fldCharType="end"/>
      </w:r>
      <w:r>
        <w:rPr>
          <w:rFonts w:ascii="Times New Roman" w:hAnsi="Times New Roman" w:eastAsia="宋体" w:cs="Times New Roman"/>
          <w:snapToGrid w:val="0"/>
          <w:color w:val="auto"/>
          <w:spacing w:val="-16"/>
          <w:kern w:val="21"/>
          <w:szCs w:val="21"/>
        </w:rPr>
        <w:t>=</w:t>
      </w:r>
      <w:r>
        <w:rPr>
          <w:rFonts w:ascii="Times New Roman" w:hAnsi="Times New Roman" w:eastAsia="宋体" w:cs="Times New Roman"/>
          <w:snapToGrid w:val="0"/>
          <w:color w:val="auto"/>
          <w:spacing w:val="-6"/>
          <w:kern w:val="21"/>
          <w:szCs w:val="21"/>
        </w:rPr>
        <w:fldChar w:fldCharType="begin"/>
      </w:r>
      <w:r>
        <w:rPr>
          <w:rFonts w:ascii="Times New Roman" w:hAnsi="Times New Roman" w:eastAsia="宋体" w:cs="Times New Roman"/>
          <w:snapToGrid w:val="0"/>
          <w:color w:val="auto"/>
          <w:spacing w:val="-6"/>
          <w:kern w:val="21"/>
          <w:szCs w:val="21"/>
        </w:rPr>
        <w:instrText xml:space="preserve"> = 1 \* GB3 \* MERGEFORMAT </w:instrText>
      </w:r>
      <w:r>
        <w:rPr>
          <w:rFonts w:ascii="Times New Roman" w:hAnsi="Times New Roman" w:eastAsia="宋体" w:cs="Times New Roman"/>
          <w:snapToGrid w:val="0"/>
          <w:color w:val="auto"/>
          <w:spacing w:val="-6"/>
          <w:kern w:val="21"/>
          <w:szCs w:val="21"/>
        </w:rPr>
        <w:fldChar w:fldCharType="separate"/>
      </w:r>
      <w:r>
        <w:rPr>
          <w:rFonts w:hint="eastAsia" w:hAnsi="宋体" w:eastAsia="宋体" w:cs="宋体"/>
          <w:color w:val="auto"/>
          <w:szCs w:val="21"/>
        </w:rPr>
        <w:t>①</w:t>
      </w:r>
      <w:r>
        <w:rPr>
          <w:rFonts w:ascii="Times New Roman" w:hAnsi="Times New Roman" w:eastAsia="宋体" w:cs="Times New Roman"/>
          <w:snapToGrid w:val="0"/>
          <w:color w:val="auto"/>
          <w:spacing w:val="-6"/>
          <w:kern w:val="21"/>
          <w:szCs w:val="21"/>
        </w:rPr>
        <w:fldChar w:fldCharType="end"/>
      </w:r>
      <w:r>
        <w:rPr>
          <w:rFonts w:ascii="Times New Roman" w:hAnsi="Times New Roman" w:eastAsia="宋体" w:cs="Times New Roman"/>
          <w:snapToGrid w:val="0"/>
          <w:color w:val="auto"/>
          <w:spacing w:val="-6"/>
          <w:kern w:val="21"/>
          <w:szCs w:val="21"/>
        </w:rPr>
        <w:t>+</w:t>
      </w:r>
      <w:r>
        <w:rPr>
          <w:rFonts w:ascii="Times New Roman" w:hAnsi="Times New Roman" w:eastAsia="宋体" w:cs="Times New Roman"/>
          <w:snapToGrid w:val="0"/>
          <w:color w:val="auto"/>
          <w:spacing w:val="-6"/>
          <w:kern w:val="21"/>
          <w:szCs w:val="21"/>
        </w:rPr>
        <w:fldChar w:fldCharType="begin"/>
      </w:r>
      <w:r>
        <w:rPr>
          <w:rFonts w:ascii="Times New Roman" w:hAnsi="Times New Roman" w:eastAsia="宋体" w:cs="Times New Roman"/>
          <w:snapToGrid w:val="0"/>
          <w:color w:val="auto"/>
          <w:spacing w:val="-6"/>
          <w:kern w:val="21"/>
          <w:szCs w:val="21"/>
        </w:rPr>
        <w:instrText xml:space="preserve"> = 3 \* GB3 \* MERGEFORMAT </w:instrText>
      </w:r>
      <w:r>
        <w:rPr>
          <w:rFonts w:ascii="Times New Roman" w:hAnsi="Times New Roman" w:eastAsia="宋体" w:cs="Times New Roman"/>
          <w:snapToGrid w:val="0"/>
          <w:color w:val="auto"/>
          <w:spacing w:val="-6"/>
          <w:kern w:val="21"/>
          <w:szCs w:val="21"/>
        </w:rPr>
        <w:fldChar w:fldCharType="separate"/>
      </w:r>
      <w:r>
        <w:rPr>
          <w:rFonts w:hint="eastAsia" w:hAnsi="宋体" w:eastAsia="宋体" w:cs="宋体"/>
          <w:color w:val="auto"/>
          <w:szCs w:val="21"/>
        </w:rPr>
        <w:t>③</w:t>
      </w:r>
      <w:r>
        <w:rPr>
          <w:rFonts w:ascii="Times New Roman" w:hAnsi="Times New Roman" w:eastAsia="宋体" w:cs="Times New Roman"/>
          <w:snapToGrid w:val="0"/>
          <w:color w:val="auto"/>
          <w:spacing w:val="-6"/>
          <w:kern w:val="21"/>
          <w:szCs w:val="21"/>
        </w:rPr>
        <w:fldChar w:fldCharType="end"/>
      </w:r>
      <w:r>
        <w:rPr>
          <w:rFonts w:ascii="Times New Roman" w:hAnsi="Times New Roman" w:eastAsia="宋体" w:cs="Times New Roman"/>
          <w:snapToGrid w:val="0"/>
          <w:color w:val="auto"/>
          <w:spacing w:val="-6"/>
          <w:kern w:val="21"/>
          <w:szCs w:val="21"/>
        </w:rPr>
        <w:t>+</w:t>
      </w:r>
      <w:r>
        <w:rPr>
          <w:rFonts w:ascii="Times New Roman" w:hAnsi="Times New Roman" w:eastAsia="宋体" w:cs="Times New Roman"/>
          <w:snapToGrid w:val="0"/>
          <w:color w:val="auto"/>
          <w:spacing w:val="-6"/>
          <w:kern w:val="21"/>
          <w:szCs w:val="21"/>
        </w:rPr>
        <w:fldChar w:fldCharType="begin"/>
      </w:r>
      <w:r>
        <w:rPr>
          <w:rFonts w:ascii="Times New Roman" w:hAnsi="Times New Roman" w:eastAsia="宋体" w:cs="Times New Roman"/>
          <w:snapToGrid w:val="0"/>
          <w:color w:val="auto"/>
          <w:spacing w:val="-6"/>
          <w:kern w:val="21"/>
          <w:szCs w:val="21"/>
        </w:rPr>
        <w:instrText xml:space="preserve"> = 4 \* GB3 \* MERGEFORMAT </w:instrText>
      </w:r>
      <w:r>
        <w:rPr>
          <w:rFonts w:ascii="Times New Roman" w:hAnsi="Times New Roman" w:eastAsia="宋体" w:cs="Times New Roman"/>
          <w:snapToGrid w:val="0"/>
          <w:color w:val="auto"/>
          <w:spacing w:val="-6"/>
          <w:kern w:val="21"/>
          <w:szCs w:val="21"/>
        </w:rPr>
        <w:fldChar w:fldCharType="separate"/>
      </w:r>
      <w:r>
        <w:rPr>
          <w:rFonts w:hint="eastAsia" w:hAnsi="宋体" w:eastAsia="宋体" w:cs="宋体"/>
          <w:color w:val="auto"/>
          <w:szCs w:val="21"/>
        </w:rPr>
        <w:t>④</w:t>
      </w:r>
      <w:r>
        <w:rPr>
          <w:rFonts w:ascii="Times New Roman" w:hAnsi="Times New Roman" w:eastAsia="宋体" w:cs="Times New Roman"/>
          <w:snapToGrid w:val="0"/>
          <w:color w:val="auto"/>
          <w:spacing w:val="-6"/>
          <w:kern w:val="21"/>
          <w:szCs w:val="21"/>
        </w:rPr>
        <w:fldChar w:fldCharType="end"/>
      </w:r>
      <w:r>
        <w:rPr>
          <w:rFonts w:ascii="Times New Roman" w:hAnsi="Times New Roman" w:eastAsia="宋体" w:cs="Times New Roman"/>
          <w:snapToGrid w:val="0"/>
          <w:color w:val="auto"/>
          <w:spacing w:val="-6"/>
          <w:kern w:val="21"/>
          <w:szCs w:val="21"/>
        </w:rPr>
        <w:t>-</w:t>
      </w:r>
      <w:r>
        <w:rPr>
          <w:rFonts w:ascii="Times New Roman" w:hAnsi="Times New Roman" w:eastAsia="宋体" w:cs="Times New Roman"/>
          <w:snapToGrid w:val="0"/>
          <w:color w:val="auto"/>
          <w:spacing w:val="-16"/>
          <w:kern w:val="21"/>
          <w:szCs w:val="21"/>
        </w:rPr>
        <w:fldChar w:fldCharType="begin"/>
      </w:r>
      <w:r>
        <w:rPr>
          <w:rFonts w:ascii="Times New Roman" w:hAnsi="Times New Roman" w:eastAsia="宋体" w:cs="Times New Roman"/>
          <w:snapToGrid w:val="0"/>
          <w:color w:val="auto"/>
          <w:spacing w:val="-16"/>
          <w:kern w:val="21"/>
          <w:szCs w:val="21"/>
        </w:rPr>
        <w:instrText xml:space="preserve"> = 5 \* GB3 \* MERGEFORMAT </w:instrText>
      </w:r>
      <w:r>
        <w:rPr>
          <w:rFonts w:ascii="Times New Roman" w:hAnsi="Times New Roman" w:eastAsia="宋体" w:cs="Times New Roman"/>
          <w:snapToGrid w:val="0"/>
          <w:color w:val="auto"/>
          <w:spacing w:val="-16"/>
          <w:kern w:val="21"/>
          <w:szCs w:val="21"/>
        </w:rPr>
        <w:fldChar w:fldCharType="separate"/>
      </w:r>
      <w:r>
        <w:rPr>
          <w:rFonts w:hint="eastAsia" w:hAnsi="宋体" w:eastAsia="宋体" w:cs="宋体"/>
          <w:color w:val="auto"/>
          <w:szCs w:val="21"/>
        </w:rPr>
        <w:t>⑤</w:t>
      </w:r>
      <w:r>
        <w:rPr>
          <w:rFonts w:ascii="Times New Roman" w:hAnsi="Times New Roman" w:eastAsia="宋体" w:cs="Times New Roman"/>
          <w:snapToGrid w:val="0"/>
          <w:color w:val="auto"/>
          <w:spacing w:val="-16"/>
          <w:kern w:val="21"/>
          <w:szCs w:val="21"/>
        </w:rPr>
        <w:fldChar w:fldCharType="end"/>
      </w:r>
      <w:r>
        <w:rPr>
          <w:rFonts w:ascii="Times New Roman" w:hAnsi="Times New Roman" w:eastAsia="宋体" w:cs="Times New Roman"/>
          <w:snapToGrid w:val="0"/>
          <w:color w:val="auto"/>
          <w:spacing w:val="-16"/>
          <w:kern w:val="21"/>
          <w:szCs w:val="21"/>
        </w:rPr>
        <w:t>；</w:t>
      </w:r>
      <w:r>
        <w:rPr>
          <w:rFonts w:ascii="Times New Roman" w:hAnsi="Times New Roman" w:eastAsia="宋体" w:cs="Times New Roman"/>
          <w:snapToGrid w:val="0"/>
          <w:color w:val="auto"/>
          <w:spacing w:val="-6"/>
          <w:kern w:val="21"/>
          <w:szCs w:val="21"/>
        </w:rPr>
        <w:fldChar w:fldCharType="begin"/>
      </w:r>
      <w:r>
        <w:rPr>
          <w:rFonts w:ascii="Times New Roman" w:hAnsi="Times New Roman" w:eastAsia="宋体" w:cs="Times New Roman"/>
          <w:snapToGrid w:val="0"/>
          <w:color w:val="auto"/>
          <w:spacing w:val="-6"/>
          <w:kern w:val="21"/>
          <w:szCs w:val="21"/>
        </w:rPr>
        <w:instrText xml:space="preserve"> = 7 \* GB3 \* MERGEFORMAT </w:instrText>
      </w:r>
      <w:r>
        <w:rPr>
          <w:rFonts w:ascii="Times New Roman" w:hAnsi="Times New Roman" w:eastAsia="宋体" w:cs="Times New Roman"/>
          <w:snapToGrid w:val="0"/>
          <w:color w:val="auto"/>
          <w:spacing w:val="-6"/>
          <w:kern w:val="21"/>
          <w:szCs w:val="21"/>
        </w:rPr>
        <w:fldChar w:fldCharType="separate"/>
      </w:r>
      <w:r>
        <w:rPr>
          <w:rFonts w:hint="eastAsia" w:hAnsi="宋体" w:eastAsia="宋体" w:cs="宋体"/>
          <w:color w:val="auto"/>
          <w:szCs w:val="21"/>
        </w:rPr>
        <w:t>⑦</w:t>
      </w:r>
      <w:r>
        <w:rPr>
          <w:rFonts w:ascii="Times New Roman" w:hAnsi="Times New Roman" w:eastAsia="宋体" w:cs="Times New Roman"/>
          <w:snapToGrid w:val="0"/>
          <w:color w:val="auto"/>
          <w:spacing w:val="-6"/>
          <w:kern w:val="21"/>
          <w:szCs w:val="21"/>
        </w:rPr>
        <w:fldChar w:fldCharType="end"/>
      </w:r>
      <w:r>
        <w:rPr>
          <w:rFonts w:ascii="Times New Roman" w:hAnsi="Times New Roman" w:eastAsia="宋体" w:cs="Times New Roman"/>
          <w:snapToGrid w:val="0"/>
          <w:color w:val="auto"/>
          <w:spacing w:val="-6"/>
          <w:kern w:val="21"/>
          <w:szCs w:val="21"/>
        </w:rPr>
        <w:t>=</w:t>
      </w:r>
      <w:r>
        <w:rPr>
          <w:rFonts w:ascii="Times New Roman" w:hAnsi="Times New Roman" w:eastAsia="宋体" w:cs="Times New Roman"/>
          <w:snapToGrid w:val="0"/>
          <w:color w:val="auto"/>
          <w:spacing w:val="-16"/>
          <w:kern w:val="21"/>
          <w:szCs w:val="21"/>
        </w:rPr>
        <w:fldChar w:fldCharType="begin"/>
      </w:r>
      <w:r>
        <w:rPr>
          <w:rFonts w:ascii="Times New Roman" w:hAnsi="Times New Roman" w:eastAsia="宋体" w:cs="Times New Roman"/>
          <w:snapToGrid w:val="0"/>
          <w:color w:val="auto"/>
          <w:spacing w:val="-16"/>
          <w:kern w:val="21"/>
          <w:szCs w:val="21"/>
        </w:rPr>
        <w:instrText xml:space="preserve"> = 6 \* GB3 \* MERGEFORMAT </w:instrText>
      </w:r>
      <w:r>
        <w:rPr>
          <w:rFonts w:ascii="Times New Roman" w:hAnsi="Times New Roman" w:eastAsia="宋体" w:cs="Times New Roman"/>
          <w:snapToGrid w:val="0"/>
          <w:color w:val="auto"/>
          <w:spacing w:val="-16"/>
          <w:kern w:val="21"/>
          <w:szCs w:val="21"/>
        </w:rPr>
        <w:fldChar w:fldCharType="separate"/>
      </w:r>
      <w:r>
        <w:rPr>
          <w:rFonts w:hint="eastAsia" w:hAnsi="宋体" w:eastAsia="宋体" w:cs="宋体"/>
          <w:color w:val="auto"/>
          <w:szCs w:val="21"/>
        </w:rPr>
        <w:t>⑥</w:t>
      </w:r>
      <w:r>
        <w:rPr>
          <w:rFonts w:ascii="Times New Roman" w:hAnsi="Times New Roman" w:eastAsia="宋体" w:cs="Times New Roman"/>
          <w:snapToGrid w:val="0"/>
          <w:color w:val="auto"/>
          <w:spacing w:val="-16"/>
          <w:kern w:val="21"/>
          <w:szCs w:val="21"/>
        </w:rPr>
        <w:fldChar w:fldCharType="end"/>
      </w:r>
      <w:r>
        <w:rPr>
          <w:rFonts w:ascii="Times New Roman" w:hAnsi="Times New Roman" w:eastAsia="宋体" w:cs="Times New Roman"/>
          <w:snapToGrid w:val="0"/>
          <w:color w:val="auto"/>
          <w:spacing w:val="-16"/>
          <w:kern w:val="21"/>
          <w:szCs w:val="21"/>
        </w:rPr>
        <w:t>-</w:t>
      </w:r>
      <w:r>
        <w:rPr>
          <w:rFonts w:ascii="Times New Roman" w:hAnsi="Times New Roman" w:eastAsia="宋体" w:cs="Times New Roman"/>
          <w:snapToGrid w:val="0"/>
          <w:color w:val="auto"/>
          <w:spacing w:val="-6"/>
          <w:kern w:val="21"/>
          <w:szCs w:val="21"/>
        </w:rPr>
        <w:fldChar w:fldCharType="begin"/>
      </w:r>
      <w:r>
        <w:rPr>
          <w:rFonts w:ascii="Times New Roman" w:hAnsi="Times New Roman" w:eastAsia="宋体" w:cs="Times New Roman"/>
          <w:snapToGrid w:val="0"/>
          <w:color w:val="auto"/>
          <w:spacing w:val="-6"/>
          <w:kern w:val="21"/>
          <w:szCs w:val="21"/>
        </w:rPr>
        <w:instrText xml:space="preserve"> = 1 \* GB3 \* MERGEFORMAT </w:instrText>
      </w:r>
      <w:r>
        <w:rPr>
          <w:rFonts w:ascii="Times New Roman" w:hAnsi="Times New Roman" w:eastAsia="宋体" w:cs="Times New Roman"/>
          <w:snapToGrid w:val="0"/>
          <w:color w:val="auto"/>
          <w:spacing w:val="-6"/>
          <w:kern w:val="21"/>
          <w:szCs w:val="21"/>
        </w:rPr>
        <w:fldChar w:fldCharType="separate"/>
      </w:r>
      <w:r>
        <w:rPr>
          <w:rFonts w:hint="eastAsia" w:hAnsi="宋体" w:eastAsia="宋体" w:cs="宋体"/>
          <w:color w:val="auto"/>
          <w:szCs w:val="21"/>
        </w:rPr>
        <w:t>①</w:t>
      </w:r>
      <w:r>
        <w:rPr>
          <w:rFonts w:ascii="Times New Roman" w:hAnsi="Times New Roman" w:eastAsia="宋体" w:cs="Times New Roman"/>
          <w:snapToGrid w:val="0"/>
          <w:color w:val="auto"/>
          <w:spacing w:val="-6"/>
          <w:kern w:val="21"/>
          <w:szCs w:val="21"/>
        </w:rPr>
        <w:fldChar w:fldCharType="end"/>
      </w:r>
      <w:r>
        <w:rPr>
          <w:rFonts w:hint="eastAsia" w:ascii="Times New Roman" w:hAnsi="Times New Roman" w:eastAsia="宋体" w:cs="Times New Roman"/>
          <w:snapToGrid w:val="0"/>
          <w:color w:val="auto"/>
          <w:spacing w:val="-6"/>
          <w:kern w:val="21"/>
          <w:szCs w:val="21"/>
        </w:rPr>
        <w:t xml:space="preserve">  单位：t/a</w:t>
      </w:r>
    </w:p>
    <w:p w14:paraId="7F5C40D9">
      <w:pPr>
        <w:adjustRightInd w:val="0"/>
        <w:snapToGrid w:val="0"/>
        <w:rPr>
          <w:b/>
          <w:bCs/>
          <w:color w:val="auto"/>
          <w:sz w:val="24"/>
        </w:rPr>
      </w:pPr>
      <w:r>
        <w:rPr>
          <w:rFonts w:hint="eastAsia"/>
          <w:color w:val="auto"/>
        </w:rPr>
        <w:t xml:space="preserve"> </w:t>
      </w:r>
    </w:p>
    <w:sectPr>
      <w:footerReference r:id="rId8" w:type="default"/>
      <w:pgSz w:w="16783" w:h="11850" w:orient="landscape"/>
      <w:pgMar w:top="1531" w:right="1701" w:bottom="1531" w:left="170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8D359B8-AE08-4350-9139-6209ED15C483}"/>
  </w:font>
  <w:font w:name="黑体">
    <w:panose1 w:val="02010609060101010101"/>
    <w:charset w:val="86"/>
    <w:family w:val="auto"/>
    <w:pitch w:val="default"/>
    <w:sig w:usb0="800002BF" w:usb1="38CF7CFA" w:usb2="00000016" w:usb3="00000000" w:csb0="00040001" w:csb1="00000000"/>
    <w:embedRegular r:id="rId2" w:fontKey="{5FD1954E-1052-417B-AB79-410A54B747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1BE4174A-4CC9-4156-A677-644A6FF34FF7}"/>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Arial Unicode MS">
    <w:panose1 w:val="020B0604020202020204"/>
    <w:charset w:val="86"/>
    <w:family w:val="swiss"/>
    <w:pitch w:val="default"/>
    <w:sig w:usb0="F7FFAEFF" w:usb1="F9DFFFFF" w:usb2="0000007F" w:usb3="00000000" w:csb0="203F01FF" w:csb1="DFFF0000"/>
  </w:font>
  <w:font w:name="TimesNewRomanPSMT">
    <w:altName w:val="Times New Roman"/>
    <w:panose1 w:val="00000000000000000000"/>
    <w:charset w:val="00"/>
    <w:family w:val="auto"/>
    <w:pitch w:val="default"/>
    <w:sig w:usb0="00000000" w:usb1="00000000" w:usb2="00000000" w:usb3="00000000" w:csb0="00040001" w:csb1="00000000"/>
  </w:font>
  <w:font w:name="Impact">
    <w:panose1 w:val="020B0806030902050204"/>
    <w:charset w:val="00"/>
    <w:family w:val="swiss"/>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embedRegular r:id="rId4" w:fontKey="{42753D41-C700-40BC-8251-3FB6BD23C52E}"/>
  </w:font>
  <w:font w:name="方正宋三简体">
    <w:altName w:val="宋体"/>
    <w:panose1 w:val="00000000000000000000"/>
    <w:charset w:val="86"/>
    <w:family w:val="auto"/>
    <w:pitch w:val="default"/>
    <w:sig w:usb0="00000000" w:usb1="00000000" w:usb2="00000010" w:usb3="00000000" w:csb0="00040000" w:csb1="00000000"/>
    <w:embedRegular r:id="rId5" w:fontKey="{074F8D67-16EC-44F7-9E78-7E42A32D5B16}"/>
  </w:font>
  <w:font w:name="方正小标宋_GBK">
    <w:panose1 w:val="02000000000000000000"/>
    <w:charset w:val="86"/>
    <w:family w:val="script"/>
    <w:pitch w:val="default"/>
    <w:sig w:usb0="A00002BF" w:usb1="38CF7CFA" w:usb2="00082016" w:usb3="00000000" w:csb0="00040001" w:csb1="00000000"/>
    <w:embedRegular r:id="rId6" w:fontKey="{8C9E400C-EA97-452C-ACAE-36D1A092C40E}"/>
  </w:font>
  <w:font w:name="楷体_GB2312">
    <w:panose1 w:val="02010609030101010101"/>
    <w:charset w:val="86"/>
    <w:family w:val="modern"/>
    <w:pitch w:val="default"/>
    <w:sig w:usb0="00000001" w:usb1="080E0000" w:usb2="00000000" w:usb3="00000000" w:csb0="00040000" w:csb1="00000000"/>
    <w:embedRegular r:id="rId7" w:fontKey="{7D1F5F86-4D6C-42DD-98C8-6BC276E11D4C}"/>
  </w:font>
  <w:font w:name="华文仿宋">
    <w:panose1 w:val="02010600040101010101"/>
    <w:charset w:val="86"/>
    <w:family w:val="auto"/>
    <w:pitch w:val="default"/>
    <w:sig w:usb0="00000287" w:usb1="080F0000" w:usb2="00000000" w:usb3="00000000" w:csb0="0004009F" w:csb1="DFD70000"/>
    <w:embedRegular r:id="rId8" w:fontKey="{87FB0893-560A-45D1-956E-7586573A3025}"/>
  </w:font>
  <w:font w:name="仿宋">
    <w:panose1 w:val="02010609060101010101"/>
    <w:charset w:val="86"/>
    <w:family w:val="modern"/>
    <w:pitch w:val="default"/>
    <w:sig w:usb0="800002BF" w:usb1="38CF7CFA" w:usb2="00000016" w:usb3="00000000" w:csb0="00040001" w:csb1="00000000"/>
    <w:embedRegular r:id="rId9" w:fontKey="{178730C3-942F-4356-9A51-5C1B920DD03F}"/>
  </w:font>
  <w:font w:name="Wingdings 2">
    <w:panose1 w:val="05020102010507070707"/>
    <w:charset w:val="02"/>
    <w:family w:val="roman"/>
    <w:pitch w:val="default"/>
    <w:sig w:usb0="00000000" w:usb1="00000000" w:usb2="00000000" w:usb3="00000000" w:csb0="80000000" w:csb1="00000000"/>
    <w:embedRegular r:id="rId10" w:fontKey="{496BFAEB-C99E-4398-B3C9-BDD6D1B9264A}"/>
  </w:font>
  <w:font w:name="华文楷体">
    <w:panose1 w:val="02010600040101010101"/>
    <w:charset w:val="86"/>
    <w:family w:val="auto"/>
    <w:pitch w:val="default"/>
    <w:sig w:usb0="00000287" w:usb1="080F0000" w:usb2="00000000" w:usb3="00000000" w:csb0="0004009F" w:csb1="DFD70000"/>
    <w:embedRegular r:id="rId11" w:fontKey="{E4CAC028-3D1D-4724-A564-B9A20991D1A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98CE7">
    <w:pPr>
      <w:pStyle w:val="2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F2AAD">
    <w:pPr>
      <w:pStyle w:val="24"/>
      <w:framePr w:wrap="around" w:vAnchor="text" w:hAnchor="margin" w:xAlign="center" w:y="1"/>
      <w:rPr>
        <w:rStyle w:val="39"/>
      </w:rPr>
    </w:pPr>
    <w:r>
      <w:fldChar w:fldCharType="begin"/>
    </w:r>
    <w:r>
      <w:rPr>
        <w:rStyle w:val="39"/>
      </w:rPr>
      <w:instrText xml:space="preserve">PAGE  </w:instrText>
    </w:r>
    <w:r>
      <w:fldChar w:fldCharType="end"/>
    </w:r>
  </w:p>
  <w:p w14:paraId="7EFF2D50">
    <w:pPr>
      <w:pStyle w:val="2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77C58">
    <w:pPr>
      <w:pStyle w:val="2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D70AE9">
                          <w:pPr>
                            <w:pStyle w:val="24"/>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Cj/gY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8KP+BiwCAABZBAAADgAAAAAAAAABACAAAAAfAQAAZHJzL2Uyb0RvYy54bWxQSwUGAAAAAAYA&#10;BgBZAQAAvQUAAAAA&#10;">
              <v:fill on="f" focussize="0,0"/>
              <v:stroke on="f" weight="0.5pt"/>
              <v:imagedata o:title=""/>
              <o:lock v:ext="edit" aspectratio="f"/>
              <v:textbox inset="0mm,0mm,0mm,0mm" style="mso-fit-shape-to-text:t;">
                <w:txbxContent>
                  <w:p w14:paraId="06D70AE9">
                    <w:pPr>
                      <w:pStyle w:val="24"/>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p w14:paraId="1A85A706">
    <w:pPr>
      <w:pStyle w:val="24"/>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9B26D">
    <w:pPr>
      <w:pStyle w:val="24"/>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909996">
                          <w:pPr>
                            <w:pStyle w:val="24"/>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36909996">
                    <w:pPr>
                      <w:pStyle w:val="24"/>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7C4E3">
    <w:pPr>
      <w:pStyle w:val="24"/>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6" name="文本框 2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00E70">
                          <w:pPr>
                            <w:pStyle w:val="24"/>
                          </w:pPr>
                          <w:r>
                            <w:rPr>
                              <w:rFonts w:hint="eastAsia"/>
                            </w:rPr>
                            <w:fldChar w:fldCharType="begin"/>
                          </w:r>
                          <w:r>
                            <w:rPr>
                              <w:rFonts w:hint="eastAsia"/>
                            </w:rPr>
                            <w:instrText xml:space="preserve"> PAGE  \* MERGEFORMAT </w:instrText>
                          </w:r>
                          <w:r>
                            <w:rPr>
                              <w:rFonts w:hint="eastAsia"/>
                            </w:rPr>
                            <w:fldChar w:fldCharType="separate"/>
                          </w:r>
                          <w:r>
                            <w:t>52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X8xkuAgAAW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I1/MZLgIAAFkEAAAOAAAAAAAAAAEAIAAAAB8BAABkcnMvZTJvRG9jLnhtbFBLBQYAAAAA&#10;BgAGAFkBAAC/BQAAAAA=&#10;">
              <v:fill on="f" focussize="0,0"/>
              <v:stroke on="f" weight="0.5pt"/>
              <v:imagedata o:title=""/>
              <o:lock v:ext="edit" aspectratio="f"/>
              <v:textbox inset="0mm,0mm,0mm,0mm" style="mso-fit-shape-to-text:t;">
                <w:txbxContent>
                  <w:p w14:paraId="20D00E70">
                    <w:pPr>
                      <w:pStyle w:val="24"/>
                    </w:pPr>
                    <w:r>
                      <w:rPr>
                        <w:rFonts w:hint="eastAsia"/>
                      </w:rPr>
                      <w:fldChar w:fldCharType="begin"/>
                    </w:r>
                    <w:r>
                      <w:rPr>
                        <w:rFonts w:hint="eastAsia"/>
                      </w:rPr>
                      <w:instrText xml:space="preserve"> PAGE  \* MERGEFORMAT </w:instrText>
                    </w:r>
                    <w:r>
                      <w:rPr>
                        <w:rFonts w:hint="eastAsia"/>
                      </w:rPr>
                      <w:fldChar w:fldCharType="separate"/>
                    </w:r>
                    <w:r>
                      <w:t>52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10F82">
    <w:pPr>
      <w:pStyle w:val="25"/>
    </w:pPr>
    <w:r>
      <w:pict>
        <v:shape id="PowerPlusWaterMarkObject16866167" o:spid="_x0000_s2049" o:spt="136" type="#_x0000_t136" style="position:absolute;left:0pt;height:130.25pt;width:456.95pt;mso-position-horizontal:center;mso-position-horizontal-relative:margin;mso-position-vertical:center;mso-position-vertical-relative:margin;rotation:20643840f;z-index:-251654144;mso-width-relative:page;mso-height-relative:page;" fillcolor="#C0C0C0" filled="t" stroked="f" coordsize="21600,21600" adj="10800">
          <v:path/>
          <v:fill on="t" opacity="32768f" focussize="0,0"/>
          <v:stroke on="f"/>
          <v:imagedata o:title=""/>
          <o:lock v:ext="edit" grouping="f" rotation="f" text="f" aspectratio="t"/>
          <v:textpath on="t" fitshape="t" fitpath="t" trim="t" xscale="f" string="严禁复制" style="font-family:宋体;font-size:36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F794F4"/>
    <w:multiLevelType w:val="singleLevel"/>
    <w:tmpl w:val="A5F794F4"/>
    <w:lvl w:ilvl="0" w:tentative="0">
      <w:start w:val="1"/>
      <w:numFmt w:val="bullet"/>
      <w:pStyle w:val="10"/>
      <w:lvlText w:val=""/>
      <w:lvlJc w:val="left"/>
      <w:pPr>
        <w:tabs>
          <w:tab w:val="left" w:pos="780"/>
        </w:tabs>
        <w:ind w:left="780" w:hanging="360"/>
      </w:pPr>
      <w:rPr>
        <w:rFonts w:hint="default" w:ascii="Wingdings" w:hAnsi="Wingdings"/>
      </w:rPr>
    </w:lvl>
  </w:abstractNum>
  <w:abstractNum w:abstractNumId="1">
    <w:nsid w:val="13B2A06F"/>
    <w:multiLevelType w:val="singleLevel"/>
    <w:tmpl w:val="13B2A06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writeProtection w:cryptProviderType="rsaFull" w:cryptAlgorithmClass="hash" w:cryptAlgorithmType="typeAny" w:cryptAlgorithmSid="4" w:cryptSpinCount="100000" w:hash="c/fGvDOW9TxY7aragpyvej856e4=" w:salt="q094Cerowfg9oq6NVoO/UA=="/>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M2VkOTVjY2I0N2RiODE3MTFiNmU4ZDk2ZjBhNzkifQ=="/>
  </w:docVars>
  <w:rsids>
    <w:rsidRoot w:val="00172A27"/>
    <w:rsid w:val="00066D69"/>
    <w:rsid w:val="00082078"/>
    <w:rsid w:val="00085CCD"/>
    <w:rsid w:val="000A5AC0"/>
    <w:rsid w:val="000D7405"/>
    <w:rsid w:val="001230F1"/>
    <w:rsid w:val="001343DF"/>
    <w:rsid w:val="00172A27"/>
    <w:rsid w:val="00181754"/>
    <w:rsid w:val="001F045B"/>
    <w:rsid w:val="001F4394"/>
    <w:rsid w:val="001F7F7E"/>
    <w:rsid w:val="00232D43"/>
    <w:rsid w:val="00250EF6"/>
    <w:rsid w:val="00266C26"/>
    <w:rsid w:val="002740E3"/>
    <w:rsid w:val="002934F4"/>
    <w:rsid w:val="002C100F"/>
    <w:rsid w:val="002E73D2"/>
    <w:rsid w:val="003949CA"/>
    <w:rsid w:val="003A0126"/>
    <w:rsid w:val="003F18CD"/>
    <w:rsid w:val="003F7CA7"/>
    <w:rsid w:val="00412FDE"/>
    <w:rsid w:val="004207B1"/>
    <w:rsid w:val="00437DCF"/>
    <w:rsid w:val="004A2752"/>
    <w:rsid w:val="004A5170"/>
    <w:rsid w:val="004B24AC"/>
    <w:rsid w:val="004D6E59"/>
    <w:rsid w:val="005362EB"/>
    <w:rsid w:val="00591E49"/>
    <w:rsid w:val="005F65CD"/>
    <w:rsid w:val="006077CC"/>
    <w:rsid w:val="006A233D"/>
    <w:rsid w:val="006A6E65"/>
    <w:rsid w:val="00726300"/>
    <w:rsid w:val="0076392E"/>
    <w:rsid w:val="00794485"/>
    <w:rsid w:val="007D554F"/>
    <w:rsid w:val="007F0A1D"/>
    <w:rsid w:val="007F69EA"/>
    <w:rsid w:val="008A6F00"/>
    <w:rsid w:val="008B1A1B"/>
    <w:rsid w:val="008D3292"/>
    <w:rsid w:val="008D6F73"/>
    <w:rsid w:val="008F6885"/>
    <w:rsid w:val="00951D3C"/>
    <w:rsid w:val="00973C17"/>
    <w:rsid w:val="009B2CDC"/>
    <w:rsid w:val="009C31D0"/>
    <w:rsid w:val="009D583C"/>
    <w:rsid w:val="00A61973"/>
    <w:rsid w:val="00A65D22"/>
    <w:rsid w:val="00A80863"/>
    <w:rsid w:val="00A9646F"/>
    <w:rsid w:val="00AA7259"/>
    <w:rsid w:val="00AB639D"/>
    <w:rsid w:val="00B37C51"/>
    <w:rsid w:val="00B51FF7"/>
    <w:rsid w:val="00BB472C"/>
    <w:rsid w:val="00BD0423"/>
    <w:rsid w:val="00C34524"/>
    <w:rsid w:val="00C65D25"/>
    <w:rsid w:val="00C752B3"/>
    <w:rsid w:val="00CA0977"/>
    <w:rsid w:val="00CC12D0"/>
    <w:rsid w:val="00CF76B9"/>
    <w:rsid w:val="00D06709"/>
    <w:rsid w:val="00D15F50"/>
    <w:rsid w:val="00D237AD"/>
    <w:rsid w:val="00D2598B"/>
    <w:rsid w:val="00D8110D"/>
    <w:rsid w:val="00DA3903"/>
    <w:rsid w:val="00E53911"/>
    <w:rsid w:val="00E645F8"/>
    <w:rsid w:val="00E84384"/>
    <w:rsid w:val="00EC0EA8"/>
    <w:rsid w:val="00F218CD"/>
    <w:rsid w:val="00F33D39"/>
    <w:rsid w:val="00FA2043"/>
    <w:rsid w:val="00FA6E56"/>
    <w:rsid w:val="010A12EB"/>
    <w:rsid w:val="010F6D37"/>
    <w:rsid w:val="011163D6"/>
    <w:rsid w:val="011B458E"/>
    <w:rsid w:val="01210DFA"/>
    <w:rsid w:val="01230F3F"/>
    <w:rsid w:val="0124693E"/>
    <w:rsid w:val="01483301"/>
    <w:rsid w:val="014A2DD9"/>
    <w:rsid w:val="015118E7"/>
    <w:rsid w:val="015162A4"/>
    <w:rsid w:val="01523CFC"/>
    <w:rsid w:val="01700752"/>
    <w:rsid w:val="0172320E"/>
    <w:rsid w:val="017D1AFD"/>
    <w:rsid w:val="017D2A26"/>
    <w:rsid w:val="01901EC9"/>
    <w:rsid w:val="01A549C7"/>
    <w:rsid w:val="01A603DF"/>
    <w:rsid w:val="01A940BB"/>
    <w:rsid w:val="01A97A7E"/>
    <w:rsid w:val="01B84821"/>
    <w:rsid w:val="01BB18CF"/>
    <w:rsid w:val="01C06C86"/>
    <w:rsid w:val="01C20DAF"/>
    <w:rsid w:val="01CA2606"/>
    <w:rsid w:val="01D01EAA"/>
    <w:rsid w:val="02014B86"/>
    <w:rsid w:val="02015445"/>
    <w:rsid w:val="02077141"/>
    <w:rsid w:val="0208313C"/>
    <w:rsid w:val="020A20E9"/>
    <w:rsid w:val="020C63BC"/>
    <w:rsid w:val="020E772B"/>
    <w:rsid w:val="02247548"/>
    <w:rsid w:val="022A5EF4"/>
    <w:rsid w:val="0233386D"/>
    <w:rsid w:val="023F0F46"/>
    <w:rsid w:val="02483464"/>
    <w:rsid w:val="02651658"/>
    <w:rsid w:val="026B74AB"/>
    <w:rsid w:val="027C608F"/>
    <w:rsid w:val="0288602A"/>
    <w:rsid w:val="028C27B2"/>
    <w:rsid w:val="028F20A6"/>
    <w:rsid w:val="029448B8"/>
    <w:rsid w:val="02970AAA"/>
    <w:rsid w:val="029807DD"/>
    <w:rsid w:val="029F5991"/>
    <w:rsid w:val="02A27878"/>
    <w:rsid w:val="02A64AEF"/>
    <w:rsid w:val="02A7505C"/>
    <w:rsid w:val="02AC1116"/>
    <w:rsid w:val="02B45830"/>
    <w:rsid w:val="02BC79B9"/>
    <w:rsid w:val="02C44E0D"/>
    <w:rsid w:val="02C646E1"/>
    <w:rsid w:val="02C81E1C"/>
    <w:rsid w:val="02CB08DD"/>
    <w:rsid w:val="02CD6E98"/>
    <w:rsid w:val="02D914CF"/>
    <w:rsid w:val="02E40283"/>
    <w:rsid w:val="02E50CC4"/>
    <w:rsid w:val="02F32860"/>
    <w:rsid w:val="02FA0276"/>
    <w:rsid w:val="030B2A3C"/>
    <w:rsid w:val="030B6598"/>
    <w:rsid w:val="030E3D82"/>
    <w:rsid w:val="03164268"/>
    <w:rsid w:val="03195AE7"/>
    <w:rsid w:val="032608B3"/>
    <w:rsid w:val="032D331F"/>
    <w:rsid w:val="035041F5"/>
    <w:rsid w:val="03546191"/>
    <w:rsid w:val="035C0F7D"/>
    <w:rsid w:val="03626D01"/>
    <w:rsid w:val="0367564C"/>
    <w:rsid w:val="03697A39"/>
    <w:rsid w:val="0374044B"/>
    <w:rsid w:val="037931B4"/>
    <w:rsid w:val="03857F05"/>
    <w:rsid w:val="038D7643"/>
    <w:rsid w:val="03912F41"/>
    <w:rsid w:val="03922122"/>
    <w:rsid w:val="039F16C4"/>
    <w:rsid w:val="03A83419"/>
    <w:rsid w:val="03B31F8D"/>
    <w:rsid w:val="03B51943"/>
    <w:rsid w:val="03B73768"/>
    <w:rsid w:val="03B91EA2"/>
    <w:rsid w:val="03B920E2"/>
    <w:rsid w:val="03BF3D68"/>
    <w:rsid w:val="03C06A72"/>
    <w:rsid w:val="03C21E03"/>
    <w:rsid w:val="03C47C08"/>
    <w:rsid w:val="03CF6F0E"/>
    <w:rsid w:val="03DF6239"/>
    <w:rsid w:val="03E613BD"/>
    <w:rsid w:val="03EB5A37"/>
    <w:rsid w:val="03F343FE"/>
    <w:rsid w:val="04077E05"/>
    <w:rsid w:val="040A561C"/>
    <w:rsid w:val="040B6E6F"/>
    <w:rsid w:val="04137DFA"/>
    <w:rsid w:val="041617C1"/>
    <w:rsid w:val="042913CB"/>
    <w:rsid w:val="043A5664"/>
    <w:rsid w:val="044267A6"/>
    <w:rsid w:val="0444041B"/>
    <w:rsid w:val="0448063B"/>
    <w:rsid w:val="044B7594"/>
    <w:rsid w:val="04557DBB"/>
    <w:rsid w:val="046A4DC3"/>
    <w:rsid w:val="047A39D5"/>
    <w:rsid w:val="0480252A"/>
    <w:rsid w:val="048A5D47"/>
    <w:rsid w:val="04921D4D"/>
    <w:rsid w:val="04935879"/>
    <w:rsid w:val="04953A1E"/>
    <w:rsid w:val="04A8566C"/>
    <w:rsid w:val="04AE5E77"/>
    <w:rsid w:val="04C701B4"/>
    <w:rsid w:val="04C81265"/>
    <w:rsid w:val="04CF2CEB"/>
    <w:rsid w:val="04D20EA2"/>
    <w:rsid w:val="04DE6C91"/>
    <w:rsid w:val="04EC7361"/>
    <w:rsid w:val="04ED23F9"/>
    <w:rsid w:val="04F73F5F"/>
    <w:rsid w:val="05021258"/>
    <w:rsid w:val="050A719C"/>
    <w:rsid w:val="05133495"/>
    <w:rsid w:val="05141712"/>
    <w:rsid w:val="051B6DD9"/>
    <w:rsid w:val="05265919"/>
    <w:rsid w:val="0532605E"/>
    <w:rsid w:val="053B79DC"/>
    <w:rsid w:val="053D20FB"/>
    <w:rsid w:val="05420D54"/>
    <w:rsid w:val="05437633"/>
    <w:rsid w:val="05452D1B"/>
    <w:rsid w:val="05487A70"/>
    <w:rsid w:val="05561194"/>
    <w:rsid w:val="055C6325"/>
    <w:rsid w:val="056A6866"/>
    <w:rsid w:val="056B1F3F"/>
    <w:rsid w:val="056D7E55"/>
    <w:rsid w:val="05866B55"/>
    <w:rsid w:val="05AA2098"/>
    <w:rsid w:val="05B253F0"/>
    <w:rsid w:val="05BB6D67"/>
    <w:rsid w:val="05CE45D2"/>
    <w:rsid w:val="05D7406F"/>
    <w:rsid w:val="05DA64B7"/>
    <w:rsid w:val="05E240EC"/>
    <w:rsid w:val="05E51322"/>
    <w:rsid w:val="05E56AF4"/>
    <w:rsid w:val="05E57D37"/>
    <w:rsid w:val="05F30B26"/>
    <w:rsid w:val="060570E3"/>
    <w:rsid w:val="060972B4"/>
    <w:rsid w:val="060972BF"/>
    <w:rsid w:val="06185487"/>
    <w:rsid w:val="062231D8"/>
    <w:rsid w:val="06370EDC"/>
    <w:rsid w:val="06431D9C"/>
    <w:rsid w:val="066606B5"/>
    <w:rsid w:val="06733A1F"/>
    <w:rsid w:val="06753411"/>
    <w:rsid w:val="067A5F0E"/>
    <w:rsid w:val="0686724A"/>
    <w:rsid w:val="06A0349B"/>
    <w:rsid w:val="06A32425"/>
    <w:rsid w:val="06A74829"/>
    <w:rsid w:val="06A7700C"/>
    <w:rsid w:val="06B0131A"/>
    <w:rsid w:val="06BD0E47"/>
    <w:rsid w:val="06D329FB"/>
    <w:rsid w:val="06D3710F"/>
    <w:rsid w:val="06DD3749"/>
    <w:rsid w:val="06DF5D71"/>
    <w:rsid w:val="06E71965"/>
    <w:rsid w:val="06EB2968"/>
    <w:rsid w:val="07052311"/>
    <w:rsid w:val="070F6C68"/>
    <w:rsid w:val="07181283"/>
    <w:rsid w:val="071B2356"/>
    <w:rsid w:val="071D4B2F"/>
    <w:rsid w:val="072564E1"/>
    <w:rsid w:val="072F7E6A"/>
    <w:rsid w:val="073E70D8"/>
    <w:rsid w:val="07433CF3"/>
    <w:rsid w:val="07456433"/>
    <w:rsid w:val="07465C93"/>
    <w:rsid w:val="07483944"/>
    <w:rsid w:val="07493433"/>
    <w:rsid w:val="07585F66"/>
    <w:rsid w:val="07623825"/>
    <w:rsid w:val="07656380"/>
    <w:rsid w:val="076D0151"/>
    <w:rsid w:val="07852DC9"/>
    <w:rsid w:val="079C4963"/>
    <w:rsid w:val="07A04430"/>
    <w:rsid w:val="07A1458F"/>
    <w:rsid w:val="07AD23EF"/>
    <w:rsid w:val="07AD638F"/>
    <w:rsid w:val="07B85D35"/>
    <w:rsid w:val="07BA49A2"/>
    <w:rsid w:val="07BB058C"/>
    <w:rsid w:val="07BD51F1"/>
    <w:rsid w:val="07C707D7"/>
    <w:rsid w:val="07CC5726"/>
    <w:rsid w:val="07D25F68"/>
    <w:rsid w:val="07E01DA1"/>
    <w:rsid w:val="07E31045"/>
    <w:rsid w:val="07F341CA"/>
    <w:rsid w:val="07F939D5"/>
    <w:rsid w:val="07FA4D45"/>
    <w:rsid w:val="08096ED2"/>
    <w:rsid w:val="081D2020"/>
    <w:rsid w:val="082476FC"/>
    <w:rsid w:val="08280FDE"/>
    <w:rsid w:val="0830412B"/>
    <w:rsid w:val="08403721"/>
    <w:rsid w:val="0842416E"/>
    <w:rsid w:val="08484EDE"/>
    <w:rsid w:val="085369D2"/>
    <w:rsid w:val="08585DDB"/>
    <w:rsid w:val="086309DC"/>
    <w:rsid w:val="0863470A"/>
    <w:rsid w:val="086467B9"/>
    <w:rsid w:val="08766C10"/>
    <w:rsid w:val="087F402B"/>
    <w:rsid w:val="08820B85"/>
    <w:rsid w:val="088C3CD7"/>
    <w:rsid w:val="088F4710"/>
    <w:rsid w:val="08917BE0"/>
    <w:rsid w:val="089431D5"/>
    <w:rsid w:val="089F6B82"/>
    <w:rsid w:val="08A03E34"/>
    <w:rsid w:val="08A059D4"/>
    <w:rsid w:val="08A10925"/>
    <w:rsid w:val="08A70B11"/>
    <w:rsid w:val="08BC04C2"/>
    <w:rsid w:val="08C435BA"/>
    <w:rsid w:val="08D16D05"/>
    <w:rsid w:val="08D46EF2"/>
    <w:rsid w:val="08D963F1"/>
    <w:rsid w:val="08DB7911"/>
    <w:rsid w:val="08DF3E3B"/>
    <w:rsid w:val="08E32682"/>
    <w:rsid w:val="08F0620A"/>
    <w:rsid w:val="09024039"/>
    <w:rsid w:val="09071FE5"/>
    <w:rsid w:val="090B2B02"/>
    <w:rsid w:val="090E6555"/>
    <w:rsid w:val="092B4317"/>
    <w:rsid w:val="09486D7C"/>
    <w:rsid w:val="094A112B"/>
    <w:rsid w:val="094D46EC"/>
    <w:rsid w:val="095073FA"/>
    <w:rsid w:val="09546A4F"/>
    <w:rsid w:val="095C18FB"/>
    <w:rsid w:val="095E2C78"/>
    <w:rsid w:val="095E74E4"/>
    <w:rsid w:val="096906F3"/>
    <w:rsid w:val="097A625D"/>
    <w:rsid w:val="097B7AB8"/>
    <w:rsid w:val="097D6D63"/>
    <w:rsid w:val="09820733"/>
    <w:rsid w:val="0983332C"/>
    <w:rsid w:val="09966B38"/>
    <w:rsid w:val="099C0779"/>
    <w:rsid w:val="099F12A5"/>
    <w:rsid w:val="09BB4EDF"/>
    <w:rsid w:val="09C4011F"/>
    <w:rsid w:val="09C53944"/>
    <w:rsid w:val="09CF6571"/>
    <w:rsid w:val="09DE0250"/>
    <w:rsid w:val="09E60DC2"/>
    <w:rsid w:val="09EA585B"/>
    <w:rsid w:val="09F466A5"/>
    <w:rsid w:val="0A080C44"/>
    <w:rsid w:val="0A10344F"/>
    <w:rsid w:val="0A141A00"/>
    <w:rsid w:val="0A1B3564"/>
    <w:rsid w:val="0A216DF6"/>
    <w:rsid w:val="0A255FA7"/>
    <w:rsid w:val="0A29575D"/>
    <w:rsid w:val="0A2C5A95"/>
    <w:rsid w:val="0A3336B3"/>
    <w:rsid w:val="0A3C34DB"/>
    <w:rsid w:val="0A517D86"/>
    <w:rsid w:val="0A631516"/>
    <w:rsid w:val="0A6E7A3B"/>
    <w:rsid w:val="0A71519F"/>
    <w:rsid w:val="0A762E91"/>
    <w:rsid w:val="0A7C75DD"/>
    <w:rsid w:val="0A8458DA"/>
    <w:rsid w:val="0A886B01"/>
    <w:rsid w:val="0A9021C5"/>
    <w:rsid w:val="0A9061BE"/>
    <w:rsid w:val="0A924382"/>
    <w:rsid w:val="0A9342AB"/>
    <w:rsid w:val="0A934C7E"/>
    <w:rsid w:val="0A94591C"/>
    <w:rsid w:val="0A951569"/>
    <w:rsid w:val="0A9767AB"/>
    <w:rsid w:val="0A9C544F"/>
    <w:rsid w:val="0A9D03F6"/>
    <w:rsid w:val="0A9F77D7"/>
    <w:rsid w:val="0ABD286D"/>
    <w:rsid w:val="0AD7054A"/>
    <w:rsid w:val="0ADC4BB7"/>
    <w:rsid w:val="0ADE6970"/>
    <w:rsid w:val="0AE25376"/>
    <w:rsid w:val="0AE54150"/>
    <w:rsid w:val="0AEA4ECB"/>
    <w:rsid w:val="0AEB5C0B"/>
    <w:rsid w:val="0AF65D7F"/>
    <w:rsid w:val="0AFC10E6"/>
    <w:rsid w:val="0B0045B0"/>
    <w:rsid w:val="0B0A0160"/>
    <w:rsid w:val="0B0A026F"/>
    <w:rsid w:val="0B0A4F74"/>
    <w:rsid w:val="0B0D13B7"/>
    <w:rsid w:val="0B1D2C1A"/>
    <w:rsid w:val="0B250B22"/>
    <w:rsid w:val="0B313428"/>
    <w:rsid w:val="0B3F2038"/>
    <w:rsid w:val="0B4126E4"/>
    <w:rsid w:val="0B424B21"/>
    <w:rsid w:val="0B460AB5"/>
    <w:rsid w:val="0B4A7BBD"/>
    <w:rsid w:val="0B4C675B"/>
    <w:rsid w:val="0B504DCF"/>
    <w:rsid w:val="0B5A7BE7"/>
    <w:rsid w:val="0B5F0B13"/>
    <w:rsid w:val="0B720785"/>
    <w:rsid w:val="0B7C073E"/>
    <w:rsid w:val="0B8246FE"/>
    <w:rsid w:val="0B852A0F"/>
    <w:rsid w:val="0B870982"/>
    <w:rsid w:val="0B8D0CC9"/>
    <w:rsid w:val="0BB517D9"/>
    <w:rsid w:val="0BBF53D5"/>
    <w:rsid w:val="0BC5416A"/>
    <w:rsid w:val="0BCD0840"/>
    <w:rsid w:val="0BCE2A8C"/>
    <w:rsid w:val="0BD63847"/>
    <w:rsid w:val="0BDE2A9B"/>
    <w:rsid w:val="0BF7590B"/>
    <w:rsid w:val="0C0A11A2"/>
    <w:rsid w:val="0C0B492C"/>
    <w:rsid w:val="0C120FA7"/>
    <w:rsid w:val="0C172D3E"/>
    <w:rsid w:val="0C191D25"/>
    <w:rsid w:val="0C1B5A9E"/>
    <w:rsid w:val="0C2A437F"/>
    <w:rsid w:val="0C2C1AFC"/>
    <w:rsid w:val="0C2F5972"/>
    <w:rsid w:val="0C3D737C"/>
    <w:rsid w:val="0C462AA0"/>
    <w:rsid w:val="0C4973ED"/>
    <w:rsid w:val="0C573708"/>
    <w:rsid w:val="0C5F6CD7"/>
    <w:rsid w:val="0C6F1945"/>
    <w:rsid w:val="0C7156BE"/>
    <w:rsid w:val="0C77451B"/>
    <w:rsid w:val="0C924A35"/>
    <w:rsid w:val="0C943286"/>
    <w:rsid w:val="0C995004"/>
    <w:rsid w:val="0C9C59D0"/>
    <w:rsid w:val="0C9F66CF"/>
    <w:rsid w:val="0CA06416"/>
    <w:rsid w:val="0CAC521A"/>
    <w:rsid w:val="0CD914B5"/>
    <w:rsid w:val="0CE539EC"/>
    <w:rsid w:val="0CE85501"/>
    <w:rsid w:val="0CF604C1"/>
    <w:rsid w:val="0D1D3A97"/>
    <w:rsid w:val="0D241088"/>
    <w:rsid w:val="0D2D242E"/>
    <w:rsid w:val="0D310B2D"/>
    <w:rsid w:val="0D3204BA"/>
    <w:rsid w:val="0D344F7F"/>
    <w:rsid w:val="0D3450C7"/>
    <w:rsid w:val="0D5B47C8"/>
    <w:rsid w:val="0D676AC1"/>
    <w:rsid w:val="0D702F3C"/>
    <w:rsid w:val="0D7F1852"/>
    <w:rsid w:val="0D823DB2"/>
    <w:rsid w:val="0D825D38"/>
    <w:rsid w:val="0D8E4BC1"/>
    <w:rsid w:val="0D941960"/>
    <w:rsid w:val="0D9B38AF"/>
    <w:rsid w:val="0DB42570"/>
    <w:rsid w:val="0DBF54F2"/>
    <w:rsid w:val="0DC421DE"/>
    <w:rsid w:val="0DCE4FC1"/>
    <w:rsid w:val="0DD138C4"/>
    <w:rsid w:val="0DD73C46"/>
    <w:rsid w:val="0DE87A1A"/>
    <w:rsid w:val="0DEB1510"/>
    <w:rsid w:val="0DEC6932"/>
    <w:rsid w:val="0DEF5BD1"/>
    <w:rsid w:val="0DF2614E"/>
    <w:rsid w:val="0DF92532"/>
    <w:rsid w:val="0E0367E9"/>
    <w:rsid w:val="0E062330"/>
    <w:rsid w:val="0E0C7729"/>
    <w:rsid w:val="0E127D11"/>
    <w:rsid w:val="0E253811"/>
    <w:rsid w:val="0E2B5FEA"/>
    <w:rsid w:val="0E3A1B39"/>
    <w:rsid w:val="0E4D08C7"/>
    <w:rsid w:val="0E511C4A"/>
    <w:rsid w:val="0E617972"/>
    <w:rsid w:val="0E625875"/>
    <w:rsid w:val="0E6354DA"/>
    <w:rsid w:val="0E647DE6"/>
    <w:rsid w:val="0E67368A"/>
    <w:rsid w:val="0E7C4E65"/>
    <w:rsid w:val="0E91181E"/>
    <w:rsid w:val="0E934B2A"/>
    <w:rsid w:val="0E9A5ECD"/>
    <w:rsid w:val="0EA128DA"/>
    <w:rsid w:val="0EA96A21"/>
    <w:rsid w:val="0EAC3455"/>
    <w:rsid w:val="0EAF4BC3"/>
    <w:rsid w:val="0EBD5C79"/>
    <w:rsid w:val="0EC573E0"/>
    <w:rsid w:val="0ECC23A3"/>
    <w:rsid w:val="0ED74DCE"/>
    <w:rsid w:val="0EDA4FAC"/>
    <w:rsid w:val="0EDD528C"/>
    <w:rsid w:val="0EE00D2E"/>
    <w:rsid w:val="0EEE2C8F"/>
    <w:rsid w:val="0EF33782"/>
    <w:rsid w:val="0F0430E1"/>
    <w:rsid w:val="0F0E7B3C"/>
    <w:rsid w:val="0F0F13E1"/>
    <w:rsid w:val="0F244F11"/>
    <w:rsid w:val="0F290F95"/>
    <w:rsid w:val="0F2C36EF"/>
    <w:rsid w:val="0F3320FE"/>
    <w:rsid w:val="0F400316"/>
    <w:rsid w:val="0F433F10"/>
    <w:rsid w:val="0F4F32E6"/>
    <w:rsid w:val="0F532182"/>
    <w:rsid w:val="0F5A248F"/>
    <w:rsid w:val="0F6461A0"/>
    <w:rsid w:val="0F6875FC"/>
    <w:rsid w:val="0F693940"/>
    <w:rsid w:val="0F743EDF"/>
    <w:rsid w:val="0F7D273E"/>
    <w:rsid w:val="0F7F00F1"/>
    <w:rsid w:val="0F803E6A"/>
    <w:rsid w:val="0F821DB3"/>
    <w:rsid w:val="0F8310E6"/>
    <w:rsid w:val="0F8D434C"/>
    <w:rsid w:val="0FA77C62"/>
    <w:rsid w:val="0FAC054F"/>
    <w:rsid w:val="0FB16862"/>
    <w:rsid w:val="0FB732F7"/>
    <w:rsid w:val="0FC643A9"/>
    <w:rsid w:val="0FC65D20"/>
    <w:rsid w:val="0FC97C9F"/>
    <w:rsid w:val="0FD258CE"/>
    <w:rsid w:val="0FD93D44"/>
    <w:rsid w:val="0FDF0F86"/>
    <w:rsid w:val="0FF07530"/>
    <w:rsid w:val="0FF56606"/>
    <w:rsid w:val="10060813"/>
    <w:rsid w:val="100625C1"/>
    <w:rsid w:val="10062804"/>
    <w:rsid w:val="100936FD"/>
    <w:rsid w:val="101D43F1"/>
    <w:rsid w:val="1020238D"/>
    <w:rsid w:val="1027408F"/>
    <w:rsid w:val="102B552E"/>
    <w:rsid w:val="104C2741"/>
    <w:rsid w:val="104D01F0"/>
    <w:rsid w:val="105477D0"/>
    <w:rsid w:val="10600FA6"/>
    <w:rsid w:val="106530CD"/>
    <w:rsid w:val="10671913"/>
    <w:rsid w:val="10734911"/>
    <w:rsid w:val="10894B2E"/>
    <w:rsid w:val="10A83678"/>
    <w:rsid w:val="10B31E4D"/>
    <w:rsid w:val="10BA66EE"/>
    <w:rsid w:val="10C634AA"/>
    <w:rsid w:val="10D10E21"/>
    <w:rsid w:val="10DA119F"/>
    <w:rsid w:val="10DB2B88"/>
    <w:rsid w:val="10DE30A4"/>
    <w:rsid w:val="10DE3CA8"/>
    <w:rsid w:val="10E67546"/>
    <w:rsid w:val="10E730F1"/>
    <w:rsid w:val="10F43B27"/>
    <w:rsid w:val="10F46578"/>
    <w:rsid w:val="11183F4B"/>
    <w:rsid w:val="111C7EFE"/>
    <w:rsid w:val="111E0C02"/>
    <w:rsid w:val="112873FD"/>
    <w:rsid w:val="113118BF"/>
    <w:rsid w:val="11317091"/>
    <w:rsid w:val="113567CD"/>
    <w:rsid w:val="113635F8"/>
    <w:rsid w:val="1150072A"/>
    <w:rsid w:val="11634CD7"/>
    <w:rsid w:val="11654820"/>
    <w:rsid w:val="117177BD"/>
    <w:rsid w:val="117A295D"/>
    <w:rsid w:val="117A5014"/>
    <w:rsid w:val="1182316A"/>
    <w:rsid w:val="11823EC9"/>
    <w:rsid w:val="119010F0"/>
    <w:rsid w:val="11A025A1"/>
    <w:rsid w:val="11A35471"/>
    <w:rsid w:val="11A55309"/>
    <w:rsid w:val="11AE61BC"/>
    <w:rsid w:val="11B00A48"/>
    <w:rsid w:val="11B12A00"/>
    <w:rsid w:val="11B31CE7"/>
    <w:rsid w:val="11D265D7"/>
    <w:rsid w:val="11DD378A"/>
    <w:rsid w:val="11E123CE"/>
    <w:rsid w:val="11E3705D"/>
    <w:rsid w:val="11E93C71"/>
    <w:rsid w:val="11F154C0"/>
    <w:rsid w:val="11FA1B24"/>
    <w:rsid w:val="12076C5F"/>
    <w:rsid w:val="12096398"/>
    <w:rsid w:val="120E5271"/>
    <w:rsid w:val="122729E3"/>
    <w:rsid w:val="122907E8"/>
    <w:rsid w:val="122B78F6"/>
    <w:rsid w:val="12301CF4"/>
    <w:rsid w:val="12353631"/>
    <w:rsid w:val="1240690B"/>
    <w:rsid w:val="12476189"/>
    <w:rsid w:val="124F64A1"/>
    <w:rsid w:val="125553E6"/>
    <w:rsid w:val="125D1022"/>
    <w:rsid w:val="126B6E21"/>
    <w:rsid w:val="126D782D"/>
    <w:rsid w:val="12714280"/>
    <w:rsid w:val="127F0CDB"/>
    <w:rsid w:val="12825471"/>
    <w:rsid w:val="128328E5"/>
    <w:rsid w:val="128E5207"/>
    <w:rsid w:val="129A1DAD"/>
    <w:rsid w:val="129A5FE4"/>
    <w:rsid w:val="12AB489A"/>
    <w:rsid w:val="12B63043"/>
    <w:rsid w:val="12B7085D"/>
    <w:rsid w:val="12C80001"/>
    <w:rsid w:val="12D23689"/>
    <w:rsid w:val="12D67369"/>
    <w:rsid w:val="12DB5F87"/>
    <w:rsid w:val="12E0534B"/>
    <w:rsid w:val="12E2136E"/>
    <w:rsid w:val="12ED2DCF"/>
    <w:rsid w:val="12FA24C5"/>
    <w:rsid w:val="12FE231C"/>
    <w:rsid w:val="13037EEA"/>
    <w:rsid w:val="130723DA"/>
    <w:rsid w:val="130F2DC4"/>
    <w:rsid w:val="131040DC"/>
    <w:rsid w:val="1315136D"/>
    <w:rsid w:val="131F3C28"/>
    <w:rsid w:val="13243B78"/>
    <w:rsid w:val="133833D9"/>
    <w:rsid w:val="133F76AF"/>
    <w:rsid w:val="134C2CC1"/>
    <w:rsid w:val="134D1A62"/>
    <w:rsid w:val="134E09DC"/>
    <w:rsid w:val="13532DD0"/>
    <w:rsid w:val="13555339"/>
    <w:rsid w:val="13560EEC"/>
    <w:rsid w:val="1358677F"/>
    <w:rsid w:val="135932E2"/>
    <w:rsid w:val="13594A30"/>
    <w:rsid w:val="137E34AD"/>
    <w:rsid w:val="137F2DB6"/>
    <w:rsid w:val="13805611"/>
    <w:rsid w:val="138165B6"/>
    <w:rsid w:val="138349DA"/>
    <w:rsid w:val="13870851"/>
    <w:rsid w:val="13A564F0"/>
    <w:rsid w:val="13C274FF"/>
    <w:rsid w:val="13C84E4F"/>
    <w:rsid w:val="13C939EE"/>
    <w:rsid w:val="13D87AC2"/>
    <w:rsid w:val="13E170CD"/>
    <w:rsid w:val="13E47DAB"/>
    <w:rsid w:val="13FC6704"/>
    <w:rsid w:val="14132826"/>
    <w:rsid w:val="14166EAE"/>
    <w:rsid w:val="141911AF"/>
    <w:rsid w:val="141925E2"/>
    <w:rsid w:val="142F3E4D"/>
    <w:rsid w:val="143D5684"/>
    <w:rsid w:val="14482F9F"/>
    <w:rsid w:val="14521A87"/>
    <w:rsid w:val="145558C5"/>
    <w:rsid w:val="146A7461"/>
    <w:rsid w:val="14726477"/>
    <w:rsid w:val="14744F9C"/>
    <w:rsid w:val="14777D02"/>
    <w:rsid w:val="14787B76"/>
    <w:rsid w:val="147B08B2"/>
    <w:rsid w:val="147F0C7F"/>
    <w:rsid w:val="14847EB4"/>
    <w:rsid w:val="149264F3"/>
    <w:rsid w:val="14A66120"/>
    <w:rsid w:val="14B873F0"/>
    <w:rsid w:val="14C00AF7"/>
    <w:rsid w:val="14C87450"/>
    <w:rsid w:val="14CB7F29"/>
    <w:rsid w:val="14CF1B1B"/>
    <w:rsid w:val="14D62EA9"/>
    <w:rsid w:val="14E802B2"/>
    <w:rsid w:val="14FB5517"/>
    <w:rsid w:val="150418BD"/>
    <w:rsid w:val="15080357"/>
    <w:rsid w:val="151005D5"/>
    <w:rsid w:val="151500F9"/>
    <w:rsid w:val="15190B26"/>
    <w:rsid w:val="151F0225"/>
    <w:rsid w:val="1521721A"/>
    <w:rsid w:val="154C316C"/>
    <w:rsid w:val="15534F45"/>
    <w:rsid w:val="15541662"/>
    <w:rsid w:val="15623992"/>
    <w:rsid w:val="15652D26"/>
    <w:rsid w:val="156F0F99"/>
    <w:rsid w:val="15806013"/>
    <w:rsid w:val="15886D2F"/>
    <w:rsid w:val="15894594"/>
    <w:rsid w:val="158E14BB"/>
    <w:rsid w:val="159464D6"/>
    <w:rsid w:val="15972EC0"/>
    <w:rsid w:val="15981F0D"/>
    <w:rsid w:val="15A42379"/>
    <w:rsid w:val="15A9396A"/>
    <w:rsid w:val="15B12A8F"/>
    <w:rsid w:val="15BA68CE"/>
    <w:rsid w:val="15BE749A"/>
    <w:rsid w:val="15C50BFB"/>
    <w:rsid w:val="15C75E2E"/>
    <w:rsid w:val="15C9315D"/>
    <w:rsid w:val="15CF7829"/>
    <w:rsid w:val="15DB0EA4"/>
    <w:rsid w:val="15E30600"/>
    <w:rsid w:val="15EA64E1"/>
    <w:rsid w:val="15EC64DD"/>
    <w:rsid w:val="15EF58A5"/>
    <w:rsid w:val="15EF69A1"/>
    <w:rsid w:val="15F97D2F"/>
    <w:rsid w:val="15FD3EEB"/>
    <w:rsid w:val="15FD565A"/>
    <w:rsid w:val="16086FF3"/>
    <w:rsid w:val="160873DF"/>
    <w:rsid w:val="16091694"/>
    <w:rsid w:val="161101F6"/>
    <w:rsid w:val="162255F0"/>
    <w:rsid w:val="162A7777"/>
    <w:rsid w:val="16333A0A"/>
    <w:rsid w:val="16344EB4"/>
    <w:rsid w:val="16385CA8"/>
    <w:rsid w:val="163B0AEA"/>
    <w:rsid w:val="163B18EC"/>
    <w:rsid w:val="16477027"/>
    <w:rsid w:val="165F011A"/>
    <w:rsid w:val="16607FDA"/>
    <w:rsid w:val="166B7621"/>
    <w:rsid w:val="1674701F"/>
    <w:rsid w:val="167E113F"/>
    <w:rsid w:val="168326F3"/>
    <w:rsid w:val="168737FA"/>
    <w:rsid w:val="16900E36"/>
    <w:rsid w:val="16A47F1B"/>
    <w:rsid w:val="16A67B5B"/>
    <w:rsid w:val="16AD0C87"/>
    <w:rsid w:val="16BB1820"/>
    <w:rsid w:val="16BD1FFD"/>
    <w:rsid w:val="16C54A69"/>
    <w:rsid w:val="16DB3641"/>
    <w:rsid w:val="16DE4126"/>
    <w:rsid w:val="16E32DEE"/>
    <w:rsid w:val="16E55626"/>
    <w:rsid w:val="16EF6780"/>
    <w:rsid w:val="16F2389F"/>
    <w:rsid w:val="16FF575B"/>
    <w:rsid w:val="170512F9"/>
    <w:rsid w:val="17081A5A"/>
    <w:rsid w:val="170A2C0C"/>
    <w:rsid w:val="17103DDA"/>
    <w:rsid w:val="17114142"/>
    <w:rsid w:val="171448A7"/>
    <w:rsid w:val="17176403"/>
    <w:rsid w:val="172107DA"/>
    <w:rsid w:val="172451D6"/>
    <w:rsid w:val="17290354"/>
    <w:rsid w:val="172E2DE2"/>
    <w:rsid w:val="17302362"/>
    <w:rsid w:val="173B1EC3"/>
    <w:rsid w:val="173C20BE"/>
    <w:rsid w:val="173E1CDF"/>
    <w:rsid w:val="173F62DF"/>
    <w:rsid w:val="17494767"/>
    <w:rsid w:val="17514A4A"/>
    <w:rsid w:val="175400B6"/>
    <w:rsid w:val="17594914"/>
    <w:rsid w:val="176220B5"/>
    <w:rsid w:val="176513BB"/>
    <w:rsid w:val="1768590F"/>
    <w:rsid w:val="17727052"/>
    <w:rsid w:val="17736DC9"/>
    <w:rsid w:val="17740758"/>
    <w:rsid w:val="177C55A8"/>
    <w:rsid w:val="17893DBE"/>
    <w:rsid w:val="17894050"/>
    <w:rsid w:val="178C29F6"/>
    <w:rsid w:val="178C7429"/>
    <w:rsid w:val="17903B89"/>
    <w:rsid w:val="179268EF"/>
    <w:rsid w:val="17A06A73"/>
    <w:rsid w:val="17A9347F"/>
    <w:rsid w:val="17DB0EF9"/>
    <w:rsid w:val="17E551B2"/>
    <w:rsid w:val="17F453F5"/>
    <w:rsid w:val="17F673BF"/>
    <w:rsid w:val="1800379D"/>
    <w:rsid w:val="180252DD"/>
    <w:rsid w:val="18031CD2"/>
    <w:rsid w:val="18043A72"/>
    <w:rsid w:val="180705EC"/>
    <w:rsid w:val="181021C8"/>
    <w:rsid w:val="181141BF"/>
    <w:rsid w:val="182861B9"/>
    <w:rsid w:val="18301B55"/>
    <w:rsid w:val="183167AD"/>
    <w:rsid w:val="183D5A60"/>
    <w:rsid w:val="18416C6F"/>
    <w:rsid w:val="184519F4"/>
    <w:rsid w:val="184E2251"/>
    <w:rsid w:val="18670142"/>
    <w:rsid w:val="18692C03"/>
    <w:rsid w:val="187554D4"/>
    <w:rsid w:val="1881777E"/>
    <w:rsid w:val="18860743"/>
    <w:rsid w:val="18954E2A"/>
    <w:rsid w:val="18A150D1"/>
    <w:rsid w:val="18AA4ACE"/>
    <w:rsid w:val="18AE37F5"/>
    <w:rsid w:val="18B06199"/>
    <w:rsid w:val="18B43502"/>
    <w:rsid w:val="18B90B18"/>
    <w:rsid w:val="18CD3DB6"/>
    <w:rsid w:val="18DB5FAD"/>
    <w:rsid w:val="18E35B95"/>
    <w:rsid w:val="18E61F77"/>
    <w:rsid w:val="18E96610"/>
    <w:rsid w:val="18EF17D4"/>
    <w:rsid w:val="18F65412"/>
    <w:rsid w:val="18FD2A6E"/>
    <w:rsid w:val="1901601B"/>
    <w:rsid w:val="1903456B"/>
    <w:rsid w:val="19055D62"/>
    <w:rsid w:val="1907738F"/>
    <w:rsid w:val="191310C9"/>
    <w:rsid w:val="192137AF"/>
    <w:rsid w:val="194F7205"/>
    <w:rsid w:val="19520625"/>
    <w:rsid w:val="19556E7C"/>
    <w:rsid w:val="1958643D"/>
    <w:rsid w:val="19586951"/>
    <w:rsid w:val="195D2652"/>
    <w:rsid w:val="19670574"/>
    <w:rsid w:val="196D4A0F"/>
    <w:rsid w:val="1970037C"/>
    <w:rsid w:val="1971292B"/>
    <w:rsid w:val="19750620"/>
    <w:rsid w:val="197F2406"/>
    <w:rsid w:val="198E700E"/>
    <w:rsid w:val="198F5F37"/>
    <w:rsid w:val="1990114D"/>
    <w:rsid w:val="199134B6"/>
    <w:rsid w:val="19AC5283"/>
    <w:rsid w:val="19AE4A5E"/>
    <w:rsid w:val="19BB38AB"/>
    <w:rsid w:val="19C11A90"/>
    <w:rsid w:val="19C72DC1"/>
    <w:rsid w:val="19D7310D"/>
    <w:rsid w:val="19D83220"/>
    <w:rsid w:val="19D94BCC"/>
    <w:rsid w:val="19DB6C5B"/>
    <w:rsid w:val="19E51A54"/>
    <w:rsid w:val="19EA5A93"/>
    <w:rsid w:val="19EB237B"/>
    <w:rsid w:val="19EE6547"/>
    <w:rsid w:val="19FB6F0E"/>
    <w:rsid w:val="1A015967"/>
    <w:rsid w:val="1A081AFF"/>
    <w:rsid w:val="1A0A0EFF"/>
    <w:rsid w:val="1A0F29BA"/>
    <w:rsid w:val="1A145B6D"/>
    <w:rsid w:val="1A1A711A"/>
    <w:rsid w:val="1A287DF6"/>
    <w:rsid w:val="1A34067F"/>
    <w:rsid w:val="1A3607AB"/>
    <w:rsid w:val="1A3652AF"/>
    <w:rsid w:val="1A37159D"/>
    <w:rsid w:val="1A4046DF"/>
    <w:rsid w:val="1A465FC2"/>
    <w:rsid w:val="1A5104B5"/>
    <w:rsid w:val="1A555F58"/>
    <w:rsid w:val="1A574EEB"/>
    <w:rsid w:val="1A58610F"/>
    <w:rsid w:val="1A5F77D3"/>
    <w:rsid w:val="1A6854CC"/>
    <w:rsid w:val="1A6A58F3"/>
    <w:rsid w:val="1A6B4094"/>
    <w:rsid w:val="1A756D09"/>
    <w:rsid w:val="1A824F3A"/>
    <w:rsid w:val="1A8B2B51"/>
    <w:rsid w:val="1A8D2FE0"/>
    <w:rsid w:val="1A9847BA"/>
    <w:rsid w:val="1AA37D82"/>
    <w:rsid w:val="1AA46BAD"/>
    <w:rsid w:val="1AA60B5F"/>
    <w:rsid w:val="1AA70A95"/>
    <w:rsid w:val="1ABC487C"/>
    <w:rsid w:val="1ABC6F82"/>
    <w:rsid w:val="1AC13CB4"/>
    <w:rsid w:val="1AC55816"/>
    <w:rsid w:val="1AC57F78"/>
    <w:rsid w:val="1AC83401"/>
    <w:rsid w:val="1ACB75E9"/>
    <w:rsid w:val="1AF15B0E"/>
    <w:rsid w:val="1AF50A57"/>
    <w:rsid w:val="1AFE50F5"/>
    <w:rsid w:val="1B0B03A8"/>
    <w:rsid w:val="1B125FC2"/>
    <w:rsid w:val="1B1F6C2C"/>
    <w:rsid w:val="1B263082"/>
    <w:rsid w:val="1B306F4E"/>
    <w:rsid w:val="1B311072"/>
    <w:rsid w:val="1B326960"/>
    <w:rsid w:val="1B38601F"/>
    <w:rsid w:val="1B395DC9"/>
    <w:rsid w:val="1B3C385C"/>
    <w:rsid w:val="1B433BCB"/>
    <w:rsid w:val="1B44703D"/>
    <w:rsid w:val="1B49173F"/>
    <w:rsid w:val="1B4C4A90"/>
    <w:rsid w:val="1B4E165A"/>
    <w:rsid w:val="1B565835"/>
    <w:rsid w:val="1B590519"/>
    <w:rsid w:val="1B5D4A17"/>
    <w:rsid w:val="1B5D7058"/>
    <w:rsid w:val="1B6E79EB"/>
    <w:rsid w:val="1B817DE5"/>
    <w:rsid w:val="1B830F69"/>
    <w:rsid w:val="1BB36650"/>
    <w:rsid w:val="1BB54BE2"/>
    <w:rsid w:val="1BC4291D"/>
    <w:rsid w:val="1BCA4DEA"/>
    <w:rsid w:val="1BD9502D"/>
    <w:rsid w:val="1BDB0B9C"/>
    <w:rsid w:val="1BDD2D6F"/>
    <w:rsid w:val="1BDE2644"/>
    <w:rsid w:val="1BF55789"/>
    <w:rsid w:val="1BF854AA"/>
    <w:rsid w:val="1BF96EC2"/>
    <w:rsid w:val="1BFC4317"/>
    <w:rsid w:val="1C040959"/>
    <w:rsid w:val="1C071B9A"/>
    <w:rsid w:val="1C0856E2"/>
    <w:rsid w:val="1C213238"/>
    <w:rsid w:val="1C24225E"/>
    <w:rsid w:val="1C277032"/>
    <w:rsid w:val="1C2F2E9F"/>
    <w:rsid w:val="1C3041CB"/>
    <w:rsid w:val="1C400BF6"/>
    <w:rsid w:val="1C4A452D"/>
    <w:rsid w:val="1C5060C2"/>
    <w:rsid w:val="1C530673"/>
    <w:rsid w:val="1C533CAB"/>
    <w:rsid w:val="1C5D5C5E"/>
    <w:rsid w:val="1C715398"/>
    <w:rsid w:val="1C7767B0"/>
    <w:rsid w:val="1C7E6AA5"/>
    <w:rsid w:val="1CAA22CA"/>
    <w:rsid w:val="1CB735C0"/>
    <w:rsid w:val="1CBE502D"/>
    <w:rsid w:val="1CC730D8"/>
    <w:rsid w:val="1CCA6CBC"/>
    <w:rsid w:val="1CCC06EE"/>
    <w:rsid w:val="1CE855CA"/>
    <w:rsid w:val="1CEC768E"/>
    <w:rsid w:val="1CF00880"/>
    <w:rsid w:val="1CF01DC8"/>
    <w:rsid w:val="1CFD65A6"/>
    <w:rsid w:val="1D075740"/>
    <w:rsid w:val="1D0D1E52"/>
    <w:rsid w:val="1D1722B1"/>
    <w:rsid w:val="1D2E3157"/>
    <w:rsid w:val="1D3723D1"/>
    <w:rsid w:val="1D3A7FAB"/>
    <w:rsid w:val="1D437BE0"/>
    <w:rsid w:val="1D440BCC"/>
    <w:rsid w:val="1D596426"/>
    <w:rsid w:val="1D5A3773"/>
    <w:rsid w:val="1D5E1C8E"/>
    <w:rsid w:val="1D5F79FB"/>
    <w:rsid w:val="1D667ACB"/>
    <w:rsid w:val="1D73167E"/>
    <w:rsid w:val="1D7D5632"/>
    <w:rsid w:val="1D8C153C"/>
    <w:rsid w:val="1D8D4321"/>
    <w:rsid w:val="1D8F1E47"/>
    <w:rsid w:val="1D99437E"/>
    <w:rsid w:val="1D9F3377"/>
    <w:rsid w:val="1DB63878"/>
    <w:rsid w:val="1DC3198C"/>
    <w:rsid w:val="1DC557E2"/>
    <w:rsid w:val="1DC75A85"/>
    <w:rsid w:val="1DC94585"/>
    <w:rsid w:val="1DCD0BC2"/>
    <w:rsid w:val="1DD85F79"/>
    <w:rsid w:val="1DDE0649"/>
    <w:rsid w:val="1DED6D13"/>
    <w:rsid w:val="1E181E88"/>
    <w:rsid w:val="1E1C6C43"/>
    <w:rsid w:val="1E217763"/>
    <w:rsid w:val="1E334EC9"/>
    <w:rsid w:val="1E4A0F72"/>
    <w:rsid w:val="1E5119AA"/>
    <w:rsid w:val="1E57672E"/>
    <w:rsid w:val="1E5B16E3"/>
    <w:rsid w:val="1E5E6A53"/>
    <w:rsid w:val="1E656653"/>
    <w:rsid w:val="1E6A5475"/>
    <w:rsid w:val="1E6F3A27"/>
    <w:rsid w:val="1E6F67F6"/>
    <w:rsid w:val="1E7134CC"/>
    <w:rsid w:val="1E7B5051"/>
    <w:rsid w:val="1E8000F5"/>
    <w:rsid w:val="1E90481B"/>
    <w:rsid w:val="1E946D23"/>
    <w:rsid w:val="1EA0577A"/>
    <w:rsid w:val="1EBB0A1A"/>
    <w:rsid w:val="1EC04283"/>
    <w:rsid w:val="1EC8563F"/>
    <w:rsid w:val="1ECE6562"/>
    <w:rsid w:val="1ED4257E"/>
    <w:rsid w:val="1EDA3596"/>
    <w:rsid w:val="1EDA71F2"/>
    <w:rsid w:val="1EDC730E"/>
    <w:rsid w:val="1EEC336F"/>
    <w:rsid w:val="1EEE05B5"/>
    <w:rsid w:val="1EFB0BBB"/>
    <w:rsid w:val="1F0A1604"/>
    <w:rsid w:val="1F0B522A"/>
    <w:rsid w:val="1F1774DB"/>
    <w:rsid w:val="1F1D3483"/>
    <w:rsid w:val="1F22316C"/>
    <w:rsid w:val="1F3149BA"/>
    <w:rsid w:val="1F385CFF"/>
    <w:rsid w:val="1F393ACC"/>
    <w:rsid w:val="1F3D6E93"/>
    <w:rsid w:val="1F4B0C61"/>
    <w:rsid w:val="1F5A000D"/>
    <w:rsid w:val="1F7B3120"/>
    <w:rsid w:val="1F7F7C9A"/>
    <w:rsid w:val="1F8115F5"/>
    <w:rsid w:val="1F9E56AE"/>
    <w:rsid w:val="1FA46CB2"/>
    <w:rsid w:val="1FA729A9"/>
    <w:rsid w:val="1FA94D17"/>
    <w:rsid w:val="1FAA27CF"/>
    <w:rsid w:val="1FB26E76"/>
    <w:rsid w:val="1FB52A9F"/>
    <w:rsid w:val="1FB634D8"/>
    <w:rsid w:val="1FBA7906"/>
    <w:rsid w:val="1FC3227C"/>
    <w:rsid w:val="1FE30C84"/>
    <w:rsid w:val="1FE37C2C"/>
    <w:rsid w:val="1FE7281C"/>
    <w:rsid w:val="1FE84BCD"/>
    <w:rsid w:val="200A1185"/>
    <w:rsid w:val="2015593F"/>
    <w:rsid w:val="201E3CA1"/>
    <w:rsid w:val="20247704"/>
    <w:rsid w:val="2031187D"/>
    <w:rsid w:val="203B62C7"/>
    <w:rsid w:val="20481CF7"/>
    <w:rsid w:val="205564AD"/>
    <w:rsid w:val="2067508B"/>
    <w:rsid w:val="207A409D"/>
    <w:rsid w:val="2088623B"/>
    <w:rsid w:val="2089437A"/>
    <w:rsid w:val="208F3E33"/>
    <w:rsid w:val="20962A57"/>
    <w:rsid w:val="20967624"/>
    <w:rsid w:val="20BE2F62"/>
    <w:rsid w:val="20C1695B"/>
    <w:rsid w:val="20C5547E"/>
    <w:rsid w:val="20CB5D46"/>
    <w:rsid w:val="20D37767"/>
    <w:rsid w:val="20D61B3B"/>
    <w:rsid w:val="20DD25EA"/>
    <w:rsid w:val="20DF4C72"/>
    <w:rsid w:val="20E06727"/>
    <w:rsid w:val="20E4744F"/>
    <w:rsid w:val="20EB1EC4"/>
    <w:rsid w:val="20F876CC"/>
    <w:rsid w:val="20FA153E"/>
    <w:rsid w:val="20FA1CCE"/>
    <w:rsid w:val="20FB00CA"/>
    <w:rsid w:val="2101552A"/>
    <w:rsid w:val="210E0976"/>
    <w:rsid w:val="211477DE"/>
    <w:rsid w:val="21154D5A"/>
    <w:rsid w:val="21195A64"/>
    <w:rsid w:val="213E1D98"/>
    <w:rsid w:val="21452AEA"/>
    <w:rsid w:val="214E531E"/>
    <w:rsid w:val="214F7558"/>
    <w:rsid w:val="21554126"/>
    <w:rsid w:val="215A276C"/>
    <w:rsid w:val="21607B4A"/>
    <w:rsid w:val="21747C74"/>
    <w:rsid w:val="217C7D5E"/>
    <w:rsid w:val="21833AB0"/>
    <w:rsid w:val="21834CD6"/>
    <w:rsid w:val="21972085"/>
    <w:rsid w:val="219A0DBB"/>
    <w:rsid w:val="219C4B33"/>
    <w:rsid w:val="219E7681"/>
    <w:rsid w:val="21AE1C0A"/>
    <w:rsid w:val="21B14BD7"/>
    <w:rsid w:val="21B7196D"/>
    <w:rsid w:val="21BB06CC"/>
    <w:rsid w:val="21BF60D4"/>
    <w:rsid w:val="21C46E94"/>
    <w:rsid w:val="21DF654B"/>
    <w:rsid w:val="21E36C06"/>
    <w:rsid w:val="21E52A37"/>
    <w:rsid w:val="21E631C4"/>
    <w:rsid w:val="21E83581"/>
    <w:rsid w:val="21EE11B9"/>
    <w:rsid w:val="21F34680"/>
    <w:rsid w:val="220A3193"/>
    <w:rsid w:val="22113BC6"/>
    <w:rsid w:val="2217065D"/>
    <w:rsid w:val="221B014E"/>
    <w:rsid w:val="221B49C5"/>
    <w:rsid w:val="22244B28"/>
    <w:rsid w:val="22271898"/>
    <w:rsid w:val="22276EB6"/>
    <w:rsid w:val="222B4917"/>
    <w:rsid w:val="222B72CC"/>
    <w:rsid w:val="222B73C7"/>
    <w:rsid w:val="22305D4D"/>
    <w:rsid w:val="22327245"/>
    <w:rsid w:val="224E1984"/>
    <w:rsid w:val="225750AC"/>
    <w:rsid w:val="22584179"/>
    <w:rsid w:val="226B6C28"/>
    <w:rsid w:val="22763012"/>
    <w:rsid w:val="22873A35"/>
    <w:rsid w:val="228D583F"/>
    <w:rsid w:val="228E5783"/>
    <w:rsid w:val="229175AD"/>
    <w:rsid w:val="229F76C5"/>
    <w:rsid w:val="22A103E9"/>
    <w:rsid w:val="22A30639"/>
    <w:rsid w:val="22A35059"/>
    <w:rsid w:val="22B660C8"/>
    <w:rsid w:val="22C9275A"/>
    <w:rsid w:val="22CC4021"/>
    <w:rsid w:val="22D105E2"/>
    <w:rsid w:val="22D738DF"/>
    <w:rsid w:val="22DB2BCF"/>
    <w:rsid w:val="22E92236"/>
    <w:rsid w:val="22EC1AEA"/>
    <w:rsid w:val="22EF5B67"/>
    <w:rsid w:val="22F66FA4"/>
    <w:rsid w:val="22F76F05"/>
    <w:rsid w:val="22F775E9"/>
    <w:rsid w:val="23010566"/>
    <w:rsid w:val="231473BD"/>
    <w:rsid w:val="23234993"/>
    <w:rsid w:val="232667D7"/>
    <w:rsid w:val="233133A3"/>
    <w:rsid w:val="2335523F"/>
    <w:rsid w:val="234416E0"/>
    <w:rsid w:val="236A21F4"/>
    <w:rsid w:val="237B1596"/>
    <w:rsid w:val="23817DE3"/>
    <w:rsid w:val="23851B5A"/>
    <w:rsid w:val="238C0B11"/>
    <w:rsid w:val="239739DB"/>
    <w:rsid w:val="239F735E"/>
    <w:rsid w:val="23B70EE2"/>
    <w:rsid w:val="23BE7AE3"/>
    <w:rsid w:val="23D60C5C"/>
    <w:rsid w:val="23D93213"/>
    <w:rsid w:val="23E16D41"/>
    <w:rsid w:val="23E4223A"/>
    <w:rsid w:val="23EC2B8F"/>
    <w:rsid w:val="23FA7D8C"/>
    <w:rsid w:val="23FE36CC"/>
    <w:rsid w:val="241B31D4"/>
    <w:rsid w:val="2422439F"/>
    <w:rsid w:val="24253306"/>
    <w:rsid w:val="242B4FFA"/>
    <w:rsid w:val="242C608A"/>
    <w:rsid w:val="24317659"/>
    <w:rsid w:val="2437397B"/>
    <w:rsid w:val="24512AD8"/>
    <w:rsid w:val="24515EFF"/>
    <w:rsid w:val="245F23B1"/>
    <w:rsid w:val="24682086"/>
    <w:rsid w:val="247920BC"/>
    <w:rsid w:val="248B703D"/>
    <w:rsid w:val="248B78FE"/>
    <w:rsid w:val="24935516"/>
    <w:rsid w:val="24B43897"/>
    <w:rsid w:val="24BB025D"/>
    <w:rsid w:val="24C37A39"/>
    <w:rsid w:val="24CF5E0D"/>
    <w:rsid w:val="24DE1ED5"/>
    <w:rsid w:val="24E3519A"/>
    <w:rsid w:val="24EE7D9B"/>
    <w:rsid w:val="24FB6014"/>
    <w:rsid w:val="25007ACF"/>
    <w:rsid w:val="25070E5D"/>
    <w:rsid w:val="251379C9"/>
    <w:rsid w:val="251F0311"/>
    <w:rsid w:val="25253114"/>
    <w:rsid w:val="253357AE"/>
    <w:rsid w:val="2538018E"/>
    <w:rsid w:val="25382851"/>
    <w:rsid w:val="253A44F0"/>
    <w:rsid w:val="253B4663"/>
    <w:rsid w:val="253E2DA2"/>
    <w:rsid w:val="25496D80"/>
    <w:rsid w:val="25526F88"/>
    <w:rsid w:val="255D5254"/>
    <w:rsid w:val="25697946"/>
    <w:rsid w:val="257007B0"/>
    <w:rsid w:val="25755470"/>
    <w:rsid w:val="259546D1"/>
    <w:rsid w:val="259638D4"/>
    <w:rsid w:val="259A7F19"/>
    <w:rsid w:val="25A64E94"/>
    <w:rsid w:val="25A87C09"/>
    <w:rsid w:val="25AD635F"/>
    <w:rsid w:val="25AE12D9"/>
    <w:rsid w:val="25BC39F6"/>
    <w:rsid w:val="25C77E7A"/>
    <w:rsid w:val="25C90628"/>
    <w:rsid w:val="25D8750D"/>
    <w:rsid w:val="25F22F8A"/>
    <w:rsid w:val="26087CB8"/>
    <w:rsid w:val="261C79B6"/>
    <w:rsid w:val="263D6742"/>
    <w:rsid w:val="265E4CC3"/>
    <w:rsid w:val="265F53DE"/>
    <w:rsid w:val="266109F7"/>
    <w:rsid w:val="26646A2F"/>
    <w:rsid w:val="26647BE9"/>
    <w:rsid w:val="266B1EDE"/>
    <w:rsid w:val="2681730F"/>
    <w:rsid w:val="26867B60"/>
    <w:rsid w:val="26946721"/>
    <w:rsid w:val="26953D9A"/>
    <w:rsid w:val="269E1015"/>
    <w:rsid w:val="269F5B60"/>
    <w:rsid w:val="26A6577E"/>
    <w:rsid w:val="26A757E9"/>
    <w:rsid w:val="26A768EE"/>
    <w:rsid w:val="26AA421F"/>
    <w:rsid w:val="26AC52FE"/>
    <w:rsid w:val="26B22D26"/>
    <w:rsid w:val="26B3423C"/>
    <w:rsid w:val="26BB5A5B"/>
    <w:rsid w:val="26BE379D"/>
    <w:rsid w:val="26C160D6"/>
    <w:rsid w:val="26C30DB4"/>
    <w:rsid w:val="26CA2142"/>
    <w:rsid w:val="26D829E9"/>
    <w:rsid w:val="26EC3659"/>
    <w:rsid w:val="26EF3531"/>
    <w:rsid w:val="26FD5F5C"/>
    <w:rsid w:val="27075144"/>
    <w:rsid w:val="27105E1E"/>
    <w:rsid w:val="271424E1"/>
    <w:rsid w:val="27184587"/>
    <w:rsid w:val="271A054F"/>
    <w:rsid w:val="272A733C"/>
    <w:rsid w:val="272C0707"/>
    <w:rsid w:val="272C6EE6"/>
    <w:rsid w:val="272F01F7"/>
    <w:rsid w:val="27367C9E"/>
    <w:rsid w:val="27385370"/>
    <w:rsid w:val="273C26C8"/>
    <w:rsid w:val="274077B4"/>
    <w:rsid w:val="274767A9"/>
    <w:rsid w:val="274F76F6"/>
    <w:rsid w:val="27534783"/>
    <w:rsid w:val="275D29C6"/>
    <w:rsid w:val="277A5916"/>
    <w:rsid w:val="27806282"/>
    <w:rsid w:val="27887D4C"/>
    <w:rsid w:val="278B28CA"/>
    <w:rsid w:val="278E7135"/>
    <w:rsid w:val="27B1572D"/>
    <w:rsid w:val="27B32BB9"/>
    <w:rsid w:val="27C60647"/>
    <w:rsid w:val="27D17BED"/>
    <w:rsid w:val="27D8088F"/>
    <w:rsid w:val="27DE13A1"/>
    <w:rsid w:val="27E71CC0"/>
    <w:rsid w:val="27F55691"/>
    <w:rsid w:val="27F908F2"/>
    <w:rsid w:val="27F9314E"/>
    <w:rsid w:val="2800534D"/>
    <w:rsid w:val="281032E0"/>
    <w:rsid w:val="281521E2"/>
    <w:rsid w:val="281C0B9C"/>
    <w:rsid w:val="282F36CD"/>
    <w:rsid w:val="28340114"/>
    <w:rsid w:val="28355B4F"/>
    <w:rsid w:val="28437BCE"/>
    <w:rsid w:val="28553E82"/>
    <w:rsid w:val="28610884"/>
    <w:rsid w:val="286F11FF"/>
    <w:rsid w:val="28702875"/>
    <w:rsid w:val="28815028"/>
    <w:rsid w:val="288446AD"/>
    <w:rsid w:val="288733D3"/>
    <w:rsid w:val="28876E44"/>
    <w:rsid w:val="288A1457"/>
    <w:rsid w:val="28A76D6D"/>
    <w:rsid w:val="28B81E29"/>
    <w:rsid w:val="28BA1D43"/>
    <w:rsid w:val="28BC4504"/>
    <w:rsid w:val="28C055AB"/>
    <w:rsid w:val="28C31B65"/>
    <w:rsid w:val="28CC7EA1"/>
    <w:rsid w:val="28CF14F5"/>
    <w:rsid w:val="28D251B8"/>
    <w:rsid w:val="28D7567E"/>
    <w:rsid w:val="28E906A2"/>
    <w:rsid w:val="29041A0B"/>
    <w:rsid w:val="29042A9B"/>
    <w:rsid w:val="2907515E"/>
    <w:rsid w:val="291611AA"/>
    <w:rsid w:val="29166FCB"/>
    <w:rsid w:val="291D31B2"/>
    <w:rsid w:val="291E7155"/>
    <w:rsid w:val="29235B3A"/>
    <w:rsid w:val="29254D6F"/>
    <w:rsid w:val="29285806"/>
    <w:rsid w:val="292875F4"/>
    <w:rsid w:val="292D67E3"/>
    <w:rsid w:val="292F2A9F"/>
    <w:rsid w:val="293272D1"/>
    <w:rsid w:val="293328F5"/>
    <w:rsid w:val="29370AA5"/>
    <w:rsid w:val="293D309F"/>
    <w:rsid w:val="294A2BED"/>
    <w:rsid w:val="294B6E0F"/>
    <w:rsid w:val="294B7965"/>
    <w:rsid w:val="295D53A7"/>
    <w:rsid w:val="29633DB7"/>
    <w:rsid w:val="29673338"/>
    <w:rsid w:val="296C0ECF"/>
    <w:rsid w:val="296C71B5"/>
    <w:rsid w:val="297155C6"/>
    <w:rsid w:val="29755FB6"/>
    <w:rsid w:val="29802F8C"/>
    <w:rsid w:val="298505A2"/>
    <w:rsid w:val="298962E5"/>
    <w:rsid w:val="298A33F5"/>
    <w:rsid w:val="29923B03"/>
    <w:rsid w:val="29965E95"/>
    <w:rsid w:val="299662E8"/>
    <w:rsid w:val="29982670"/>
    <w:rsid w:val="29A80279"/>
    <w:rsid w:val="29B654DB"/>
    <w:rsid w:val="29C267F4"/>
    <w:rsid w:val="29C879B9"/>
    <w:rsid w:val="29CD14D5"/>
    <w:rsid w:val="29D03E03"/>
    <w:rsid w:val="29D477B9"/>
    <w:rsid w:val="29DB1DB9"/>
    <w:rsid w:val="29DD1D6D"/>
    <w:rsid w:val="29E1484E"/>
    <w:rsid w:val="29F77DA7"/>
    <w:rsid w:val="29FB0046"/>
    <w:rsid w:val="2A0E5B3D"/>
    <w:rsid w:val="2A257690"/>
    <w:rsid w:val="2A475858"/>
    <w:rsid w:val="2A4A56FF"/>
    <w:rsid w:val="2A603251"/>
    <w:rsid w:val="2A6A1B6D"/>
    <w:rsid w:val="2A707E11"/>
    <w:rsid w:val="2A7A1EBE"/>
    <w:rsid w:val="2A7F3536"/>
    <w:rsid w:val="2A82631D"/>
    <w:rsid w:val="2A8642F2"/>
    <w:rsid w:val="2A8C4DCA"/>
    <w:rsid w:val="2A8C7BFA"/>
    <w:rsid w:val="2A9536A9"/>
    <w:rsid w:val="2A9E6740"/>
    <w:rsid w:val="2AA23C41"/>
    <w:rsid w:val="2AA902C1"/>
    <w:rsid w:val="2AA97FE8"/>
    <w:rsid w:val="2AB578B4"/>
    <w:rsid w:val="2AB95178"/>
    <w:rsid w:val="2ABA728F"/>
    <w:rsid w:val="2ABE5C7F"/>
    <w:rsid w:val="2AC035F2"/>
    <w:rsid w:val="2AD01CF1"/>
    <w:rsid w:val="2AD244D9"/>
    <w:rsid w:val="2AD67958"/>
    <w:rsid w:val="2AD8076C"/>
    <w:rsid w:val="2ADA2F54"/>
    <w:rsid w:val="2AE04A78"/>
    <w:rsid w:val="2AE27E50"/>
    <w:rsid w:val="2AEE3F22"/>
    <w:rsid w:val="2AF21C68"/>
    <w:rsid w:val="2B105BBA"/>
    <w:rsid w:val="2B1D5034"/>
    <w:rsid w:val="2B2B0C1C"/>
    <w:rsid w:val="2B2B194D"/>
    <w:rsid w:val="2B3012C7"/>
    <w:rsid w:val="2B320F6B"/>
    <w:rsid w:val="2B3561B7"/>
    <w:rsid w:val="2B3D6C20"/>
    <w:rsid w:val="2B410A9E"/>
    <w:rsid w:val="2B41674B"/>
    <w:rsid w:val="2B4B2940"/>
    <w:rsid w:val="2B4D0534"/>
    <w:rsid w:val="2B4D3415"/>
    <w:rsid w:val="2B590C39"/>
    <w:rsid w:val="2B623AD7"/>
    <w:rsid w:val="2B6B330A"/>
    <w:rsid w:val="2B774D62"/>
    <w:rsid w:val="2B7F4868"/>
    <w:rsid w:val="2B80747C"/>
    <w:rsid w:val="2B87774B"/>
    <w:rsid w:val="2B8A7BBA"/>
    <w:rsid w:val="2B9056CA"/>
    <w:rsid w:val="2BA73E43"/>
    <w:rsid w:val="2BB62E29"/>
    <w:rsid w:val="2BC306D5"/>
    <w:rsid w:val="2BC6197D"/>
    <w:rsid w:val="2BC77908"/>
    <w:rsid w:val="2BC93799"/>
    <w:rsid w:val="2BCA4992"/>
    <w:rsid w:val="2BD509A2"/>
    <w:rsid w:val="2BE31BAA"/>
    <w:rsid w:val="2C097159"/>
    <w:rsid w:val="2C11611D"/>
    <w:rsid w:val="2C143450"/>
    <w:rsid w:val="2C1F1CC4"/>
    <w:rsid w:val="2C27051C"/>
    <w:rsid w:val="2C2E6B57"/>
    <w:rsid w:val="2C332EFD"/>
    <w:rsid w:val="2C3371E1"/>
    <w:rsid w:val="2C35005E"/>
    <w:rsid w:val="2C3D10D8"/>
    <w:rsid w:val="2C4E45FC"/>
    <w:rsid w:val="2C4E6444"/>
    <w:rsid w:val="2C532592"/>
    <w:rsid w:val="2C637441"/>
    <w:rsid w:val="2C671821"/>
    <w:rsid w:val="2C6743CD"/>
    <w:rsid w:val="2C681CC9"/>
    <w:rsid w:val="2C6E0D75"/>
    <w:rsid w:val="2C7B7FC0"/>
    <w:rsid w:val="2C7F2C36"/>
    <w:rsid w:val="2C811698"/>
    <w:rsid w:val="2C825706"/>
    <w:rsid w:val="2C9C1C42"/>
    <w:rsid w:val="2C9D5C3F"/>
    <w:rsid w:val="2CAA32C0"/>
    <w:rsid w:val="2CC270DA"/>
    <w:rsid w:val="2CCE2260"/>
    <w:rsid w:val="2CD50A95"/>
    <w:rsid w:val="2CE36046"/>
    <w:rsid w:val="2CF34862"/>
    <w:rsid w:val="2D0719D8"/>
    <w:rsid w:val="2D162374"/>
    <w:rsid w:val="2D2138F4"/>
    <w:rsid w:val="2D21532B"/>
    <w:rsid w:val="2D281B20"/>
    <w:rsid w:val="2D2B6B78"/>
    <w:rsid w:val="2D41600D"/>
    <w:rsid w:val="2D4D1F73"/>
    <w:rsid w:val="2D5E4C4B"/>
    <w:rsid w:val="2D6D5A11"/>
    <w:rsid w:val="2D7C0BAE"/>
    <w:rsid w:val="2D8D5C78"/>
    <w:rsid w:val="2D8F0C44"/>
    <w:rsid w:val="2D940DB4"/>
    <w:rsid w:val="2DBE154B"/>
    <w:rsid w:val="2DBE4083"/>
    <w:rsid w:val="2DC17216"/>
    <w:rsid w:val="2DCB7498"/>
    <w:rsid w:val="2DD46BCC"/>
    <w:rsid w:val="2DDB2E87"/>
    <w:rsid w:val="2DEA4E78"/>
    <w:rsid w:val="2DEE7AD0"/>
    <w:rsid w:val="2DF54F33"/>
    <w:rsid w:val="2DFD5E0A"/>
    <w:rsid w:val="2E061418"/>
    <w:rsid w:val="2E0971A1"/>
    <w:rsid w:val="2E1731CE"/>
    <w:rsid w:val="2E2311B6"/>
    <w:rsid w:val="2E2F6D2F"/>
    <w:rsid w:val="2E310B42"/>
    <w:rsid w:val="2E36211A"/>
    <w:rsid w:val="2E480995"/>
    <w:rsid w:val="2E5119EC"/>
    <w:rsid w:val="2E5A2916"/>
    <w:rsid w:val="2E5C6C5D"/>
    <w:rsid w:val="2E60583B"/>
    <w:rsid w:val="2E686A42"/>
    <w:rsid w:val="2E7330BF"/>
    <w:rsid w:val="2E7A57D8"/>
    <w:rsid w:val="2E7B4BB6"/>
    <w:rsid w:val="2E7C1C8B"/>
    <w:rsid w:val="2E7F397C"/>
    <w:rsid w:val="2E873D6E"/>
    <w:rsid w:val="2E8A6183"/>
    <w:rsid w:val="2E98058F"/>
    <w:rsid w:val="2E9E2B2D"/>
    <w:rsid w:val="2EA21541"/>
    <w:rsid w:val="2EA855EA"/>
    <w:rsid w:val="2EB31127"/>
    <w:rsid w:val="2EC4724E"/>
    <w:rsid w:val="2EE203C6"/>
    <w:rsid w:val="2EF40F87"/>
    <w:rsid w:val="2EF77606"/>
    <w:rsid w:val="2F063130"/>
    <w:rsid w:val="2F06797B"/>
    <w:rsid w:val="2F164E59"/>
    <w:rsid w:val="2F195634"/>
    <w:rsid w:val="2F234AE5"/>
    <w:rsid w:val="2F253B3B"/>
    <w:rsid w:val="2F260653"/>
    <w:rsid w:val="2F285C58"/>
    <w:rsid w:val="2F317ACD"/>
    <w:rsid w:val="2F336154"/>
    <w:rsid w:val="2F3A053A"/>
    <w:rsid w:val="2F583FF0"/>
    <w:rsid w:val="2F591238"/>
    <w:rsid w:val="2F61755C"/>
    <w:rsid w:val="2F64680D"/>
    <w:rsid w:val="2F6754EC"/>
    <w:rsid w:val="2F6D5D61"/>
    <w:rsid w:val="2F7737C8"/>
    <w:rsid w:val="2F794434"/>
    <w:rsid w:val="2F7E3DA7"/>
    <w:rsid w:val="2F884949"/>
    <w:rsid w:val="2F897056"/>
    <w:rsid w:val="2F8C44C0"/>
    <w:rsid w:val="2F90044F"/>
    <w:rsid w:val="2F9477F2"/>
    <w:rsid w:val="2FA14E63"/>
    <w:rsid w:val="2FAF3AC9"/>
    <w:rsid w:val="2FB61B4C"/>
    <w:rsid w:val="2FB95D2D"/>
    <w:rsid w:val="2FBB77D9"/>
    <w:rsid w:val="2FC0220F"/>
    <w:rsid w:val="2FC16508"/>
    <w:rsid w:val="2FC36D78"/>
    <w:rsid w:val="2FD55CBE"/>
    <w:rsid w:val="2FDA2F6F"/>
    <w:rsid w:val="2FE740A5"/>
    <w:rsid w:val="2FE850B7"/>
    <w:rsid w:val="2FEB0E00"/>
    <w:rsid w:val="2FF73FCC"/>
    <w:rsid w:val="30037D09"/>
    <w:rsid w:val="30095C2B"/>
    <w:rsid w:val="30101FAD"/>
    <w:rsid w:val="301202CE"/>
    <w:rsid w:val="30162107"/>
    <w:rsid w:val="301A1DE5"/>
    <w:rsid w:val="303A1412"/>
    <w:rsid w:val="304254C2"/>
    <w:rsid w:val="304C5976"/>
    <w:rsid w:val="30765BF9"/>
    <w:rsid w:val="307E46F4"/>
    <w:rsid w:val="3080760B"/>
    <w:rsid w:val="308B1673"/>
    <w:rsid w:val="308B3642"/>
    <w:rsid w:val="308C6499"/>
    <w:rsid w:val="308D6703"/>
    <w:rsid w:val="30931750"/>
    <w:rsid w:val="309760E4"/>
    <w:rsid w:val="309F1EE9"/>
    <w:rsid w:val="30A31A68"/>
    <w:rsid w:val="30A95F69"/>
    <w:rsid w:val="30AC4F52"/>
    <w:rsid w:val="30BC3A23"/>
    <w:rsid w:val="30BD0622"/>
    <w:rsid w:val="30C3032E"/>
    <w:rsid w:val="30CC3D3A"/>
    <w:rsid w:val="30DC72B8"/>
    <w:rsid w:val="30E711B5"/>
    <w:rsid w:val="30F8410C"/>
    <w:rsid w:val="30F86327"/>
    <w:rsid w:val="31073FE0"/>
    <w:rsid w:val="31084FB4"/>
    <w:rsid w:val="31126E83"/>
    <w:rsid w:val="31165F67"/>
    <w:rsid w:val="31240886"/>
    <w:rsid w:val="31242382"/>
    <w:rsid w:val="31351B1D"/>
    <w:rsid w:val="313B3695"/>
    <w:rsid w:val="31490F10"/>
    <w:rsid w:val="315164BE"/>
    <w:rsid w:val="31592A40"/>
    <w:rsid w:val="315B2ABC"/>
    <w:rsid w:val="316824A8"/>
    <w:rsid w:val="316D2AA4"/>
    <w:rsid w:val="317E6F4C"/>
    <w:rsid w:val="317F0FFC"/>
    <w:rsid w:val="318A1534"/>
    <w:rsid w:val="318B1832"/>
    <w:rsid w:val="318E4FC1"/>
    <w:rsid w:val="31943A79"/>
    <w:rsid w:val="31994052"/>
    <w:rsid w:val="319F7372"/>
    <w:rsid w:val="31A1652F"/>
    <w:rsid w:val="31AC215D"/>
    <w:rsid w:val="31C0661C"/>
    <w:rsid w:val="31D36881"/>
    <w:rsid w:val="31D930EA"/>
    <w:rsid w:val="31ED6C2E"/>
    <w:rsid w:val="31F92B93"/>
    <w:rsid w:val="31FF1194"/>
    <w:rsid w:val="320D387D"/>
    <w:rsid w:val="320F4EAD"/>
    <w:rsid w:val="322D69F9"/>
    <w:rsid w:val="32343344"/>
    <w:rsid w:val="323A75F4"/>
    <w:rsid w:val="323B3AD5"/>
    <w:rsid w:val="32404C8D"/>
    <w:rsid w:val="324547B6"/>
    <w:rsid w:val="32607DFF"/>
    <w:rsid w:val="32680EDF"/>
    <w:rsid w:val="3268238D"/>
    <w:rsid w:val="32737664"/>
    <w:rsid w:val="328D22C8"/>
    <w:rsid w:val="328E7DA3"/>
    <w:rsid w:val="32923F56"/>
    <w:rsid w:val="329F6FE1"/>
    <w:rsid w:val="32A92418"/>
    <w:rsid w:val="32AA73E3"/>
    <w:rsid w:val="32AA7974"/>
    <w:rsid w:val="32AB107A"/>
    <w:rsid w:val="32BB6DE3"/>
    <w:rsid w:val="32BD3F78"/>
    <w:rsid w:val="32E12CEE"/>
    <w:rsid w:val="32E63247"/>
    <w:rsid w:val="32E72135"/>
    <w:rsid w:val="32EA0979"/>
    <w:rsid w:val="32EB2E03"/>
    <w:rsid w:val="32ED3641"/>
    <w:rsid w:val="32F27C7E"/>
    <w:rsid w:val="3300193C"/>
    <w:rsid w:val="331662B2"/>
    <w:rsid w:val="332B21BB"/>
    <w:rsid w:val="336246D8"/>
    <w:rsid w:val="3363215A"/>
    <w:rsid w:val="33691C57"/>
    <w:rsid w:val="336D4581"/>
    <w:rsid w:val="33793117"/>
    <w:rsid w:val="337F0819"/>
    <w:rsid w:val="3380257B"/>
    <w:rsid w:val="338B5DBB"/>
    <w:rsid w:val="339733AC"/>
    <w:rsid w:val="33AD6572"/>
    <w:rsid w:val="33B22C5F"/>
    <w:rsid w:val="33C8472C"/>
    <w:rsid w:val="33D0068D"/>
    <w:rsid w:val="33D202A3"/>
    <w:rsid w:val="33D927DC"/>
    <w:rsid w:val="33F24078"/>
    <w:rsid w:val="33F911DD"/>
    <w:rsid w:val="33FB0FF0"/>
    <w:rsid w:val="3400257B"/>
    <w:rsid w:val="34292C8F"/>
    <w:rsid w:val="342A32B1"/>
    <w:rsid w:val="342C4778"/>
    <w:rsid w:val="34411662"/>
    <w:rsid w:val="3456324D"/>
    <w:rsid w:val="347030AD"/>
    <w:rsid w:val="347B6681"/>
    <w:rsid w:val="347F5CED"/>
    <w:rsid w:val="34872E38"/>
    <w:rsid w:val="34881893"/>
    <w:rsid w:val="34957292"/>
    <w:rsid w:val="34964372"/>
    <w:rsid w:val="349A3309"/>
    <w:rsid w:val="34A40554"/>
    <w:rsid w:val="34A774A7"/>
    <w:rsid w:val="34AA5D2B"/>
    <w:rsid w:val="34B5558C"/>
    <w:rsid w:val="34B77502"/>
    <w:rsid w:val="34BE410B"/>
    <w:rsid w:val="34D15FD4"/>
    <w:rsid w:val="34DD2DF2"/>
    <w:rsid w:val="34DD5737"/>
    <w:rsid w:val="34E10800"/>
    <w:rsid w:val="34E23110"/>
    <w:rsid w:val="34E373EB"/>
    <w:rsid w:val="34E502E4"/>
    <w:rsid w:val="34E53FED"/>
    <w:rsid w:val="34E97AFA"/>
    <w:rsid w:val="34F77462"/>
    <w:rsid w:val="34F97BCC"/>
    <w:rsid w:val="3505165F"/>
    <w:rsid w:val="351E3A6E"/>
    <w:rsid w:val="35211C49"/>
    <w:rsid w:val="35252B41"/>
    <w:rsid w:val="352B10D4"/>
    <w:rsid w:val="352D1338"/>
    <w:rsid w:val="35350CDC"/>
    <w:rsid w:val="353C420B"/>
    <w:rsid w:val="35465468"/>
    <w:rsid w:val="354D16DF"/>
    <w:rsid w:val="355359F9"/>
    <w:rsid w:val="356D6ABA"/>
    <w:rsid w:val="35707838"/>
    <w:rsid w:val="35720B60"/>
    <w:rsid w:val="358866CF"/>
    <w:rsid w:val="35893DE2"/>
    <w:rsid w:val="359953B3"/>
    <w:rsid w:val="359C1ED4"/>
    <w:rsid w:val="35AF2C47"/>
    <w:rsid w:val="35B16E01"/>
    <w:rsid w:val="35BE1E1C"/>
    <w:rsid w:val="35BE7316"/>
    <w:rsid w:val="35C6077A"/>
    <w:rsid w:val="35DB64AF"/>
    <w:rsid w:val="35DC49C8"/>
    <w:rsid w:val="35E414CE"/>
    <w:rsid w:val="35FA76B1"/>
    <w:rsid w:val="35FF2BBD"/>
    <w:rsid w:val="360D3DFA"/>
    <w:rsid w:val="36175B93"/>
    <w:rsid w:val="36214836"/>
    <w:rsid w:val="3632523B"/>
    <w:rsid w:val="363D22D1"/>
    <w:rsid w:val="364863D7"/>
    <w:rsid w:val="364C2B74"/>
    <w:rsid w:val="364E79A6"/>
    <w:rsid w:val="364F44DA"/>
    <w:rsid w:val="366532CF"/>
    <w:rsid w:val="366E45AB"/>
    <w:rsid w:val="36816E2C"/>
    <w:rsid w:val="36877708"/>
    <w:rsid w:val="36897A59"/>
    <w:rsid w:val="368B4B36"/>
    <w:rsid w:val="36955AF2"/>
    <w:rsid w:val="3696568C"/>
    <w:rsid w:val="3699519F"/>
    <w:rsid w:val="369B756D"/>
    <w:rsid w:val="36A12147"/>
    <w:rsid w:val="36A41D99"/>
    <w:rsid w:val="36B05829"/>
    <w:rsid w:val="36B80AF7"/>
    <w:rsid w:val="36BD1351"/>
    <w:rsid w:val="36C0056A"/>
    <w:rsid w:val="36E546A7"/>
    <w:rsid w:val="36EC0548"/>
    <w:rsid w:val="37074CED"/>
    <w:rsid w:val="370D1706"/>
    <w:rsid w:val="370D4C36"/>
    <w:rsid w:val="370F7157"/>
    <w:rsid w:val="37206882"/>
    <w:rsid w:val="37362A5F"/>
    <w:rsid w:val="373A1001"/>
    <w:rsid w:val="373E0820"/>
    <w:rsid w:val="37431AEF"/>
    <w:rsid w:val="37466858"/>
    <w:rsid w:val="374E0983"/>
    <w:rsid w:val="37591D5A"/>
    <w:rsid w:val="37683F74"/>
    <w:rsid w:val="376C68FE"/>
    <w:rsid w:val="377563FF"/>
    <w:rsid w:val="3776777C"/>
    <w:rsid w:val="3793116C"/>
    <w:rsid w:val="37936580"/>
    <w:rsid w:val="37987415"/>
    <w:rsid w:val="37A12A4B"/>
    <w:rsid w:val="37A820BA"/>
    <w:rsid w:val="37AD0744"/>
    <w:rsid w:val="37B717FE"/>
    <w:rsid w:val="37BD71D1"/>
    <w:rsid w:val="37D03192"/>
    <w:rsid w:val="37D050DF"/>
    <w:rsid w:val="37D2266D"/>
    <w:rsid w:val="37D526F5"/>
    <w:rsid w:val="37D56779"/>
    <w:rsid w:val="37DE7BB7"/>
    <w:rsid w:val="37E53F3C"/>
    <w:rsid w:val="37E7342E"/>
    <w:rsid w:val="37EC236A"/>
    <w:rsid w:val="37EE31A2"/>
    <w:rsid w:val="37F55860"/>
    <w:rsid w:val="37FE2922"/>
    <w:rsid w:val="37FE309A"/>
    <w:rsid w:val="38070859"/>
    <w:rsid w:val="380B6117"/>
    <w:rsid w:val="381F27F4"/>
    <w:rsid w:val="38244E8F"/>
    <w:rsid w:val="382A4DB4"/>
    <w:rsid w:val="38334AA4"/>
    <w:rsid w:val="38353194"/>
    <w:rsid w:val="383845E1"/>
    <w:rsid w:val="383B5134"/>
    <w:rsid w:val="38457734"/>
    <w:rsid w:val="385C3A5B"/>
    <w:rsid w:val="385F4C1F"/>
    <w:rsid w:val="3862667F"/>
    <w:rsid w:val="387243E8"/>
    <w:rsid w:val="3873163F"/>
    <w:rsid w:val="38733711"/>
    <w:rsid w:val="38794AE0"/>
    <w:rsid w:val="388178EE"/>
    <w:rsid w:val="38827164"/>
    <w:rsid w:val="388A073E"/>
    <w:rsid w:val="388D01DF"/>
    <w:rsid w:val="38917716"/>
    <w:rsid w:val="389205E6"/>
    <w:rsid w:val="3892564B"/>
    <w:rsid w:val="38AB0566"/>
    <w:rsid w:val="38AD1D6E"/>
    <w:rsid w:val="38AF7DAD"/>
    <w:rsid w:val="38D47846"/>
    <w:rsid w:val="38D77D18"/>
    <w:rsid w:val="38D83B5A"/>
    <w:rsid w:val="38DC6A01"/>
    <w:rsid w:val="38E41C0E"/>
    <w:rsid w:val="38E64162"/>
    <w:rsid w:val="38E76B84"/>
    <w:rsid w:val="38E93212"/>
    <w:rsid w:val="38FA334D"/>
    <w:rsid w:val="38FA42FC"/>
    <w:rsid w:val="38FA5E60"/>
    <w:rsid w:val="39007C46"/>
    <w:rsid w:val="39186D28"/>
    <w:rsid w:val="39216AB2"/>
    <w:rsid w:val="39261C89"/>
    <w:rsid w:val="3931503B"/>
    <w:rsid w:val="3935015F"/>
    <w:rsid w:val="393B3097"/>
    <w:rsid w:val="3941764F"/>
    <w:rsid w:val="39425999"/>
    <w:rsid w:val="394E76EB"/>
    <w:rsid w:val="39533CEB"/>
    <w:rsid w:val="39565882"/>
    <w:rsid w:val="395A3FC8"/>
    <w:rsid w:val="397A3554"/>
    <w:rsid w:val="397C25F3"/>
    <w:rsid w:val="39810466"/>
    <w:rsid w:val="39875749"/>
    <w:rsid w:val="39875BB9"/>
    <w:rsid w:val="398E6FFF"/>
    <w:rsid w:val="398F5FEB"/>
    <w:rsid w:val="39A22AAB"/>
    <w:rsid w:val="39A85315"/>
    <w:rsid w:val="39AA35DE"/>
    <w:rsid w:val="39AE3D61"/>
    <w:rsid w:val="39B267CC"/>
    <w:rsid w:val="39BB5D68"/>
    <w:rsid w:val="39BE0E48"/>
    <w:rsid w:val="39C149D4"/>
    <w:rsid w:val="39C24EFB"/>
    <w:rsid w:val="39C26CA9"/>
    <w:rsid w:val="39CA1EF5"/>
    <w:rsid w:val="39CF00BA"/>
    <w:rsid w:val="39E2230C"/>
    <w:rsid w:val="39F01A68"/>
    <w:rsid w:val="39FB0C02"/>
    <w:rsid w:val="3A047D9E"/>
    <w:rsid w:val="3A053512"/>
    <w:rsid w:val="3A0C1A35"/>
    <w:rsid w:val="3A191B4D"/>
    <w:rsid w:val="3A1C285D"/>
    <w:rsid w:val="3A221B67"/>
    <w:rsid w:val="3A231E3E"/>
    <w:rsid w:val="3A363601"/>
    <w:rsid w:val="3A3E24BB"/>
    <w:rsid w:val="3A5224C6"/>
    <w:rsid w:val="3A684A66"/>
    <w:rsid w:val="3A72531F"/>
    <w:rsid w:val="3A797A53"/>
    <w:rsid w:val="3A8328DC"/>
    <w:rsid w:val="3A8521B0"/>
    <w:rsid w:val="3A954267"/>
    <w:rsid w:val="3A9E6D53"/>
    <w:rsid w:val="3A9F3BA7"/>
    <w:rsid w:val="3AA21653"/>
    <w:rsid w:val="3AA54601"/>
    <w:rsid w:val="3AAE2D9B"/>
    <w:rsid w:val="3AB605BC"/>
    <w:rsid w:val="3ABF078A"/>
    <w:rsid w:val="3AC73C5A"/>
    <w:rsid w:val="3ACA50F5"/>
    <w:rsid w:val="3ACC4A1A"/>
    <w:rsid w:val="3AE06885"/>
    <w:rsid w:val="3AE626F7"/>
    <w:rsid w:val="3AE734D9"/>
    <w:rsid w:val="3B011FBB"/>
    <w:rsid w:val="3B016DC0"/>
    <w:rsid w:val="3B245F4F"/>
    <w:rsid w:val="3B2C087E"/>
    <w:rsid w:val="3B2E270D"/>
    <w:rsid w:val="3B530361"/>
    <w:rsid w:val="3B596CD6"/>
    <w:rsid w:val="3B63376B"/>
    <w:rsid w:val="3B634289"/>
    <w:rsid w:val="3B6F2621"/>
    <w:rsid w:val="3B707A04"/>
    <w:rsid w:val="3B8338D8"/>
    <w:rsid w:val="3B892174"/>
    <w:rsid w:val="3B8E1998"/>
    <w:rsid w:val="3B936903"/>
    <w:rsid w:val="3B964AFE"/>
    <w:rsid w:val="3B9975E2"/>
    <w:rsid w:val="3B9D404A"/>
    <w:rsid w:val="3B9F4056"/>
    <w:rsid w:val="3BA26416"/>
    <w:rsid w:val="3BB947C9"/>
    <w:rsid w:val="3BC907C3"/>
    <w:rsid w:val="3BF85902"/>
    <w:rsid w:val="3BFA484F"/>
    <w:rsid w:val="3C131894"/>
    <w:rsid w:val="3C174882"/>
    <w:rsid w:val="3C176742"/>
    <w:rsid w:val="3C2701EC"/>
    <w:rsid w:val="3C32739D"/>
    <w:rsid w:val="3C33265C"/>
    <w:rsid w:val="3C3F72DC"/>
    <w:rsid w:val="3C49449E"/>
    <w:rsid w:val="3C4E696D"/>
    <w:rsid w:val="3C5157FD"/>
    <w:rsid w:val="3C5207B8"/>
    <w:rsid w:val="3C795106"/>
    <w:rsid w:val="3C7A02AE"/>
    <w:rsid w:val="3C7B7C41"/>
    <w:rsid w:val="3C871D83"/>
    <w:rsid w:val="3C8C26AA"/>
    <w:rsid w:val="3C8E6755"/>
    <w:rsid w:val="3C9B0EC8"/>
    <w:rsid w:val="3C9C5ED7"/>
    <w:rsid w:val="3C9D2819"/>
    <w:rsid w:val="3CA65300"/>
    <w:rsid w:val="3CAA14E5"/>
    <w:rsid w:val="3CAA4150"/>
    <w:rsid w:val="3CB141CF"/>
    <w:rsid w:val="3CB17029"/>
    <w:rsid w:val="3CB958B9"/>
    <w:rsid w:val="3CC630B2"/>
    <w:rsid w:val="3CCE7A93"/>
    <w:rsid w:val="3CDB4A7F"/>
    <w:rsid w:val="3CDE0727"/>
    <w:rsid w:val="3CDE2BF0"/>
    <w:rsid w:val="3CE755FA"/>
    <w:rsid w:val="3CE8141D"/>
    <w:rsid w:val="3CE8514A"/>
    <w:rsid w:val="3CF215C4"/>
    <w:rsid w:val="3CFD3D87"/>
    <w:rsid w:val="3D064D12"/>
    <w:rsid w:val="3D077E5F"/>
    <w:rsid w:val="3D085EA1"/>
    <w:rsid w:val="3D104F3B"/>
    <w:rsid w:val="3D1F5785"/>
    <w:rsid w:val="3D282C1C"/>
    <w:rsid w:val="3D302FD5"/>
    <w:rsid w:val="3D3236FC"/>
    <w:rsid w:val="3D4036DE"/>
    <w:rsid w:val="3D4320E0"/>
    <w:rsid w:val="3D46138C"/>
    <w:rsid w:val="3D54347E"/>
    <w:rsid w:val="3D5D7CE3"/>
    <w:rsid w:val="3D5E4F88"/>
    <w:rsid w:val="3D5F512A"/>
    <w:rsid w:val="3D660A3D"/>
    <w:rsid w:val="3D8B0772"/>
    <w:rsid w:val="3D8B7ECC"/>
    <w:rsid w:val="3D943D3A"/>
    <w:rsid w:val="3DAB041F"/>
    <w:rsid w:val="3DB237C7"/>
    <w:rsid w:val="3DB443FE"/>
    <w:rsid w:val="3DB76757"/>
    <w:rsid w:val="3DC0347E"/>
    <w:rsid w:val="3DC94659"/>
    <w:rsid w:val="3DCE6CA8"/>
    <w:rsid w:val="3DDF0D5F"/>
    <w:rsid w:val="3DF0679B"/>
    <w:rsid w:val="3E021D6A"/>
    <w:rsid w:val="3E06399F"/>
    <w:rsid w:val="3E0D7C77"/>
    <w:rsid w:val="3E27326E"/>
    <w:rsid w:val="3E2C25C6"/>
    <w:rsid w:val="3E2E5E6C"/>
    <w:rsid w:val="3E3F1DC6"/>
    <w:rsid w:val="3E4C6946"/>
    <w:rsid w:val="3E5A3B9A"/>
    <w:rsid w:val="3E5F7D0A"/>
    <w:rsid w:val="3E680921"/>
    <w:rsid w:val="3E691AF4"/>
    <w:rsid w:val="3E742C68"/>
    <w:rsid w:val="3E790C96"/>
    <w:rsid w:val="3E802148"/>
    <w:rsid w:val="3E95080D"/>
    <w:rsid w:val="3E9A2B30"/>
    <w:rsid w:val="3EA54293"/>
    <w:rsid w:val="3EA63220"/>
    <w:rsid w:val="3EAD0ABC"/>
    <w:rsid w:val="3EB1021E"/>
    <w:rsid w:val="3EB64C8D"/>
    <w:rsid w:val="3EBD3466"/>
    <w:rsid w:val="3EE11F4D"/>
    <w:rsid w:val="3EE53B65"/>
    <w:rsid w:val="3EE871B2"/>
    <w:rsid w:val="3EF256C6"/>
    <w:rsid w:val="3F0D2384"/>
    <w:rsid w:val="3F0E0A76"/>
    <w:rsid w:val="3F183F1F"/>
    <w:rsid w:val="3F193AE1"/>
    <w:rsid w:val="3F1C646D"/>
    <w:rsid w:val="3F270F2A"/>
    <w:rsid w:val="3F2A2EB3"/>
    <w:rsid w:val="3F30342A"/>
    <w:rsid w:val="3F3D7D13"/>
    <w:rsid w:val="3F3F3186"/>
    <w:rsid w:val="3F4469D2"/>
    <w:rsid w:val="3F474BA4"/>
    <w:rsid w:val="3F4764C6"/>
    <w:rsid w:val="3F4F5AEE"/>
    <w:rsid w:val="3F5340BA"/>
    <w:rsid w:val="3F577B8B"/>
    <w:rsid w:val="3F5808BB"/>
    <w:rsid w:val="3F620045"/>
    <w:rsid w:val="3F6928C9"/>
    <w:rsid w:val="3F6E28AD"/>
    <w:rsid w:val="3F6F3FFC"/>
    <w:rsid w:val="3F7339E1"/>
    <w:rsid w:val="3F764BC1"/>
    <w:rsid w:val="3F774FE0"/>
    <w:rsid w:val="3F886170"/>
    <w:rsid w:val="3F9D770A"/>
    <w:rsid w:val="3F9E086A"/>
    <w:rsid w:val="3FA72BC9"/>
    <w:rsid w:val="3FC8175D"/>
    <w:rsid w:val="3FCE3D31"/>
    <w:rsid w:val="3FD118C6"/>
    <w:rsid w:val="3FD37A4C"/>
    <w:rsid w:val="3FD6525C"/>
    <w:rsid w:val="3FDF16EF"/>
    <w:rsid w:val="400241CF"/>
    <w:rsid w:val="4004583E"/>
    <w:rsid w:val="400973E0"/>
    <w:rsid w:val="40123B77"/>
    <w:rsid w:val="40126DD1"/>
    <w:rsid w:val="402835BD"/>
    <w:rsid w:val="4036604A"/>
    <w:rsid w:val="403F4280"/>
    <w:rsid w:val="40417361"/>
    <w:rsid w:val="40434ECB"/>
    <w:rsid w:val="40436F57"/>
    <w:rsid w:val="404F6F29"/>
    <w:rsid w:val="405506C9"/>
    <w:rsid w:val="405E0EA8"/>
    <w:rsid w:val="40662CFD"/>
    <w:rsid w:val="40724F46"/>
    <w:rsid w:val="40731ACE"/>
    <w:rsid w:val="407466C9"/>
    <w:rsid w:val="40760E8C"/>
    <w:rsid w:val="40781025"/>
    <w:rsid w:val="40787FC7"/>
    <w:rsid w:val="407B3EF9"/>
    <w:rsid w:val="40890D55"/>
    <w:rsid w:val="408B23B6"/>
    <w:rsid w:val="408B3175"/>
    <w:rsid w:val="40976DDA"/>
    <w:rsid w:val="409D00EE"/>
    <w:rsid w:val="40A2679D"/>
    <w:rsid w:val="40A36ACF"/>
    <w:rsid w:val="40A57351"/>
    <w:rsid w:val="40B502AA"/>
    <w:rsid w:val="40BA4F7B"/>
    <w:rsid w:val="40BB6144"/>
    <w:rsid w:val="40C81DCC"/>
    <w:rsid w:val="40D258E0"/>
    <w:rsid w:val="40D53766"/>
    <w:rsid w:val="40D865F2"/>
    <w:rsid w:val="40E13EB9"/>
    <w:rsid w:val="40F9104A"/>
    <w:rsid w:val="40F956A6"/>
    <w:rsid w:val="40FE5FFB"/>
    <w:rsid w:val="410B53D9"/>
    <w:rsid w:val="411136A4"/>
    <w:rsid w:val="4127293E"/>
    <w:rsid w:val="412B09D8"/>
    <w:rsid w:val="412F32B8"/>
    <w:rsid w:val="414032D5"/>
    <w:rsid w:val="41406E31"/>
    <w:rsid w:val="41421E90"/>
    <w:rsid w:val="414C3A28"/>
    <w:rsid w:val="414F1681"/>
    <w:rsid w:val="41700834"/>
    <w:rsid w:val="418E2B81"/>
    <w:rsid w:val="419019C3"/>
    <w:rsid w:val="41957568"/>
    <w:rsid w:val="419F7CE8"/>
    <w:rsid w:val="41A15C68"/>
    <w:rsid w:val="41AD023F"/>
    <w:rsid w:val="41B01828"/>
    <w:rsid w:val="41B33AA7"/>
    <w:rsid w:val="41B62DB4"/>
    <w:rsid w:val="41B77C79"/>
    <w:rsid w:val="41B810A6"/>
    <w:rsid w:val="41BC1AAB"/>
    <w:rsid w:val="41C014A9"/>
    <w:rsid w:val="41C56557"/>
    <w:rsid w:val="41C643A0"/>
    <w:rsid w:val="41D2545A"/>
    <w:rsid w:val="41E25F19"/>
    <w:rsid w:val="41E547F8"/>
    <w:rsid w:val="41E9315C"/>
    <w:rsid w:val="41EC31F8"/>
    <w:rsid w:val="41EE2D31"/>
    <w:rsid w:val="41F90EDD"/>
    <w:rsid w:val="41FB2309"/>
    <w:rsid w:val="42042555"/>
    <w:rsid w:val="420C3D09"/>
    <w:rsid w:val="420F68EF"/>
    <w:rsid w:val="421D3616"/>
    <w:rsid w:val="42367BAF"/>
    <w:rsid w:val="424010B3"/>
    <w:rsid w:val="425F59DD"/>
    <w:rsid w:val="42604346"/>
    <w:rsid w:val="426052B1"/>
    <w:rsid w:val="42661CC3"/>
    <w:rsid w:val="426A12C1"/>
    <w:rsid w:val="426D388C"/>
    <w:rsid w:val="427644F9"/>
    <w:rsid w:val="4286036E"/>
    <w:rsid w:val="429D7E27"/>
    <w:rsid w:val="429E19BA"/>
    <w:rsid w:val="429E4757"/>
    <w:rsid w:val="42A27C90"/>
    <w:rsid w:val="42C14F95"/>
    <w:rsid w:val="42D2740D"/>
    <w:rsid w:val="42D77E17"/>
    <w:rsid w:val="42D812EB"/>
    <w:rsid w:val="42DE7AD4"/>
    <w:rsid w:val="42E100E0"/>
    <w:rsid w:val="42E15CB3"/>
    <w:rsid w:val="42F04887"/>
    <w:rsid w:val="42F44377"/>
    <w:rsid w:val="42F84ACC"/>
    <w:rsid w:val="42F91EFB"/>
    <w:rsid w:val="4304327D"/>
    <w:rsid w:val="4309738C"/>
    <w:rsid w:val="430B7E33"/>
    <w:rsid w:val="4310354B"/>
    <w:rsid w:val="43160695"/>
    <w:rsid w:val="431D7CD6"/>
    <w:rsid w:val="431E55F4"/>
    <w:rsid w:val="432430C7"/>
    <w:rsid w:val="43250BC9"/>
    <w:rsid w:val="432C345D"/>
    <w:rsid w:val="43302ED5"/>
    <w:rsid w:val="433B783A"/>
    <w:rsid w:val="434A7959"/>
    <w:rsid w:val="43560B8E"/>
    <w:rsid w:val="43654244"/>
    <w:rsid w:val="4366105E"/>
    <w:rsid w:val="4368313E"/>
    <w:rsid w:val="436A63E7"/>
    <w:rsid w:val="43803C64"/>
    <w:rsid w:val="43954822"/>
    <w:rsid w:val="43985411"/>
    <w:rsid w:val="43991D55"/>
    <w:rsid w:val="43A33523"/>
    <w:rsid w:val="43A76495"/>
    <w:rsid w:val="43AF0A4A"/>
    <w:rsid w:val="43AF1E3B"/>
    <w:rsid w:val="43B816A8"/>
    <w:rsid w:val="43CA7FC3"/>
    <w:rsid w:val="43CB4EF9"/>
    <w:rsid w:val="43CD65DA"/>
    <w:rsid w:val="43DD4E0B"/>
    <w:rsid w:val="43DD4F36"/>
    <w:rsid w:val="43EE7087"/>
    <w:rsid w:val="440D0713"/>
    <w:rsid w:val="440D22A7"/>
    <w:rsid w:val="44294D5B"/>
    <w:rsid w:val="44335F05"/>
    <w:rsid w:val="443469F5"/>
    <w:rsid w:val="4434780C"/>
    <w:rsid w:val="443929F5"/>
    <w:rsid w:val="444561BC"/>
    <w:rsid w:val="44487AD8"/>
    <w:rsid w:val="44492A75"/>
    <w:rsid w:val="445F5477"/>
    <w:rsid w:val="446B30A5"/>
    <w:rsid w:val="44781379"/>
    <w:rsid w:val="447D214A"/>
    <w:rsid w:val="448E61DF"/>
    <w:rsid w:val="44903927"/>
    <w:rsid w:val="449C0DC9"/>
    <w:rsid w:val="44A0416C"/>
    <w:rsid w:val="44BF2763"/>
    <w:rsid w:val="44CD32C1"/>
    <w:rsid w:val="44D15BD3"/>
    <w:rsid w:val="44D92B5A"/>
    <w:rsid w:val="44D95B1A"/>
    <w:rsid w:val="44DE77EA"/>
    <w:rsid w:val="44E22A1E"/>
    <w:rsid w:val="44E31E93"/>
    <w:rsid w:val="44EA034F"/>
    <w:rsid w:val="44F624DB"/>
    <w:rsid w:val="4506363B"/>
    <w:rsid w:val="4507124A"/>
    <w:rsid w:val="4508235C"/>
    <w:rsid w:val="450835C3"/>
    <w:rsid w:val="450A2BB8"/>
    <w:rsid w:val="45113C6D"/>
    <w:rsid w:val="451505D5"/>
    <w:rsid w:val="45193845"/>
    <w:rsid w:val="45262F20"/>
    <w:rsid w:val="452B7923"/>
    <w:rsid w:val="45336CAD"/>
    <w:rsid w:val="4546479A"/>
    <w:rsid w:val="45480BEC"/>
    <w:rsid w:val="454925F5"/>
    <w:rsid w:val="45494354"/>
    <w:rsid w:val="455270B8"/>
    <w:rsid w:val="455C11B6"/>
    <w:rsid w:val="455D3C54"/>
    <w:rsid w:val="45611A6C"/>
    <w:rsid w:val="45642510"/>
    <w:rsid w:val="456653BA"/>
    <w:rsid w:val="4583049F"/>
    <w:rsid w:val="45833790"/>
    <w:rsid w:val="459C03CB"/>
    <w:rsid w:val="45A2156F"/>
    <w:rsid w:val="45A7716C"/>
    <w:rsid w:val="45B538C0"/>
    <w:rsid w:val="45B903AC"/>
    <w:rsid w:val="45CD79D9"/>
    <w:rsid w:val="45E2455A"/>
    <w:rsid w:val="45E86AF2"/>
    <w:rsid w:val="45EC302F"/>
    <w:rsid w:val="45F219B3"/>
    <w:rsid w:val="45F63D75"/>
    <w:rsid w:val="46041E5A"/>
    <w:rsid w:val="46064DD7"/>
    <w:rsid w:val="4607616F"/>
    <w:rsid w:val="460E69FB"/>
    <w:rsid w:val="460F745D"/>
    <w:rsid w:val="46196294"/>
    <w:rsid w:val="461A73FB"/>
    <w:rsid w:val="461C11AA"/>
    <w:rsid w:val="462431C5"/>
    <w:rsid w:val="46246FC3"/>
    <w:rsid w:val="46273049"/>
    <w:rsid w:val="462C2768"/>
    <w:rsid w:val="46406D69"/>
    <w:rsid w:val="464B655A"/>
    <w:rsid w:val="4654047F"/>
    <w:rsid w:val="46591A0F"/>
    <w:rsid w:val="467D1A71"/>
    <w:rsid w:val="46863243"/>
    <w:rsid w:val="46881374"/>
    <w:rsid w:val="468A3341"/>
    <w:rsid w:val="468D5210"/>
    <w:rsid w:val="46963F36"/>
    <w:rsid w:val="469D6367"/>
    <w:rsid w:val="46A051AA"/>
    <w:rsid w:val="46B76D8C"/>
    <w:rsid w:val="46BB694A"/>
    <w:rsid w:val="46BF2EEE"/>
    <w:rsid w:val="46C32E10"/>
    <w:rsid w:val="46C4620D"/>
    <w:rsid w:val="46CE4460"/>
    <w:rsid w:val="46D27A3E"/>
    <w:rsid w:val="46D41860"/>
    <w:rsid w:val="46D52B54"/>
    <w:rsid w:val="46E31091"/>
    <w:rsid w:val="46E32DCB"/>
    <w:rsid w:val="46E920AC"/>
    <w:rsid w:val="47076C4B"/>
    <w:rsid w:val="470902D0"/>
    <w:rsid w:val="4713022D"/>
    <w:rsid w:val="471E5D1E"/>
    <w:rsid w:val="47247544"/>
    <w:rsid w:val="472745EF"/>
    <w:rsid w:val="472D7196"/>
    <w:rsid w:val="473867FC"/>
    <w:rsid w:val="474115B8"/>
    <w:rsid w:val="4741228F"/>
    <w:rsid w:val="47434055"/>
    <w:rsid w:val="47456240"/>
    <w:rsid w:val="4748068D"/>
    <w:rsid w:val="4751672B"/>
    <w:rsid w:val="475222DC"/>
    <w:rsid w:val="47573126"/>
    <w:rsid w:val="47597714"/>
    <w:rsid w:val="47737835"/>
    <w:rsid w:val="4774248B"/>
    <w:rsid w:val="47904018"/>
    <w:rsid w:val="47967979"/>
    <w:rsid w:val="47A56EA3"/>
    <w:rsid w:val="47AC0E04"/>
    <w:rsid w:val="47AE6C76"/>
    <w:rsid w:val="47BC1E2B"/>
    <w:rsid w:val="47D41938"/>
    <w:rsid w:val="47E4603B"/>
    <w:rsid w:val="47E72CA8"/>
    <w:rsid w:val="47F866B8"/>
    <w:rsid w:val="4800731A"/>
    <w:rsid w:val="48084C83"/>
    <w:rsid w:val="480E54EE"/>
    <w:rsid w:val="481B3E57"/>
    <w:rsid w:val="481B7CEF"/>
    <w:rsid w:val="482A7986"/>
    <w:rsid w:val="482F70CA"/>
    <w:rsid w:val="48333173"/>
    <w:rsid w:val="483C7B63"/>
    <w:rsid w:val="484C60BA"/>
    <w:rsid w:val="484F3DFE"/>
    <w:rsid w:val="485847C6"/>
    <w:rsid w:val="48594487"/>
    <w:rsid w:val="485E550A"/>
    <w:rsid w:val="48671469"/>
    <w:rsid w:val="48825F81"/>
    <w:rsid w:val="48873598"/>
    <w:rsid w:val="48895330"/>
    <w:rsid w:val="488C6E00"/>
    <w:rsid w:val="4893353F"/>
    <w:rsid w:val="489A7040"/>
    <w:rsid w:val="489C32E0"/>
    <w:rsid w:val="48A00E6D"/>
    <w:rsid w:val="48A12F3D"/>
    <w:rsid w:val="48A759E8"/>
    <w:rsid w:val="48BB5BD4"/>
    <w:rsid w:val="48BF6E78"/>
    <w:rsid w:val="48C27415"/>
    <w:rsid w:val="48CB5B7A"/>
    <w:rsid w:val="48CE1266"/>
    <w:rsid w:val="48D04A9D"/>
    <w:rsid w:val="48D76E65"/>
    <w:rsid w:val="48DD7F70"/>
    <w:rsid w:val="48E103D4"/>
    <w:rsid w:val="48E331A2"/>
    <w:rsid w:val="48E721DB"/>
    <w:rsid w:val="48EA0F60"/>
    <w:rsid w:val="48F22B13"/>
    <w:rsid w:val="48F46598"/>
    <w:rsid w:val="48F620AF"/>
    <w:rsid w:val="48FD32E3"/>
    <w:rsid w:val="49060960"/>
    <w:rsid w:val="49094A7C"/>
    <w:rsid w:val="49122378"/>
    <w:rsid w:val="491535A2"/>
    <w:rsid w:val="491608D8"/>
    <w:rsid w:val="491B6BDF"/>
    <w:rsid w:val="491D158B"/>
    <w:rsid w:val="491F1C6C"/>
    <w:rsid w:val="49276B29"/>
    <w:rsid w:val="49297555"/>
    <w:rsid w:val="49373210"/>
    <w:rsid w:val="493E32B2"/>
    <w:rsid w:val="493F0316"/>
    <w:rsid w:val="494E68B7"/>
    <w:rsid w:val="494F055A"/>
    <w:rsid w:val="49521DB5"/>
    <w:rsid w:val="49573C6D"/>
    <w:rsid w:val="49575660"/>
    <w:rsid w:val="4958211B"/>
    <w:rsid w:val="49632ACC"/>
    <w:rsid w:val="496935B7"/>
    <w:rsid w:val="498157E2"/>
    <w:rsid w:val="4987387C"/>
    <w:rsid w:val="498776B9"/>
    <w:rsid w:val="49886DB4"/>
    <w:rsid w:val="49920603"/>
    <w:rsid w:val="49961C68"/>
    <w:rsid w:val="49B56330"/>
    <w:rsid w:val="49B86E67"/>
    <w:rsid w:val="49BF28EF"/>
    <w:rsid w:val="49C21C9A"/>
    <w:rsid w:val="49CB030F"/>
    <w:rsid w:val="49CB6038"/>
    <w:rsid w:val="49D30F8D"/>
    <w:rsid w:val="49D37AE3"/>
    <w:rsid w:val="49D81F97"/>
    <w:rsid w:val="49F033BE"/>
    <w:rsid w:val="49F64E79"/>
    <w:rsid w:val="4A062BE2"/>
    <w:rsid w:val="4A092CE4"/>
    <w:rsid w:val="4A0C24A1"/>
    <w:rsid w:val="4A1009E3"/>
    <w:rsid w:val="4A1C1A36"/>
    <w:rsid w:val="4A365D40"/>
    <w:rsid w:val="4A392FB7"/>
    <w:rsid w:val="4A4C0588"/>
    <w:rsid w:val="4A59142F"/>
    <w:rsid w:val="4A5F18B1"/>
    <w:rsid w:val="4A612E0C"/>
    <w:rsid w:val="4A614797"/>
    <w:rsid w:val="4A616EA2"/>
    <w:rsid w:val="4A7A0D68"/>
    <w:rsid w:val="4A7B59CA"/>
    <w:rsid w:val="4A8C6638"/>
    <w:rsid w:val="4A930F8A"/>
    <w:rsid w:val="4A94010E"/>
    <w:rsid w:val="4A995804"/>
    <w:rsid w:val="4AA87152"/>
    <w:rsid w:val="4AAE0700"/>
    <w:rsid w:val="4AAE12AF"/>
    <w:rsid w:val="4AC717D5"/>
    <w:rsid w:val="4ACB2229"/>
    <w:rsid w:val="4ACE1AAA"/>
    <w:rsid w:val="4ADA2ECA"/>
    <w:rsid w:val="4AEC329A"/>
    <w:rsid w:val="4B067D95"/>
    <w:rsid w:val="4B094738"/>
    <w:rsid w:val="4B220309"/>
    <w:rsid w:val="4B2B173E"/>
    <w:rsid w:val="4B2C48CA"/>
    <w:rsid w:val="4B5827AC"/>
    <w:rsid w:val="4B663B5F"/>
    <w:rsid w:val="4B6A0B57"/>
    <w:rsid w:val="4B6F1F83"/>
    <w:rsid w:val="4B6F5F1B"/>
    <w:rsid w:val="4B782CD5"/>
    <w:rsid w:val="4B791E00"/>
    <w:rsid w:val="4B7A09F5"/>
    <w:rsid w:val="4B804BEF"/>
    <w:rsid w:val="4B8469A2"/>
    <w:rsid w:val="4B93430D"/>
    <w:rsid w:val="4B95246F"/>
    <w:rsid w:val="4B9C6611"/>
    <w:rsid w:val="4BAB291A"/>
    <w:rsid w:val="4BB068EC"/>
    <w:rsid w:val="4BB414F5"/>
    <w:rsid w:val="4BB4227E"/>
    <w:rsid w:val="4BB65FC2"/>
    <w:rsid w:val="4BBB2075"/>
    <w:rsid w:val="4BBB4742"/>
    <w:rsid w:val="4BC373BE"/>
    <w:rsid w:val="4BF4152F"/>
    <w:rsid w:val="4BFC24EE"/>
    <w:rsid w:val="4C082429"/>
    <w:rsid w:val="4C205DD1"/>
    <w:rsid w:val="4C245756"/>
    <w:rsid w:val="4C2F01CE"/>
    <w:rsid w:val="4C3048AB"/>
    <w:rsid w:val="4C336E5A"/>
    <w:rsid w:val="4C3C0B94"/>
    <w:rsid w:val="4C3C5BF4"/>
    <w:rsid w:val="4C51535F"/>
    <w:rsid w:val="4C516B1B"/>
    <w:rsid w:val="4C57579C"/>
    <w:rsid w:val="4C61155D"/>
    <w:rsid w:val="4C720717"/>
    <w:rsid w:val="4C800598"/>
    <w:rsid w:val="4CA53E85"/>
    <w:rsid w:val="4CB0680A"/>
    <w:rsid w:val="4CB663DC"/>
    <w:rsid w:val="4CBB52F9"/>
    <w:rsid w:val="4CC360BC"/>
    <w:rsid w:val="4CD80866"/>
    <w:rsid w:val="4CDB611B"/>
    <w:rsid w:val="4CF00A69"/>
    <w:rsid w:val="4D0D3DAA"/>
    <w:rsid w:val="4D1416D0"/>
    <w:rsid w:val="4D197648"/>
    <w:rsid w:val="4D203FBB"/>
    <w:rsid w:val="4D265BDE"/>
    <w:rsid w:val="4D31441A"/>
    <w:rsid w:val="4D344E20"/>
    <w:rsid w:val="4D457367"/>
    <w:rsid w:val="4D573654"/>
    <w:rsid w:val="4D615DA4"/>
    <w:rsid w:val="4D6E5DD5"/>
    <w:rsid w:val="4D720268"/>
    <w:rsid w:val="4D7C3735"/>
    <w:rsid w:val="4D896004"/>
    <w:rsid w:val="4D8A0FB6"/>
    <w:rsid w:val="4D951248"/>
    <w:rsid w:val="4DA91C03"/>
    <w:rsid w:val="4DAB41CC"/>
    <w:rsid w:val="4DB766DA"/>
    <w:rsid w:val="4DBA5155"/>
    <w:rsid w:val="4DC4265F"/>
    <w:rsid w:val="4DC96B69"/>
    <w:rsid w:val="4DCB25CC"/>
    <w:rsid w:val="4DDA685F"/>
    <w:rsid w:val="4DDB57D8"/>
    <w:rsid w:val="4DDD653E"/>
    <w:rsid w:val="4DE0241F"/>
    <w:rsid w:val="4DE72335"/>
    <w:rsid w:val="4DEA6525"/>
    <w:rsid w:val="4DED66B8"/>
    <w:rsid w:val="4DFD684F"/>
    <w:rsid w:val="4E033434"/>
    <w:rsid w:val="4E0B5420"/>
    <w:rsid w:val="4E137D7B"/>
    <w:rsid w:val="4E1B501E"/>
    <w:rsid w:val="4E1E499E"/>
    <w:rsid w:val="4E25165F"/>
    <w:rsid w:val="4E2A528C"/>
    <w:rsid w:val="4E465CA3"/>
    <w:rsid w:val="4E4F1509"/>
    <w:rsid w:val="4E57709B"/>
    <w:rsid w:val="4E957109"/>
    <w:rsid w:val="4E991130"/>
    <w:rsid w:val="4E992428"/>
    <w:rsid w:val="4E9A3A3E"/>
    <w:rsid w:val="4EA159F7"/>
    <w:rsid w:val="4EAA6F54"/>
    <w:rsid w:val="4EB3158A"/>
    <w:rsid w:val="4ECC76E6"/>
    <w:rsid w:val="4ED1267B"/>
    <w:rsid w:val="4EDC7EA2"/>
    <w:rsid w:val="4EDE26B3"/>
    <w:rsid w:val="4EE40BDC"/>
    <w:rsid w:val="4EEB4280"/>
    <w:rsid w:val="4EF0566C"/>
    <w:rsid w:val="4EF15C0F"/>
    <w:rsid w:val="4EF953C3"/>
    <w:rsid w:val="4EFF76EE"/>
    <w:rsid w:val="4F0022F6"/>
    <w:rsid w:val="4F0A39CD"/>
    <w:rsid w:val="4F0E2627"/>
    <w:rsid w:val="4F141E6B"/>
    <w:rsid w:val="4F156B5C"/>
    <w:rsid w:val="4F16674C"/>
    <w:rsid w:val="4F166C4D"/>
    <w:rsid w:val="4F252111"/>
    <w:rsid w:val="4F29218F"/>
    <w:rsid w:val="4F351F9F"/>
    <w:rsid w:val="4F381AD6"/>
    <w:rsid w:val="4F385E75"/>
    <w:rsid w:val="4F453060"/>
    <w:rsid w:val="4F501714"/>
    <w:rsid w:val="4F5537C1"/>
    <w:rsid w:val="4F5E57B4"/>
    <w:rsid w:val="4F6569F0"/>
    <w:rsid w:val="4F661638"/>
    <w:rsid w:val="4F6D7314"/>
    <w:rsid w:val="4F753366"/>
    <w:rsid w:val="4F7B197C"/>
    <w:rsid w:val="4F7F34A9"/>
    <w:rsid w:val="4F820F5D"/>
    <w:rsid w:val="4F8E3374"/>
    <w:rsid w:val="4F8E345D"/>
    <w:rsid w:val="4F980D77"/>
    <w:rsid w:val="4FA61123"/>
    <w:rsid w:val="4FBA5364"/>
    <w:rsid w:val="4FBB5677"/>
    <w:rsid w:val="4FD02C1E"/>
    <w:rsid w:val="4FD46D9D"/>
    <w:rsid w:val="4FE237A9"/>
    <w:rsid w:val="4FFB42AF"/>
    <w:rsid w:val="4FFB6024"/>
    <w:rsid w:val="500227FC"/>
    <w:rsid w:val="50217537"/>
    <w:rsid w:val="50243DC2"/>
    <w:rsid w:val="502E7C52"/>
    <w:rsid w:val="503C3712"/>
    <w:rsid w:val="503F1979"/>
    <w:rsid w:val="5041455F"/>
    <w:rsid w:val="506762F6"/>
    <w:rsid w:val="5076676F"/>
    <w:rsid w:val="5077497A"/>
    <w:rsid w:val="507F01AA"/>
    <w:rsid w:val="50824CC4"/>
    <w:rsid w:val="508255D8"/>
    <w:rsid w:val="508605D9"/>
    <w:rsid w:val="50884351"/>
    <w:rsid w:val="508C4B55"/>
    <w:rsid w:val="50903205"/>
    <w:rsid w:val="50966E45"/>
    <w:rsid w:val="50983E5A"/>
    <w:rsid w:val="509A415B"/>
    <w:rsid w:val="509B4EE4"/>
    <w:rsid w:val="50A57023"/>
    <w:rsid w:val="50A83663"/>
    <w:rsid w:val="50A9604B"/>
    <w:rsid w:val="50AC368B"/>
    <w:rsid w:val="50AE6448"/>
    <w:rsid w:val="50B10CF4"/>
    <w:rsid w:val="50B45146"/>
    <w:rsid w:val="50B667D3"/>
    <w:rsid w:val="50B9265F"/>
    <w:rsid w:val="50C231BF"/>
    <w:rsid w:val="50CB7B01"/>
    <w:rsid w:val="50CD6207"/>
    <w:rsid w:val="50D21E82"/>
    <w:rsid w:val="50FC65B2"/>
    <w:rsid w:val="51027A1E"/>
    <w:rsid w:val="51034522"/>
    <w:rsid w:val="5106116D"/>
    <w:rsid w:val="510856F7"/>
    <w:rsid w:val="51105755"/>
    <w:rsid w:val="511F4424"/>
    <w:rsid w:val="511F5905"/>
    <w:rsid w:val="512D5A25"/>
    <w:rsid w:val="512F2288"/>
    <w:rsid w:val="513117C1"/>
    <w:rsid w:val="515724BD"/>
    <w:rsid w:val="51586419"/>
    <w:rsid w:val="51612D6A"/>
    <w:rsid w:val="51643EE7"/>
    <w:rsid w:val="517A3EEB"/>
    <w:rsid w:val="518151C1"/>
    <w:rsid w:val="518E7BA9"/>
    <w:rsid w:val="51900B49"/>
    <w:rsid w:val="51946859"/>
    <w:rsid w:val="519773B9"/>
    <w:rsid w:val="519C1780"/>
    <w:rsid w:val="51A053CA"/>
    <w:rsid w:val="51B12D8F"/>
    <w:rsid w:val="51B50C0F"/>
    <w:rsid w:val="51BA5475"/>
    <w:rsid w:val="51C711F1"/>
    <w:rsid w:val="51C86FDC"/>
    <w:rsid w:val="51D304E8"/>
    <w:rsid w:val="51D773CE"/>
    <w:rsid w:val="51E90696"/>
    <w:rsid w:val="51F34631"/>
    <w:rsid w:val="51F36577"/>
    <w:rsid w:val="51FB0B52"/>
    <w:rsid w:val="52081DA9"/>
    <w:rsid w:val="521F63CF"/>
    <w:rsid w:val="52307131"/>
    <w:rsid w:val="52554706"/>
    <w:rsid w:val="52557D27"/>
    <w:rsid w:val="525C4192"/>
    <w:rsid w:val="52630BD1"/>
    <w:rsid w:val="527D3B2A"/>
    <w:rsid w:val="528E4229"/>
    <w:rsid w:val="5296495D"/>
    <w:rsid w:val="529850D1"/>
    <w:rsid w:val="52A16C31"/>
    <w:rsid w:val="52A35816"/>
    <w:rsid w:val="52A61106"/>
    <w:rsid w:val="52AA4A52"/>
    <w:rsid w:val="52B45FFF"/>
    <w:rsid w:val="52C95932"/>
    <w:rsid w:val="52D054FF"/>
    <w:rsid w:val="52DD482F"/>
    <w:rsid w:val="52DE2DAF"/>
    <w:rsid w:val="52E04032"/>
    <w:rsid w:val="52E0541C"/>
    <w:rsid w:val="52E35987"/>
    <w:rsid w:val="52EA6DF4"/>
    <w:rsid w:val="52ED26BB"/>
    <w:rsid w:val="530630D9"/>
    <w:rsid w:val="53087834"/>
    <w:rsid w:val="531404DE"/>
    <w:rsid w:val="53180BBF"/>
    <w:rsid w:val="531C141D"/>
    <w:rsid w:val="5324516B"/>
    <w:rsid w:val="533C0389"/>
    <w:rsid w:val="534E795C"/>
    <w:rsid w:val="535E3905"/>
    <w:rsid w:val="536B6CF7"/>
    <w:rsid w:val="537A200C"/>
    <w:rsid w:val="537B77D9"/>
    <w:rsid w:val="5382152B"/>
    <w:rsid w:val="538726B6"/>
    <w:rsid w:val="538F69F8"/>
    <w:rsid w:val="539250E9"/>
    <w:rsid w:val="53A776FB"/>
    <w:rsid w:val="53BB15B1"/>
    <w:rsid w:val="53BD2563"/>
    <w:rsid w:val="53BF17C5"/>
    <w:rsid w:val="53C34300"/>
    <w:rsid w:val="53D25F0F"/>
    <w:rsid w:val="53D95E5D"/>
    <w:rsid w:val="53DB71C5"/>
    <w:rsid w:val="53DC2107"/>
    <w:rsid w:val="53E47295"/>
    <w:rsid w:val="53EB63BA"/>
    <w:rsid w:val="53EE790F"/>
    <w:rsid w:val="53FE617A"/>
    <w:rsid w:val="540B7773"/>
    <w:rsid w:val="54104D89"/>
    <w:rsid w:val="54144F28"/>
    <w:rsid w:val="541C1980"/>
    <w:rsid w:val="541D0A09"/>
    <w:rsid w:val="5443739A"/>
    <w:rsid w:val="54592570"/>
    <w:rsid w:val="5461259D"/>
    <w:rsid w:val="547C3736"/>
    <w:rsid w:val="547C45E9"/>
    <w:rsid w:val="548117E3"/>
    <w:rsid w:val="548A4B3B"/>
    <w:rsid w:val="54907445"/>
    <w:rsid w:val="54922D92"/>
    <w:rsid w:val="54963DA8"/>
    <w:rsid w:val="54B04C71"/>
    <w:rsid w:val="54B615DA"/>
    <w:rsid w:val="54B96BD0"/>
    <w:rsid w:val="54BA166D"/>
    <w:rsid w:val="54C641E4"/>
    <w:rsid w:val="54D544D2"/>
    <w:rsid w:val="54DE3ED1"/>
    <w:rsid w:val="54E02B2D"/>
    <w:rsid w:val="54EE0C7C"/>
    <w:rsid w:val="54EF3C8D"/>
    <w:rsid w:val="54F17DCA"/>
    <w:rsid w:val="54F83CD4"/>
    <w:rsid w:val="54F92A3E"/>
    <w:rsid w:val="55065871"/>
    <w:rsid w:val="55142657"/>
    <w:rsid w:val="55147894"/>
    <w:rsid w:val="551C47E8"/>
    <w:rsid w:val="551D5E73"/>
    <w:rsid w:val="551E5284"/>
    <w:rsid w:val="553441BB"/>
    <w:rsid w:val="553D0DE7"/>
    <w:rsid w:val="553F228F"/>
    <w:rsid w:val="554017AC"/>
    <w:rsid w:val="554271C4"/>
    <w:rsid w:val="55540517"/>
    <w:rsid w:val="555421FF"/>
    <w:rsid w:val="5558132B"/>
    <w:rsid w:val="55590873"/>
    <w:rsid w:val="555C06B2"/>
    <w:rsid w:val="556D1CDC"/>
    <w:rsid w:val="556E6CF8"/>
    <w:rsid w:val="557405F0"/>
    <w:rsid w:val="55791E47"/>
    <w:rsid w:val="557F7F03"/>
    <w:rsid w:val="5586238A"/>
    <w:rsid w:val="55873FB2"/>
    <w:rsid w:val="55893B35"/>
    <w:rsid w:val="55A82E06"/>
    <w:rsid w:val="55AA7DD2"/>
    <w:rsid w:val="55AD16F9"/>
    <w:rsid w:val="55B96F5B"/>
    <w:rsid w:val="55BF2642"/>
    <w:rsid w:val="55C22A9A"/>
    <w:rsid w:val="55C23828"/>
    <w:rsid w:val="55C46AAA"/>
    <w:rsid w:val="55C73002"/>
    <w:rsid w:val="55C82ECD"/>
    <w:rsid w:val="55C91693"/>
    <w:rsid w:val="55C94ECA"/>
    <w:rsid w:val="55CE5D7C"/>
    <w:rsid w:val="55CF47D0"/>
    <w:rsid w:val="55D17F68"/>
    <w:rsid w:val="56022F6D"/>
    <w:rsid w:val="561245B3"/>
    <w:rsid w:val="561869EB"/>
    <w:rsid w:val="56254BD3"/>
    <w:rsid w:val="56275871"/>
    <w:rsid w:val="562F2D8F"/>
    <w:rsid w:val="56332FB1"/>
    <w:rsid w:val="56361B10"/>
    <w:rsid w:val="563C5A54"/>
    <w:rsid w:val="564A0EBE"/>
    <w:rsid w:val="5655791C"/>
    <w:rsid w:val="565B598B"/>
    <w:rsid w:val="566D4A43"/>
    <w:rsid w:val="56741B35"/>
    <w:rsid w:val="56755377"/>
    <w:rsid w:val="567652E0"/>
    <w:rsid w:val="56767627"/>
    <w:rsid w:val="56820F04"/>
    <w:rsid w:val="568C3DB7"/>
    <w:rsid w:val="568C48FC"/>
    <w:rsid w:val="56A46E8F"/>
    <w:rsid w:val="56A609FD"/>
    <w:rsid w:val="56AB0EB9"/>
    <w:rsid w:val="56AC6B27"/>
    <w:rsid w:val="56AE6336"/>
    <w:rsid w:val="56C6100A"/>
    <w:rsid w:val="56CE077E"/>
    <w:rsid w:val="56D4747C"/>
    <w:rsid w:val="56DB6149"/>
    <w:rsid w:val="56ED331D"/>
    <w:rsid w:val="56EE0C86"/>
    <w:rsid w:val="56EF6458"/>
    <w:rsid w:val="56F0350D"/>
    <w:rsid w:val="57003E6B"/>
    <w:rsid w:val="57075E55"/>
    <w:rsid w:val="571674A5"/>
    <w:rsid w:val="571B324B"/>
    <w:rsid w:val="571F424A"/>
    <w:rsid w:val="572131F4"/>
    <w:rsid w:val="573768A6"/>
    <w:rsid w:val="57391D9B"/>
    <w:rsid w:val="573D2FE0"/>
    <w:rsid w:val="573E602B"/>
    <w:rsid w:val="575771B2"/>
    <w:rsid w:val="5762281E"/>
    <w:rsid w:val="57687C51"/>
    <w:rsid w:val="576C7B52"/>
    <w:rsid w:val="577344CB"/>
    <w:rsid w:val="578117C6"/>
    <w:rsid w:val="578510FF"/>
    <w:rsid w:val="5785500C"/>
    <w:rsid w:val="578C1886"/>
    <w:rsid w:val="578D3D84"/>
    <w:rsid w:val="578E33DF"/>
    <w:rsid w:val="578F06BB"/>
    <w:rsid w:val="57915C8C"/>
    <w:rsid w:val="579C5D64"/>
    <w:rsid w:val="57AB24E8"/>
    <w:rsid w:val="57B1418D"/>
    <w:rsid w:val="57B91294"/>
    <w:rsid w:val="57CE431B"/>
    <w:rsid w:val="57CF6ECB"/>
    <w:rsid w:val="57D15936"/>
    <w:rsid w:val="57DF1048"/>
    <w:rsid w:val="57E1272A"/>
    <w:rsid w:val="57EB129C"/>
    <w:rsid w:val="57EE06A7"/>
    <w:rsid w:val="57F8000E"/>
    <w:rsid w:val="57F9012A"/>
    <w:rsid w:val="57FA1FD8"/>
    <w:rsid w:val="58066616"/>
    <w:rsid w:val="58112E57"/>
    <w:rsid w:val="58146990"/>
    <w:rsid w:val="58154E00"/>
    <w:rsid w:val="581F1A3E"/>
    <w:rsid w:val="582C71B4"/>
    <w:rsid w:val="582E5A50"/>
    <w:rsid w:val="58357AD1"/>
    <w:rsid w:val="58361150"/>
    <w:rsid w:val="58550FBC"/>
    <w:rsid w:val="58570994"/>
    <w:rsid w:val="585D60C3"/>
    <w:rsid w:val="585E6BEF"/>
    <w:rsid w:val="586D09FC"/>
    <w:rsid w:val="58712B85"/>
    <w:rsid w:val="587A5C6E"/>
    <w:rsid w:val="587D06DA"/>
    <w:rsid w:val="587F68C4"/>
    <w:rsid w:val="588A7CB2"/>
    <w:rsid w:val="588D6535"/>
    <w:rsid w:val="5892595B"/>
    <w:rsid w:val="589A755B"/>
    <w:rsid w:val="58B17AEC"/>
    <w:rsid w:val="58B32DA5"/>
    <w:rsid w:val="58C15BE8"/>
    <w:rsid w:val="58C373C5"/>
    <w:rsid w:val="58C65E4C"/>
    <w:rsid w:val="58C93758"/>
    <w:rsid w:val="58C97FF3"/>
    <w:rsid w:val="58CD3249"/>
    <w:rsid w:val="58CE1329"/>
    <w:rsid w:val="58D83B72"/>
    <w:rsid w:val="58DB713D"/>
    <w:rsid w:val="58F22CAF"/>
    <w:rsid w:val="58F26F14"/>
    <w:rsid w:val="58F5454D"/>
    <w:rsid w:val="58F75C1D"/>
    <w:rsid w:val="58FD48AA"/>
    <w:rsid w:val="59055E47"/>
    <w:rsid w:val="59104B05"/>
    <w:rsid w:val="59130438"/>
    <w:rsid w:val="59162E41"/>
    <w:rsid w:val="591F23DA"/>
    <w:rsid w:val="592015BF"/>
    <w:rsid w:val="59314C6F"/>
    <w:rsid w:val="593B6746"/>
    <w:rsid w:val="593D61AD"/>
    <w:rsid w:val="594825E7"/>
    <w:rsid w:val="595F442B"/>
    <w:rsid w:val="59685342"/>
    <w:rsid w:val="596E79DE"/>
    <w:rsid w:val="597134CB"/>
    <w:rsid w:val="59862A1F"/>
    <w:rsid w:val="598F3DB7"/>
    <w:rsid w:val="599C42C0"/>
    <w:rsid w:val="59A445DE"/>
    <w:rsid w:val="59AC10B0"/>
    <w:rsid w:val="59AD384E"/>
    <w:rsid w:val="59B12A40"/>
    <w:rsid w:val="59B44739"/>
    <w:rsid w:val="59BF23EF"/>
    <w:rsid w:val="59BF3565"/>
    <w:rsid w:val="59C47651"/>
    <w:rsid w:val="59CA2A99"/>
    <w:rsid w:val="59DA2860"/>
    <w:rsid w:val="59E269E5"/>
    <w:rsid w:val="59E9460E"/>
    <w:rsid w:val="59EC00CB"/>
    <w:rsid w:val="59F67304"/>
    <w:rsid w:val="5A047D66"/>
    <w:rsid w:val="5A0517B8"/>
    <w:rsid w:val="5A191BAD"/>
    <w:rsid w:val="5A1A070F"/>
    <w:rsid w:val="5A257234"/>
    <w:rsid w:val="5A2972BC"/>
    <w:rsid w:val="5A2A26D5"/>
    <w:rsid w:val="5A327DE6"/>
    <w:rsid w:val="5A4537CF"/>
    <w:rsid w:val="5A4F5EDF"/>
    <w:rsid w:val="5A601003"/>
    <w:rsid w:val="5A601E9A"/>
    <w:rsid w:val="5A6150E6"/>
    <w:rsid w:val="5A623E64"/>
    <w:rsid w:val="5A6839E7"/>
    <w:rsid w:val="5A7E1C4B"/>
    <w:rsid w:val="5A8018DC"/>
    <w:rsid w:val="5A891034"/>
    <w:rsid w:val="5A995D31"/>
    <w:rsid w:val="5A9E261A"/>
    <w:rsid w:val="5AB02E22"/>
    <w:rsid w:val="5AB346C0"/>
    <w:rsid w:val="5AB50F66"/>
    <w:rsid w:val="5AB751C5"/>
    <w:rsid w:val="5ABA7A0A"/>
    <w:rsid w:val="5ABB56F5"/>
    <w:rsid w:val="5AC45954"/>
    <w:rsid w:val="5AC57D02"/>
    <w:rsid w:val="5AC9538D"/>
    <w:rsid w:val="5ACE15EE"/>
    <w:rsid w:val="5AD8289A"/>
    <w:rsid w:val="5AE40D1D"/>
    <w:rsid w:val="5AE9074C"/>
    <w:rsid w:val="5AE91623"/>
    <w:rsid w:val="5AF1093F"/>
    <w:rsid w:val="5AF251E8"/>
    <w:rsid w:val="5AF820D3"/>
    <w:rsid w:val="5AFB42F2"/>
    <w:rsid w:val="5B0038F6"/>
    <w:rsid w:val="5B0C24E0"/>
    <w:rsid w:val="5B111511"/>
    <w:rsid w:val="5B143961"/>
    <w:rsid w:val="5B1740D8"/>
    <w:rsid w:val="5B21787C"/>
    <w:rsid w:val="5B232476"/>
    <w:rsid w:val="5B281E54"/>
    <w:rsid w:val="5B30348E"/>
    <w:rsid w:val="5B320F92"/>
    <w:rsid w:val="5B377CC0"/>
    <w:rsid w:val="5B4928DA"/>
    <w:rsid w:val="5B500161"/>
    <w:rsid w:val="5B5B6F1E"/>
    <w:rsid w:val="5B624AEB"/>
    <w:rsid w:val="5B671705"/>
    <w:rsid w:val="5B687259"/>
    <w:rsid w:val="5B6F4A8B"/>
    <w:rsid w:val="5B7B5D42"/>
    <w:rsid w:val="5B864F7E"/>
    <w:rsid w:val="5B8B1604"/>
    <w:rsid w:val="5B8C3187"/>
    <w:rsid w:val="5B987E52"/>
    <w:rsid w:val="5B9B7813"/>
    <w:rsid w:val="5B9D7DB1"/>
    <w:rsid w:val="5BAB26BB"/>
    <w:rsid w:val="5BB73D3C"/>
    <w:rsid w:val="5BC65C3D"/>
    <w:rsid w:val="5BC924F2"/>
    <w:rsid w:val="5BCC4E29"/>
    <w:rsid w:val="5BCE763D"/>
    <w:rsid w:val="5BE93577"/>
    <w:rsid w:val="5BEA22FD"/>
    <w:rsid w:val="5BF34584"/>
    <w:rsid w:val="5BF440A9"/>
    <w:rsid w:val="5BF56384"/>
    <w:rsid w:val="5BF72344"/>
    <w:rsid w:val="5C036210"/>
    <w:rsid w:val="5C095670"/>
    <w:rsid w:val="5C0C4088"/>
    <w:rsid w:val="5C166CB5"/>
    <w:rsid w:val="5C19254F"/>
    <w:rsid w:val="5C1E477C"/>
    <w:rsid w:val="5C233CBE"/>
    <w:rsid w:val="5C400BB9"/>
    <w:rsid w:val="5C4614D6"/>
    <w:rsid w:val="5C594DF3"/>
    <w:rsid w:val="5C5A362D"/>
    <w:rsid w:val="5C682EAD"/>
    <w:rsid w:val="5C741B3F"/>
    <w:rsid w:val="5C756CA1"/>
    <w:rsid w:val="5CAF6D25"/>
    <w:rsid w:val="5CB91F84"/>
    <w:rsid w:val="5CBD0056"/>
    <w:rsid w:val="5CBD0CC6"/>
    <w:rsid w:val="5CBF7ACD"/>
    <w:rsid w:val="5CC972DA"/>
    <w:rsid w:val="5CD0201A"/>
    <w:rsid w:val="5CDC0D1C"/>
    <w:rsid w:val="5CE57AF4"/>
    <w:rsid w:val="5CF829B8"/>
    <w:rsid w:val="5CFC3333"/>
    <w:rsid w:val="5CFD3D68"/>
    <w:rsid w:val="5D011D85"/>
    <w:rsid w:val="5D0B312B"/>
    <w:rsid w:val="5D1C2E0E"/>
    <w:rsid w:val="5D2E66DC"/>
    <w:rsid w:val="5D302299"/>
    <w:rsid w:val="5D4379CB"/>
    <w:rsid w:val="5D4E247E"/>
    <w:rsid w:val="5D521F6E"/>
    <w:rsid w:val="5D5B25BB"/>
    <w:rsid w:val="5D5E2425"/>
    <w:rsid w:val="5D6904FB"/>
    <w:rsid w:val="5D6D7821"/>
    <w:rsid w:val="5D821D06"/>
    <w:rsid w:val="5D837B73"/>
    <w:rsid w:val="5D8503CC"/>
    <w:rsid w:val="5D8A795A"/>
    <w:rsid w:val="5D8C2067"/>
    <w:rsid w:val="5D8F6D1E"/>
    <w:rsid w:val="5D910951"/>
    <w:rsid w:val="5D934F42"/>
    <w:rsid w:val="5D993991"/>
    <w:rsid w:val="5D9D735C"/>
    <w:rsid w:val="5D9F57D6"/>
    <w:rsid w:val="5DA76786"/>
    <w:rsid w:val="5DA92296"/>
    <w:rsid w:val="5DC23BBA"/>
    <w:rsid w:val="5DCE46FF"/>
    <w:rsid w:val="5DD24E5D"/>
    <w:rsid w:val="5DDB6CCC"/>
    <w:rsid w:val="5DDC7A8A"/>
    <w:rsid w:val="5DE6783E"/>
    <w:rsid w:val="5DF030F6"/>
    <w:rsid w:val="5DF1550D"/>
    <w:rsid w:val="5DFF400C"/>
    <w:rsid w:val="5E287C36"/>
    <w:rsid w:val="5E301604"/>
    <w:rsid w:val="5E3F379C"/>
    <w:rsid w:val="5E407804"/>
    <w:rsid w:val="5E4347D4"/>
    <w:rsid w:val="5E44669D"/>
    <w:rsid w:val="5E4D6D7F"/>
    <w:rsid w:val="5E5C3CA4"/>
    <w:rsid w:val="5E5D6E1D"/>
    <w:rsid w:val="5E6470AD"/>
    <w:rsid w:val="5E6E020D"/>
    <w:rsid w:val="5E717627"/>
    <w:rsid w:val="5E8E4A5B"/>
    <w:rsid w:val="5E8E65F4"/>
    <w:rsid w:val="5E912C90"/>
    <w:rsid w:val="5E9268B6"/>
    <w:rsid w:val="5E9967A5"/>
    <w:rsid w:val="5E9F7435"/>
    <w:rsid w:val="5EA02A0A"/>
    <w:rsid w:val="5EA049D3"/>
    <w:rsid w:val="5EA762EA"/>
    <w:rsid w:val="5EAD3AFF"/>
    <w:rsid w:val="5EB86CBC"/>
    <w:rsid w:val="5ED65EDA"/>
    <w:rsid w:val="5EDE1348"/>
    <w:rsid w:val="5EE4753E"/>
    <w:rsid w:val="5EEB376E"/>
    <w:rsid w:val="5EEB68C1"/>
    <w:rsid w:val="5EEE0E31"/>
    <w:rsid w:val="5EF332DD"/>
    <w:rsid w:val="5EF4357D"/>
    <w:rsid w:val="5F0D7E57"/>
    <w:rsid w:val="5F122193"/>
    <w:rsid w:val="5F130005"/>
    <w:rsid w:val="5F173B4A"/>
    <w:rsid w:val="5F2E5C7C"/>
    <w:rsid w:val="5F3648E9"/>
    <w:rsid w:val="5F41253D"/>
    <w:rsid w:val="5F4E7701"/>
    <w:rsid w:val="5F56443A"/>
    <w:rsid w:val="5F6030FF"/>
    <w:rsid w:val="5F694BA6"/>
    <w:rsid w:val="5F746EA8"/>
    <w:rsid w:val="5F7B7380"/>
    <w:rsid w:val="5F7F1015"/>
    <w:rsid w:val="5F966721"/>
    <w:rsid w:val="5FA62A45"/>
    <w:rsid w:val="5FA74ADA"/>
    <w:rsid w:val="5FA92465"/>
    <w:rsid w:val="5FAD2A44"/>
    <w:rsid w:val="5FAE0C0F"/>
    <w:rsid w:val="5FB11616"/>
    <w:rsid w:val="5FB27702"/>
    <w:rsid w:val="5FBA59B4"/>
    <w:rsid w:val="5FC2343E"/>
    <w:rsid w:val="5FC473A7"/>
    <w:rsid w:val="5FC92290"/>
    <w:rsid w:val="5FD5150B"/>
    <w:rsid w:val="5FF9506C"/>
    <w:rsid w:val="5FFD520B"/>
    <w:rsid w:val="600475F9"/>
    <w:rsid w:val="600532C8"/>
    <w:rsid w:val="60157FFC"/>
    <w:rsid w:val="6017124D"/>
    <w:rsid w:val="602F7C9D"/>
    <w:rsid w:val="603177D2"/>
    <w:rsid w:val="60353ECF"/>
    <w:rsid w:val="604F2FC5"/>
    <w:rsid w:val="605162ED"/>
    <w:rsid w:val="6054424F"/>
    <w:rsid w:val="60622B08"/>
    <w:rsid w:val="6071623F"/>
    <w:rsid w:val="6077425D"/>
    <w:rsid w:val="6077540C"/>
    <w:rsid w:val="60800F1F"/>
    <w:rsid w:val="60821AA3"/>
    <w:rsid w:val="6087600F"/>
    <w:rsid w:val="608941B4"/>
    <w:rsid w:val="608C5EF6"/>
    <w:rsid w:val="608E0BDA"/>
    <w:rsid w:val="609B6CF4"/>
    <w:rsid w:val="60B94D0D"/>
    <w:rsid w:val="60C61B78"/>
    <w:rsid w:val="60CA5561"/>
    <w:rsid w:val="60CE504A"/>
    <w:rsid w:val="60DA691C"/>
    <w:rsid w:val="60DD5EB1"/>
    <w:rsid w:val="60DE0534"/>
    <w:rsid w:val="60E70C20"/>
    <w:rsid w:val="60EA470B"/>
    <w:rsid w:val="60F05836"/>
    <w:rsid w:val="60F838E6"/>
    <w:rsid w:val="60FD1D1B"/>
    <w:rsid w:val="6108242F"/>
    <w:rsid w:val="610B0DB2"/>
    <w:rsid w:val="610C32F5"/>
    <w:rsid w:val="613D0443"/>
    <w:rsid w:val="61517E95"/>
    <w:rsid w:val="61521E67"/>
    <w:rsid w:val="61663283"/>
    <w:rsid w:val="616A0C13"/>
    <w:rsid w:val="616F5317"/>
    <w:rsid w:val="617474E5"/>
    <w:rsid w:val="61747F49"/>
    <w:rsid w:val="617C37D4"/>
    <w:rsid w:val="619936DB"/>
    <w:rsid w:val="61AC16BC"/>
    <w:rsid w:val="61AE6814"/>
    <w:rsid w:val="61B473D7"/>
    <w:rsid w:val="61C15686"/>
    <w:rsid w:val="61C176C2"/>
    <w:rsid w:val="61CD35B4"/>
    <w:rsid w:val="61D3756A"/>
    <w:rsid w:val="61DF2DFA"/>
    <w:rsid w:val="61DF3963"/>
    <w:rsid w:val="61E0141F"/>
    <w:rsid w:val="61E95A23"/>
    <w:rsid w:val="61EE0F06"/>
    <w:rsid w:val="61FD65AA"/>
    <w:rsid w:val="620875EF"/>
    <w:rsid w:val="620A7E4D"/>
    <w:rsid w:val="620C5042"/>
    <w:rsid w:val="621779CD"/>
    <w:rsid w:val="623A05A3"/>
    <w:rsid w:val="6243457B"/>
    <w:rsid w:val="624448E4"/>
    <w:rsid w:val="62484134"/>
    <w:rsid w:val="62485DE0"/>
    <w:rsid w:val="62516FDA"/>
    <w:rsid w:val="62562501"/>
    <w:rsid w:val="62570027"/>
    <w:rsid w:val="626548F3"/>
    <w:rsid w:val="62663570"/>
    <w:rsid w:val="627110E9"/>
    <w:rsid w:val="6273372B"/>
    <w:rsid w:val="627E3805"/>
    <w:rsid w:val="627F14C5"/>
    <w:rsid w:val="627F27FF"/>
    <w:rsid w:val="6280757E"/>
    <w:rsid w:val="62885CDB"/>
    <w:rsid w:val="629A70ED"/>
    <w:rsid w:val="629B7F14"/>
    <w:rsid w:val="62A01220"/>
    <w:rsid w:val="62A345CC"/>
    <w:rsid w:val="62A60405"/>
    <w:rsid w:val="62B02D1D"/>
    <w:rsid w:val="62B04EAE"/>
    <w:rsid w:val="62BB37DB"/>
    <w:rsid w:val="62BE787A"/>
    <w:rsid w:val="62C91733"/>
    <w:rsid w:val="62D014E2"/>
    <w:rsid w:val="62D72BDE"/>
    <w:rsid w:val="62E0153E"/>
    <w:rsid w:val="62E1365A"/>
    <w:rsid w:val="62E32CA1"/>
    <w:rsid w:val="62E9550C"/>
    <w:rsid w:val="62E96F5E"/>
    <w:rsid w:val="62F15153"/>
    <w:rsid w:val="62F44AD0"/>
    <w:rsid w:val="62F51C23"/>
    <w:rsid w:val="630164B6"/>
    <w:rsid w:val="630723F1"/>
    <w:rsid w:val="630737FB"/>
    <w:rsid w:val="630D371A"/>
    <w:rsid w:val="631321A0"/>
    <w:rsid w:val="63227530"/>
    <w:rsid w:val="632927BC"/>
    <w:rsid w:val="632F6036"/>
    <w:rsid w:val="63350368"/>
    <w:rsid w:val="63561485"/>
    <w:rsid w:val="635F7193"/>
    <w:rsid w:val="636608FB"/>
    <w:rsid w:val="63780255"/>
    <w:rsid w:val="63790778"/>
    <w:rsid w:val="637B0345"/>
    <w:rsid w:val="637C3FA6"/>
    <w:rsid w:val="63902F09"/>
    <w:rsid w:val="6399409C"/>
    <w:rsid w:val="639F1C85"/>
    <w:rsid w:val="63A33F79"/>
    <w:rsid w:val="63A64B8E"/>
    <w:rsid w:val="63A92582"/>
    <w:rsid w:val="63B54DE2"/>
    <w:rsid w:val="63B7781A"/>
    <w:rsid w:val="63B95D8D"/>
    <w:rsid w:val="63BE04F6"/>
    <w:rsid w:val="63C04FEA"/>
    <w:rsid w:val="63CC7FA1"/>
    <w:rsid w:val="63D07307"/>
    <w:rsid w:val="63F27C99"/>
    <w:rsid w:val="63F70AE7"/>
    <w:rsid w:val="63FA5FE0"/>
    <w:rsid w:val="64124621"/>
    <w:rsid w:val="64196D3E"/>
    <w:rsid w:val="64202F86"/>
    <w:rsid w:val="642A20A3"/>
    <w:rsid w:val="642D54E3"/>
    <w:rsid w:val="64361418"/>
    <w:rsid w:val="64423AD4"/>
    <w:rsid w:val="64433D29"/>
    <w:rsid w:val="64484DB7"/>
    <w:rsid w:val="644D6D4C"/>
    <w:rsid w:val="644F4239"/>
    <w:rsid w:val="644F5D22"/>
    <w:rsid w:val="64590474"/>
    <w:rsid w:val="645C7098"/>
    <w:rsid w:val="64790728"/>
    <w:rsid w:val="64790C54"/>
    <w:rsid w:val="647C721D"/>
    <w:rsid w:val="64832644"/>
    <w:rsid w:val="64953D93"/>
    <w:rsid w:val="64991719"/>
    <w:rsid w:val="649A771E"/>
    <w:rsid w:val="649D4A8E"/>
    <w:rsid w:val="64A16025"/>
    <w:rsid w:val="64A23B4B"/>
    <w:rsid w:val="64AB5246"/>
    <w:rsid w:val="64B9183E"/>
    <w:rsid w:val="64E532B0"/>
    <w:rsid w:val="64EA5182"/>
    <w:rsid w:val="64EC0EFA"/>
    <w:rsid w:val="64EC50EB"/>
    <w:rsid w:val="64F66A27"/>
    <w:rsid w:val="64FA4CF2"/>
    <w:rsid w:val="64FD353D"/>
    <w:rsid w:val="6508170F"/>
    <w:rsid w:val="650C7A99"/>
    <w:rsid w:val="650D4382"/>
    <w:rsid w:val="65193051"/>
    <w:rsid w:val="651B533C"/>
    <w:rsid w:val="652042F3"/>
    <w:rsid w:val="65234D2F"/>
    <w:rsid w:val="652C2846"/>
    <w:rsid w:val="65345AF4"/>
    <w:rsid w:val="65370E47"/>
    <w:rsid w:val="653B70EE"/>
    <w:rsid w:val="654148A5"/>
    <w:rsid w:val="65446328"/>
    <w:rsid w:val="65587A0E"/>
    <w:rsid w:val="657A0FEB"/>
    <w:rsid w:val="658B0720"/>
    <w:rsid w:val="658E5B0E"/>
    <w:rsid w:val="65925B5F"/>
    <w:rsid w:val="6596378B"/>
    <w:rsid w:val="65986DB6"/>
    <w:rsid w:val="659B4BC8"/>
    <w:rsid w:val="65B300D0"/>
    <w:rsid w:val="65C63316"/>
    <w:rsid w:val="65CF299F"/>
    <w:rsid w:val="65CF7256"/>
    <w:rsid w:val="65D02A97"/>
    <w:rsid w:val="65ED2F0D"/>
    <w:rsid w:val="65F3404E"/>
    <w:rsid w:val="65FF6A0B"/>
    <w:rsid w:val="660202AA"/>
    <w:rsid w:val="6608723C"/>
    <w:rsid w:val="660B5AA8"/>
    <w:rsid w:val="661208A1"/>
    <w:rsid w:val="661928AD"/>
    <w:rsid w:val="661A3845"/>
    <w:rsid w:val="663F4DDE"/>
    <w:rsid w:val="664166AE"/>
    <w:rsid w:val="66473805"/>
    <w:rsid w:val="664A1A2C"/>
    <w:rsid w:val="66502D15"/>
    <w:rsid w:val="666176C6"/>
    <w:rsid w:val="666728E2"/>
    <w:rsid w:val="66772A36"/>
    <w:rsid w:val="667A3D9C"/>
    <w:rsid w:val="669E3068"/>
    <w:rsid w:val="66B45393"/>
    <w:rsid w:val="66BB15DA"/>
    <w:rsid w:val="66CB7E87"/>
    <w:rsid w:val="66D571C3"/>
    <w:rsid w:val="66DD0FB9"/>
    <w:rsid w:val="66ED56A3"/>
    <w:rsid w:val="67052523"/>
    <w:rsid w:val="670C2980"/>
    <w:rsid w:val="671362AA"/>
    <w:rsid w:val="672C3655"/>
    <w:rsid w:val="672D1BAE"/>
    <w:rsid w:val="67306247"/>
    <w:rsid w:val="67317098"/>
    <w:rsid w:val="67367FF9"/>
    <w:rsid w:val="674E5BDD"/>
    <w:rsid w:val="675325F2"/>
    <w:rsid w:val="67544B35"/>
    <w:rsid w:val="675973AC"/>
    <w:rsid w:val="675E6C36"/>
    <w:rsid w:val="676F7BC1"/>
    <w:rsid w:val="67722CFC"/>
    <w:rsid w:val="67854393"/>
    <w:rsid w:val="678760A5"/>
    <w:rsid w:val="67877CA6"/>
    <w:rsid w:val="678D598B"/>
    <w:rsid w:val="67971694"/>
    <w:rsid w:val="67991A9F"/>
    <w:rsid w:val="67A85617"/>
    <w:rsid w:val="67B62261"/>
    <w:rsid w:val="67C056F7"/>
    <w:rsid w:val="67D85766"/>
    <w:rsid w:val="67DE6D87"/>
    <w:rsid w:val="67F22715"/>
    <w:rsid w:val="68074DAC"/>
    <w:rsid w:val="680A3EEF"/>
    <w:rsid w:val="680D22C3"/>
    <w:rsid w:val="680F44A5"/>
    <w:rsid w:val="68233DF9"/>
    <w:rsid w:val="682C3E61"/>
    <w:rsid w:val="68312185"/>
    <w:rsid w:val="683256C8"/>
    <w:rsid w:val="68372F2A"/>
    <w:rsid w:val="684A7EDC"/>
    <w:rsid w:val="68652527"/>
    <w:rsid w:val="68685C48"/>
    <w:rsid w:val="686A7D0A"/>
    <w:rsid w:val="686F5874"/>
    <w:rsid w:val="687026BF"/>
    <w:rsid w:val="68774374"/>
    <w:rsid w:val="687C0D41"/>
    <w:rsid w:val="687D72E3"/>
    <w:rsid w:val="687E3034"/>
    <w:rsid w:val="6882638E"/>
    <w:rsid w:val="689301EE"/>
    <w:rsid w:val="68A144C2"/>
    <w:rsid w:val="68A85555"/>
    <w:rsid w:val="68AC59A3"/>
    <w:rsid w:val="68AD505C"/>
    <w:rsid w:val="68CD7BAE"/>
    <w:rsid w:val="68CE6B0F"/>
    <w:rsid w:val="68D80250"/>
    <w:rsid w:val="68DA2166"/>
    <w:rsid w:val="68DB6B1D"/>
    <w:rsid w:val="68E64B70"/>
    <w:rsid w:val="68E90368"/>
    <w:rsid w:val="68EF5B22"/>
    <w:rsid w:val="68F51825"/>
    <w:rsid w:val="68F93BE6"/>
    <w:rsid w:val="690059AF"/>
    <w:rsid w:val="691225DD"/>
    <w:rsid w:val="6913666B"/>
    <w:rsid w:val="691A3E1B"/>
    <w:rsid w:val="692245FF"/>
    <w:rsid w:val="69311F43"/>
    <w:rsid w:val="69451D53"/>
    <w:rsid w:val="6945507D"/>
    <w:rsid w:val="694653A2"/>
    <w:rsid w:val="694A3905"/>
    <w:rsid w:val="694E797A"/>
    <w:rsid w:val="69505FF8"/>
    <w:rsid w:val="69585607"/>
    <w:rsid w:val="695A40B2"/>
    <w:rsid w:val="69733998"/>
    <w:rsid w:val="698C67B2"/>
    <w:rsid w:val="6994390F"/>
    <w:rsid w:val="69960CCF"/>
    <w:rsid w:val="69A17ABB"/>
    <w:rsid w:val="69AC6C0B"/>
    <w:rsid w:val="69B76BEC"/>
    <w:rsid w:val="69C867A2"/>
    <w:rsid w:val="69CE67A3"/>
    <w:rsid w:val="69D106BF"/>
    <w:rsid w:val="69D41F5D"/>
    <w:rsid w:val="69D7717C"/>
    <w:rsid w:val="69ED085C"/>
    <w:rsid w:val="69ED1654"/>
    <w:rsid w:val="69F50851"/>
    <w:rsid w:val="69F60125"/>
    <w:rsid w:val="69FD3262"/>
    <w:rsid w:val="69FD5C28"/>
    <w:rsid w:val="6A021BB1"/>
    <w:rsid w:val="6A087BCB"/>
    <w:rsid w:val="6A093C61"/>
    <w:rsid w:val="6A2E57A3"/>
    <w:rsid w:val="6A3D4D5B"/>
    <w:rsid w:val="6A4470E3"/>
    <w:rsid w:val="6A4B66C3"/>
    <w:rsid w:val="6A4F02A9"/>
    <w:rsid w:val="6A626A14"/>
    <w:rsid w:val="6A686C67"/>
    <w:rsid w:val="6A7645D5"/>
    <w:rsid w:val="6A8F0C75"/>
    <w:rsid w:val="6A8F67DC"/>
    <w:rsid w:val="6A965C58"/>
    <w:rsid w:val="6A9A681C"/>
    <w:rsid w:val="6AA11871"/>
    <w:rsid w:val="6AA635F7"/>
    <w:rsid w:val="6AB6732F"/>
    <w:rsid w:val="6AC27BBC"/>
    <w:rsid w:val="6AD55F8D"/>
    <w:rsid w:val="6AF254DA"/>
    <w:rsid w:val="6AF40B09"/>
    <w:rsid w:val="6AF52D3C"/>
    <w:rsid w:val="6AFD7CCE"/>
    <w:rsid w:val="6B0740CA"/>
    <w:rsid w:val="6B144E28"/>
    <w:rsid w:val="6B146AB5"/>
    <w:rsid w:val="6B334C8C"/>
    <w:rsid w:val="6B3E7416"/>
    <w:rsid w:val="6B413622"/>
    <w:rsid w:val="6B481BA2"/>
    <w:rsid w:val="6B482C03"/>
    <w:rsid w:val="6B534AAC"/>
    <w:rsid w:val="6B561366"/>
    <w:rsid w:val="6B5C1FB7"/>
    <w:rsid w:val="6B686E01"/>
    <w:rsid w:val="6B6B5519"/>
    <w:rsid w:val="6B6D73FF"/>
    <w:rsid w:val="6B825727"/>
    <w:rsid w:val="6B8A1CE1"/>
    <w:rsid w:val="6B8C75EA"/>
    <w:rsid w:val="6B921D40"/>
    <w:rsid w:val="6BB1060E"/>
    <w:rsid w:val="6BC55A2D"/>
    <w:rsid w:val="6BE81F08"/>
    <w:rsid w:val="6BF64520"/>
    <w:rsid w:val="6C3860B4"/>
    <w:rsid w:val="6C472EBA"/>
    <w:rsid w:val="6C501D6F"/>
    <w:rsid w:val="6C575B99"/>
    <w:rsid w:val="6C6902B2"/>
    <w:rsid w:val="6C716728"/>
    <w:rsid w:val="6C84478B"/>
    <w:rsid w:val="6C8956C4"/>
    <w:rsid w:val="6C8B2DA7"/>
    <w:rsid w:val="6CA21A60"/>
    <w:rsid w:val="6CAB169B"/>
    <w:rsid w:val="6CAD4343"/>
    <w:rsid w:val="6CB45CE8"/>
    <w:rsid w:val="6CC16EB9"/>
    <w:rsid w:val="6CC63B4D"/>
    <w:rsid w:val="6CCE56FF"/>
    <w:rsid w:val="6CE20EEA"/>
    <w:rsid w:val="6CE81A34"/>
    <w:rsid w:val="6CF5311C"/>
    <w:rsid w:val="6CFC0D94"/>
    <w:rsid w:val="6CFC7AB9"/>
    <w:rsid w:val="6D06789F"/>
    <w:rsid w:val="6D0A3828"/>
    <w:rsid w:val="6D1A763D"/>
    <w:rsid w:val="6D2725DA"/>
    <w:rsid w:val="6D284A9A"/>
    <w:rsid w:val="6D32517C"/>
    <w:rsid w:val="6D336B99"/>
    <w:rsid w:val="6D390A55"/>
    <w:rsid w:val="6D3C22F3"/>
    <w:rsid w:val="6D3D4F23"/>
    <w:rsid w:val="6D3E6B4B"/>
    <w:rsid w:val="6D3F7D70"/>
    <w:rsid w:val="6D4D1A91"/>
    <w:rsid w:val="6D59574F"/>
    <w:rsid w:val="6D60248E"/>
    <w:rsid w:val="6D685C7F"/>
    <w:rsid w:val="6D7273BF"/>
    <w:rsid w:val="6D731E5A"/>
    <w:rsid w:val="6D736674"/>
    <w:rsid w:val="6D7B72BF"/>
    <w:rsid w:val="6D9A344E"/>
    <w:rsid w:val="6D9B5BE1"/>
    <w:rsid w:val="6DA20B51"/>
    <w:rsid w:val="6DA22A9E"/>
    <w:rsid w:val="6DA305C4"/>
    <w:rsid w:val="6DA700B4"/>
    <w:rsid w:val="6DA70FF2"/>
    <w:rsid w:val="6DA83E86"/>
    <w:rsid w:val="6DB81690"/>
    <w:rsid w:val="6DB85127"/>
    <w:rsid w:val="6DBC435D"/>
    <w:rsid w:val="6DCF21B6"/>
    <w:rsid w:val="6DD24AEC"/>
    <w:rsid w:val="6DDC6853"/>
    <w:rsid w:val="6DE2019B"/>
    <w:rsid w:val="6DE342A4"/>
    <w:rsid w:val="6DEB37AE"/>
    <w:rsid w:val="6DF130DE"/>
    <w:rsid w:val="6DF328FB"/>
    <w:rsid w:val="6DF90194"/>
    <w:rsid w:val="6DF93E9A"/>
    <w:rsid w:val="6E044A71"/>
    <w:rsid w:val="6E052F7C"/>
    <w:rsid w:val="6E101CDB"/>
    <w:rsid w:val="6E13325E"/>
    <w:rsid w:val="6E1A6AD8"/>
    <w:rsid w:val="6E1F596B"/>
    <w:rsid w:val="6E22622F"/>
    <w:rsid w:val="6E2B2A93"/>
    <w:rsid w:val="6E31202C"/>
    <w:rsid w:val="6E3A157F"/>
    <w:rsid w:val="6E4726B0"/>
    <w:rsid w:val="6E49116B"/>
    <w:rsid w:val="6E5527BA"/>
    <w:rsid w:val="6E671DD8"/>
    <w:rsid w:val="6E731870"/>
    <w:rsid w:val="6E751F61"/>
    <w:rsid w:val="6E752895"/>
    <w:rsid w:val="6E7A5B4B"/>
    <w:rsid w:val="6E850527"/>
    <w:rsid w:val="6E856EEB"/>
    <w:rsid w:val="6E88638E"/>
    <w:rsid w:val="6E9532A4"/>
    <w:rsid w:val="6EA139A6"/>
    <w:rsid w:val="6EAA6A2B"/>
    <w:rsid w:val="6EAD5DB8"/>
    <w:rsid w:val="6EB74327"/>
    <w:rsid w:val="6EB82783"/>
    <w:rsid w:val="6EBA73DB"/>
    <w:rsid w:val="6EBE3907"/>
    <w:rsid w:val="6EC203DE"/>
    <w:rsid w:val="6EC30B9D"/>
    <w:rsid w:val="6ECC5D0A"/>
    <w:rsid w:val="6ECD2CC0"/>
    <w:rsid w:val="6EDC1FE0"/>
    <w:rsid w:val="6EF4019F"/>
    <w:rsid w:val="6EF530A1"/>
    <w:rsid w:val="6EF6181A"/>
    <w:rsid w:val="6EFF4591"/>
    <w:rsid w:val="6F094457"/>
    <w:rsid w:val="6F1504B0"/>
    <w:rsid w:val="6F1B559B"/>
    <w:rsid w:val="6F1F0FA8"/>
    <w:rsid w:val="6F203B7F"/>
    <w:rsid w:val="6F2232D1"/>
    <w:rsid w:val="6F2614AD"/>
    <w:rsid w:val="6F286FD3"/>
    <w:rsid w:val="6F287D25"/>
    <w:rsid w:val="6F29165E"/>
    <w:rsid w:val="6F296DB6"/>
    <w:rsid w:val="6F3E2075"/>
    <w:rsid w:val="6F534CF6"/>
    <w:rsid w:val="6F601648"/>
    <w:rsid w:val="6F6041F5"/>
    <w:rsid w:val="6F6401E8"/>
    <w:rsid w:val="6F6A75EB"/>
    <w:rsid w:val="6F7075AD"/>
    <w:rsid w:val="6F791230"/>
    <w:rsid w:val="6F7C2E7B"/>
    <w:rsid w:val="6F810ABB"/>
    <w:rsid w:val="6F850341"/>
    <w:rsid w:val="6F866ABA"/>
    <w:rsid w:val="6F884464"/>
    <w:rsid w:val="6F963B00"/>
    <w:rsid w:val="6FA0300D"/>
    <w:rsid w:val="6FA523D2"/>
    <w:rsid w:val="6FA6209F"/>
    <w:rsid w:val="6FB30672"/>
    <w:rsid w:val="6FCC71F6"/>
    <w:rsid w:val="6FD05670"/>
    <w:rsid w:val="6FD12146"/>
    <w:rsid w:val="6FEC4358"/>
    <w:rsid w:val="6FEE2D50"/>
    <w:rsid w:val="6FEE6F84"/>
    <w:rsid w:val="6FF27DC5"/>
    <w:rsid w:val="6FF3537D"/>
    <w:rsid w:val="6FF60E7F"/>
    <w:rsid w:val="6FFD3FBC"/>
    <w:rsid w:val="700F280C"/>
    <w:rsid w:val="70111F7C"/>
    <w:rsid w:val="701622FB"/>
    <w:rsid w:val="7019691C"/>
    <w:rsid w:val="702F5EDD"/>
    <w:rsid w:val="70333E81"/>
    <w:rsid w:val="70381498"/>
    <w:rsid w:val="703A567C"/>
    <w:rsid w:val="703F27C8"/>
    <w:rsid w:val="70450358"/>
    <w:rsid w:val="7049690C"/>
    <w:rsid w:val="705931BC"/>
    <w:rsid w:val="706037E0"/>
    <w:rsid w:val="706C249F"/>
    <w:rsid w:val="70730FF1"/>
    <w:rsid w:val="70756248"/>
    <w:rsid w:val="70836D07"/>
    <w:rsid w:val="708C18E6"/>
    <w:rsid w:val="7091206C"/>
    <w:rsid w:val="70A530C5"/>
    <w:rsid w:val="70AC59E2"/>
    <w:rsid w:val="70B05C58"/>
    <w:rsid w:val="70B7130A"/>
    <w:rsid w:val="70BD2180"/>
    <w:rsid w:val="70CA551C"/>
    <w:rsid w:val="70CF27FC"/>
    <w:rsid w:val="70CF480E"/>
    <w:rsid w:val="70E45E67"/>
    <w:rsid w:val="70EF0170"/>
    <w:rsid w:val="70F92AA2"/>
    <w:rsid w:val="7105452B"/>
    <w:rsid w:val="71127564"/>
    <w:rsid w:val="711315BD"/>
    <w:rsid w:val="71202F6F"/>
    <w:rsid w:val="712747EE"/>
    <w:rsid w:val="7130216F"/>
    <w:rsid w:val="714158B7"/>
    <w:rsid w:val="7144333C"/>
    <w:rsid w:val="714D0F73"/>
    <w:rsid w:val="714D1353"/>
    <w:rsid w:val="71514AF6"/>
    <w:rsid w:val="716360A0"/>
    <w:rsid w:val="71652E7D"/>
    <w:rsid w:val="71654861"/>
    <w:rsid w:val="71706B9E"/>
    <w:rsid w:val="7171219F"/>
    <w:rsid w:val="717D0560"/>
    <w:rsid w:val="719458BA"/>
    <w:rsid w:val="719678A7"/>
    <w:rsid w:val="71980BEF"/>
    <w:rsid w:val="71A32941"/>
    <w:rsid w:val="71A47EAF"/>
    <w:rsid w:val="71C65E19"/>
    <w:rsid w:val="71C757EB"/>
    <w:rsid w:val="71D41D84"/>
    <w:rsid w:val="71D6710F"/>
    <w:rsid w:val="71DC40A5"/>
    <w:rsid w:val="71E2790D"/>
    <w:rsid w:val="71E8645E"/>
    <w:rsid w:val="71FE0320"/>
    <w:rsid w:val="72136293"/>
    <w:rsid w:val="721675B7"/>
    <w:rsid w:val="7224772C"/>
    <w:rsid w:val="72253C9E"/>
    <w:rsid w:val="72256EAA"/>
    <w:rsid w:val="722E4900"/>
    <w:rsid w:val="7233724E"/>
    <w:rsid w:val="72361C86"/>
    <w:rsid w:val="725205A3"/>
    <w:rsid w:val="725767CF"/>
    <w:rsid w:val="72587BCF"/>
    <w:rsid w:val="72607A1B"/>
    <w:rsid w:val="726463FA"/>
    <w:rsid w:val="727B60A5"/>
    <w:rsid w:val="728214FB"/>
    <w:rsid w:val="729A3728"/>
    <w:rsid w:val="729C6593"/>
    <w:rsid w:val="72AD744F"/>
    <w:rsid w:val="72B3590A"/>
    <w:rsid w:val="72B868C0"/>
    <w:rsid w:val="72BA3690"/>
    <w:rsid w:val="72BB6006"/>
    <w:rsid w:val="72C139C6"/>
    <w:rsid w:val="72CD67C0"/>
    <w:rsid w:val="72D354A8"/>
    <w:rsid w:val="72DC1DE4"/>
    <w:rsid w:val="72E32CFB"/>
    <w:rsid w:val="72EE738E"/>
    <w:rsid w:val="72F318A6"/>
    <w:rsid w:val="72F35B4A"/>
    <w:rsid w:val="73032E3D"/>
    <w:rsid w:val="73165199"/>
    <w:rsid w:val="731E5A10"/>
    <w:rsid w:val="732623F1"/>
    <w:rsid w:val="732B765B"/>
    <w:rsid w:val="732D105C"/>
    <w:rsid w:val="733148C3"/>
    <w:rsid w:val="7338355D"/>
    <w:rsid w:val="733E2993"/>
    <w:rsid w:val="73424E40"/>
    <w:rsid w:val="73621B93"/>
    <w:rsid w:val="736735A8"/>
    <w:rsid w:val="736F074D"/>
    <w:rsid w:val="7370221C"/>
    <w:rsid w:val="73722BD4"/>
    <w:rsid w:val="737E5F00"/>
    <w:rsid w:val="737F14D3"/>
    <w:rsid w:val="738301C6"/>
    <w:rsid w:val="73893DB8"/>
    <w:rsid w:val="738E0A00"/>
    <w:rsid w:val="739C3AEB"/>
    <w:rsid w:val="739E2723"/>
    <w:rsid w:val="73AC4E07"/>
    <w:rsid w:val="73AF1626"/>
    <w:rsid w:val="73AF3A93"/>
    <w:rsid w:val="73B61F65"/>
    <w:rsid w:val="73C4549B"/>
    <w:rsid w:val="73C746B0"/>
    <w:rsid w:val="73D01B0F"/>
    <w:rsid w:val="73D86CED"/>
    <w:rsid w:val="73EC06C5"/>
    <w:rsid w:val="73EE79C0"/>
    <w:rsid w:val="73F27EEE"/>
    <w:rsid w:val="73FA3425"/>
    <w:rsid w:val="73FC5756"/>
    <w:rsid w:val="73FD1A93"/>
    <w:rsid w:val="73FE6D75"/>
    <w:rsid w:val="7404763B"/>
    <w:rsid w:val="74050075"/>
    <w:rsid w:val="740A6CA7"/>
    <w:rsid w:val="740E6241"/>
    <w:rsid w:val="7413761D"/>
    <w:rsid w:val="742F2BB2"/>
    <w:rsid w:val="74303FFE"/>
    <w:rsid w:val="743362FD"/>
    <w:rsid w:val="74373E67"/>
    <w:rsid w:val="74393A30"/>
    <w:rsid w:val="744245F4"/>
    <w:rsid w:val="744E265F"/>
    <w:rsid w:val="74504243"/>
    <w:rsid w:val="745608B6"/>
    <w:rsid w:val="745E20CE"/>
    <w:rsid w:val="745E6EB8"/>
    <w:rsid w:val="746C05A3"/>
    <w:rsid w:val="746F6150"/>
    <w:rsid w:val="74781113"/>
    <w:rsid w:val="748702F8"/>
    <w:rsid w:val="748C589E"/>
    <w:rsid w:val="74917377"/>
    <w:rsid w:val="74983EDA"/>
    <w:rsid w:val="74984DA6"/>
    <w:rsid w:val="74994FFC"/>
    <w:rsid w:val="74A5159F"/>
    <w:rsid w:val="74AC7CBA"/>
    <w:rsid w:val="74BE1FFC"/>
    <w:rsid w:val="74BF6E72"/>
    <w:rsid w:val="74CC38DE"/>
    <w:rsid w:val="74D774D1"/>
    <w:rsid w:val="74E612AB"/>
    <w:rsid w:val="74EF3209"/>
    <w:rsid w:val="74F6722B"/>
    <w:rsid w:val="74FB0A91"/>
    <w:rsid w:val="75023849"/>
    <w:rsid w:val="75040010"/>
    <w:rsid w:val="75065D83"/>
    <w:rsid w:val="751378F1"/>
    <w:rsid w:val="751833CC"/>
    <w:rsid w:val="751A7AFE"/>
    <w:rsid w:val="751F49D4"/>
    <w:rsid w:val="752935C0"/>
    <w:rsid w:val="752B4188"/>
    <w:rsid w:val="753C6589"/>
    <w:rsid w:val="75431C52"/>
    <w:rsid w:val="754C74BD"/>
    <w:rsid w:val="754E1420"/>
    <w:rsid w:val="755653B5"/>
    <w:rsid w:val="75742F72"/>
    <w:rsid w:val="757E38FB"/>
    <w:rsid w:val="759C1905"/>
    <w:rsid w:val="75A36A1B"/>
    <w:rsid w:val="75B578D7"/>
    <w:rsid w:val="75B710B1"/>
    <w:rsid w:val="75B83917"/>
    <w:rsid w:val="75B90985"/>
    <w:rsid w:val="75C75003"/>
    <w:rsid w:val="75C82D7F"/>
    <w:rsid w:val="75D11800"/>
    <w:rsid w:val="75D2773D"/>
    <w:rsid w:val="75D45C9E"/>
    <w:rsid w:val="75E0609D"/>
    <w:rsid w:val="75E8126A"/>
    <w:rsid w:val="75F41C63"/>
    <w:rsid w:val="75F43E4D"/>
    <w:rsid w:val="75F92002"/>
    <w:rsid w:val="75FC11A8"/>
    <w:rsid w:val="760368FE"/>
    <w:rsid w:val="76093D0C"/>
    <w:rsid w:val="76121BAF"/>
    <w:rsid w:val="76130940"/>
    <w:rsid w:val="76262B0F"/>
    <w:rsid w:val="7629230A"/>
    <w:rsid w:val="762F2556"/>
    <w:rsid w:val="763202DA"/>
    <w:rsid w:val="76347EF4"/>
    <w:rsid w:val="763730FE"/>
    <w:rsid w:val="76482864"/>
    <w:rsid w:val="76493846"/>
    <w:rsid w:val="764D3711"/>
    <w:rsid w:val="765237A2"/>
    <w:rsid w:val="765249BD"/>
    <w:rsid w:val="765D791A"/>
    <w:rsid w:val="765E777E"/>
    <w:rsid w:val="76676633"/>
    <w:rsid w:val="766A0108"/>
    <w:rsid w:val="766A2F94"/>
    <w:rsid w:val="7674304B"/>
    <w:rsid w:val="767879BF"/>
    <w:rsid w:val="76797F62"/>
    <w:rsid w:val="767A6CCF"/>
    <w:rsid w:val="767F3015"/>
    <w:rsid w:val="768D1111"/>
    <w:rsid w:val="7692074A"/>
    <w:rsid w:val="769212D2"/>
    <w:rsid w:val="76977CA2"/>
    <w:rsid w:val="76A755D7"/>
    <w:rsid w:val="76B31878"/>
    <w:rsid w:val="76C53F5F"/>
    <w:rsid w:val="76C8161D"/>
    <w:rsid w:val="76CA450F"/>
    <w:rsid w:val="76CE5E2E"/>
    <w:rsid w:val="76CE66B2"/>
    <w:rsid w:val="76D21E5F"/>
    <w:rsid w:val="76D77062"/>
    <w:rsid w:val="76DA52C9"/>
    <w:rsid w:val="76DB5B83"/>
    <w:rsid w:val="76F23CED"/>
    <w:rsid w:val="770B0436"/>
    <w:rsid w:val="770C3856"/>
    <w:rsid w:val="77161AD6"/>
    <w:rsid w:val="771D034D"/>
    <w:rsid w:val="771F0FB0"/>
    <w:rsid w:val="77357DB1"/>
    <w:rsid w:val="7749505E"/>
    <w:rsid w:val="774C1393"/>
    <w:rsid w:val="774F4A16"/>
    <w:rsid w:val="775B05FE"/>
    <w:rsid w:val="7763306E"/>
    <w:rsid w:val="776673EF"/>
    <w:rsid w:val="776D326B"/>
    <w:rsid w:val="776F42E7"/>
    <w:rsid w:val="7770108D"/>
    <w:rsid w:val="77707769"/>
    <w:rsid w:val="77752D5E"/>
    <w:rsid w:val="77792C6C"/>
    <w:rsid w:val="777F2769"/>
    <w:rsid w:val="77827CF6"/>
    <w:rsid w:val="77862662"/>
    <w:rsid w:val="778C63AF"/>
    <w:rsid w:val="778F74D7"/>
    <w:rsid w:val="7791134A"/>
    <w:rsid w:val="7792184F"/>
    <w:rsid w:val="779F3BAA"/>
    <w:rsid w:val="77AE1E72"/>
    <w:rsid w:val="77BB1C26"/>
    <w:rsid w:val="77D8703D"/>
    <w:rsid w:val="77DF34C4"/>
    <w:rsid w:val="77EE09D2"/>
    <w:rsid w:val="77F1716B"/>
    <w:rsid w:val="77F74803"/>
    <w:rsid w:val="77FF06D1"/>
    <w:rsid w:val="78036580"/>
    <w:rsid w:val="780A371A"/>
    <w:rsid w:val="78105677"/>
    <w:rsid w:val="78185EEF"/>
    <w:rsid w:val="78186093"/>
    <w:rsid w:val="78200263"/>
    <w:rsid w:val="78207E13"/>
    <w:rsid w:val="7825377A"/>
    <w:rsid w:val="78442ACC"/>
    <w:rsid w:val="784858FF"/>
    <w:rsid w:val="78527572"/>
    <w:rsid w:val="78597641"/>
    <w:rsid w:val="785F236E"/>
    <w:rsid w:val="786D1EDD"/>
    <w:rsid w:val="786E3E8B"/>
    <w:rsid w:val="786E5F5F"/>
    <w:rsid w:val="7879264D"/>
    <w:rsid w:val="787D47D8"/>
    <w:rsid w:val="7882718D"/>
    <w:rsid w:val="788B3F83"/>
    <w:rsid w:val="78B804E3"/>
    <w:rsid w:val="78BA76F2"/>
    <w:rsid w:val="78C1217F"/>
    <w:rsid w:val="78D7372D"/>
    <w:rsid w:val="78E35D19"/>
    <w:rsid w:val="78EC49CB"/>
    <w:rsid w:val="78FB3062"/>
    <w:rsid w:val="78FD3DB1"/>
    <w:rsid w:val="790D3AB5"/>
    <w:rsid w:val="79146E07"/>
    <w:rsid w:val="79164340"/>
    <w:rsid w:val="791D386A"/>
    <w:rsid w:val="7921641D"/>
    <w:rsid w:val="792502AA"/>
    <w:rsid w:val="792F1B39"/>
    <w:rsid w:val="79312430"/>
    <w:rsid w:val="79332475"/>
    <w:rsid w:val="793A1D08"/>
    <w:rsid w:val="793E4358"/>
    <w:rsid w:val="79461C38"/>
    <w:rsid w:val="795032F5"/>
    <w:rsid w:val="796450AB"/>
    <w:rsid w:val="79744532"/>
    <w:rsid w:val="79785DEB"/>
    <w:rsid w:val="797E390A"/>
    <w:rsid w:val="79800CCE"/>
    <w:rsid w:val="79802F1D"/>
    <w:rsid w:val="79805392"/>
    <w:rsid w:val="79865022"/>
    <w:rsid w:val="79894B12"/>
    <w:rsid w:val="79963931"/>
    <w:rsid w:val="799752AD"/>
    <w:rsid w:val="79A11E5C"/>
    <w:rsid w:val="79AA2D2E"/>
    <w:rsid w:val="79BC69BA"/>
    <w:rsid w:val="79BE7E34"/>
    <w:rsid w:val="79C340CC"/>
    <w:rsid w:val="79C63842"/>
    <w:rsid w:val="79CF168C"/>
    <w:rsid w:val="79D4107B"/>
    <w:rsid w:val="79F37325"/>
    <w:rsid w:val="79FE60B2"/>
    <w:rsid w:val="7A04164E"/>
    <w:rsid w:val="7A0B76AE"/>
    <w:rsid w:val="7A135A3C"/>
    <w:rsid w:val="7A200D6C"/>
    <w:rsid w:val="7A2034C1"/>
    <w:rsid w:val="7A25364F"/>
    <w:rsid w:val="7A281328"/>
    <w:rsid w:val="7A2D0F81"/>
    <w:rsid w:val="7A2F2F6C"/>
    <w:rsid w:val="7A3370DE"/>
    <w:rsid w:val="7A33729C"/>
    <w:rsid w:val="7A377A01"/>
    <w:rsid w:val="7A395547"/>
    <w:rsid w:val="7A395685"/>
    <w:rsid w:val="7A3A405E"/>
    <w:rsid w:val="7A3B0148"/>
    <w:rsid w:val="7A460332"/>
    <w:rsid w:val="7A511739"/>
    <w:rsid w:val="7A5213A8"/>
    <w:rsid w:val="7A546ECE"/>
    <w:rsid w:val="7A554706"/>
    <w:rsid w:val="7A627222"/>
    <w:rsid w:val="7A6A43E5"/>
    <w:rsid w:val="7A6B41D5"/>
    <w:rsid w:val="7A736264"/>
    <w:rsid w:val="7A921121"/>
    <w:rsid w:val="7AA41A95"/>
    <w:rsid w:val="7AAC3A88"/>
    <w:rsid w:val="7AC1177C"/>
    <w:rsid w:val="7AC2134A"/>
    <w:rsid w:val="7ACD73A6"/>
    <w:rsid w:val="7AD27FEF"/>
    <w:rsid w:val="7AD41DBD"/>
    <w:rsid w:val="7AE36F12"/>
    <w:rsid w:val="7AF7054B"/>
    <w:rsid w:val="7B183D19"/>
    <w:rsid w:val="7B1D4128"/>
    <w:rsid w:val="7B1D7859"/>
    <w:rsid w:val="7B2F195E"/>
    <w:rsid w:val="7B3311D9"/>
    <w:rsid w:val="7B36507D"/>
    <w:rsid w:val="7B3844D4"/>
    <w:rsid w:val="7B5632EB"/>
    <w:rsid w:val="7B5F7F79"/>
    <w:rsid w:val="7B693F60"/>
    <w:rsid w:val="7B6C4C42"/>
    <w:rsid w:val="7B7119D7"/>
    <w:rsid w:val="7B7133D7"/>
    <w:rsid w:val="7B8052DD"/>
    <w:rsid w:val="7B847835"/>
    <w:rsid w:val="7B9256AF"/>
    <w:rsid w:val="7B965896"/>
    <w:rsid w:val="7B9902A8"/>
    <w:rsid w:val="7BA019CC"/>
    <w:rsid w:val="7BA4120D"/>
    <w:rsid w:val="7BAD58E7"/>
    <w:rsid w:val="7BB4248E"/>
    <w:rsid w:val="7BBA0C9C"/>
    <w:rsid w:val="7BBB4D2B"/>
    <w:rsid w:val="7BBC4771"/>
    <w:rsid w:val="7BBD4F47"/>
    <w:rsid w:val="7BC176FB"/>
    <w:rsid w:val="7BD2277B"/>
    <w:rsid w:val="7BD52290"/>
    <w:rsid w:val="7BD71EDA"/>
    <w:rsid w:val="7BDB7D26"/>
    <w:rsid w:val="7BDD4D65"/>
    <w:rsid w:val="7BE05694"/>
    <w:rsid w:val="7BE45EE7"/>
    <w:rsid w:val="7BE941D5"/>
    <w:rsid w:val="7BED4E4B"/>
    <w:rsid w:val="7BF67C61"/>
    <w:rsid w:val="7BFF2E69"/>
    <w:rsid w:val="7C0E1FB5"/>
    <w:rsid w:val="7C185216"/>
    <w:rsid w:val="7C247494"/>
    <w:rsid w:val="7C275361"/>
    <w:rsid w:val="7C311CDF"/>
    <w:rsid w:val="7C3B62DD"/>
    <w:rsid w:val="7C41065B"/>
    <w:rsid w:val="7C626B26"/>
    <w:rsid w:val="7C671C15"/>
    <w:rsid w:val="7C673E77"/>
    <w:rsid w:val="7C692525"/>
    <w:rsid w:val="7C693B45"/>
    <w:rsid w:val="7C747AC1"/>
    <w:rsid w:val="7C794503"/>
    <w:rsid w:val="7C7A1D2E"/>
    <w:rsid w:val="7C84479C"/>
    <w:rsid w:val="7C8B6DF3"/>
    <w:rsid w:val="7C922FA3"/>
    <w:rsid w:val="7CA65CC3"/>
    <w:rsid w:val="7CB10B98"/>
    <w:rsid w:val="7CCA16C9"/>
    <w:rsid w:val="7CCA21C2"/>
    <w:rsid w:val="7CCC14D9"/>
    <w:rsid w:val="7CD027D6"/>
    <w:rsid w:val="7CE35645"/>
    <w:rsid w:val="7CE45897"/>
    <w:rsid w:val="7CEA23E7"/>
    <w:rsid w:val="7CF15934"/>
    <w:rsid w:val="7CF50899"/>
    <w:rsid w:val="7CFB2953"/>
    <w:rsid w:val="7CFC191B"/>
    <w:rsid w:val="7CFD65A0"/>
    <w:rsid w:val="7D0B2E58"/>
    <w:rsid w:val="7D1C7A4B"/>
    <w:rsid w:val="7D2C6D56"/>
    <w:rsid w:val="7D3A6B63"/>
    <w:rsid w:val="7D530F17"/>
    <w:rsid w:val="7D557AE5"/>
    <w:rsid w:val="7D571FE0"/>
    <w:rsid w:val="7D625E07"/>
    <w:rsid w:val="7D637428"/>
    <w:rsid w:val="7D6569D7"/>
    <w:rsid w:val="7D676E06"/>
    <w:rsid w:val="7D697134"/>
    <w:rsid w:val="7D6D5D0E"/>
    <w:rsid w:val="7D730CDE"/>
    <w:rsid w:val="7D800F4D"/>
    <w:rsid w:val="7D8A02E2"/>
    <w:rsid w:val="7D8E2653"/>
    <w:rsid w:val="7D985324"/>
    <w:rsid w:val="7D9C2CAB"/>
    <w:rsid w:val="7DA50A4A"/>
    <w:rsid w:val="7DA55A5D"/>
    <w:rsid w:val="7DAA03D3"/>
    <w:rsid w:val="7DAB522D"/>
    <w:rsid w:val="7DB022FA"/>
    <w:rsid w:val="7DBC3708"/>
    <w:rsid w:val="7DC350B9"/>
    <w:rsid w:val="7DC475F2"/>
    <w:rsid w:val="7DC720AD"/>
    <w:rsid w:val="7DC76700"/>
    <w:rsid w:val="7DCD5E4B"/>
    <w:rsid w:val="7DD7308D"/>
    <w:rsid w:val="7DDB16B4"/>
    <w:rsid w:val="7DEC566F"/>
    <w:rsid w:val="7DEC7BC5"/>
    <w:rsid w:val="7DF90E28"/>
    <w:rsid w:val="7DFE0275"/>
    <w:rsid w:val="7E0863D8"/>
    <w:rsid w:val="7E174DE1"/>
    <w:rsid w:val="7E1756E5"/>
    <w:rsid w:val="7E190252"/>
    <w:rsid w:val="7E1B676F"/>
    <w:rsid w:val="7E2117BD"/>
    <w:rsid w:val="7E2477E0"/>
    <w:rsid w:val="7E2E1411"/>
    <w:rsid w:val="7E382F5A"/>
    <w:rsid w:val="7E3A2CD4"/>
    <w:rsid w:val="7E3A7CF1"/>
    <w:rsid w:val="7E4523B8"/>
    <w:rsid w:val="7E4A65D9"/>
    <w:rsid w:val="7E5971A9"/>
    <w:rsid w:val="7E6A340D"/>
    <w:rsid w:val="7E6F4ED7"/>
    <w:rsid w:val="7E7237D3"/>
    <w:rsid w:val="7E747B3F"/>
    <w:rsid w:val="7E79447D"/>
    <w:rsid w:val="7E7A4713"/>
    <w:rsid w:val="7E891110"/>
    <w:rsid w:val="7E9736D0"/>
    <w:rsid w:val="7E9E3855"/>
    <w:rsid w:val="7ED35067"/>
    <w:rsid w:val="7ED422B1"/>
    <w:rsid w:val="7ED6414B"/>
    <w:rsid w:val="7EE051D4"/>
    <w:rsid w:val="7EE54876"/>
    <w:rsid w:val="7EE74E79"/>
    <w:rsid w:val="7EED3F78"/>
    <w:rsid w:val="7EEE36FF"/>
    <w:rsid w:val="7F003834"/>
    <w:rsid w:val="7F1430D0"/>
    <w:rsid w:val="7F17164A"/>
    <w:rsid w:val="7F1B2CBA"/>
    <w:rsid w:val="7F2275F5"/>
    <w:rsid w:val="7F40008A"/>
    <w:rsid w:val="7F435ECF"/>
    <w:rsid w:val="7F465279"/>
    <w:rsid w:val="7F4718B4"/>
    <w:rsid w:val="7F500738"/>
    <w:rsid w:val="7F5E5B2B"/>
    <w:rsid w:val="7F601DFF"/>
    <w:rsid w:val="7F611103"/>
    <w:rsid w:val="7F622772"/>
    <w:rsid w:val="7F722D59"/>
    <w:rsid w:val="7F8A0F49"/>
    <w:rsid w:val="7F962B54"/>
    <w:rsid w:val="7F9C0ED6"/>
    <w:rsid w:val="7FA91EE0"/>
    <w:rsid w:val="7FAC5589"/>
    <w:rsid w:val="7FAE3BB5"/>
    <w:rsid w:val="7FAF5EA7"/>
    <w:rsid w:val="7FB25F6C"/>
    <w:rsid w:val="7FB512AB"/>
    <w:rsid w:val="7FBD72C3"/>
    <w:rsid w:val="7FC37D7E"/>
    <w:rsid w:val="7FC627DC"/>
    <w:rsid w:val="7FC80EAA"/>
    <w:rsid w:val="7FD4540A"/>
    <w:rsid w:val="7FD47BD9"/>
    <w:rsid w:val="7FD705C4"/>
    <w:rsid w:val="7FE26D2A"/>
    <w:rsid w:val="7FE82F97"/>
    <w:rsid w:val="7FF135DD"/>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9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uiPriority="99" w:name="Body Text 3"/>
    <w:lsdException w:qFormat="1" w:uiPriority="0" w:semiHidden="0"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qFormat="1" w:uiPriority="99" w:semiHidden="0"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qFormat="1" w:uiPriority="0" w:name="Table 3D effects 2"/>
    <w:lsdException w:qFormat="1" w:uiPriority="0"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autoRedefine/>
    <w:qFormat/>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link w:val="58"/>
    <w:autoRedefine/>
    <w:qFormat/>
    <w:uiPriority w:val="0"/>
    <w:pPr>
      <w:keepNext/>
      <w:keepLines/>
      <w:adjustRightInd w:val="0"/>
      <w:spacing w:before="260" w:after="260"/>
      <w:textAlignment w:val="baseline"/>
      <w:outlineLvl w:val="1"/>
    </w:pPr>
    <w:rPr>
      <w:rFonts w:ascii="宋体"/>
      <w:b/>
      <w:kern w:val="0"/>
      <w:sz w:val="24"/>
      <w:szCs w:val="22"/>
    </w:rPr>
  </w:style>
  <w:style w:type="paragraph" w:styleId="4">
    <w:name w:val="heading 3"/>
    <w:basedOn w:val="1"/>
    <w:next w:val="1"/>
    <w:link w:val="59"/>
    <w:autoRedefine/>
    <w:qFormat/>
    <w:uiPriority w:val="0"/>
    <w:pPr>
      <w:spacing w:before="100" w:beforeAutospacing="1" w:after="100" w:afterAutospacing="1"/>
      <w:jc w:val="left"/>
      <w:outlineLvl w:val="2"/>
    </w:pPr>
    <w:rPr>
      <w:rFonts w:hint="eastAsia" w:ascii="宋体" w:hAnsi="宋体"/>
      <w:b/>
      <w:kern w:val="0"/>
      <w:sz w:val="27"/>
      <w:szCs w:val="27"/>
    </w:rPr>
  </w:style>
  <w:style w:type="paragraph" w:styleId="5">
    <w:name w:val="heading 5"/>
    <w:basedOn w:val="1"/>
    <w:next w:val="1"/>
    <w:qFormat/>
    <w:uiPriority w:val="99"/>
    <w:pPr>
      <w:keepNext/>
      <w:keepLines/>
      <w:spacing w:before="280" w:after="290" w:line="376" w:lineRule="auto"/>
      <w:outlineLvl w:val="4"/>
    </w:pPr>
    <w:rPr>
      <w:b/>
      <w:bCs/>
      <w:sz w:val="28"/>
      <w:szCs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6">
    <w:name w:val="E-mail Signature"/>
    <w:basedOn w:val="1"/>
    <w:next w:val="7"/>
    <w:unhideWhenUsed/>
    <w:qFormat/>
    <w:uiPriority w:val="99"/>
    <w:pPr>
      <w:spacing w:line="460" w:lineRule="exact"/>
      <w:ind w:firstLine="200"/>
    </w:pPr>
    <w:rPr>
      <w:rFonts w:ascii="Times New Roman" w:hAnsi="Times New Roman" w:cs="Times New Roman"/>
    </w:rPr>
  </w:style>
  <w:style w:type="paragraph" w:customStyle="1" w:styleId="7">
    <w:name w:val="文章"/>
    <w:basedOn w:val="8"/>
    <w:next w:val="9"/>
    <w:qFormat/>
    <w:uiPriority w:val="0"/>
    <w:pPr>
      <w:ind w:firstLine="480"/>
      <w:jc w:val="center"/>
    </w:pPr>
    <w:rPr>
      <w:rFonts w:ascii="Times New Roman" w:hAnsi="Times New Roman" w:eastAsia="宋体" w:cs="Times New Roman"/>
      <w:kern w:val="2"/>
      <w:sz w:val="26"/>
      <w:szCs w:val="22"/>
      <w:lang w:val="en-US" w:eastAsia="zh-CN" w:bidi="ar-SA"/>
    </w:rPr>
  </w:style>
  <w:style w:type="paragraph" w:styleId="8">
    <w:name w:val="Body Text Indent"/>
    <w:basedOn w:val="1"/>
    <w:link w:val="62"/>
    <w:autoRedefine/>
    <w:qFormat/>
    <w:uiPriority w:val="0"/>
    <w:pPr>
      <w:spacing w:after="120"/>
      <w:ind w:left="420" w:leftChars="200"/>
    </w:pPr>
    <w:rPr>
      <w:rFonts w:asciiTheme="minorHAnsi" w:hAnsiTheme="minorHAnsi" w:eastAsiaTheme="minorEastAsia" w:cstheme="minorBidi"/>
      <w:sz w:val="24"/>
      <w:szCs w:val="22"/>
    </w:rPr>
  </w:style>
  <w:style w:type="paragraph" w:styleId="9">
    <w:name w:val="List"/>
    <w:basedOn w:val="1"/>
    <w:next w:val="10"/>
    <w:autoRedefine/>
    <w:qFormat/>
    <w:uiPriority w:val="0"/>
    <w:pPr>
      <w:widowControl/>
      <w:spacing w:line="360" w:lineRule="auto"/>
      <w:ind w:left="200" w:hanging="200" w:hangingChars="200"/>
      <w:jc w:val="left"/>
    </w:pPr>
    <w:rPr>
      <w:kern w:val="0"/>
      <w:sz w:val="24"/>
    </w:rPr>
  </w:style>
  <w:style w:type="paragraph" w:styleId="10">
    <w:name w:val="List Bullet 2"/>
    <w:basedOn w:val="1"/>
    <w:next w:val="11"/>
    <w:semiHidden/>
    <w:unhideWhenUsed/>
    <w:qFormat/>
    <w:uiPriority w:val="99"/>
    <w:pPr>
      <w:numPr>
        <w:ilvl w:val="0"/>
        <w:numId w:val="1"/>
      </w:numPr>
    </w:pPr>
  </w:style>
  <w:style w:type="paragraph" w:customStyle="1" w:styleId="11">
    <w:name w:val="xl70"/>
    <w:basedOn w:val="1"/>
    <w:next w:val="12"/>
    <w:qFormat/>
    <w:uiPriority w:val="0"/>
    <w:pPr>
      <w:widowControl/>
      <w:spacing w:before="280" w:after="280" w:line="240" w:lineRule="auto"/>
    </w:pPr>
    <w:rPr>
      <w:rFonts w:ascii="宋体"/>
    </w:rPr>
  </w:style>
  <w:style w:type="paragraph" w:customStyle="1" w:styleId="12">
    <w:name w:val="正文缩进1"/>
    <w:basedOn w:val="1"/>
    <w:next w:val="13"/>
    <w:qFormat/>
    <w:uiPriority w:val="0"/>
    <w:pPr>
      <w:ind w:firstLine="420"/>
    </w:pPr>
    <w:rPr>
      <w:sz w:val="28"/>
    </w:rPr>
  </w:style>
  <w:style w:type="paragraph" w:customStyle="1" w:styleId="13">
    <w:name w:val="td1"/>
    <w:basedOn w:val="1"/>
    <w:next w:val="1"/>
    <w:qFormat/>
    <w:uiPriority w:val="0"/>
    <w:pPr>
      <w:widowControl/>
      <w:spacing w:before="280" w:after="280" w:line="300" w:lineRule="atLeast"/>
      <w:ind w:firstLine="200"/>
    </w:pPr>
    <w:rPr>
      <w:color w:val="000000"/>
      <w:sz w:val="18"/>
    </w:rPr>
  </w:style>
  <w:style w:type="paragraph" w:styleId="14">
    <w:name w:val="Normal Indent"/>
    <w:basedOn w:val="1"/>
    <w:link w:val="103"/>
    <w:autoRedefine/>
    <w:qFormat/>
    <w:uiPriority w:val="0"/>
    <w:pPr>
      <w:adjustRightInd w:val="0"/>
      <w:spacing w:line="360" w:lineRule="auto"/>
      <w:ind w:firstLine="200" w:firstLineChars="200"/>
      <w:jc w:val="left"/>
    </w:pPr>
    <w:rPr>
      <w:rFonts w:ascii="宋体" w:hAnsi="宋体"/>
      <w:kern w:val="0"/>
      <w:sz w:val="24"/>
      <w:szCs w:val="20"/>
    </w:rPr>
  </w:style>
  <w:style w:type="paragraph" w:styleId="15">
    <w:name w:val="caption"/>
    <w:basedOn w:val="1"/>
    <w:next w:val="1"/>
    <w:autoRedefine/>
    <w:qFormat/>
    <w:uiPriority w:val="0"/>
    <w:rPr>
      <w:rFonts w:ascii="Arial" w:hAnsi="Arial" w:eastAsia="黑体"/>
      <w:sz w:val="20"/>
    </w:rPr>
  </w:style>
  <w:style w:type="paragraph" w:styleId="16">
    <w:name w:val="annotation text"/>
    <w:basedOn w:val="1"/>
    <w:link w:val="65"/>
    <w:autoRedefine/>
    <w:qFormat/>
    <w:uiPriority w:val="0"/>
    <w:pPr>
      <w:jc w:val="left"/>
    </w:pPr>
    <w:rPr>
      <w:rFonts w:asciiTheme="minorHAnsi" w:hAnsiTheme="minorHAnsi" w:eastAsiaTheme="minorEastAsia" w:cstheme="minorBidi"/>
      <w:sz w:val="24"/>
      <w:szCs w:val="22"/>
    </w:rPr>
  </w:style>
  <w:style w:type="paragraph" w:styleId="17">
    <w:name w:val="Body Text"/>
    <w:basedOn w:val="1"/>
    <w:next w:val="1"/>
    <w:link w:val="55"/>
    <w:autoRedefine/>
    <w:unhideWhenUsed/>
    <w:qFormat/>
    <w:uiPriority w:val="1"/>
    <w:pPr>
      <w:spacing w:after="120"/>
    </w:pPr>
  </w:style>
  <w:style w:type="paragraph" w:styleId="18">
    <w:name w:val="Plain Text"/>
    <w:basedOn w:val="1"/>
    <w:next w:val="19"/>
    <w:link w:val="77"/>
    <w:autoRedefine/>
    <w:qFormat/>
    <w:uiPriority w:val="99"/>
    <w:pPr>
      <w:adjustRightInd w:val="0"/>
      <w:snapToGrid w:val="0"/>
      <w:spacing w:line="312" w:lineRule="atLeast"/>
      <w:textAlignment w:val="baseline"/>
    </w:pPr>
    <w:rPr>
      <w:rFonts w:hAnsi="Courier New"/>
      <w:kern w:val="0"/>
      <w:szCs w:val="20"/>
    </w:rPr>
  </w:style>
  <w:style w:type="paragraph" w:customStyle="1" w:styleId="19">
    <w:name w:val="Default"/>
    <w:basedOn w:val="20"/>
    <w:next w:val="1"/>
    <w:autoRedefine/>
    <w:unhideWhenUsed/>
    <w:qFormat/>
    <w:uiPriority w:val="0"/>
    <w:pPr>
      <w:autoSpaceDE w:val="0"/>
      <w:autoSpaceDN w:val="0"/>
      <w:adjustRightInd w:val="0"/>
    </w:pPr>
    <w:rPr>
      <w:rFonts w:hint="eastAsia" w:ascii="宋体" w:hAnsi="宋体"/>
      <w:color w:val="000000"/>
      <w:kern w:val="0"/>
      <w:sz w:val="24"/>
      <w:szCs w:val="20"/>
    </w:rPr>
  </w:style>
  <w:style w:type="paragraph" w:customStyle="1" w:styleId="20">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styleId="21">
    <w:name w:val="Date"/>
    <w:basedOn w:val="1"/>
    <w:next w:val="1"/>
    <w:link w:val="72"/>
    <w:autoRedefine/>
    <w:qFormat/>
    <w:uiPriority w:val="0"/>
    <w:pPr>
      <w:ind w:left="100" w:leftChars="2500"/>
    </w:pPr>
    <w:rPr>
      <w:rFonts w:asciiTheme="minorHAnsi" w:hAnsiTheme="minorHAnsi" w:eastAsiaTheme="minorEastAsia" w:cstheme="minorBidi"/>
      <w:sz w:val="24"/>
      <w:szCs w:val="22"/>
    </w:rPr>
  </w:style>
  <w:style w:type="paragraph" w:styleId="22">
    <w:name w:val="Body Text Indent 2"/>
    <w:basedOn w:val="1"/>
    <w:next w:val="1"/>
    <w:link w:val="107"/>
    <w:autoRedefine/>
    <w:unhideWhenUsed/>
    <w:qFormat/>
    <w:uiPriority w:val="0"/>
    <w:pPr>
      <w:spacing w:after="120" w:line="480" w:lineRule="auto"/>
      <w:ind w:left="420" w:leftChars="200"/>
    </w:pPr>
  </w:style>
  <w:style w:type="paragraph" w:styleId="23">
    <w:name w:val="Balloon Text"/>
    <w:basedOn w:val="1"/>
    <w:link w:val="68"/>
    <w:autoRedefine/>
    <w:qFormat/>
    <w:uiPriority w:val="0"/>
    <w:rPr>
      <w:rFonts w:asciiTheme="minorHAnsi" w:hAnsiTheme="minorHAnsi" w:eastAsiaTheme="minorEastAsia" w:cstheme="minorBidi"/>
      <w:sz w:val="18"/>
      <w:szCs w:val="22"/>
    </w:rPr>
  </w:style>
  <w:style w:type="paragraph" w:styleId="24">
    <w:name w:val="footer"/>
    <w:basedOn w:val="1"/>
    <w:link w:val="61"/>
    <w:autoRedefine/>
    <w:unhideWhenUsed/>
    <w:qFormat/>
    <w:uiPriority w:val="0"/>
    <w:pPr>
      <w:tabs>
        <w:tab w:val="center" w:pos="4153"/>
        <w:tab w:val="right" w:pos="8306"/>
      </w:tabs>
      <w:snapToGrid w:val="0"/>
      <w:jc w:val="left"/>
    </w:pPr>
    <w:rPr>
      <w:sz w:val="18"/>
      <w:szCs w:val="18"/>
    </w:rPr>
  </w:style>
  <w:style w:type="paragraph" w:styleId="25">
    <w:name w:val="header"/>
    <w:basedOn w:val="1"/>
    <w:link w:val="60"/>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unhideWhenUsed/>
    <w:qFormat/>
    <w:uiPriority w:val="0"/>
  </w:style>
  <w:style w:type="paragraph" w:styleId="27">
    <w:name w:val="footnote text"/>
    <w:basedOn w:val="1"/>
    <w:autoRedefine/>
    <w:unhideWhenUsed/>
    <w:qFormat/>
    <w:uiPriority w:val="0"/>
    <w:pPr>
      <w:snapToGrid w:val="0"/>
      <w:jc w:val="left"/>
    </w:pPr>
    <w:rPr>
      <w:sz w:val="18"/>
      <w:szCs w:val="18"/>
    </w:rPr>
  </w:style>
  <w:style w:type="paragraph" w:styleId="28">
    <w:name w:val="toc 2"/>
    <w:basedOn w:val="1"/>
    <w:next w:val="6"/>
    <w:qFormat/>
    <w:uiPriority w:val="39"/>
    <w:pPr>
      <w:ind w:left="210"/>
    </w:pPr>
    <w:rPr>
      <w:rFonts w:ascii="宋体" w:hAnsi="宋体" w:eastAsia="宋体" w:cs="宋体"/>
      <w:smallCaps/>
      <w:sz w:val="20"/>
    </w:rPr>
  </w:style>
  <w:style w:type="paragraph" w:styleId="29">
    <w:name w:val="Body Text 2"/>
    <w:basedOn w:val="1"/>
    <w:link w:val="94"/>
    <w:autoRedefine/>
    <w:unhideWhenUsed/>
    <w:qFormat/>
    <w:uiPriority w:val="0"/>
    <w:pPr>
      <w:spacing w:after="120" w:line="480" w:lineRule="auto"/>
    </w:pPr>
  </w:style>
  <w:style w:type="paragraph" w:styleId="30">
    <w:name w:val="HTML Preformatted"/>
    <w:basedOn w:val="1"/>
    <w:link w:val="10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31">
    <w:name w:val="Normal (Web)"/>
    <w:basedOn w:val="1"/>
    <w:link w:val="69"/>
    <w:autoRedefine/>
    <w:qFormat/>
    <w:uiPriority w:val="99"/>
    <w:pPr>
      <w:widowControl/>
      <w:spacing w:before="100" w:beforeAutospacing="1" w:after="100" w:afterAutospacing="1"/>
      <w:jc w:val="left"/>
    </w:pPr>
    <w:rPr>
      <w:rFonts w:ascii="宋体" w:hAnsi="宋体" w:eastAsiaTheme="minorEastAsia" w:cstheme="minorBidi"/>
      <w:sz w:val="24"/>
      <w:szCs w:val="22"/>
    </w:rPr>
  </w:style>
  <w:style w:type="paragraph" w:styleId="32">
    <w:name w:val="annotation subject"/>
    <w:basedOn w:val="16"/>
    <w:next w:val="16"/>
    <w:link w:val="64"/>
    <w:autoRedefine/>
    <w:qFormat/>
    <w:uiPriority w:val="0"/>
    <w:rPr>
      <w:b/>
    </w:rPr>
  </w:style>
  <w:style w:type="paragraph" w:styleId="33">
    <w:name w:val="Body Text First Indent"/>
    <w:basedOn w:val="17"/>
    <w:next w:val="1"/>
    <w:link w:val="56"/>
    <w:autoRedefine/>
    <w:unhideWhenUsed/>
    <w:qFormat/>
    <w:uiPriority w:val="0"/>
    <w:pPr>
      <w:ind w:firstLine="420" w:firstLineChars="100"/>
    </w:pPr>
  </w:style>
  <w:style w:type="paragraph" w:styleId="34">
    <w:name w:val="Body Text First Indent 2"/>
    <w:basedOn w:val="8"/>
    <w:qFormat/>
    <w:uiPriority w:val="0"/>
    <w:pPr>
      <w:ind w:firstLine="420" w:firstLineChars="200"/>
    </w:pPr>
  </w:style>
  <w:style w:type="table" w:styleId="36">
    <w:name w:val="Table Grid"/>
    <w:basedOn w:val="3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autoRedefine/>
    <w:qFormat/>
    <w:uiPriority w:val="0"/>
    <w:rPr>
      <w:b/>
      <w:bCs/>
    </w:rPr>
  </w:style>
  <w:style w:type="character" w:styleId="39">
    <w:name w:val="page number"/>
    <w:basedOn w:val="37"/>
    <w:autoRedefine/>
    <w:qFormat/>
    <w:uiPriority w:val="0"/>
  </w:style>
  <w:style w:type="character" w:styleId="40">
    <w:name w:val="FollowedHyperlink"/>
    <w:basedOn w:val="37"/>
    <w:autoRedefine/>
    <w:semiHidden/>
    <w:unhideWhenUsed/>
    <w:qFormat/>
    <w:uiPriority w:val="99"/>
    <w:rPr>
      <w:color w:val="595758"/>
      <w:u w:val="none"/>
    </w:rPr>
  </w:style>
  <w:style w:type="character" w:styleId="41">
    <w:name w:val="Hyperlink"/>
    <w:autoRedefine/>
    <w:qFormat/>
    <w:uiPriority w:val="0"/>
    <w:rPr>
      <w:color w:val="0000FF"/>
      <w:u w:val="single"/>
    </w:rPr>
  </w:style>
  <w:style w:type="character" w:styleId="42">
    <w:name w:val="annotation reference"/>
    <w:autoRedefine/>
    <w:qFormat/>
    <w:uiPriority w:val="0"/>
    <w:rPr>
      <w:sz w:val="21"/>
    </w:rPr>
  </w:style>
  <w:style w:type="character" w:styleId="43">
    <w:name w:val="footnote reference"/>
    <w:autoRedefine/>
    <w:unhideWhenUsed/>
    <w:qFormat/>
    <w:uiPriority w:val="0"/>
    <w:rPr>
      <w:rFonts w:ascii="Times New Roman" w:hAnsi="Times New Roman" w:eastAsia="宋体" w:cs="Times New Roman"/>
      <w:vertAlign w:val="superscript"/>
    </w:rPr>
  </w:style>
  <w:style w:type="paragraph" w:customStyle="1" w:styleId="44">
    <w:name w:val="纯文本1"/>
    <w:basedOn w:val="1"/>
    <w:next w:val="1"/>
    <w:autoRedefine/>
    <w:qFormat/>
    <w:uiPriority w:val="0"/>
    <w:pPr>
      <w:textAlignment w:val="baseline"/>
    </w:pPr>
    <w:rPr>
      <w:rFonts w:hAnsi="Courier New"/>
      <w:sz w:val="28"/>
    </w:rPr>
  </w:style>
  <w:style w:type="paragraph" w:customStyle="1" w:styleId="45">
    <w:name w:val="样式35"/>
    <w:basedOn w:val="46"/>
    <w:next w:val="50"/>
    <w:qFormat/>
    <w:uiPriority w:val="0"/>
    <w:pPr>
      <w:tabs>
        <w:tab w:val="left" w:pos="0"/>
        <w:tab w:val="left" w:pos="360"/>
        <w:tab w:val="left" w:pos="540"/>
        <w:tab w:val="left" w:pos="567"/>
      </w:tabs>
      <w:spacing w:line="312" w:lineRule="auto"/>
      <w:ind w:firstLine="567"/>
    </w:pPr>
    <w:rPr>
      <w:rFonts w:ascii="宋体"/>
    </w:rPr>
  </w:style>
  <w:style w:type="paragraph" w:customStyle="1" w:styleId="46">
    <w:name w:val="样式26"/>
    <w:basedOn w:val="47"/>
    <w:qFormat/>
    <w:uiPriority w:val="0"/>
    <w:pPr>
      <w:tabs>
        <w:tab w:val="left" w:pos="0"/>
        <w:tab w:val="left" w:pos="360"/>
        <w:tab w:val="left" w:pos="540"/>
        <w:tab w:val="left" w:pos="567"/>
      </w:tabs>
    </w:pPr>
  </w:style>
  <w:style w:type="paragraph" w:customStyle="1" w:styleId="47">
    <w:name w:val="样式21"/>
    <w:basedOn w:val="48"/>
    <w:qFormat/>
    <w:uiPriority w:val="0"/>
    <w:pPr>
      <w:tabs>
        <w:tab w:val="left" w:pos="360"/>
        <w:tab w:val="left" w:pos="567"/>
      </w:tabs>
      <w:spacing w:beforeLines="0" w:afterLines="0"/>
      <w:ind w:hanging="992"/>
    </w:pPr>
  </w:style>
  <w:style w:type="paragraph" w:customStyle="1" w:styleId="48">
    <w:name w:val="样式5"/>
    <w:basedOn w:val="49"/>
    <w:qFormat/>
    <w:uiPriority w:val="0"/>
    <w:pPr>
      <w:tabs>
        <w:tab w:val="left" w:pos="360"/>
      </w:tabs>
      <w:ind w:right="-105" w:rightChars="-50"/>
      <w:jc w:val="center"/>
    </w:pPr>
    <w:rPr>
      <w:rFonts w:ascii="宋体"/>
      <w:sz w:val="21"/>
    </w:rPr>
  </w:style>
  <w:style w:type="paragraph" w:customStyle="1" w:styleId="49">
    <w:name w:val="样式12"/>
    <w:basedOn w:val="1"/>
    <w:qFormat/>
    <w:uiPriority w:val="0"/>
    <w:pPr>
      <w:keepNext/>
      <w:keepLines/>
      <w:tabs>
        <w:tab w:val="left" w:pos="360"/>
      </w:tabs>
      <w:spacing w:beforeLines="50" w:afterLines="50" w:line="360" w:lineRule="auto"/>
      <w:ind w:left="567" w:hanging="567"/>
      <w:outlineLvl w:val="1"/>
    </w:pPr>
    <w:rPr>
      <w:rFonts w:eastAsia="MS Mincho"/>
      <w:kern w:val="0"/>
      <w:sz w:val="28"/>
      <w:szCs w:val="28"/>
    </w:rPr>
  </w:style>
  <w:style w:type="paragraph" w:customStyle="1" w:styleId="50">
    <w:name w:val="font6"/>
    <w:basedOn w:val="1"/>
    <w:next w:val="28"/>
    <w:qFormat/>
    <w:uiPriority w:val="0"/>
    <w:pPr>
      <w:widowControl/>
      <w:spacing w:before="100" w:beforeAutospacing="1" w:after="100" w:afterAutospacing="1"/>
      <w:jc w:val="left"/>
    </w:pPr>
    <w:rPr>
      <w:rFonts w:eastAsia="Arial Unicode MS"/>
      <w:kern w:val="0"/>
      <w:sz w:val="24"/>
    </w:rPr>
  </w:style>
  <w:style w:type="paragraph" w:customStyle="1" w:styleId="51">
    <w:name w:val="xl27"/>
    <w:basedOn w:val="1"/>
    <w:autoRedefine/>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customStyle="1" w:styleId="52">
    <w:name w:val="WPSOffice手动目录 1"/>
    <w:autoRedefine/>
    <w:qFormat/>
    <w:uiPriority w:val="0"/>
    <w:rPr>
      <w:rFonts w:ascii="Times New Roman" w:hAnsi="Times New Roman" w:eastAsia="宋体" w:cs="Times New Roman"/>
      <w:sz w:val="24"/>
      <w:lang w:val="en-US" w:eastAsia="zh-CN" w:bidi="ar-SA"/>
    </w:rPr>
  </w:style>
  <w:style w:type="paragraph" w:customStyle="1" w:styleId="53">
    <w:name w:val="正文文字 6"/>
    <w:next w:val="1"/>
    <w:autoRedefine/>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54">
    <w:name w:val="biaoge"/>
    <w:basedOn w:val="44"/>
    <w:next w:val="9"/>
    <w:autoRedefine/>
    <w:qFormat/>
    <w:uiPriority w:val="0"/>
    <w:pPr>
      <w:autoSpaceDE w:val="0"/>
      <w:autoSpaceDN w:val="0"/>
      <w:adjustRightInd w:val="0"/>
      <w:jc w:val="center"/>
    </w:pPr>
    <w:rPr>
      <w:rFonts w:ascii="宋体" w:cs="宋体"/>
      <w:color w:val="000000"/>
      <w:sz w:val="21"/>
    </w:rPr>
  </w:style>
  <w:style w:type="character" w:customStyle="1" w:styleId="55">
    <w:name w:val="正文文本 Char"/>
    <w:basedOn w:val="37"/>
    <w:link w:val="17"/>
    <w:autoRedefine/>
    <w:qFormat/>
    <w:uiPriority w:val="1"/>
    <w:rPr>
      <w:rFonts w:ascii="Times New Roman" w:hAnsi="Times New Roman" w:eastAsia="宋体" w:cs="Times New Roman"/>
      <w:szCs w:val="24"/>
    </w:rPr>
  </w:style>
  <w:style w:type="character" w:customStyle="1" w:styleId="56">
    <w:name w:val="正文首行缩进 Char"/>
    <w:basedOn w:val="55"/>
    <w:link w:val="33"/>
    <w:autoRedefine/>
    <w:qFormat/>
    <w:uiPriority w:val="0"/>
    <w:rPr>
      <w:rFonts w:ascii="Times New Roman" w:hAnsi="Times New Roman" w:eastAsia="宋体" w:cs="Times New Roman"/>
      <w:szCs w:val="24"/>
    </w:rPr>
  </w:style>
  <w:style w:type="character" w:customStyle="1" w:styleId="57">
    <w:name w:val="标题 1 Char"/>
    <w:basedOn w:val="37"/>
    <w:link w:val="2"/>
    <w:autoRedefine/>
    <w:qFormat/>
    <w:uiPriority w:val="0"/>
    <w:rPr>
      <w:rFonts w:ascii="Times New Roman" w:hAnsi="Times New Roman" w:eastAsia="黑体" w:cs="Times New Roman"/>
      <w:b/>
      <w:bCs/>
      <w:color w:val="000000"/>
      <w:kern w:val="44"/>
      <w:sz w:val="30"/>
      <w:szCs w:val="30"/>
    </w:rPr>
  </w:style>
  <w:style w:type="character" w:customStyle="1" w:styleId="58">
    <w:name w:val="标题 2 Char"/>
    <w:basedOn w:val="37"/>
    <w:link w:val="3"/>
    <w:autoRedefine/>
    <w:qFormat/>
    <w:uiPriority w:val="0"/>
    <w:rPr>
      <w:rFonts w:ascii="宋体" w:hAnsi="Times New Roman" w:eastAsia="宋体" w:cs="Times New Roman"/>
      <w:b/>
      <w:kern w:val="0"/>
      <w:sz w:val="24"/>
    </w:rPr>
  </w:style>
  <w:style w:type="character" w:customStyle="1" w:styleId="59">
    <w:name w:val="标题 3 Char"/>
    <w:basedOn w:val="37"/>
    <w:link w:val="4"/>
    <w:autoRedefine/>
    <w:qFormat/>
    <w:uiPriority w:val="0"/>
    <w:rPr>
      <w:rFonts w:ascii="宋体" w:hAnsi="宋体" w:eastAsia="宋体" w:cs="Times New Roman"/>
      <w:b/>
      <w:kern w:val="0"/>
      <w:sz w:val="27"/>
      <w:szCs w:val="27"/>
    </w:rPr>
  </w:style>
  <w:style w:type="character" w:customStyle="1" w:styleId="60">
    <w:name w:val="页眉 Char"/>
    <w:basedOn w:val="37"/>
    <w:link w:val="25"/>
    <w:autoRedefine/>
    <w:qFormat/>
    <w:uiPriority w:val="0"/>
    <w:rPr>
      <w:sz w:val="18"/>
      <w:szCs w:val="18"/>
    </w:rPr>
  </w:style>
  <w:style w:type="character" w:customStyle="1" w:styleId="61">
    <w:name w:val="页脚 Char"/>
    <w:basedOn w:val="37"/>
    <w:link w:val="24"/>
    <w:autoRedefine/>
    <w:qFormat/>
    <w:uiPriority w:val="0"/>
    <w:rPr>
      <w:sz w:val="18"/>
      <w:szCs w:val="18"/>
    </w:rPr>
  </w:style>
  <w:style w:type="character" w:customStyle="1" w:styleId="62">
    <w:name w:val="正文文本缩进 Char"/>
    <w:link w:val="8"/>
    <w:autoRedefine/>
    <w:qFormat/>
    <w:locked/>
    <w:uiPriority w:val="0"/>
    <w:rPr>
      <w:sz w:val="24"/>
    </w:rPr>
  </w:style>
  <w:style w:type="character" w:customStyle="1" w:styleId="63">
    <w:name w:val="页脚 字符"/>
    <w:basedOn w:val="37"/>
    <w:autoRedefine/>
    <w:qFormat/>
    <w:uiPriority w:val="99"/>
  </w:style>
  <w:style w:type="character" w:customStyle="1" w:styleId="64">
    <w:name w:val="批注主题 Char"/>
    <w:link w:val="32"/>
    <w:autoRedefine/>
    <w:qFormat/>
    <w:locked/>
    <w:uiPriority w:val="0"/>
    <w:rPr>
      <w:b/>
      <w:sz w:val="24"/>
    </w:rPr>
  </w:style>
  <w:style w:type="character" w:customStyle="1" w:styleId="65">
    <w:name w:val="批注文字 Char"/>
    <w:link w:val="16"/>
    <w:autoRedefine/>
    <w:qFormat/>
    <w:locked/>
    <w:uiPriority w:val="0"/>
    <w:rPr>
      <w:sz w:val="24"/>
    </w:rPr>
  </w:style>
  <w:style w:type="character" w:customStyle="1" w:styleId="66">
    <w:name w:val="biaoti"/>
    <w:autoRedefine/>
    <w:qFormat/>
    <w:uiPriority w:val="0"/>
    <w:rPr>
      <w:rFonts w:ascii="宋体" w:hAnsi="宋体" w:eastAsia="宋体"/>
      <w:b/>
      <w:color w:val="000000"/>
      <w:sz w:val="21"/>
      <w:szCs w:val="24"/>
    </w:rPr>
  </w:style>
  <w:style w:type="character" w:customStyle="1" w:styleId="67">
    <w:name w:val="日期 字符"/>
    <w:autoRedefine/>
    <w:semiHidden/>
    <w:qFormat/>
    <w:uiPriority w:val="0"/>
    <w:rPr>
      <w:rFonts w:ascii="Times New Roman" w:hAnsi="Times New Roman" w:eastAsia="宋体"/>
      <w:sz w:val="24"/>
    </w:rPr>
  </w:style>
  <w:style w:type="character" w:customStyle="1" w:styleId="68">
    <w:name w:val="批注框文本 Char"/>
    <w:link w:val="23"/>
    <w:autoRedefine/>
    <w:qFormat/>
    <w:locked/>
    <w:uiPriority w:val="0"/>
    <w:rPr>
      <w:sz w:val="18"/>
    </w:rPr>
  </w:style>
  <w:style w:type="character" w:customStyle="1" w:styleId="69">
    <w:name w:val="普通(网站) Char"/>
    <w:link w:val="31"/>
    <w:autoRedefine/>
    <w:qFormat/>
    <w:locked/>
    <w:uiPriority w:val="0"/>
    <w:rPr>
      <w:rFonts w:ascii="宋体" w:hAnsi="宋体"/>
      <w:sz w:val="24"/>
    </w:rPr>
  </w:style>
  <w:style w:type="character" w:customStyle="1" w:styleId="70">
    <w:name w:val="表格 Char"/>
    <w:link w:val="71"/>
    <w:autoRedefine/>
    <w:qFormat/>
    <w:locked/>
    <w:uiPriority w:val="0"/>
    <w:rPr>
      <w:rFonts w:ascii="宋体"/>
    </w:rPr>
  </w:style>
  <w:style w:type="paragraph" w:customStyle="1" w:styleId="71">
    <w:name w:val="表格"/>
    <w:basedOn w:val="1"/>
    <w:next w:val="1"/>
    <w:link w:val="70"/>
    <w:autoRedefine/>
    <w:qFormat/>
    <w:uiPriority w:val="0"/>
    <w:pPr>
      <w:adjustRightInd w:val="0"/>
      <w:snapToGrid w:val="0"/>
      <w:spacing w:beforeLines="10" w:afterLines="10" w:line="259" w:lineRule="auto"/>
      <w:jc w:val="center"/>
    </w:pPr>
    <w:rPr>
      <w:rFonts w:ascii="宋体" w:hAnsiTheme="minorHAnsi" w:eastAsiaTheme="minorEastAsia" w:cstheme="minorBidi"/>
      <w:szCs w:val="22"/>
    </w:rPr>
  </w:style>
  <w:style w:type="character" w:customStyle="1" w:styleId="72">
    <w:name w:val="日期 Char"/>
    <w:link w:val="21"/>
    <w:autoRedefine/>
    <w:qFormat/>
    <w:locked/>
    <w:uiPriority w:val="0"/>
    <w:rPr>
      <w:sz w:val="24"/>
    </w:rPr>
  </w:style>
  <w:style w:type="character" w:customStyle="1" w:styleId="73">
    <w:name w:val="批注文字 字符1"/>
    <w:autoRedefine/>
    <w:semiHidden/>
    <w:qFormat/>
    <w:uiPriority w:val="0"/>
    <w:rPr>
      <w:rFonts w:ascii="Times New Roman" w:hAnsi="Times New Roman" w:eastAsia="宋体"/>
      <w:sz w:val="24"/>
    </w:rPr>
  </w:style>
  <w:style w:type="character" w:customStyle="1" w:styleId="74">
    <w:name w:val="fontstyle21"/>
    <w:basedOn w:val="37"/>
    <w:autoRedefine/>
    <w:qFormat/>
    <w:uiPriority w:val="0"/>
    <w:rPr>
      <w:rFonts w:hint="eastAsia" w:ascii="TimesNewRomanPSMT" w:hAnsi="TimesNewRomanPSMT" w:eastAsia="TimesNewRomanPSMT"/>
      <w:color w:val="000000"/>
      <w:sz w:val="24"/>
      <w:szCs w:val="24"/>
    </w:rPr>
  </w:style>
  <w:style w:type="character" w:customStyle="1" w:styleId="75">
    <w:name w:val="正文文本 字符1"/>
    <w:autoRedefine/>
    <w:semiHidden/>
    <w:qFormat/>
    <w:uiPriority w:val="0"/>
    <w:rPr>
      <w:rFonts w:ascii="Times New Roman" w:hAnsi="Times New Roman" w:eastAsia="宋体"/>
      <w:sz w:val="24"/>
    </w:rPr>
  </w:style>
  <w:style w:type="paragraph" w:customStyle="1" w:styleId="76">
    <w:name w:val="正文_10"/>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77">
    <w:name w:val="纯文本 Char"/>
    <w:basedOn w:val="37"/>
    <w:link w:val="18"/>
    <w:autoRedefine/>
    <w:qFormat/>
    <w:uiPriority w:val="99"/>
    <w:rPr>
      <w:rFonts w:ascii="Times New Roman" w:hAnsi="Courier New" w:eastAsia="宋体" w:cs="Times New Roman"/>
      <w:kern w:val="0"/>
      <w:szCs w:val="20"/>
    </w:rPr>
  </w:style>
  <w:style w:type="character" w:customStyle="1" w:styleId="78">
    <w:name w:val="正文文本缩进 Char1"/>
    <w:basedOn w:val="37"/>
    <w:autoRedefine/>
    <w:semiHidden/>
    <w:qFormat/>
    <w:uiPriority w:val="99"/>
    <w:rPr>
      <w:rFonts w:ascii="Times New Roman" w:hAnsi="Times New Roman" w:eastAsia="宋体" w:cs="Times New Roman"/>
      <w:szCs w:val="24"/>
    </w:rPr>
  </w:style>
  <w:style w:type="paragraph" w:styleId="79">
    <w:name w:val="List Paragraph"/>
    <w:basedOn w:val="1"/>
    <w:autoRedefine/>
    <w:qFormat/>
    <w:uiPriority w:val="99"/>
    <w:pPr>
      <w:ind w:firstLine="420" w:firstLineChars="200"/>
    </w:pPr>
  </w:style>
  <w:style w:type="character" w:customStyle="1" w:styleId="80">
    <w:name w:val="页脚 Char1"/>
    <w:basedOn w:val="37"/>
    <w:autoRedefine/>
    <w:semiHidden/>
    <w:qFormat/>
    <w:uiPriority w:val="99"/>
    <w:rPr>
      <w:kern w:val="2"/>
      <w:sz w:val="18"/>
      <w:szCs w:val="18"/>
    </w:rPr>
  </w:style>
  <w:style w:type="character" w:customStyle="1" w:styleId="81">
    <w:name w:val="批注文字 Char1"/>
    <w:basedOn w:val="37"/>
    <w:autoRedefine/>
    <w:semiHidden/>
    <w:qFormat/>
    <w:uiPriority w:val="99"/>
    <w:rPr>
      <w:rFonts w:ascii="Times New Roman" w:hAnsi="Times New Roman" w:eastAsia="宋体" w:cs="Times New Roman"/>
      <w:szCs w:val="24"/>
    </w:rPr>
  </w:style>
  <w:style w:type="paragraph" w:customStyle="1" w:styleId="82">
    <w:name w:val="!正文"/>
    <w:basedOn w:val="1"/>
    <w:autoRedefine/>
    <w:qFormat/>
    <w:uiPriority w:val="0"/>
    <w:pPr>
      <w:spacing w:before="50" w:beforeLines="50" w:line="360" w:lineRule="auto"/>
      <w:ind w:firstLine="200" w:firstLineChars="200"/>
      <w:jc w:val="left"/>
    </w:pPr>
    <w:rPr>
      <w:rFonts w:cs="宋体"/>
    </w:rPr>
  </w:style>
  <w:style w:type="character" w:customStyle="1" w:styleId="83">
    <w:name w:val="批注主题 Char1"/>
    <w:basedOn w:val="81"/>
    <w:autoRedefine/>
    <w:semiHidden/>
    <w:qFormat/>
    <w:uiPriority w:val="99"/>
    <w:rPr>
      <w:rFonts w:ascii="Times New Roman" w:hAnsi="Times New Roman" w:eastAsia="宋体" w:cs="Times New Roman"/>
      <w:b/>
      <w:bCs/>
      <w:szCs w:val="24"/>
    </w:rPr>
  </w:style>
  <w:style w:type="paragraph" w:customStyle="1" w:styleId="84">
    <w:name w:val="段落正文"/>
    <w:basedOn w:val="85"/>
    <w:link w:val="86"/>
    <w:autoRedefine/>
    <w:qFormat/>
    <w:uiPriority w:val="0"/>
    <w:pPr>
      <w:ind w:firstLine="1446"/>
    </w:pPr>
  </w:style>
  <w:style w:type="paragraph" w:customStyle="1" w:styleId="85">
    <w:name w:val="样式20"/>
    <w:basedOn w:val="1"/>
    <w:autoRedefine/>
    <w:qFormat/>
    <w:uiPriority w:val="0"/>
    <w:pPr>
      <w:spacing w:line="360" w:lineRule="auto"/>
      <w:ind w:firstLine="480" w:firstLineChars="200"/>
    </w:pPr>
    <w:rPr>
      <w:rFonts w:ascii="Calibri" w:hAnsi="宋体"/>
      <w:sz w:val="24"/>
    </w:rPr>
  </w:style>
  <w:style w:type="character" w:customStyle="1" w:styleId="86">
    <w:name w:val="段落正文 Char"/>
    <w:link w:val="84"/>
    <w:autoRedefine/>
    <w:qFormat/>
    <w:uiPriority w:val="0"/>
    <w:rPr>
      <w:rFonts w:ascii="Times New Roman" w:hAnsi="Times New Roman" w:eastAsia="宋体" w:cs="Times New Roman"/>
      <w:sz w:val="24"/>
      <w:szCs w:val="24"/>
    </w:rPr>
  </w:style>
  <w:style w:type="paragraph" w:customStyle="1" w:styleId="87">
    <w:name w:val="正文正文"/>
    <w:basedOn w:val="1"/>
    <w:autoRedefine/>
    <w:qFormat/>
    <w:uiPriority w:val="0"/>
    <w:pPr>
      <w:spacing w:line="360" w:lineRule="auto"/>
      <w:ind w:firstLine="420" w:firstLineChars="200"/>
    </w:pPr>
    <w:rPr>
      <w:sz w:val="24"/>
    </w:rPr>
  </w:style>
  <w:style w:type="paragraph" w:customStyle="1" w:styleId="88">
    <w:name w:val="表格文字"/>
    <w:basedOn w:val="18"/>
    <w:autoRedefine/>
    <w:qFormat/>
    <w:uiPriority w:val="0"/>
    <w:pPr>
      <w:adjustRightInd/>
      <w:snapToGrid/>
      <w:spacing w:line="240" w:lineRule="auto"/>
      <w:ind w:left="16" w:leftChars="-38" w:right="-77" w:rightChars="-32" w:hanging="107" w:hangingChars="51"/>
      <w:jc w:val="center"/>
      <w:textAlignment w:val="auto"/>
    </w:pPr>
    <w:rPr>
      <w:rFonts w:hAnsi="Times New Roman"/>
    </w:rPr>
  </w:style>
  <w:style w:type="paragraph" w:customStyle="1" w:styleId="89">
    <w:name w:val="表格文字！！！！"/>
    <w:basedOn w:val="1"/>
    <w:autoRedefine/>
    <w:qFormat/>
    <w:uiPriority w:val="0"/>
    <w:pPr>
      <w:jc w:val="center"/>
    </w:pPr>
  </w:style>
  <w:style w:type="character" w:customStyle="1" w:styleId="90">
    <w:name w:val="页眉 Char1"/>
    <w:basedOn w:val="37"/>
    <w:autoRedefine/>
    <w:semiHidden/>
    <w:qFormat/>
    <w:uiPriority w:val="99"/>
    <w:rPr>
      <w:kern w:val="2"/>
      <w:sz w:val="18"/>
      <w:szCs w:val="18"/>
    </w:rPr>
  </w:style>
  <w:style w:type="character" w:customStyle="1" w:styleId="91">
    <w:name w:val="批注框文本 Char1"/>
    <w:basedOn w:val="37"/>
    <w:autoRedefine/>
    <w:semiHidden/>
    <w:qFormat/>
    <w:uiPriority w:val="99"/>
    <w:rPr>
      <w:rFonts w:ascii="Times New Roman" w:hAnsi="Times New Roman" w:eastAsia="宋体" w:cs="Times New Roman"/>
      <w:sz w:val="18"/>
      <w:szCs w:val="18"/>
    </w:rPr>
  </w:style>
  <w:style w:type="character" w:customStyle="1" w:styleId="92">
    <w:name w:val="日期 Char1"/>
    <w:basedOn w:val="37"/>
    <w:autoRedefine/>
    <w:semiHidden/>
    <w:qFormat/>
    <w:uiPriority w:val="99"/>
    <w:rPr>
      <w:rFonts w:ascii="Times New Roman" w:hAnsi="Times New Roman" w:eastAsia="宋体" w:cs="Times New Roman"/>
      <w:szCs w:val="24"/>
    </w:rPr>
  </w:style>
  <w:style w:type="paragraph" w:customStyle="1" w:styleId="93">
    <w:name w:val="普通(网站)2"/>
    <w:basedOn w:val="1"/>
    <w:autoRedefine/>
    <w:qFormat/>
    <w:uiPriority w:val="0"/>
    <w:pPr>
      <w:widowControl/>
      <w:spacing w:before="100" w:beforeAutospacing="1" w:after="100" w:afterAutospacing="1"/>
      <w:jc w:val="left"/>
    </w:pPr>
    <w:rPr>
      <w:rFonts w:ascii="宋体" w:hAnsi="宋体"/>
      <w:sz w:val="24"/>
      <w:szCs w:val="20"/>
    </w:rPr>
  </w:style>
  <w:style w:type="character" w:customStyle="1" w:styleId="94">
    <w:name w:val="正文文本 2 Char"/>
    <w:basedOn w:val="37"/>
    <w:link w:val="29"/>
    <w:autoRedefine/>
    <w:qFormat/>
    <w:uiPriority w:val="0"/>
    <w:rPr>
      <w:rFonts w:ascii="Times New Roman" w:hAnsi="Times New Roman" w:eastAsia="宋体" w:cs="Times New Roman"/>
      <w:szCs w:val="24"/>
    </w:rPr>
  </w:style>
  <w:style w:type="character" w:customStyle="1" w:styleId="95">
    <w:name w:val="样式2 Char"/>
    <w:link w:val="96"/>
    <w:autoRedefine/>
    <w:qFormat/>
    <w:uiPriority w:val="0"/>
  </w:style>
  <w:style w:type="paragraph" w:customStyle="1" w:styleId="96">
    <w:name w:val="样式2"/>
    <w:basedOn w:val="1"/>
    <w:link w:val="95"/>
    <w:autoRedefine/>
    <w:qFormat/>
    <w:uiPriority w:val="0"/>
    <w:pPr>
      <w:jc w:val="center"/>
    </w:pPr>
    <w:rPr>
      <w:rFonts w:asciiTheme="minorHAnsi" w:hAnsiTheme="minorHAnsi" w:eastAsiaTheme="minorEastAsia" w:cstheme="minorBidi"/>
      <w:szCs w:val="22"/>
    </w:rPr>
  </w:style>
  <w:style w:type="paragraph" w:customStyle="1" w:styleId="97">
    <w:name w:val="样式1"/>
    <w:basedOn w:val="26"/>
    <w:link w:val="98"/>
    <w:autoRedefine/>
    <w:qFormat/>
    <w:uiPriority w:val="0"/>
    <w:pPr>
      <w:spacing w:line="360" w:lineRule="auto"/>
      <w:ind w:firstLine="200" w:firstLineChars="200"/>
    </w:pPr>
    <w:rPr>
      <w:sz w:val="24"/>
      <w:szCs w:val="22"/>
    </w:rPr>
  </w:style>
  <w:style w:type="character" w:customStyle="1" w:styleId="98">
    <w:name w:val="样式1 字符"/>
    <w:link w:val="97"/>
    <w:autoRedefine/>
    <w:qFormat/>
    <w:locked/>
    <w:uiPriority w:val="0"/>
    <w:rPr>
      <w:rFonts w:ascii="Times New Roman" w:hAnsi="Times New Roman" w:eastAsia="宋体" w:cs="Times New Roman"/>
      <w:sz w:val="24"/>
    </w:rPr>
  </w:style>
  <w:style w:type="paragraph" w:customStyle="1" w:styleId="99">
    <w:name w:val="正文首行缩进1"/>
    <w:basedOn w:val="17"/>
    <w:next w:val="1"/>
    <w:autoRedefine/>
    <w:qFormat/>
    <w:uiPriority w:val="0"/>
    <w:pPr>
      <w:ind w:firstLine="420" w:firstLineChars="100"/>
    </w:pPr>
    <w:rPr>
      <w:szCs w:val="20"/>
    </w:rPr>
  </w:style>
  <w:style w:type="character" w:customStyle="1" w:styleId="100">
    <w:name w:val="HTML 预设格式 Char"/>
    <w:basedOn w:val="37"/>
    <w:link w:val="30"/>
    <w:autoRedefine/>
    <w:qFormat/>
    <w:uiPriority w:val="0"/>
    <w:rPr>
      <w:rFonts w:ascii="Arial" w:hAnsi="Arial" w:eastAsia="宋体" w:cs="Times New Roman"/>
      <w:kern w:val="0"/>
      <w:szCs w:val="21"/>
    </w:rPr>
  </w:style>
  <w:style w:type="character" w:customStyle="1" w:styleId="101">
    <w:name w:val="格式正文 Char"/>
    <w:link w:val="102"/>
    <w:autoRedefine/>
    <w:qFormat/>
    <w:uiPriority w:val="0"/>
    <w:rPr>
      <w:sz w:val="24"/>
      <w:szCs w:val="24"/>
    </w:rPr>
  </w:style>
  <w:style w:type="paragraph" w:customStyle="1" w:styleId="102">
    <w:name w:val="格式正文"/>
    <w:basedOn w:val="1"/>
    <w:link w:val="101"/>
    <w:autoRedefine/>
    <w:qFormat/>
    <w:uiPriority w:val="0"/>
    <w:pPr>
      <w:spacing w:line="360" w:lineRule="auto"/>
      <w:ind w:firstLine="1446" w:firstLineChars="200"/>
      <w:jc w:val="left"/>
    </w:pPr>
    <w:rPr>
      <w:rFonts w:asciiTheme="minorHAnsi" w:hAnsiTheme="minorHAnsi" w:eastAsiaTheme="minorEastAsia" w:cstheme="minorBidi"/>
      <w:sz w:val="24"/>
    </w:rPr>
  </w:style>
  <w:style w:type="character" w:customStyle="1" w:styleId="103">
    <w:name w:val="正文缩进 Char"/>
    <w:link w:val="14"/>
    <w:autoRedefine/>
    <w:qFormat/>
    <w:uiPriority w:val="0"/>
    <w:rPr>
      <w:rFonts w:ascii="宋体" w:hAnsi="宋体" w:eastAsia="宋体" w:cs="Times New Roman"/>
      <w:kern w:val="0"/>
      <w:sz w:val="24"/>
      <w:szCs w:val="20"/>
    </w:rPr>
  </w:style>
  <w:style w:type="character" w:customStyle="1" w:styleId="104">
    <w:name w:val="正文文本 2 Char1"/>
    <w:autoRedefine/>
    <w:qFormat/>
    <w:uiPriority w:val="0"/>
    <w:rPr>
      <w:rFonts w:ascii="Calibri" w:hAnsi="Calibri"/>
      <w:kern w:val="2"/>
      <w:sz w:val="24"/>
      <w:szCs w:val="24"/>
    </w:rPr>
  </w:style>
  <w:style w:type="character" w:customStyle="1" w:styleId="105">
    <w:name w:val="fontstyle01"/>
    <w:basedOn w:val="37"/>
    <w:autoRedefine/>
    <w:qFormat/>
    <w:uiPriority w:val="0"/>
    <w:rPr>
      <w:rFonts w:hint="eastAsia" w:ascii="宋体" w:hAnsi="宋体" w:eastAsia="宋体"/>
      <w:color w:val="000000"/>
      <w:sz w:val="24"/>
      <w:szCs w:val="24"/>
    </w:rPr>
  </w:style>
  <w:style w:type="paragraph" w:customStyle="1" w:styleId="106">
    <w:name w:val="规定正文"/>
    <w:basedOn w:val="1"/>
    <w:autoRedefine/>
    <w:qFormat/>
    <w:uiPriority w:val="0"/>
    <w:pPr>
      <w:spacing w:line="360" w:lineRule="auto"/>
      <w:ind w:firstLine="420" w:firstLineChars="200"/>
    </w:pPr>
    <w:rPr>
      <w:sz w:val="24"/>
      <w:szCs w:val="22"/>
    </w:rPr>
  </w:style>
  <w:style w:type="character" w:customStyle="1" w:styleId="107">
    <w:name w:val="正文文本缩进 2 Char"/>
    <w:basedOn w:val="37"/>
    <w:link w:val="22"/>
    <w:autoRedefine/>
    <w:qFormat/>
    <w:uiPriority w:val="0"/>
    <w:rPr>
      <w:rFonts w:ascii="Times New Roman" w:hAnsi="Times New Roman" w:eastAsia="宋体" w:cs="Times New Roman"/>
      <w:szCs w:val="24"/>
    </w:rPr>
  </w:style>
  <w:style w:type="paragraph" w:customStyle="1" w:styleId="108">
    <w:name w:val="章节标题"/>
    <w:basedOn w:val="1"/>
    <w:link w:val="109"/>
    <w:autoRedefine/>
    <w:qFormat/>
    <w:uiPriority w:val="0"/>
    <w:pPr>
      <w:ind w:firstLine="281" w:firstLineChars="100"/>
      <w:outlineLvl w:val="0"/>
    </w:pPr>
    <w:rPr>
      <w:b/>
      <w:sz w:val="28"/>
      <w:szCs w:val="22"/>
    </w:rPr>
  </w:style>
  <w:style w:type="character" w:customStyle="1" w:styleId="109">
    <w:name w:val="章节标题 Char"/>
    <w:link w:val="108"/>
    <w:autoRedefine/>
    <w:qFormat/>
    <w:uiPriority w:val="0"/>
    <w:rPr>
      <w:rFonts w:ascii="Times New Roman" w:hAnsi="Times New Roman" w:eastAsia="宋体" w:cs="Times New Roman"/>
      <w:b/>
      <w:sz w:val="28"/>
    </w:rPr>
  </w:style>
  <w:style w:type="character" w:customStyle="1" w:styleId="110">
    <w:name w:val="size13"/>
    <w:basedOn w:val="37"/>
    <w:autoRedefine/>
    <w:qFormat/>
    <w:uiPriority w:val="0"/>
  </w:style>
  <w:style w:type="character" w:customStyle="1" w:styleId="111">
    <w:name w:val="段落中文 Char"/>
    <w:link w:val="112"/>
    <w:autoRedefine/>
    <w:qFormat/>
    <w:uiPriority w:val="0"/>
    <w:rPr>
      <w:sz w:val="24"/>
      <w:szCs w:val="24"/>
    </w:rPr>
  </w:style>
  <w:style w:type="paragraph" w:customStyle="1" w:styleId="112">
    <w:name w:val="段落中文"/>
    <w:basedOn w:val="1"/>
    <w:link w:val="111"/>
    <w:autoRedefine/>
    <w:qFormat/>
    <w:uiPriority w:val="0"/>
    <w:pPr>
      <w:spacing w:line="360" w:lineRule="auto"/>
      <w:ind w:firstLine="1446" w:firstLineChars="200"/>
      <w:jc w:val="left"/>
    </w:pPr>
    <w:rPr>
      <w:rFonts w:asciiTheme="minorHAnsi" w:hAnsiTheme="minorHAnsi" w:eastAsiaTheme="minorEastAsia" w:cstheme="minorBidi"/>
      <w:sz w:val="24"/>
    </w:rPr>
  </w:style>
  <w:style w:type="character" w:customStyle="1" w:styleId="113">
    <w:name w:val="正文首行缩进 Char1"/>
    <w:autoRedefine/>
    <w:qFormat/>
    <w:uiPriority w:val="0"/>
    <w:rPr>
      <w:rFonts w:ascii="宋体" w:hAnsi="宋体" w:cs="宋体"/>
      <w:kern w:val="2"/>
      <w:sz w:val="21"/>
      <w:szCs w:val="22"/>
      <w:lang w:val="zh-CN" w:bidi="zh-CN"/>
    </w:rPr>
  </w:style>
  <w:style w:type="character" w:customStyle="1" w:styleId="114">
    <w:name w:val="font61"/>
    <w:basedOn w:val="37"/>
    <w:autoRedefine/>
    <w:qFormat/>
    <w:uiPriority w:val="0"/>
    <w:rPr>
      <w:rFonts w:hint="eastAsia" w:ascii="宋体" w:hAnsi="宋体" w:eastAsia="宋体" w:cs="宋体"/>
      <w:color w:val="000000"/>
      <w:sz w:val="18"/>
      <w:szCs w:val="18"/>
      <w:u w:val="none"/>
    </w:rPr>
  </w:style>
  <w:style w:type="paragraph" w:customStyle="1" w:styleId="115">
    <w:name w:val="p15"/>
    <w:basedOn w:val="1"/>
    <w:autoRedefine/>
    <w:qFormat/>
    <w:uiPriority w:val="0"/>
    <w:pPr>
      <w:widowControl/>
      <w:spacing w:after="120"/>
      <w:ind w:left="420"/>
    </w:pPr>
    <w:rPr>
      <w:kern w:val="0"/>
      <w:sz w:val="16"/>
      <w:szCs w:val="16"/>
    </w:rPr>
  </w:style>
  <w:style w:type="paragraph" w:customStyle="1" w:styleId="116">
    <w:name w:val="简单回函地址"/>
    <w:basedOn w:val="1"/>
    <w:autoRedefine/>
    <w:qFormat/>
    <w:uiPriority w:val="0"/>
    <w:rPr>
      <w:szCs w:val="22"/>
    </w:rPr>
  </w:style>
  <w:style w:type="paragraph" w:customStyle="1" w:styleId="117">
    <w:name w:val="一级标题"/>
    <w:basedOn w:val="1"/>
    <w:autoRedefine/>
    <w:qFormat/>
    <w:uiPriority w:val="0"/>
    <w:pPr>
      <w:spacing w:line="360" w:lineRule="auto"/>
      <w:jc w:val="center"/>
    </w:pPr>
    <w:rPr>
      <w:b/>
      <w:bCs/>
      <w:sz w:val="30"/>
      <w:szCs w:val="30"/>
    </w:rPr>
  </w:style>
  <w:style w:type="paragraph" w:customStyle="1" w:styleId="118">
    <w:name w:val="Table Paragraph"/>
    <w:basedOn w:val="1"/>
    <w:autoRedefine/>
    <w:qFormat/>
    <w:uiPriority w:val="1"/>
    <w:pPr>
      <w:jc w:val="center"/>
    </w:pPr>
    <w:rPr>
      <w:rFonts w:ascii="宋体" w:hAnsi="宋体" w:cs="宋体"/>
      <w:szCs w:val="22"/>
    </w:rPr>
  </w:style>
  <w:style w:type="paragraph" w:customStyle="1" w:styleId="119">
    <w:name w:val="样式3"/>
    <w:basedOn w:val="1"/>
    <w:autoRedefine/>
    <w:qFormat/>
    <w:uiPriority w:val="0"/>
    <w:pPr>
      <w:adjustRightInd w:val="0"/>
      <w:snapToGrid w:val="0"/>
      <w:jc w:val="center"/>
    </w:pPr>
    <w:rPr>
      <w:snapToGrid w:val="0"/>
      <w:color w:val="000000"/>
      <w:szCs w:val="21"/>
    </w:rPr>
  </w:style>
  <w:style w:type="paragraph" w:customStyle="1" w:styleId="120">
    <w:name w:val="p0"/>
    <w:basedOn w:val="1"/>
    <w:autoRedefine/>
    <w:qFormat/>
    <w:uiPriority w:val="0"/>
    <w:pPr>
      <w:widowControl/>
    </w:pPr>
    <w:rPr>
      <w:kern w:val="0"/>
      <w:szCs w:val="21"/>
    </w:rPr>
  </w:style>
  <w:style w:type="paragraph" w:customStyle="1" w:styleId="121">
    <w:name w:val="表头"/>
    <w:basedOn w:val="122"/>
    <w:next w:val="1"/>
    <w:autoRedefine/>
    <w:qFormat/>
    <w:uiPriority w:val="0"/>
    <w:pPr>
      <w:ind w:firstLine="0" w:firstLineChars="0"/>
      <w:jc w:val="center"/>
    </w:pPr>
    <w:rPr>
      <w:b/>
      <w:bCs/>
      <w:sz w:val="21"/>
      <w:szCs w:val="21"/>
    </w:rPr>
  </w:style>
  <w:style w:type="paragraph" w:customStyle="1" w:styleId="122">
    <w:name w:val="段落正文111"/>
    <w:basedOn w:val="123"/>
    <w:autoRedefine/>
    <w:qFormat/>
    <w:uiPriority w:val="0"/>
    <w:pPr>
      <w:ind w:firstLine="602" w:firstLineChars="200"/>
    </w:pPr>
    <w:rPr>
      <w:b w:val="0"/>
      <w:bCs w:val="0"/>
    </w:rPr>
  </w:style>
  <w:style w:type="paragraph" w:customStyle="1" w:styleId="123">
    <w:name w:val="三级标题"/>
    <w:basedOn w:val="124"/>
    <w:autoRedefine/>
    <w:qFormat/>
    <w:uiPriority w:val="0"/>
    <w:pPr>
      <w:ind w:firstLine="301" w:firstLineChars="100"/>
    </w:pPr>
  </w:style>
  <w:style w:type="paragraph" w:customStyle="1" w:styleId="124">
    <w:name w:val="二级标题"/>
    <w:basedOn w:val="117"/>
    <w:autoRedefine/>
    <w:qFormat/>
    <w:uiPriority w:val="0"/>
    <w:pPr>
      <w:ind w:firstLine="151" w:firstLineChars="50"/>
      <w:jc w:val="left"/>
    </w:pPr>
    <w:rPr>
      <w:sz w:val="24"/>
      <w:szCs w:val="24"/>
    </w:rPr>
  </w:style>
  <w:style w:type="paragraph" w:customStyle="1" w:styleId="125">
    <w:name w:val="报告表  段"/>
    <w:basedOn w:val="1"/>
    <w:autoRedefine/>
    <w:qFormat/>
    <w:uiPriority w:val="0"/>
    <w:pPr>
      <w:adjustRightInd w:val="0"/>
      <w:spacing w:line="360" w:lineRule="auto"/>
      <w:ind w:firstLine="505"/>
    </w:pPr>
    <w:rPr>
      <w:rFonts w:hint="eastAsia" w:ascii="宋体"/>
      <w:kern w:val="0"/>
      <w:sz w:val="24"/>
      <w:szCs w:val="20"/>
    </w:rPr>
  </w:style>
  <w:style w:type="paragraph" w:customStyle="1" w:styleId="126">
    <w:name w:val="表1表2"/>
    <w:basedOn w:val="1"/>
    <w:autoRedefine/>
    <w:qFormat/>
    <w:uiPriority w:val="0"/>
    <w:pPr>
      <w:autoSpaceDE w:val="0"/>
      <w:autoSpaceDN w:val="0"/>
      <w:adjustRightInd w:val="0"/>
      <w:spacing w:line="360" w:lineRule="auto"/>
      <w:ind w:firstLine="200" w:firstLineChars="200"/>
      <w:jc w:val="center"/>
      <w:textAlignment w:val="center"/>
    </w:pPr>
    <w:rPr>
      <w:rFonts w:eastAsia="黑体"/>
      <w:kern w:val="0"/>
      <w:sz w:val="24"/>
      <w:szCs w:val="20"/>
    </w:rPr>
  </w:style>
  <w:style w:type="paragraph" w:customStyle="1" w:styleId="127">
    <w:name w:val="正 文"/>
    <w:autoRedefine/>
    <w:qFormat/>
    <w:uiPriority w:val="0"/>
    <w:pPr>
      <w:widowControl w:val="0"/>
      <w:spacing w:line="480" w:lineRule="exact"/>
      <w:ind w:firstLine="471"/>
      <w:jc w:val="both"/>
    </w:pPr>
    <w:rPr>
      <w:rFonts w:ascii="Times New Roman" w:hAnsi="Times New Roman" w:eastAsia="宋体" w:cs="Times New Roman"/>
      <w:kern w:val="2"/>
      <w:sz w:val="24"/>
      <w:szCs w:val="21"/>
      <w:lang w:val="en-US" w:eastAsia="zh-CN" w:bidi="ar-SA"/>
    </w:rPr>
  </w:style>
  <w:style w:type="paragraph" w:customStyle="1" w:styleId="128">
    <w:name w:val="表格 32"/>
    <w:basedOn w:val="1"/>
    <w:autoRedefine/>
    <w:qFormat/>
    <w:uiPriority w:val="0"/>
    <w:pPr>
      <w:autoSpaceDE w:val="0"/>
      <w:autoSpaceDN w:val="0"/>
      <w:adjustRightInd w:val="0"/>
      <w:jc w:val="center"/>
      <w:textAlignment w:val="baseline"/>
    </w:pPr>
    <w:rPr>
      <w:rFonts w:ascii="宋体" w:hAnsi="Impact"/>
      <w:kern w:val="24"/>
      <w:sz w:val="24"/>
      <w:szCs w:val="22"/>
    </w:rPr>
  </w:style>
  <w:style w:type="paragraph" w:customStyle="1" w:styleId="129">
    <w:name w:val="猜猜我是不是表格"/>
    <w:basedOn w:val="71"/>
    <w:autoRedefine/>
    <w:qFormat/>
    <w:uiPriority w:val="0"/>
    <w:pPr>
      <w:adjustRightInd/>
      <w:snapToGrid/>
      <w:spacing w:beforeLines="0" w:afterLines="0" w:line="240" w:lineRule="auto"/>
    </w:pPr>
    <w:rPr>
      <w:rFonts w:ascii="Times New Roman" w:hAnsi="Times New Roman" w:eastAsia="宋体" w:cs="Times New Roman"/>
      <w:szCs w:val="21"/>
    </w:rPr>
  </w:style>
  <w:style w:type="character" w:customStyle="1" w:styleId="130">
    <w:name w:val="纯文本 Char1"/>
    <w:autoRedefine/>
    <w:qFormat/>
    <w:uiPriority w:val="99"/>
    <w:rPr>
      <w:rFonts w:ascii="宋体" w:hAnsi="Courier New" w:cs="Courier New"/>
      <w:kern w:val="2"/>
      <w:sz w:val="21"/>
      <w:szCs w:val="21"/>
    </w:rPr>
  </w:style>
  <w:style w:type="paragraph" w:customStyle="1" w:styleId="131">
    <w:name w:val="正文1"/>
    <w:autoRedefine/>
    <w:qFormat/>
    <w:uiPriority w:val="0"/>
    <w:pPr>
      <w:jc w:val="both"/>
    </w:pPr>
    <w:rPr>
      <w:rFonts w:ascii="Times New Roman" w:hAnsi="Times New Roman" w:eastAsia="宋体" w:cs="Times New Roman"/>
      <w:kern w:val="2"/>
      <w:sz w:val="21"/>
      <w:szCs w:val="21"/>
      <w:lang w:val="en-US" w:eastAsia="zh-CN" w:bidi="ar-SA"/>
    </w:rPr>
  </w:style>
  <w:style w:type="character" w:customStyle="1" w:styleId="132">
    <w:name w:val="fontstyle11"/>
    <w:basedOn w:val="37"/>
    <w:autoRedefine/>
    <w:qFormat/>
    <w:uiPriority w:val="0"/>
    <w:rPr>
      <w:rFonts w:hint="default" w:ascii="Times New Roman" w:hAnsi="Times New Roman" w:cs="Times New Roman"/>
      <w:color w:val="000000"/>
      <w:sz w:val="24"/>
      <w:szCs w:val="24"/>
    </w:rPr>
  </w:style>
  <w:style w:type="character" w:customStyle="1" w:styleId="133">
    <w:name w:val="checkbox"/>
    <w:basedOn w:val="37"/>
    <w:autoRedefine/>
    <w:qFormat/>
    <w:uiPriority w:val="0"/>
  </w:style>
  <w:style w:type="character" w:customStyle="1" w:styleId="134">
    <w:name w:val="fontstyle31"/>
    <w:basedOn w:val="37"/>
    <w:autoRedefine/>
    <w:qFormat/>
    <w:uiPriority w:val="0"/>
    <w:rPr>
      <w:rFonts w:ascii="TimesNewRomanPSMT" w:hAnsi="TimesNewRomanPSMT" w:eastAsia="TimesNewRomanPSMT" w:cs="TimesNewRomanPSMT"/>
      <w:color w:val="000000"/>
      <w:sz w:val="22"/>
      <w:szCs w:val="22"/>
    </w:rPr>
  </w:style>
  <w:style w:type="paragraph" w:customStyle="1" w:styleId="135">
    <w:name w:val="题注 New"/>
    <w:basedOn w:val="136"/>
    <w:next w:val="136"/>
    <w:autoRedefine/>
    <w:qFormat/>
    <w:uiPriority w:val="0"/>
    <w:pPr>
      <w:adjustRightInd w:val="0"/>
      <w:snapToGrid w:val="0"/>
      <w:jc w:val="center"/>
    </w:pPr>
    <w:rPr>
      <w:rFonts w:eastAsia="仿宋_GB2312"/>
      <w:sz w:val="24"/>
      <w:szCs w:val="20"/>
    </w:rPr>
  </w:style>
  <w:style w:type="paragraph" w:customStyle="1" w:styleId="136">
    <w:name w:val="正文 New New New"/>
    <w:autoRedefine/>
    <w:qFormat/>
    <w:uiPriority w:val="0"/>
    <w:pPr>
      <w:widowControl w:val="0"/>
      <w:jc w:val="both"/>
    </w:pPr>
    <w:rPr>
      <w:rFonts w:ascii="Calibri" w:hAnsi="Calibri" w:eastAsia="宋体" w:cstheme="minorBidi"/>
      <w:kern w:val="2"/>
      <w:sz w:val="21"/>
      <w:szCs w:val="22"/>
      <w:lang w:val="en-US" w:eastAsia="zh-CN" w:bidi="ar-SA"/>
    </w:rPr>
  </w:style>
  <w:style w:type="paragraph" w:customStyle="1" w:styleId="137">
    <w:name w:val="正文 New New"/>
    <w:autoRedefine/>
    <w:qFormat/>
    <w:uiPriority w:val="0"/>
    <w:pPr>
      <w:widowControl w:val="0"/>
      <w:jc w:val="both"/>
    </w:pPr>
    <w:rPr>
      <w:rFonts w:ascii="Calibri" w:hAnsi="Calibri" w:eastAsia="宋体" w:cstheme="minorBidi"/>
      <w:kern w:val="2"/>
      <w:sz w:val="21"/>
      <w:lang w:val="en-US" w:eastAsia="zh-CN" w:bidi="ar-SA"/>
    </w:rPr>
  </w:style>
  <w:style w:type="paragraph" w:customStyle="1" w:styleId="138">
    <w:name w:val="正文 New"/>
    <w:autoRedefine/>
    <w:qFormat/>
    <w:uiPriority w:val="0"/>
    <w:pPr>
      <w:widowControl w:val="0"/>
      <w:jc w:val="both"/>
    </w:pPr>
    <w:rPr>
      <w:rFonts w:ascii="Times New Roman" w:hAnsi="Times New Roman" w:eastAsia="宋体" w:cstheme="minorBidi"/>
      <w:kern w:val="2"/>
      <w:sz w:val="21"/>
      <w:szCs w:val="22"/>
      <w:lang w:val="en-US" w:eastAsia="zh-CN" w:bidi="ar-SA"/>
    </w:rPr>
  </w:style>
  <w:style w:type="paragraph" w:customStyle="1" w:styleId="139">
    <w:name w:val="mjb2019"/>
    <w:basedOn w:val="1"/>
    <w:next w:val="1"/>
    <w:autoRedefine/>
    <w:qFormat/>
    <w:uiPriority w:val="0"/>
    <w:pPr>
      <w:spacing w:line="360" w:lineRule="auto"/>
      <w:ind w:firstLine="200" w:firstLineChars="200"/>
      <w:jc w:val="left"/>
    </w:pPr>
    <w:rPr>
      <w:bCs/>
      <w:sz w:val="24"/>
      <w:szCs w:val="32"/>
    </w:rPr>
  </w:style>
  <w:style w:type="character" w:customStyle="1" w:styleId="140">
    <w:name w:val="font51"/>
    <w:basedOn w:val="37"/>
    <w:autoRedefine/>
    <w:qFormat/>
    <w:uiPriority w:val="0"/>
    <w:rPr>
      <w:rFonts w:hint="default" w:ascii="Times New Roman" w:hAnsi="Times New Roman" w:cs="Times New Roman"/>
      <w:b/>
      <w:bCs/>
      <w:color w:val="000000"/>
      <w:sz w:val="21"/>
      <w:szCs w:val="21"/>
      <w:u w:val="none"/>
    </w:rPr>
  </w:style>
  <w:style w:type="character" w:customStyle="1" w:styleId="141">
    <w:name w:val="font71"/>
    <w:basedOn w:val="37"/>
    <w:autoRedefine/>
    <w:qFormat/>
    <w:uiPriority w:val="0"/>
    <w:rPr>
      <w:rFonts w:hint="default" w:ascii="Times New Roman" w:hAnsi="Times New Roman" w:cs="Times New Roman"/>
      <w:b/>
      <w:bCs/>
      <w:color w:val="000000"/>
      <w:sz w:val="21"/>
      <w:szCs w:val="21"/>
      <w:u w:val="none"/>
    </w:rPr>
  </w:style>
  <w:style w:type="character" w:customStyle="1" w:styleId="142">
    <w:name w:val="font31"/>
    <w:basedOn w:val="37"/>
    <w:autoRedefine/>
    <w:qFormat/>
    <w:uiPriority w:val="0"/>
    <w:rPr>
      <w:rFonts w:hint="default" w:ascii="Times New Roman" w:hAnsi="Times New Roman" w:cs="Times New Roman"/>
      <w:color w:val="000000"/>
      <w:sz w:val="21"/>
      <w:szCs w:val="21"/>
      <w:u w:val="none"/>
    </w:rPr>
  </w:style>
  <w:style w:type="character" w:customStyle="1" w:styleId="143">
    <w:name w:val="font21"/>
    <w:basedOn w:val="37"/>
    <w:autoRedefine/>
    <w:qFormat/>
    <w:uiPriority w:val="0"/>
    <w:rPr>
      <w:rFonts w:hint="eastAsia" w:ascii="宋体" w:hAnsi="宋体" w:eastAsia="宋体" w:cs="宋体"/>
      <w:color w:val="000000"/>
      <w:sz w:val="21"/>
      <w:szCs w:val="21"/>
      <w:u w:val="none"/>
    </w:rPr>
  </w:style>
  <w:style w:type="table" w:customStyle="1" w:styleId="144">
    <w:name w:val="Table Normal"/>
    <w:semiHidden/>
    <w:unhideWhenUsed/>
    <w:qFormat/>
    <w:uiPriority w:val="0"/>
    <w:tblPr>
      <w:tblCellMar>
        <w:top w:w="0" w:type="dxa"/>
        <w:left w:w="0" w:type="dxa"/>
        <w:bottom w:w="0" w:type="dxa"/>
        <w:right w:w="0" w:type="dxa"/>
      </w:tblCellMar>
    </w:tblPr>
  </w:style>
  <w:style w:type="paragraph" w:customStyle="1" w:styleId="145">
    <w:name w:val="正文-2"/>
    <w:basedOn w:val="1"/>
    <w:autoRedefine/>
    <w:qFormat/>
    <w:uiPriority w:val="0"/>
    <w:pPr>
      <w:wordWrap w:val="0"/>
      <w:autoSpaceDE w:val="0"/>
      <w:autoSpaceDN w:val="0"/>
      <w:adjustRightInd w:val="0"/>
      <w:snapToGrid w:val="0"/>
      <w:spacing w:line="360" w:lineRule="auto"/>
      <w:ind w:firstLine="720" w:firstLineChars="200"/>
      <w:jc w:val="left"/>
    </w:pPr>
    <w:rPr>
      <w:rFonts w:hint="eastAsia" w:cs="宋体"/>
      <w:kern w:val="0"/>
      <w:sz w:val="24"/>
      <w:szCs w:val="21"/>
    </w:rPr>
  </w:style>
  <w:style w:type="paragraph" w:customStyle="1" w:styleId="146">
    <w:name w:val="表格的字"/>
    <w:basedOn w:val="1"/>
    <w:next w:val="1"/>
    <w:autoRedefine/>
    <w:qFormat/>
    <w:uiPriority w:val="0"/>
    <w:pPr>
      <w:jc w:val="center"/>
    </w:pPr>
    <w:rPr>
      <w:rFonts w:cs="宋体"/>
      <w:kern w:val="0"/>
    </w:rPr>
  </w:style>
  <w:style w:type="paragraph" w:customStyle="1" w:styleId="147">
    <w:name w:val="表格标题"/>
    <w:basedOn w:val="1"/>
    <w:next w:val="1"/>
    <w:autoRedefine/>
    <w:qFormat/>
    <w:uiPriority w:val="0"/>
    <w:pPr>
      <w:tabs>
        <w:tab w:val="left" w:pos="0"/>
      </w:tabs>
      <w:spacing w:before="20" w:beforeLines="20" w:after="20" w:afterLines="20"/>
      <w:ind w:left="2520" w:hanging="420"/>
      <w:jc w:val="center"/>
    </w:pPr>
    <w:rPr>
      <w:b/>
      <w:kern w:val="0"/>
      <w:sz w:val="24"/>
      <w:szCs w:val="20"/>
    </w:rPr>
  </w:style>
  <w:style w:type="paragraph" w:customStyle="1" w:styleId="148">
    <w:name w:val="表格内容"/>
    <w:basedOn w:val="1"/>
    <w:next w:val="1"/>
    <w:autoRedefine/>
    <w:qFormat/>
    <w:uiPriority w:val="0"/>
    <w:pPr>
      <w:jc w:val="center"/>
    </w:pPr>
    <w:rPr>
      <w:rFonts w:cs="宋体"/>
      <w:kern w:val="0"/>
      <w:szCs w:val="21"/>
    </w:rPr>
  </w:style>
  <w:style w:type="table" w:customStyle="1" w:styleId="149">
    <w:name w:val="报告书标准表格"/>
    <w:basedOn w:val="35"/>
    <w:qFormat/>
    <w:uiPriority w:val="0"/>
    <w:pPr>
      <w:jc w:val="center"/>
    </w:pPr>
    <w:rPr>
      <w:rFonts w:ascii="方正宋三简体" w:hAnsi="方正宋三简体" w:eastAsia="方正宋三简体" w:cs="方正宋三简体"/>
      <w:sz w:val="21"/>
    </w:rPr>
    <w:tblPr>
      <w:tblBorders>
        <w:top w:val="single" w:color="auto" w:sz="12" w:space="0"/>
        <w:bottom w:val="single" w:color="auto" w:sz="12" w:space="0"/>
        <w:insideH w:val="single" w:color="auto" w:sz="4" w:space="0"/>
        <w:insideV w:val="single" w:color="auto" w:sz="4" w:space="0"/>
      </w:tblBorders>
      <w:tblCellMar>
        <w:top w:w="0" w:type="dxa"/>
        <w:left w:w="108" w:type="dxa"/>
        <w:bottom w:w="0" w:type="dxa"/>
        <w:right w:w="108" w:type="dxa"/>
      </w:tblCellMar>
    </w:tblPr>
    <w:tcPr>
      <w:vAlign w:val="center"/>
    </w:tcPr>
  </w:style>
  <w:style w:type="paragraph" w:customStyle="1" w:styleId="150">
    <w:name w:val="列出段落1"/>
    <w:basedOn w:val="1"/>
    <w:qFormat/>
    <w:uiPriority w:val="99"/>
    <w:pPr>
      <w:ind w:firstLine="420" w:firstLineChars="200"/>
    </w:pPr>
  </w:style>
  <w:style w:type="paragraph" w:customStyle="1" w:styleId="151">
    <w:name w:val="自定表头"/>
    <w:basedOn w:val="5"/>
    <w:qFormat/>
    <w:uiPriority w:val="99"/>
    <w:pPr>
      <w:autoSpaceDE w:val="0"/>
      <w:autoSpaceDN w:val="0"/>
      <w:adjustRightInd w:val="0"/>
      <w:spacing w:before="0" w:after="0" w:line="240" w:lineRule="auto"/>
      <w:jc w:val="center"/>
    </w:pPr>
    <w:rPr>
      <w:rFonts w:eastAsia="黑体"/>
      <w:b w:val="0"/>
      <w:bCs w:val="0"/>
      <w:sz w:val="24"/>
      <w:szCs w:val="24"/>
    </w:rPr>
  </w:style>
  <w:style w:type="paragraph" w:customStyle="1" w:styleId="152">
    <w:name w:val="reader-word-layer reader-word-s46-2"/>
    <w:basedOn w:val="1"/>
    <w:next w:val="153"/>
    <w:qFormat/>
    <w:uiPriority w:val="0"/>
    <w:pPr>
      <w:widowControl/>
      <w:spacing w:before="280" w:after="280"/>
    </w:pPr>
    <w:rPr>
      <w:rFonts w:ascii="宋体"/>
      <w:sz w:val="24"/>
    </w:rPr>
  </w:style>
  <w:style w:type="paragraph" w:customStyle="1" w:styleId="153">
    <w:name w:val="xl35"/>
    <w:basedOn w:val="1"/>
    <w:next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left"/>
      <w:textAlignment w:val="center"/>
    </w:pPr>
    <w:rPr>
      <w:rFonts w:hint="eastAsia" w:ascii="仿宋_GB2312" w:hAnsi="宋体" w:eastAsia="仿宋_GB2312" w:cs="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1026" textRotate="1"/>
  </customShpExts>
</s:customData>
</file>

<file path=customXml/item2.xml><?xml version="1.0" encoding="utf-8"?>
<contractReview xmlns="http://schemas.wps.cn/vas-ai-hub/contract-review">
  <reviewItems>
    <reviewItem>
      <errorID>01bd5dd7-f792-4081-a556-8d1cd4162de9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1FE84FF0</paraID>
      <start>0</start>
      <end>2</end>
      <status>unmodified</status>
      <modifiedWord/>
      <trackRevisions>false</trackRevisions>
    </reviewItem>
    <reviewItem>
      <errorID>61d8ba34-d9f7-4f35-966c-e758ecdfb937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37CA47D5</paraID>
      <start>0</start>
      <end>2</end>
      <status>unmodified</status>
      <modifiedWord/>
      <trackRevisions>false</trackRevisions>
    </reviewItem>
    <reviewItem>
      <errorID>1dbf6bed-bcef-47bf-a148-59e718f2cd90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38F8F232</paraID>
      <start>0</start>
      <end>2</end>
      <status>unmodified</status>
      <modifiedWord/>
      <trackRevisions>false</trackRevisions>
    </reviewItem>
    <reviewItem>
      <errorID>f7febf7b-b88c-4cac-80a0-7053735a823f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4EEA595E</paraID>
      <start>0</start>
      <end>2</end>
      <status>unmodified</status>
      <modifiedWord/>
      <trackRevisions>false</trackRevisions>
    </reviewItem>
    <reviewItem>
      <errorID>31e0b56c-30d1-4240-8562-c98a4fc1e4db</errorID>
      <errorWord>发展全面绿色低碳转型</errorWord>
      <group>L1_Political</group>
      <groupName>政治性问题</groupName>
      <ability>L2_Keyword</ability>
      <abilityName>固定表述</abilityName>
      <candidateList>
        <item>发展方式绿色低碳转型</item>
      </candidateList>
      <explain>词汇“发展方式绿色低碳转型”在特定场景下为固定表述形式，请确认此处的“发展全面绿色低碳转型”是否存在不当。</explain>
      <paraID>581834B2</paraID>
      <start>203</start>
      <end>213</end>
      <status>unmodified</status>
      <modifiedWord/>
      <trackRevisions>false</trackRevisions>
    </reviewItem>
    <reviewItem>
      <errorID>7f183f26-d28c-476c-9753-c047e7fe69ae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9B4C2F</paraID>
      <start>0</start>
      <end>2</end>
      <status>unmodified</status>
      <modifiedWord/>
      <trackRevisions>false</trackRevisions>
    </reviewItem>
    <reviewItem>
      <errorID>3f55ae10-e419-45a9-947f-abe229a8c818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79597589</paraID>
      <start>0</start>
      <end>2</end>
      <status>unmodified</status>
      <modifiedWord/>
      <trackRevisions>false</trackRevisions>
    </reviewItem>
    <reviewItem>
      <errorID>06efe9e1-a64d-4752-a1a5-59bdcf24b933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39C97A44</paraID>
      <start>0</start>
      <end>2</end>
      <status>unmodified</status>
      <modifiedWord/>
      <trackRevisions>false</trackRevisions>
    </reviewItem>
    <reviewItem>
      <errorID>112ce809-7520-4e7d-9e98-f2a84e8de5c5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7F4F21C</paraID>
      <start>0</start>
      <end>2</end>
      <status>unmodified</status>
      <modifiedWord/>
      <trackRevisions>false</trackRevisions>
    </reviewItem>
    <reviewItem>
      <errorID>2b2ca0bf-4508-4fa0-a4f7-92db77779808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4EA1D76D</paraID>
      <start>0</start>
      <end>2</end>
      <status>unmodified</status>
      <modifiedWord/>
      <trackRevisions>false</trackRevisions>
    </reviewItem>
    <reviewItem>
      <errorID>b8e2b927-348d-4c63-9fcd-79187c80bee2</errorID>
      <errorWord>热</errorWord>
      <group>L1_Word</group>
      <groupName>字词问题</groupName>
      <ability>L2_Typo</ability>
      <abilityName>字词错误</abilityName>
      <candidateList>
        <item>的</item>
      </candidateList>
      <explain>“的”常用于连接修饰语与名词性中心语，表示属性、所属或描述。</explain>
      <paraID>155A8B70</paraID>
      <start>2</start>
      <end>3</end>
      <status>unmodified</status>
      <modifiedWord/>
      <trackRevisions>false</trackRevisions>
    </reviewItem>
    <reviewItem>
      <errorID>bec5f441-804e-4d3e-be02-044101076a76</errorID>
      <errorWord>（</errorWord>
      <group>L1_Format</group>
      <groupName>格式问题</groupName>
      <ability>L2_HalfPunc</ability>
      <abilityName>全半角检查</abilityName>
      <candidateList>
        <item>(</item>
      </candidateList>
      <explain>文本全半角错误。</explain>
      <paraID>4A8DDBEE</paraID>
      <start>5</start>
      <end>6</end>
      <status>unmodified</status>
      <modifiedWord/>
      <trackRevisions>false</trackRevisions>
    </reviewItem>
    <reviewItem>
      <errorID>c64b21cc-9d3a-469a-bde9-02e5936c20b0</errorID>
      <errorWord>）</errorWord>
      <group>L1_Format</group>
      <groupName>格式问题</groupName>
      <ability>L2_HalfPunc</ability>
      <abilityName>全半角检查</abilityName>
      <candidateList>
        <item>)</item>
      </candidateList>
      <explain>文本全半角错误。</explain>
      <paraID>4A8DDBEE</paraID>
      <start>10</start>
      <end>11</end>
      <status>unmodified</status>
      <modifiedWord/>
      <trackRevisions>false</trackRevisions>
    </reviewItem>
    <reviewItem>
      <errorID>bdfa3e47-34da-46ab-bfe3-066eafa9c845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2CD07909</paraID>
      <start>0</start>
      <end>2</end>
      <status>unmodified</status>
      <modifiedWord/>
      <trackRevisions>false</trackRevisions>
    </reviewItem>
    <reviewItem>
      <errorID>1cf81161-75bf-4c7b-aa8d-fabaea1472fc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3A92F648</paraID>
      <start>0</start>
      <end>2</end>
      <status>unmodified</status>
      <modifiedWord/>
      <trackRevisions>false</trackRevisions>
    </reviewItem>
    <reviewItem>
      <errorID>24b90e27-6039-48b0-bb96-636d1b2540fd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2BDAE7E2</paraID>
      <start>0</start>
      <end>2</end>
      <status>unmodified</status>
      <modifiedWord/>
      <trackRevisions>false</trackRevisions>
    </reviewItem>
    <reviewItem>
      <errorID>1240b6bc-7390-4c64-8796-b9248cc82d79</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4EA56FAD</paraID>
      <start>121</start>
      <end>122</end>
      <status>unmodified</status>
      <modifiedWord/>
      <trackRevisions>false</trackRevisions>
    </reviewItem>
    <reviewItem>
      <errorID>e34c65d3-f725-4965-9483-df7de43c155c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184529F8</paraID>
      <start>0</start>
      <end>2</end>
      <status>unmodified</status>
      <modifiedWord/>
      <trackRevisions>false</trackRevisions>
    </reviewItem>
    <reviewItem>
      <errorID>a0a0150a-d2af-4140-b187-c38ea64038c7</errorID>
      <errorWord>[2009]71号</errorWord>
      <group>L1_Knowledge</group>
      <groupName>知识性问题</groupName>
      <ability>L2_Knowledge</ability>
      <abilityName>其他知识</abilityName>
      <candidateList>
        <item>〔2009〕71号</item>
      </candidateList>
      <explain>发文字号格式错误。</explain>
      <paraID>51755A6C</paraID>
      <start>3</start>
      <end>12</end>
      <status>unmodified</status>
      <modifiedWord/>
      <trackRevisions>false</trackRevisions>
    </reviewItem>
    <reviewItem>
      <errorID>865be151-a605-4478-bb0f-91862d44510b</errorID>
      <errorWord>[2010]39号</errorWord>
      <group>L1_Knowledge</group>
      <groupName>知识性问题</groupName>
      <ability>L2_Knowledge</ability>
      <abilityName>其他知识</abilityName>
      <candidateList>
        <item>〔2010〕39号</item>
      </candidateList>
      <explain>发文字号格式错误。</explain>
      <paraID>71B8C454</paraID>
      <start>3</start>
      <end>12</end>
      <status>unmodified</status>
      <modifiedWord/>
      <trackRevisions>false</trackRevisions>
    </reviewItem>
    <reviewItem>
      <errorID>101e94f1-d510-4d3c-89a8-2794fde9ea07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1C5EA7C4</paraID>
      <start>0</start>
      <end>2</end>
      <status>unmodified</status>
      <modifiedWord/>
      <trackRevisions>false</trackRevisions>
    </reviewItem>
    <reviewItem>
      <errorID>1081c6d1-e68f-4ef4-be08-9acdaff69cb3</errorID>
      <errorWord>程</errorWord>
      <group>L1_Word</group>
      <groupName>字词问题</groupName>
      <ability>L2_Typo</ability>
      <abilityName>字词错误</abilityName>
      <candidateList>
        <item>程中</item>
      </candidateList>
      <explain/>
      <paraID>25B52811</paraID>
      <start>15</start>
      <end>16</end>
      <status>unmodified</status>
      <modifiedWord/>
      <trackRevisions>false</trackRevisions>
    </reviewItem>
    <reviewItem>
      <errorID>5a7fe597-3413-473d-b4f0-583ab0e65548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10CF403D</paraID>
      <start>0</start>
      <end>2</end>
      <status>unmodified</status>
      <modifiedWord/>
      <trackRevisions>false</trackRevisions>
    </reviewItem>
    <reviewItem>
      <errorID>cc861ec8-3889-4e40-a2b1-fb9cb67b00a5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351AC84B</paraID>
      <start>0</start>
      <end>2</end>
      <status>unmodified</status>
      <modifiedWord/>
      <trackRevisions>false</trackRevisions>
    </reviewItem>
    <reviewItem>
      <errorID>20055ddd-b323-497d-ade5-47417cb8a692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5B7832A0</paraID>
      <start>0</start>
      <end>2</end>
      <status>unmodified</status>
      <modifiedWord/>
      <trackRevisions>false</trackRevisions>
    </reviewItem>
    <reviewItem>
      <errorID>4d478c0d-233b-4441-ab80-508acb1dd7c9</errorID>
      <errorWord>[2011]29号</errorWord>
      <group>L1_Knowledge</group>
      <groupName>知识性问题</groupName>
      <ability>L2_Knowledge</ability>
      <abilityName>其他知识</abilityName>
      <candidateList>
        <item>〔2011〕29号</item>
      </candidateList>
      <explain>发文字号格式错误。</explain>
      <paraID>50E983BE</paraID>
      <start>55</start>
      <end>64</end>
      <status>unmodified</status>
      <modifiedWord/>
      <trackRevisions>false</trackRevisions>
    </reviewItem>
    <reviewItem>
      <errorID>ecb284ad-4eab-4efe-b4d8-5d2d484bd6e7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7E19C4B1</paraID>
      <start>0</start>
      <end>2</end>
      <status>unmodified</status>
      <modifiedWord/>
      <trackRevisions>false</trackRevisions>
    </reviewItem>
    <reviewItem>
      <errorID>53129512-6929-4ecd-8de7-eddf452b4d41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14B3C37F</paraID>
      <start>0</start>
      <end>2</end>
      <status>unmodified</status>
      <modifiedWord/>
      <trackRevisions>false</trackRevisions>
    </reviewItem>
    <reviewItem>
      <errorID>838e4ecf-222d-49b3-9429-ac14cbb4cd92</errorID>
      <errorWord>，</errorWord>
      <group>L1_Word</group>
      <groupName>字词问题</groupName>
      <ability>L2_Typo</ability>
      <abilityName>字词错误</abilityName>
      <candidateList>
        <item>，对</item>
      </candidateList>
      <explain/>
      <paraID>205D0958</paraID>
      <start>53</start>
      <end>54</end>
      <status>unmodified</status>
      <modifiedWord/>
      <trackRevisions>false</trackRevisions>
    </reviewItem>
    <reviewItem>
      <errorID>ee84b6de-968c-4d7f-9e8a-d8798db432ae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9B9091E</paraID>
      <start>0</start>
      <end>2</end>
      <status>unmodified</status>
      <modifiedWord/>
      <trackRevisions>false</trackRevisions>
    </reviewItem>
    <reviewItem>
      <errorID>db0aa89b-1938-4b31-ac14-c47651500d8a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1C6126B</paraID>
      <start>0</start>
      <end>2</end>
      <status>unmodified</status>
      <modifiedWord/>
      <trackRevisions>false</trackRevisions>
    </reviewItem>
    <reviewItem>
      <errorID>6330502a-1d88-4d31-9601-dea7a672b4d4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36C3C72F</paraID>
      <start>0</start>
      <end>2</end>
      <status>unmodified</status>
      <modifiedWord/>
      <trackRevisions>false</trackRevisions>
    </reviewItem>
    <reviewItem>
      <errorID>c10d07f5-d104-4e05-9f28-7fa950d70e71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516B1F3</paraID>
      <start>0</start>
      <end>2</end>
      <status>unmodified</status>
      <modifiedWord/>
      <trackRevisions>false</trackRevisions>
    </reviewItem>
    <reviewItem>
      <errorID>82a1736a-63e6-47b3-bfab-f8ff7edbff24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20A6AA62</paraID>
      <start>0</start>
      <end>2</end>
      <status>unmodified</status>
      <modifiedWord/>
      <trackRevisions>false</trackRevisions>
    </reviewItem>
    <reviewItem>
      <errorID>9fcc648a-cbce-4628-b548-fc59a84e4061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76E08260</paraID>
      <start>0</start>
      <end>2</end>
      <status>unmodified</status>
      <modifiedWord/>
      <trackRevisions>false</trackRevisions>
    </reviewItem>
    <reviewItem>
      <errorID>f5f4cce7-6326-4607-9022-3f284a5b97e8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47983087</paraID>
      <start>0</start>
      <end>2</end>
      <status>unmodified</status>
      <modifiedWord/>
      <trackRevisions>false</trackRevisions>
    </reviewItem>
    <reviewItem>
      <errorID>a14ecf78-3019-4696-9c62-903492f112b8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5F14447B</paraID>
      <start>0</start>
      <end>2</end>
      <status>unmodified</status>
      <modifiedWord/>
      <trackRevisions>false</trackRevisions>
    </reviewItem>
    <reviewItem>
      <errorID>8ec95253-daca-4f2c-94e7-4befb6c0deaf</errorID>
      <errorWord>[2009]71号</errorWord>
      <group>L1_Knowledge</group>
      <groupName>知识性问题</groupName>
      <ability>L2_Knowledge</ability>
      <abilityName>其他知识</abilityName>
      <candidateList>
        <item>〔2009〕71号</item>
      </candidateList>
      <explain>发文字号格式错误。</explain>
      <paraID>47A640E8</paraID>
      <start>14</start>
      <end>23</end>
      <status>unmodified</status>
      <modifiedWord/>
      <trackRevisions>false</trackRevisions>
    </reviewItem>
    <reviewItem>
      <errorID>400dd2e4-3cad-4727-8072-38c10a0a6273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64FD0602</paraID>
      <start>0</start>
      <end>2</end>
      <status>unmodified</status>
      <modifiedWord/>
      <trackRevisions>false</trackRevisions>
    </reviewItem>
    <reviewItem>
      <errorID>6f0d1b4f-b790-4e82-a8d3-a6b1ea460554</errorID>
      <errorWord>水污染排放</errorWord>
      <group>L1_Knowledge</group>
      <groupName>知识性问题</groupName>
      <ability>L2_Knowledge</ability>
      <abilityName>其他知识</abilityName>
      <candidateList>
        <item>水污染物排放</item>
      </candidateList>
      <explain/>
      <paraID>1950D8A5</paraID>
      <start>3</start>
      <end>8</end>
      <status>unmodified</status>
      <modifiedWord/>
      <trackRevisions>false</trackRevisions>
    </reviewItem>
    <reviewItem>
      <errorID>aa335d46-1c58-4fa0-b1c8-9eccccaa4599</errorID>
      <errorWord>水污染排放</errorWord>
      <group>L1_Knowledge</group>
      <groupName>知识性问题</groupName>
      <ability>L2_Knowledge</ability>
      <abilityName>其他知识</abilityName>
      <candidateList>
        <item>水污染物排放</item>
      </candidateList>
      <explain/>
      <paraID>78D7E8DF</paraID>
      <start>12</start>
      <end>17</end>
      <status>unmodified</status>
      <modifiedWord/>
      <trackRevisions>false</trackRevisions>
    </reviewItem>
    <reviewItem>
      <errorID>5657de6f-aceb-4431-ac2f-48fa8b91d0b1</errorID>
      <errorWord>护措</errorWord>
      <group>L1_Word</group>
      <groupName>字词问题</groupName>
      <ability>L2_Typo</ability>
      <abilityName>字词错误</abilityName>
      <candidateList>
        <item>举措</item>
      </candidateList>
      <explain>存在发音相近字词的误用。</explain>
      <paraID>6998F6B5</paraID>
      <start>0</start>
      <end>2</end>
      <status>unmodified</status>
      <modifiedWord/>
      <trackRevisions>false</trackRevisions>
    </reviewItem>
    <reviewItem>
      <errorID>70797ba3-9b32-41a8-8d65-69dbd5bfab29</errorID>
      <errorWord>程</errorWord>
      <group>L1_Word</group>
      <groupName>字词问题</groupName>
      <ability>L2_Typo</ability>
      <abilityName>字词错误</abilityName>
      <candidateList>
        <item>程中</item>
      </candidateList>
      <explain/>
      <paraID>59778E33</paraID>
      <start>120</start>
      <end>121</end>
      <status>unmodified</status>
      <modifiedWord/>
      <trackRevisions>false</trackRevisions>
    </reviewItem>
    <reviewItem>
      <errorID>b0aa001b-8452-496a-8112-6fd9e33a4595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390990C4</paraID>
      <start>0</start>
      <end>2</end>
      <status>unmodified</status>
      <modifiedWord/>
      <trackRevisions>false</trackRevisions>
    </reviewItem>
    <reviewItem>
      <errorID>c4e5232d-485a-4718-be80-0f4c3ad0607d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57535064</paraID>
      <start>0</start>
      <end>2</end>
      <status>unmodified</status>
      <modifiedWord/>
      <trackRevisions>false</trackRevisions>
    </reviewItem>
    <reviewItem>
      <errorID>35eb45a1-1e84-4be0-8285-bb36b041d916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79D52E8B</paraID>
      <start>0</start>
      <end>2</end>
      <status>unmodified</status>
      <modifiedWord/>
      <trackRevisions>false</trackRevisions>
    </reviewItem>
    <reviewItem>
      <errorID>f2b18c2b-219f-405c-b415-6cad50e91018</errorID>
      <errorWord>如</errorWord>
      <group>L1_Word</group>
      <groupName>字词问题</groupName>
      <ability>L2_Typo</ability>
      <abilityName>字词错误</abilityName>
      <candidateList>
        <item>如下</item>
      </candidateList>
      <explain>〈动〉如同下面所叙述或列举的：列举～｜现将应注意的事情说明～。</explain>
      <paraID>283510BD</paraID>
      <start>37</start>
      <end>38</end>
      <status>unmodified</status>
      <modifiedWord/>
      <trackRevisions>false</trackRevisions>
    </reviewItem>
    <reviewItem>
      <errorID>23c8f0a6-4859-4fe1-bb77-805097007373</errorID>
      <errorWord>（</errorWord>
      <group>L1_Format</group>
      <groupName>格式问题</groupName>
      <ability>L2_HalfPunc</ability>
      <abilityName>全半角检查</abilityName>
      <candidateList>
        <item>(</item>
      </candidateList>
      <explain>文本全半角错误。</explain>
      <paraID>255C7C43</paraID>
      <start>1</start>
      <end>2</end>
      <status>unmodified</status>
      <modifiedWord/>
      <trackRevisions>false</trackRevisions>
    </reviewItem>
    <reviewItem>
      <errorID>2eb0e8bf-2eb9-477e-b423-a1bd49b35776</errorID>
      <errorWord>）</errorWord>
      <group>L1_Format</group>
      <groupName>格式问题</groupName>
      <ability>L2_HalfPunc</ability>
      <abilityName>全半角检查</abilityName>
      <candidateList>
        <item>)</item>
      </candidateList>
      <explain>文本全半角错误。</explain>
      <paraID>255C7C43</paraID>
      <start>7</start>
      <end>8</end>
      <status>unmodified</status>
      <modifiedWord/>
      <trackRevisions>false</trackRevisions>
    </reviewItem>
    <reviewItem>
      <errorID>f873dda7-86d2-4d8a-bea5-9958feac1c19</errorID>
      <errorWord>（</errorWord>
      <group>L1_Format</group>
      <groupName>格式问题</groupName>
      <ability>L2_HalfPunc</ability>
      <abilityName>全半角检查</abilityName>
      <candidateList>
        <item>(</item>
      </candidateList>
      <explain>文本全半角错误。</explain>
      <paraID>31BB3AF8</paraID>
      <start>1</start>
      <end>2</end>
      <status>unmodified</status>
      <modifiedWord/>
      <trackRevisions>false</trackRevisions>
    </reviewItem>
    <reviewItem>
      <errorID>db878186-4b21-485f-8010-f4e21ce21d27</errorID>
      <errorWord>）</errorWord>
      <group>L1_Format</group>
      <groupName>格式问题</groupName>
      <ability>L2_HalfPunc</ability>
      <abilityName>全半角检查</abilityName>
      <candidateList>
        <item>)</item>
      </candidateList>
      <explain>文本全半角错误。</explain>
      <paraID>31BB3AF8</paraID>
      <start>6</start>
      <end>7</end>
      <status>unmodified</status>
      <modifiedWord/>
      <trackRevisions>false</trackRevisions>
    </reviewItem>
    <reviewItem>
      <errorID>1ab23764-7fcd-4b0d-b5d0-46940237728d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35357E73</paraID>
      <start>0</start>
      <end>2</end>
      <status>unmodified</status>
      <modifiedWord/>
      <trackRevisions>false</trackRevisions>
    </reviewItem>
    <reviewItem>
      <errorID>b1bc9566-4808-4722-8136-cd9c5aa0cabe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1CD538ED</paraID>
      <start>0</start>
      <end>2</end>
      <status>unmodified</status>
      <modifiedWord/>
      <trackRevisions>false</trackRevisions>
    </reviewItem>
    <reviewItem>
      <errorID>bd5535c9-8df4-41c1-9972-9febd850aadf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4F80CA9C</paraID>
      <start>0</start>
      <end>2</end>
      <status>unmodified</status>
      <modifiedWord/>
      <trackRevisions>false</trackRevisions>
    </reviewItem>
    <reviewItem>
      <errorID>303f8244-c7f4-4d25-8d12-4776405118ba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657A7016</paraID>
      <start>0</start>
      <end>2</end>
      <status>unmodified</status>
      <modifiedWord/>
      <trackRevisions>false</trackRevisions>
    </reviewItem>
    <reviewItem>
      <errorID>16a06ec2-4452-45bb-b758-b95809d64dcd</errorID>
      <errorWord>50~80%</errorWord>
      <group>L1_Knowledge</group>
      <groupName>知识性问题</groupName>
      <ability>L2_Knowledge</ability>
      <abilityName>其他知识</abilityName>
      <candidateList>
        <item>50%～80%</item>
      </candidateList>
      <explain>1. “50~80%”中的单位“%”仅出现在后一个数字上，容易引起歧义；根据《现代汉语标点符号数字用法规范手册》，数字表示范围两边需要使用统一的格式。2. 根据标点国标 4.13 中的规则，数字、时间或地域连接符应使用（视觉上更长的）“—”或“～”。</explain>
      <paraID>2BA8E35C</paraID>
      <start>153</start>
      <end>159</end>
      <status>unmodified</status>
      <modifiedWord/>
      <trackRevisions>false</trackRevisions>
    </reviewItem>
    <reviewItem>
      <errorID>9fd1fe44-f88d-4c16-8059-7d796b48a113</errorID>
      <errorWord>)</errorWord>
      <group>L1_Format</group>
      <groupName>格式问题</groupName>
      <ability>L2_HalfPunc</ability>
      <abilityName>全半角检查</abilityName>
      <candidateList>
        <item>）</item>
      </candidateList>
      <explain>文本全半角错误。</explain>
      <paraID>7A8642AE</paraID>
      <start>79</start>
      <end>80</end>
      <status>unmodified</status>
      <modifiedWord/>
      <trackRevisions>false</trackRevisions>
    </reviewItem>
    <reviewItem>
      <errorID>7754d544-b23d-4559-a32b-d58108f529a9</errorID>
      <errorWord>)</errorWord>
      <group>L1_Format</group>
      <groupName>格式问题</groupName>
      <ability>L2_HalfPunc</ability>
      <abilityName>全半角检查</abilityName>
      <candidateList>
        <item>）</item>
      </candidateList>
      <explain>文本全半角错误。</explain>
      <paraID>7A8642AE</paraID>
      <start>142</start>
      <end>143</end>
      <status>unmodified</status>
      <modifiedWord/>
      <trackRevisions>false</trackRevisions>
    </reviewItem>
    <reviewItem>
      <errorID>b362c4c9-2eb2-4281-a482-2225451d520e</errorID>
      <errorWord>监测点为</errorWord>
      <group>L1_Knowledge</group>
      <groupName>知识性问题</groupName>
      <ability>L2_Term</ability>
      <abilityName>专业术语</abilityName>
      <candidateList>
        <item>监测点位</item>
      </candidateList>
      <explain/>
      <paraID> 25554F5</paraID>
      <start>5</start>
      <end>9</end>
      <status>unmodified</status>
      <modifiedWord/>
      <trackRevisions>false</trackRevisions>
    </reviewItem>
    <reviewItem>
      <errorID>b0d29173-d5d2-4c3c-a27d-a92094c4cffe</errorID>
      <errorWord>（</errorWord>
      <group>L1_Format</group>
      <groupName>格式问题</groupName>
      <ability>L2_HalfPunc</ability>
      <abilityName>全半角检查</abilityName>
      <candidateList>
        <item>(</item>
      </candidateList>
      <explain>文本全半角错误。</explain>
      <paraID>75679D5F</paraID>
      <start>5</start>
      <end>6</end>
      <status>unmodified</status>
      <modifiedWord/>
      <trackRevisions>false</trackRevisions>
    </reviewItem>
    <reviewItem>
      <errorID>224ec63d-1d65-4689-98ca-10cabb2623b5</errorID>
      <errorWord>）</errorWord>
      <group>L1_Format</group>
      <groupName>格式问题</groupName>
      <ability>L2_HalfPunc</ability>
      <abilityName>全半角检查</abilityName>
      <candidateList>
        <item>)</item>
      </candidateList>
      <explain>文本全半角错误。</explain>
      <paraID>75679D5F</paraID>
      <start>7</start>
      <end>8</end>
      <status>unmodified</status>
      <modifiedWord/>
      <trackRevisions>false</trackRevisions>
    </reviewItem>
    <reviewItem>
      <errorID>52a9945f-8c0e-4e04-9124-f8e1c6b7264b</errorID>
      <errorWord>(</errorWord>
      <group>L1_Format</group>
      <groupName>格式问题</groupName>
      <ability>L2_HalfPunc</ability>
      <abilityName>全半角检查</abilityName>
      <candidateList>
        <item>（</item>
      </candidateList>
      <explain>文本全半角错误。</explain>
      <paraID>39143757</paraID>
      <start>63</start>
      <end>64</end>
      <status>unmodified</status>
      <modifiedWord/>
      <trackRevisions>false</trackRevisions>
    </reviewItem>
    <reviewItem>
      <errorID>37e21407-d340-47ca-a6c0-3a4c86994e16</errorID>
      <errorWord>)</errorWord>
      <group>L1_Format</group>
      <groupName>格式问题</groupName>
      <ability>L2_HalfPunc</ability>
      <abilityName>全半角检查</abilityName>
      <candidateList>
        <item>）</item>
      </candidateList>
      <explain>文本全半角错误。</explain>
      <paraID>39143757</paraID>
      <start>77</start>
      <end>78</end>
      <status>unmodified</status>
      <modifiedWord/>
      <trackRevisions>false</trackRevisions>
    </reviewItem>
    <reviewItem>
      <errorID>ead6ea2e-ddfb-4e40-b407-9d31e32f1e6c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68C709F9</paraID>
      <start>0</start>
      <end>2</end>
      <status>unmodified</status>
      <modifiedWord/>
      <trackRevisions>false</trackRevisions>
    </reviewItem>
    <reviewItem>
      <errorID>e666d704-c7ae-427f-b070-834a24c33ec7</errorID>
      <errorWord>-</errorWord>
      <group>L1_Format</group>
      <groupName>格式问题</groupName>
      <ability>L2_HalfPunc</ability>
      <abilityName>全半角检查</abilityName>
      <candidateList>
        <item>－</item>
      </candidateList>
      <explain>文本全半角错误。</explain>
      <paraID>4AA4387C</paraID>
      <start>5</start>
      <end>6</end>
      <status>unmodified</status>
      <modifiedWord/>
      <trackRevisions>false</trackRevisions>
    </reviewItem>
    <reviewItem>
      <errorID>2240726d-7caa-46c4-a17a-35fbfa3102e2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128987B3</paraID>
      <start>0</start>
      <end>2</end>
      <status>unmodified</status>
      <modifiedWord/>
      <trackRevisions>false</trackRevisions>
    </reviewItem>
    <reviewItem>
      <errorID>6e3fb260-f290-482e-9d52-dfd4bda01c8f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42AA47F6</paraID>
      <start>0</start>
      <end>2</end>
      <status>unmodified</status>
      <modifiedWord/>
      <trackRevisions>false</trackRevisions>
    </reviewItem>
    <reviewItem>
      <errorID>c95914ae-7c80-45e4-ab43-6562a18edf7c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4D6C6D2E</paraID>
      <start>0</start>
      <end>2</end>
      <status>unmodified</status>
      <modifiedWord/>
      <trackRevisions>false</trackRevisions>
    </reviewItem>
    <reviewItem>
      <errorID>45c22f9b-6740-44a9-853d-139c247ad71e</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1628B505</paraID>
      <start>78</start>
      <end>79</end>
      <status>unmodified</status>
      <modifiedWord/>
      <trackRevisions>false</trackRevisions>
    </reviewItem>
    <reviewItem>
      <errorID>6f99cd80-6c14-4c06-9953-639fc7c82365</errorID>
      <errorWord>几率</errorWord>
      <group>L1_Word</group>
      <groupName>字词问题</groupName>
      <ability>L2_Typo</ability>
      <abilityName>字词错误</abilityName>
      <candidateList>
        <item>概率</item>
      </candidateList>
      <explain/>
      <paraID>1628B505</paraID>
      <start>85</start>
      <end>87</end>
      <status>unmodified</status>
      <modifiedWord/>
      <trackRevisions>false</trackRevisions>
    </reviewItem>
    <reviewItem>
      <errorID>f6130bdc-ecab-44c3-bd7a-9dc9ce94760a</errorID>
      <errorWord>减震</errorWord>
      <group>L1_Word</group>
      <groupName>字词问题</groupName>
      <ability>L2_Typo</ability>
      <abilityName>字词错误</abilityName>
      <candidateList>
        <item>减振</item>
      </candidateList>
      <explain>存在发音相同字词的误用。</explain>
      <paraID>35CB9905</paraID>
      <start>10</start>
      <end>12</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f57264-f973-4b8b-8444-4d3bf9cf50d9}">
  <ds:schemaRefs/>
</ds:datastoreItem>
</file>

<file path=customXml/itemProps3.xml><?xml version="1.0" encoding="utf-8"?>
<ds:datastoreItem xmlns:ds="http://schemas.openxmlformats.org/officeDocument/2006/customXml" ds:itemID="{883E7E68-DF99-41BA-978C-304A9610AEE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16811</Words>
  <Characters>18810</Characters>
  <Lines>191</Lines>
  <Paragraphs>53</Paragraphs>
  <TotalTime>2</TotalTime>
  <ScaleCrop>false</ScaleCrop>
  <LinksUpToDate>false</LinksUpToDate>
  <CharactersWithSpaces>18968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2024-04-18T09:45:00Z</dcterms:created>
  <dc:creator>L</dc:creator>
  <cp:lastModifiedBy>6285977</cp:lastModifiedBy>
  <cp:lastPrinted>2023-08-22T01:21:00Z</cp:lastPrinted>
  <dcterms:modified xsi:type="dcterms:W3CDTF">2026-02-03T06:19:41Z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commondata">
    <vt:lpwstr>eyJoZGlkIjoiN2NiZTE1MzIxNmMxZWE0ODNiOTgyODBlOThlYjE3YmUifQ==</vt:lpwstr>
  </property>
  <property fmtid="{D5CDD505-2E9C-101B-9397-08002B2CF9AE}" pid="4" name="ICV">
    <vt:lpwstr>B01AD999D23648EFA75BCD8628D6026A_13</vt:lpwstr>
  </property>
  <property fmtid="{D5CDD505-2E9C-101B-9397-08002B2CF9AE}" pid="5" name="KSOTemplateDocerSaveRecord">
    <vt:lpwstr>eyJoZGlkIjoiZTNiMmJjMGUyMDNhMGI0MjllZTc4OTE3ODRjOTBjMWQiLCJ1c2VySWQiOiI0MTk1NzQ4MDgifQ==</vt:lpwstr>
  </property>
</Properties>
</file>