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17D645">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p>
    <w:p w14:paraId="4B12A37E">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5778500" cy="8164830"/>
            <wp:effectExtent l="0" t="0" r="0" b="1270"/>
            <wp:docPr id="116" name="图片 116"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封面"/>
                    <pic:cNvPicPr>
                      <a:picLocks noChangeAspect="1"/>
                    </pic:cNvPicPr>
                  </pic:nvPicPr>
                  <pic:blipFill>
                    <a:blip r:embed="rId9"/>
                    <a:stretch>
                      <a:fillRect/>
                    </a:stretch>
                  </pic:blipFill>
                  <pic:spPr>
                    <a:xfrm rot="10800000">
                      <a:off x="0" y="0"/>
                      <a:ext cx="5778500" cy="8164830"/>
                    </a:xfrm>
                    <a:prstGeom prst="rect">
                      <a:avLst/>
                    </a:prstGeom>
                  </pic:spPr>
                </pic:pic>
              </a:graphicData>
            </a:graphic>
          </wp:inline>
        </w:drawing>
      </w:r>
    </w:p>
    <w:p w14:paraId="7EA451C3">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p>
    <w:p w14:paraId="0EFDAECC">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r>
        <w:rPr>
          <w:sz w:val="36"/>
        </w:rPr>
        <mc:AlternateContent>
          <mc:Choice Requires="wps">
            <w:drawing>
              <wp:anchor distT="0" distB="0" distL="114300" distR="114300" simplePos="0" relativeHeight="251785216" behindDoc="0" locked="0" layoutInCell="1" allowOverlap="1">
                <wp:simplePos x="0" y="0"/>
                <wp:positionH relativeFrom="column">
                  <wp:posOffset>3814445</wp:posOffset>
                </wp:positionH>
                <wp:positionV relativeFrom="paragraph">
                  <wp:posOffset>5635625</wp:posOffset>
                </wp:positionV>
                <wp:extent cx="1176655" cy="1572260"/>
                <wp:effectExtent l="12700" t="12700" r="17145" b="15240"/>
                <wp:wrapNone/>
                <wp:docPr id="208" name="矩形 208"/>
                <wp:cNvGraphicFramePr/>
                <a:graphic xmlns:a="http://schemas.openxmlformats.org/drawingml/2006/main">
                  <a:graphicData uri="http://schemas.microsoft.com/office/word/2010/wordprocessingShape">
                    <wps:wsp>
                      <wps:cNvSpPr/>
                      <wps:spPr>
                        <a:xfrm>
                          <a:off x="0" y="0"/>
                          <a:ext cx="1176655" cy="15722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35pt;margin-top:443.75pt;height:123.8pt;width:92.65pt;z-index:251785216;v-text-anchor:middle;mso-width-relative:page;mso-height-relative:page;" fillcolor="#4F81BD [3204]" filled="t" stroked="t" coordsize="21600,21600" o:gfxdata="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krFtLaAAAADAEAAA8AAAAAAAAAAQAgAAAA&#10;IgAAAGRycy9kb3ducmV2LnhtbFBLAQIUABQAAAAIAIdO4kDS4zIPewIAAAQFAAAOAAAAAAAAAAEA&#10;IAAAACkBAABkcnMvZTJvRG9jLnhtbFBLBQYAAAAABgAGAFkBAAAWBgAAAAA=&#10;">
                <v:fill on="t" focussize="0,0"/>
                <v:stroke weight="2pt" color="#376092 [2404]" joinstyle="round"/>
                <v:imagedata o:title=""/>
                <o:lock v:ext="edit" aspectratio="f"/>
              </v:rect>
            </w:pict>
          </mc:Fallback>
        </mc:AlternateContent>
      </w:r>
      <w:r>
        <w:rPr>
          <w:sz w:val="36"/>
        </w:rPr>
        <mc:AlternateContent>
          <mc:Choice Requires="wps">
            <w:drawing>
              <wp:anchor distT="0" distB="0" distL="114300" distR="114300" simplePos="0" relativeHeight="251784192" behindDoc="0" locked="0" layoutInCell="1" allowOverlap="1">
                <wp:simplePos x="0" y="0"/>
                <wp:positionH relativeFrom="column">
                  <wp:posOffset>2286000</wp:posOffset>
                </wp:positionH>
                <wp:positionV relativeFrom="paragraph">
                  <wp:posOffset>2766695</wp:posOffset>
                </wp:positionV>
                <wp:extent cx="1651000" cy="1305560"/>
                <wp:effectExtent l="12700" t="12700" r="12700" b="15240"/>
                <wp:wrapNone/>
                <wp:docPr id="8" name="矩形 8"/>
                <wp:cNvGraphicFramePr/>
                <a:graphic xmlns:a="http://schemas.openxmlformats.org/drawingml/2006/main">
                  <a:graphicData uri="http://schemas.microsoft.com/office/word/2010/wordprocessingShape">
                    <wps:wsp>
                      <wps:cNvSpPr/>
                      <wps:spPr>
                        <a:xfrm>
                          <a:off x="2971800" y="3630930"/>
                          <a:ext cx="1651000" cy="13055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pt;margin-top:217.85pt;height:102.8pt;width:130pt;z-index:251784192;v-text-anchor:middle;mso-width-relative:page;mso-height-relative:page;" fillcolor="#4F81BD [3204]" filled="t" stroked="t" coordsize="21600,21600" o:gfxdata="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9VjR8NoAAAALAQAADwAAAAAA&#10;AAABACAAAAAiAAAAZHJzL2Rvd25yZXYueG1sUEsBAhQAFAAAAAgAh07iQNmKgimDAgAADAUAAA4A&#10;AAAAAAAAAQAgAAAAKQEAAGRycy9lMm9Eb2MueG1sUEsFBgAAAAAGAAYAWQEAAB4GA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65850" cy="8725535"/>
            <wp:effectExtent l="0" t="0" r="6350" b="12065"/>
            <wp:docPr id="205" name="图片 205" descr="编制单位和编制人员情况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编制单位和编制人员情况表_01"/>
                    <pic:cNvPicPr>
                      <a:picLocks noChangeAspect="1"/>
                    </pic:cNvPicPr>
                  </pic:nvPicPr>
                  <pic:blipFill>
                    <a:blip r:embed="rId10"/>
                    <a:stretch>
                      <a:fillRect/>
                    </a:stretch>
                  </pic:blipFill>
                  <pic:spPr>
                    <a:xfrm>
                      <a:off x="0" y="0"/>
                      <a:ext cx="6165850" cy="8725535"/>
                    </a:xfrm>
                    <a:prstGeom prst="rect">
                      <a:avLst/>
                    </a:prstGeom>
                  </pic:spPr>
                </pic:pic>
              </a:graphicData>
            </a:graphic>
          </wp:inline>
        </w:drawing>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15" name="图片 215" descr="2026042817414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20260428174142_03"/>
                    <pic:cNvPicPr>
                      <a:picLocks noChangeAspect="1"/>
                    </pic:cNvPicPr>
                  </pic:nvPicPr>
                  <pic:blipFill>
                    <a:blip r:embed="rId11"/>
                    <a:stretch>
                      <a:fillRect/>
                    </a:stretch>
                  </pic:blipFill>
                  <pic:spPr>
                    <a:xfrm>
                      <a:off x="0" y="0"/>
                      <a:ext cx="6171565" cy="8729980"/>
                    </a:xfrm>
                    <a:prstGeom prst="rect">
                      <a:avLst/>
                    </a:prstGeom>
                  </pic:spPr>
                </pic:pic>
              </a:graphicData>
            </a:graphic>
          </wp:inline>
        </w:drawing>
      </w:r>
      <w:r>
        <w:rPr>
          <w:sz w:val="36"/>
        </w:rPr>
        <mc:AlternateContent>
          <mc:Choice Requires="wps">
            <w:drawing>
              <wp:anchor distT="0" distB="0" distL="114300" distR="114300" simplePos="0" relativeHeight="251786240" behindDoc="0" locked="0" layoutInCell="1" allowOverlap="1">
                <wp:simplePos x="0" y="0"/>
                <wp:positionH relativeFrom="column">
                  <wp:posOffset>3513455</wp:posOffset>
                </wp:positionH>
                <wp:positionV relativeFrom="paragraph">
                  <wp:posOffset>4812665</wp:posOffset>
                </wp:positionV>
                <wp:extent cx="1651000" cy="1305560"/>
                <wp:effectExtent l="12700" t="12700" r="12700" b="15240"/>
                <wp:wrapNone/>
                <wp:docPr id="223" name="矩形 223"/>
                <wp:cNvGraphicFramePr/>
                <a:graphic xmlns:a="http://schemas.openxmlformats.org/drawingml/2006/main">
                  <a:graphicData uri="http://schemas.microsoft.com/office/word/2010/wordprocessingShape">
                    <wps:wsp>
                      <wps:cNvSpPr/>
                      <wps:spPr>
                        <a:xfrm>
                          <a:off x="0" y="0"/>
                          <a:ext cx="1651000" cy="13055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6.65pt;margin-top:378.95pt;height:102.8pt;width:130pt;z-index:251786240;v-text-anchor:middle;mso-width-relative:page;mso-height-relative:page;" fillcolor="#4F81BD [3204]" filled="t" stroked="t" coordsize="21600,21600" o:gfxdata="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iKSzvaAAAACwEAAA8AAAAAAAAAAQAgAAAA&#10;IgAAAGRycy9kb3ducmV2LnhtbFBLAQIUABQAAAAIAIdO4kAWPsIbewIAAAQFAAAOAAAAAAAAAAEA&#10;IAAAACkBAABkcnMvZTJvRG9jLnhtbFBLBQYAAAAABgAGAFkBAAAWBg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16" name="图片 216" descr="2026042817414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20260428174142_02"/>
                    <pic:cNvPicPr>
                      <a:picLocks noChangeAspect="1"/>
                    </pic:cNvPicPr>
                  </pic:nvPicPr>
                  <pic:blipFill>
                    <a:blip r:embed="rId12"/>
                    <a:stretch>
                      <a:fillRect/>
                    </a:stretch>
                  </pic:blipFill>
                  <pic:spPr>
                    <a:xfrm>
                      <a:off x="0" y="0"/>
                      <a:ext cx="6171565" cy="8729980"/>
                    </a:xfrm>
                    <a:prstGeom prst="rect">
                      <a:avLst/>
                    </a:prstGeom>
                  </pic:spPr>
                </pic:pic>
              </a:graphicData>
            </a:graphic>
          </wp:inline>
        </w:drawing>
      </w:r>
      <w:r>
        <w:rPr>
          <w:sz w:val="36"/>
        </w:rPr>
        <mc:AlternateContent>
          <mc:Choice Requires="wps">
            <w:drawing>
              <wp:anchor distT="0" distB="0" distL="114300" distR="114300" simplePos="0" relativeHeight="251787264" behindDoc="0" locked="0" layoutInCell="1" allowOverlap="1">
                <wp:simplePos x="0" y="0"/>
                <wp:positionH relativeFrom="column">
                  <wp:posOffset>4149090</wp:posOffset>
                </wp:positionH>
                <wp:positionV relativeFrom="paragraph">
                  <wp:posOffset>1856740</wp:posOffset>
                </wp:positionV>
                <wp:extent cx="1552575" cy="403225"/>
                <wp:effectExtent l="12700" t="12700" r="22225" b="15875"/>
                <wp:wrapNone/>
                <wp:docPr id="224" name="矩形 224"/>
                <wp:cNvGraphicFramePr/>
                <a:graphic xmlns:a="http://schemas.openxmlformats.org/drawingml/2006/main">
                  <a:graphicData uri="http://schemas.microsoft.com/office/word/2010/wordprocessingShape">
                    <wps:wsp>
                      <wps:cNvSpPr/>
                      <wps:spPr>
                        <a:xfrm>
                          <a:off x="0" y="0"/>
                          <a:ext cx="1552575" cy="4032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7pt;margin-top:146.2pt;height:31.75pt;width:122.25pt;z-index:251787264;v-text-anchor:middle;mso-width-relative:page;mso-height-relative:page;" fillcolor="#4F81BD [3204]" filled="t" stroked="t" coordsize="21600,21600" o:gfxdata="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vWSX9wAAAALAQAADwAAAAAAAAABACAA&#10;AAAiAAAAZHJzL2Rvd25yZXYueG1sUEsBAhQAFAAAAAgAh07iQNakjr17AgAAAwUAAA4AAAAAAAAA&#10;AQAgAAAAKwEAAGRycy9lMm9Eb2MueG1sUEsFBgAAAAAGAAYAWQEAABgGA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17" name="图片 217" descr="2026042817414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20260428174142_05"/>
                    <pic:cNvPicPr>
                      <a:picLocks noChangeAspect="1"/>
                    </pic:cNvPicPr>
                  </pic:nvPicPr>
                  <pic:blipFill>
                    <a:blip r:embed="rId13"/>
                    <a:stretch>
                      <a:fillRect/>
                    </a:stretch>
                  </pic:blipFill>
                  <pic:spPr>
                    <a:xfrm>
                      <a:off x="0" y="0"/>
                      <a:ext cx="6171565" cy="8729980"/>
                    </a:xfrm>
                    <a:prstGeom prst="rect">
                      <a:avLst/>
                    </a:prstGeom>
                  </pic:spPr>
                </pic:pic>
              </a:graphicData>
            </a:graphic>
          </wp:inline>
        </w:drawing>
      </w:r>
      <w:r>
        <w:rPr>
          <w:sz w:val="36"/>
        </w:rPr>
        <mc:AlternateContent>
          <mc:Choice Requires="wps">
            <w:drawing>
              <wp:anchor distT="0" distB="0" distL="114300" distR="114300" simplePos="0" relativeHeight="251788288" behindDoc="0" locked="0" layoutInCell="1" allowOverlap="1">
                <wp:simplePos x="0" y="0"/>
                <wp:positionH relativeFrom="column">
                  <wp:posOffset>4149090</wp:posOffset>
                </wp:positionH>
                <wp:positionV relativeFrom="paragraph">
                  <wp:posOffset>1856740</wp:posOffset>
                </wp:positionV>
                <wp:extent cx="1552575" cy="403225"/>
                <wp:effectExtent l="12700" t="12700" r="22225" b="15875"/>
                <wp:wrapNone/>
                <wp:docPr id="225" name="矩形 225"/>
                <wp:cNvGraphicFramePr/>
                <a:graphic xmlns:a="http://schemas.openxmlformats.org/drawingml/2006/main">
                  <a:graphicData uri="http://schemas.microsoft.com/office/word/2010/wordprocessingShape">
                    <wps:wsp>
                      <wps:cNvSpPr/>
                      <wps:spPr>
                        <a:xfrm>
                          <a:off x="0" y="0"/>
                          <a:ext cx="1552575" cy="4032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7pt;margin-top:146.2pt;height:31.75pt;width:122.25pt;z-index:251788288;v-text-anchor:middle;mso-width-relative:page;mso-height-relative:page;" fillcolor="#4F81BD [3204]" filled="t" stroked="t" coordsize="21600,21600" o:gfxdata="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b1kl/cAAAACwEAAA8AAAAAAAAAAQAgAAAA&#10;IgAAAGRycy9kb3ducmV2LnhtbFBLAQIUABQAAAAIAIdO4kBD+0DLeQIAAAMFAAAOAAAAAAAAAAEA&#10;IAAAACsBAABkcnMvZTJvRG9jLnhtbFBLBQYAAAAABgAGAFkBAAAWBg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18" name="图片 218" descr="2026042817414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20260428174142_06"/>
                    <pic:cNvPicPr>
                      <a:picLocks noChangeAspect="1"/>
                    </pic:cNvPicPr>
                  </pic:nvPicPr>
                  <pic:blipFill>
                    <a:blip r:embed="rId14"/>
                    <a:stretch>
                      <a:fillRect/>
                    </a:stretch>
                  </pic:blipFill>
                  <pic:spPr>
                    <a:xfrm>
                      <a:off x="0" y="0"/>
                      <a:ext cx="6171565" cy="8729980"/>
                    </a:xfrm>
                    <a:prstGeom prst="rect">
                      <a:avLst/>
                    </a:prstGeom>
                  </pic:spPr>
                </pic:pic>
              </a:graphicData>
            </a:graphic>
          </wp:inline>
        </w:drawing>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19" name="图片 219" descr="2026042817414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20260428174142_01"/>
                    <pic:cNvPicPr>
                      <a:picLocks noChangeAspect="1"/>
                    </pic:cNvPicPr>
                  </pic:nvPicPr>
                  <pic:blipFill>
                    <a:blip r:embed="rId15"/>
                    <a:stretch>
                      <a:fillRect/>
                    </a:stretch>
                  </pic:blipFill>
                  <pic:spPr>
                    <a:xfrm>
                      <a:off x="0" y="0"/>
                      <a:ext cx="6171565" cy="8729980"/>
                    </a:xfrm>
                    <a:prstGeom prst="rect">
                      <a:avLst/>
                    </a:prstGeom>
                  </pic:spPr>
                </pic:pic>
              </a:graphicData>
            </a:graphic>
          </wp:inline>
        </w:drawing>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20" name="图片 220" descr="2026042817414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20260428174142_04"/>
                    <pic:cNvPicPr>
                      <a:picLocks noChangeAspect="1"/>
                    </pic:cNvPicPr>
                  </pic:nvPicPr>
                  <pic:blipFill>
                    <a:blip r:embed="rId16"/>
                    <a:stretch>
                      <a:fillRect/>
                    </a:stretch>
                  </pic:blipFill>
                  <pic:spPr>
                    <a:xfrm>
                      <a:off x="0" y="0"/>
                      <a:ext cx="6171565" cy="8729980"/>
                    </a:xfrm>
                    <a:prstGeom prst="rect">
                      <a:avLst/>
                    </a:prstGeom>
                  </pic:spPr>
                </pic:pic>
              </a:graphicData>
            </a:graphic>
          </wp:inline>
        </w:drawing>
      </w:r>
      <w:r>
        <w:rPr>
          <w:sz w:val="36"/>
        </w:rPr>
        <mc:AlternateContent>
          <mc:Choice Requires="wps">
            <w:drawing>
              <wp:anchor distT="0" distB="0" distL="114300" distR="114300" simplePos="0" relativeHeight="251790336" behindDoc="0" locked="0" layoutInCell="1" allowOverlap="1">
                <wp:simplePos x="0" y="0"/>
                <wp:positionH relativeFrom="column">
                  <wp:posOffset>4050665</wp:posOffset>
                </wp:positionH>
                <wp:positionV relativeFrom="paragraph">
                  <wp:posOffset>6682740</wp:posOffset>
                </wp:positionV>
                <wp:extent cx="1552575" cy="403225"/>
                <wp:effectExtent l="12700" t="12700" r="22225" b="15875"/>
                <wp:wrapNone/>
                <wp:docPr id="227" name="矩形 227"/>
                <wp:cNvGraphicFramePr/>
                <a:graphic xmlns:a="http://schemas.openxmlformats.org/drawingml/2006/main">
                  <a:graphicData uri="http://schemas.microsoft.com/office/word/2010/wordprocessingShape">
                    <wps:wsp>
                      <wps:cNvSpPr/>
                      <wps:spPr>
                        <a:xfrm>
                          <a:off x="0" y="0"/>
                          <a:ext cx="1552575" cy="4032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8.95pt;margin-top:526.2pt;height:31.75pt;width:122.25pt;z-index:251790336;v-text-anchor:middle;mso-width-relative:page;mso-height-relative:page;" fillcolor="#4F81BD [3204]" filled="t" stroked="t" coordsize="21600,21600" o:gfxdata="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McCgjcAAAADQEAAA8AAAAAAAAAAQAg&#10;AAAAIgAAAGRycy9kb3ducmV2LnhtbFBLAQIUABQAAAAIAIdO4kBpRNwmfAIAAAMFAAAOAAAAAAAA&#10;AAEAIAAAACsBAABkcnMvZTJvRG9jLnhtbFBLBQYAAAAABgAGAFkBAAAZBg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68390" cy="8724265"/>
            <wp:effectExtent l="0" t="0" r="3810" b="635"/>
            <wp:docPr id="221" name="图片 221" descr="5-编制人员承诺书--陈展明_扫描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5-编制人员承诺书--陈展明_扫描版_01"/>
                    <pic:cNvPicPr>
                      <a:picLocks noChangeAspect="1"/>
                    </pic:cNvPicPr>
                  </pic:nvPicPr>
                  <pic:blipFill>
                    <a:blip r:embed="rId17"/>
                    <a:stretch>
                      <a:fillRect/>
                    </a:stretch>
                  </pic:blipFill>
                  <pic:spPr>
                    <a:xfrm>
                      <a:off x="0" y="0"/>
                      <a:ext cx="6168390" cy="8724265"/>
                    </a:xfrm>
                    <a:prstGeom prst="rect">
                      <a:avLst/>
                    </a:prstGeom>
                  </pic:spPr>
                </pic:pic>
              </a:graphicData>
            </a:graphic>
          </wp:inline>
        </w:drawing>
      </w:r>
      <w:r>
        <w:rPr>
          <w:sz w:val="36"/>
        </w:rPr>
        <mc:AlternateContent>
          <mc:Choice Requires="wps">
            <w:drawing>
              <wp:anchor distT="0" distB="0" distL="114300" distR="114300" simplePos="0" relativeHeight="251789312" behindDoc="0" locked="0" layoutInCell="1" allowOverlap="1">
                <wp:simplePos x="0" y="0"/>
                <wp:positionH relativeFrom="column">
                  <wp:posOffset>4142105</wp:posOffset>
                </wp:positionH>
                <wp:positionV relativeFrom="paragraph">
                  <wp:posOffset>6160770</wp:posOffset>
                </wp:positionV>
                <wp:extent cx="1552575" cy="403225"/>
                <wp:effectExtent l="12700" t="12700" r="22225" b="15875"/>
                <wp:wrapNone/>
                <wp:docPr id="226" name="矩形 226"/>
                <wp:cNvGraphicFramePr/>
                <a:graphic xmlns:a="http://schemas.openxmlformats.org/drawingml/2006/main">
                  <a:graphicData uri="http://schemas.microsoft.com/office/word/2010/wordprocessingShape">
                    <wps:wsp>
                      <wps:cNvSpPr/>
                      <wps:spPr>
                        <a:xfrm>
                          <a:off x="0" y="0"/>
                          <a:ext cx="1552575" cy="4032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15pt;margin-top:485.1pt;height:31.75pt;width:122.25pt;z-index:251789312;v-text-anchor:middle;mso-width-relative:page;mso-height-relative:page;" fillcolor="#4F81BD [3204]" filled="t" stroked="t" coordsize="21600,21600" o:gfxdata="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15LpsdsAAAAMAQAADwAAAAAAAAABACAA&#10;AAAiAAAAZHJzL2Rvd25yZXYueG1sUEsBAhQAFAAAAAgAh07iQPwbElB8AgAAAwUAAA4AAAAAAAAA&#10;AQAgAAAAKgEAAGRycy9lMm9Eb2MueG1sUEsFBgAAAAAGAAYAWQEAABgGAAAAAA==&#10;">
                <v:fill on="t" focussize="0,0"/>
                <v:stroke weight="2pt" color="#376092 [2404]" joinstyle="round"/>
                <v:imagedata o:title=""/>
                <o:lock v:ext="edit" aspectratio="f"/>
              </v:rect>
            </w:pict>
          </mc:Fallback>
        </mc:AlternateContent>
      </w:r>
      <w:r>
        <w:rPr>
          <w:rFonts w:hint="eastAsia" w:ascii="Times New Roman" w:hAnsi="Times New Roman" w:eastAsia="楷体_GB2312" w:cs="Times New Roman"/>
          <w:b/>
          <w:bCs/>
          <w:color w:val="000000" w:themeColor="text1"/>
          <w:sz w:val="36"/>
          <w:szCs w:val="36"/>
          <w:highlight w:val="none"/>
          <w:lang w:eastAsia="zh-CN"/>
          <w14:textFill>
            <w14:solidFill>
              <w14:schemeClr w14:val="tx1"/>
            </w14:solidFill>
          </w14:textFill>
        </w:rPr>
        <w:drawing>
          <wp:inline distT="0" distB="0" distL="114300" distR="114300">
            <wp:extent cx="6171565" cy="8729980"/>
            <wp:effectExtent l="0" t="0" r="635" b="7620"/>
            <wp:docPr id="222" name="图片 222" descr="2026042817414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20260428174142_07"/>
                    <pic:cNvPicPr>
                      <a:picLocks noChangeAspect="1"/>
                    </pic:cNvPicPr>
                  </pic:nvPicPr>
                  <pic:blipFill>
                    <a:blip r:embed="rId18"/>
                    <a:stretch>
                      <a:fillRect/>
                    </a:stretch>
                  </pic:blipFill>
                  <pic:spPr>
                    <a:xfrm>
                      <a:off x="0" y="0"/>
                      <a:ext cx="6171565" cy="8729980"/>
                    </a:xfrm>
                    <a:prstGeom prst="rect">
                      <a:avLst/>
                    </a:prstGeom>
                  </pic:spPr>
                </pic:pic>
              </a:graphicData>
            </a:graphic>
          </wp:inline>
        </w:drawing>
      </w:r>
    </w:p>
    <w:p w14:paraId="3BB9F7F3">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p>
    <w:p w14:paraId="6B72899F">
      <w:pPr>
        <w:adjustRightInd w:val="0"/>
        <w:snapToGrid w:val="0"/>
        <w:spacing w:line="360" w:lineRule="auto"/>
        <w:jc w:val="cente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pPr>
      <w:r>
        <w:rPr>
          <w:rFonts w:hint="default" w:ascii="Times New Roman" w:hAnsi="Times New Roman" w:eastAsia="楷体_GB2312" w:cs="Times New Roman"/>
          <w:b/>
          <w:bCs/>
          <w:color w:val="000000" w:themeColor="text1"/>
          <w:sz w:val="36"/>
          <w:szCs w:val="36"/>
          <w:highlight w:val="none"/>
          <w14:textFill>
            <w14:solidFill>
              <w14:schemeClr w14:val="tx1"/>
            </w14:solidFill>
          </w14:textFill>
        </w:rPr>
        <w:t>目录</w:t>
      </w:r>
    </w:p>
    <w:p w14:paraId="3ADE690D">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color w:val="000000" w:themeColor="text1"/>
          <w:sz w:val="24"/>
          <w:szCs w:val="24"/>
          <w:highlight w:val="none"/>
          <w14:textFill>
            <w14:solidFill>
              <w14:schemeClr w14:val="tx1"/>
            </w14:solidFill>
          </w14:textFill>
        </w:rPr>
        <w:instrText xml:space="preserve"> TOC \o "1-2" \h \z \u </w:instrText>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_Toc30955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一、建设项目基本情况</w:t>
      </w:r>
      <w:r>
        <w:rPr>
          <w:sz w:val="24"/>
          <w:szCs w:val="24"/>
        </w:rPr>
        <w:tab/>
      </w:r>
      <w:r>
        <w:rPr>
          <w:sz w:val="24"/>
          <w:szCs w:val="24"/>
        </w:rPr>
        <w:fldChar w:fldCharType="begin"/>
      </w:r>
      <w:r>
        <w:rPr>
          <w:sz w:val="24"/>
          <w:szCs w:val="24"/>
        </w:rPr>
        <w:instrText xml:space="preserve"> PAGEREF _Toc30955 \h </w:instrText>
      </w:r>
      <w:r>
        <w:rPr>
          <w:sz w:val="24"/>
          <w:szCs w:val="24"/>
        </w:rPr>
        <w:fldChar w:fldCharType="separate"/>
      </w:r>
      <w:r>
        <w:rPr>
          <w:sz w:val="24"/>
          <w:szCs w:val="24"/>
        </w:rPr>
        <w:t>1</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47191C89">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_Toc20473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napToGrid w:val="0"/>
          <w:sz w:val="24"/>
          <w:szCs w:val="24"/>
          <w:highlight w:val="none"/>
        </w:rPr>
        <w:t>二、建设项目工程分析</w:t>
      </w:r>
      <w:r>
        <w:rPr>
          <w:sz w:val="24"/>
          <w:szCs w:val="24"/>
        </w:rPr>
        <w:tab/>
      </w:r>
      <w:r>
        <w:rPr>
          <w:sz w:val="24"/>
          <w:szCs w:val="24"/>
        </w:rPr>
        <w:fldChar w:fldCharType="begin"/>
      </w:r>
      <w:r>
        <w:rPr>
          <w:sz w:val="24"/>
          <w:szCs w:val="24"/>
        </w:rPr>
        <w:instrText xml:space="preserve"> PAGEREF _Toc20473 \h </w:instrText>
      </w:r>
      <w:r>
        <w:rPr>
          <w:sz w:val="24"/>
          <w:szCs w:val="24"/>
        </w:rPr>
        <w:fldChar w:fldCharType="separate"/>
      </w:r>
      <w:r>
        <w:rPr>
          <w:sz w:val="24"/>
          <w:szCs w:val="24"/>
        </w:rPr>
        <w:t>15</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509E1E9D">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_Toc16223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napToGrid w:val="0"/>
          <w:sz w:val="24"/>
          <w:szCs w:val="24"/>
          <w:highlight w:val="none"/>
        </w:rPr>
        <w:t>三、区域环境质量现状、环境保护目标及评价标准</w:t>
      </w:r>
      <w:r>
        <w:rPr>
          <w:sz w:val="24"/>
          <w:szCs w:val="24"/>
        </w:rPr>
        <w:tab/>
      </w:r>
      <w:r>
        <w:rPr>
          <w:sz w:val="24"/>
          <w:szCs w:val="24"/>
        </w:rPr>
        <w:fldChar w:fldCharType="begin"/>
      </w:r>
      <w:r>
        <w:rPr>
          <w:sz w:val="24"/>
          <w:szCs w:val="24"/>
        </w:rPr>
        <w:instrText xml:space="preserve"> PAGEREF _Toc16223 \h </w:instrText>
      </w:r>
      <w:r>
        <w:rPr>
          <w:sz w:val="24"/>
          <w:szCs w:val="24"/>
        </w:rPr>
        <w:fldChar w:fldCharType="separate"/>
      </w:r>
      <w:r>
        <w:rPr>
          <w:sz w:val="24"/>
          <w:szCs w:val="24"/>
        </w:rPr>
        <w:t>29</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DA49BC2">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_Toc15343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napToGrid w:val="0"/>
          <w:sz w:val="24"/>
          <w:szCs w:val="24"/>
          <w:highlight w:val="none"/>
        </w:rPr>
        <w:t>四、主要环境影响和保护措施</w:t>
      </w:r>
      <w:r>
        <w:rPr>
          <w:sz w:val="24"/>
          <w:szCs w:val="24"/>
        </w:rPr>
        <w:tab/>
      </w:r>
      <w:r>
        <w:rPr>
          <w:sz w:val="24"/>
          <w:szCs w:val="24"/>
        </w:rPr>
        <w:fldChar w:fldCharType="begin"/>
      </w:r>
      <w:r>
        <w:rPr>
          <w:sz w:val="24"/>
          <w:szCs w:val="24"/>
        </w:rPr>
        <w:instrText xml:space="preserve"> PAGEREF _Toc15343 \h </w:instrText>
      </w:r>
      <w:r>
        <w:rPr>
          <w:sz w:val="24"/>
          <w:szCs w:val="24"/>
        </w:rPr>
        <w:fldChar w:fldCharType="separate"/>
      </w:r>
      <w:r>
        <w:rPr>
          <w:sz w:val="24"/>
          <w:szCs w:val="24"/>
        </w:rPr>
        <w:t>36</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736482FD">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_Toc11434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napToGrid w:val="0"/>
          <w:sz w:val="24"/>
          <w:szCs w:val="24"/>
          <w:highlight w:val="none"/>
        </w:rPr>
        <w:t>五、环境保护措施监督检查清单</w:t>
      </w:r>
      <w:r>
        <w:rPr>
          <w:sz w:val="24"/>
          <w:szCs w:val="24"/>
        </w:rPr>
        <w:tab/>
      </w:r>
      <w:r>
        <w:rPr>
          <w:sz w:val="24"/>
          <w:szCs w:val="24"/>
        </w:rPr>
        <w:fldChar w:fldCharType="begin"/>
      </w:r>
      <w:r>
        <w:rPr>
          <w:sz w:val="24"/>
          <w:szCs w:val="24"/>
        </w:rPr>
        <w:instrText xml:space="preserve"> PAGEREF _Toc11434 \h </w:instrText>
      </w:r>
      <w:r>
        <w:rPr>
          <w:sz w:val="24"/>
          <w:szCs w:val="24"/>
        </w:rPr>
        <w:fldChar w:fldCharType="separate"/>
      </w:r>
      <w:r>
        <w:rPr>
          <w:sz w:val="24"/>
          <w:szCs w:val="24"/>
        </w:rPr>
        <w:t>71</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06160174">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_Toc4906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napToGrid w:val="0"/>
          <w:sz w:val="24"/>
          <w:szCs w:val="24"/>
          <w:highlight w:val="none"/>
        </w:rPr>
        <w:t>六、结论</w:t>
      </w:r>
      <w:r>
        <w:rPr>
          <w:sz w:val="24"/>
          <w:szCs w:val="24"/>
        </w:rPr>
        <w:tab/>
      </w:r>
      <w:r>
        <w:rPr>
          <w:sz w:val="24"/>
          <w:szCs w:val="24"/>
        </w:rPr>
        <w:fldChar w:fldCharType="begin"/>
      </w:r>
      <w:r>
        <w:rPr>
          <w:sz w:val="24"/>
          <w:szCs w:val="24"/>
        </w:rPr>
        <w:instrText xml:space="preserve"> PAGEREF _Toc4906 \h </w:instrText>
      </w:r>
      <w:r>
        <w:rPr>
          <w:sz w:val="24"/>
          <w:szCs w:val="24"/>
        </w:rPr>
        <w:fldChar w:fldCharType="separate"/>
      </w:r>
      <w:r>
        <w:rPr>
          <w:sz w:val="24"/>
          <w:szCs w:val="24"/>
        </w:rPr>
        <w:t>75</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2AD82F8E">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_Toc12741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附表</w:t>
      </w:r>
      <w:r>
        <w:rPr>
          <w:sz w:val="24"/>
          <w:szCs w:val="24"/>
        </w:rPr>
        <w:tab/>
      </w:r>
      <w:r>
        <w:rPr>
          <w:sz w:val="24"/>
          <w:szCs w:val="24"/>
        </w:rPr>
        <w:fldChar w:fldCharType="begin"/>
      </w:r>
      <w:r>
        <w:rPr>
          <w:sz w:val="24"/>
          <w:szCs w:val="24"/>
        </w:rPr>
        <w:instrText xml:space="preserve"> PAGEREF _Toc12741 \h </w:instrText>
      </w:r>
      <w:r>
        <w:rPr>
          <w:sz w:val="24"/>
          <w:szCs w:val="24"/>
        </w:rPr>
        <w:fldChar w:fldCharType="separate"/>
      </w:r>
      <w:r>
        <w:rPr>
          <w:sz w:val="24"/>
          <w:szCs w:val="24"/>
        </w:rPr>
        <w:t>76</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5AC7D2CF">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_Toc11023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附图1项目地理位置图</w:t>
      </w:r>
      <w:r>
        <w:rPr>
          <w:sz w:val="24"/>
          <w:szCs w:val="24"/>
        </w:rPr>
        <w:tab/>
      </w:r>
      <w:r>
        <w:rPr>
          <w:sz w:val="24"/>
          <w:szCs w:val="24"/>
        </w:rPr>
        <w:fldChar w:fldCharType="begin"/>
      </w:r>
      <w:r>
        <w:rPr>
          <w:sz w:val="24"/>
          <w:szCs w:val="24"/>
        </w:rPr>
        <w:instrText xml:space="preserve"> PAGEREF _Toc11023 \h </w:instrText>
      </w:r>
      <w:r>
        <w:rPr>
          <w:sz w:val="24"/>
          <w:szCs w:val="24"/>
        </w:rPr>
        <w:fldChar w:fldCharType="separate"/>
      </w:r>
      <w:r>
        <w:rPr>
          <w:sz w:val="24"/>
          <w:szCs w:val="24"/>
        </w:rPr>
        <w:t>78</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352F1387">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_Toc7567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附图2项目卫星四至情况图</w:t>
      </w:r>
      <w:r>
        <w:rPr>
          <w:sz w:val="24"/>
          <w:szCs w:val="24"/>
        </w:rPr>
        <w:tab/>
      </w:r>
      <w:r>
        <w:rPr>
          <w:sz w:val="24"/>
          <w:szCs w:val="24"/>
        </w:rPr>
        <w:fldChar w:fldCharType="begin"/>
      </w:r>
      <w:r>
        <w:rPr>
          <w:sz w:val="24"/>
          <w:szCs w:val="24"/>
        </w:rPr>
        <w:instrText xml:space="preserve"> PAGEREF _Toc7567 \h </w:instrText>
      </w:r>
      <w:r>
        <w:rPr>
          <w:sz w:val="24"/>
          <w:szCs w:val="24"/>
        </w:rPr>
        <w:fldChar w:fldCharType="separate"/>
      </w:r>
      <w:r>
        <w:rPr>
          <w:sz w:val="24"/>
          <w:szCs w:val="24"/>
        </w:rPr>
        <w:t>79</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7479F484">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_Toc20968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附图3项目总平面布置图</w:t>
      </w:r>
      <w:r>
        <w:rPr>
          <w:sz w:val="24"/>
          <w:szCs w:val="24"/>
        </w:rPr>
        <w:tab/>
      </w:r>
      <w:r>
        <w:rPr>
          <w:sz w:val="24"/>
          <w:szCs w:val="24"/>
        </w:rPr>
        <w:fldChar w:fldCharType="begin"/>
      </w:r>
      <w:r>
        <w:rPr>
          <w:sz w:val="24"/>
          <w:szCs w:val="24"/>
        </w:rPr>
        <w:instrText xml:space="preserve"> PAGEREF _Toc20968 \h </w:instrText>
      </w:r>
      <w:r>
        <w:rPr>
          <w:sz w:val="24"/>
          <w:szCs w:val="24"/>
        </w:rPr>
        <w:fldChar w:fldCharType="separate"/>
      </w:r>
      <w:r>
        <w:rPr>
          <w:sz w:val="24"/>
          <w:szCs w:val="24"/>
        </w:rPr>
        <w:t>80</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354CCFFA">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_Toc23683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4敏感点分布图</w:t>
      </w:r>
      <w:r>
        <w:rPr>
          <w:sz w:val="24"/>
          <w:szCs w:val="24"/>
        </w:rPr>
        <w:tab/>
      </w:r>
      <w:r>
        <w:rPr>
          <w:sz w:val="24"/>
          <w:szCs w:val="24"/>
        </w:rPr>
        <w:fldChar w:fldCharType="begin"/>
      </w:r>
      <w:r>
        <w:rPr>
          <w:sz w:val="24"/>
          <w:szCs w:val="24"/>
        </w:rPr>
        <w:instrText xml:space="preserve"> PAGEREF _Toc23683 \h </w:instrText>
      </w:r>
      <w:r>
        <w:rPr>
          <w:sz w:val="24"/>
          <w:szCs w:val="24"/>
        </w:rPr>
        <w:fldChar w:fldCharType="separate"/>
      </w:r>
      <w:r>
        <w:rPr>
          <w:sz w:val="24"/>
          <w:szCs w:val="24"/>
        </w:rPr>
        <w:t>84</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00D7794A">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_Toc9267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建设项目土地利用规划图</w:t>
      </w:r>
      <w:r>
        <w:rPr>
          <w:sz w:val="24"/>
          <w:szCs w:val="24"/>
        </w:rPr>
        <w:tab/>
      </w:r>
      <w:r>
        <w:rPr>
          <w:sz w:val="24"/>
          <w:szCs w:val="24"/>
        </w:rPr>
        <w:fldChar w:fldCharType="begin"/>
      </w:r>
      <w:r>
        <w:rPr>
          <w:sz w:val="24"/>
          <w:szCs w:val="24"/>
        </w:rPr>
        <w:instrText xml:space="preserve"> PAGEREF _Toc9267 \h </w:instrText>
      </w:r>
      <w:r>
        <w:rPr>
          <w:sz w:val="24"/>
          <w:szCs w:val="24"/>
        </w:rPr>
        <w:fldChar w:fldCharType="separate"/>
      </w:r>
      <w:r>
        <w:rPr>
          <w:sz w:val="24"/>
          <w:szCs w:val="24"/>
        </w:rPr>
        <w:t>85</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5A757768">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_Toc15183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水环境功能区划图</w:t>
      </w:r>
      <w:r>
        <w:rPr>
          <w:sz w:val="24"/>
          <w:szCs w:val="24"/>
        </w:rPr>
        <w:tab/>
      </w:r>
      <w:r>
        <w:rPr>
          <w:sz w:val="24"/>
          <w:szCs w:val="24"/>
        </w:rPr>
        <w:fldChar w:fldCharType="begin"/>
      </w:r>
      <w:r>
        <w:rPr>
          <w:sz w:val="24"/>
          <w:szCs w:val="24"/>
        </w:rPr>
        <w:instrText xml:space="preserve"> PAGEREF _Toc15183 \h </w:instrText>
      </w:r>
      <w:r>
        <w:rPr>
          <w:sz w:val="24"/>
          <w:szCs w:val="24"/>
        </w:rPr>
        <w:fldChar w:fldCharType="separate"/>
      </w:r>
      <w:r>
        <w:rPr>
          <w:sz w:val="24"/>
          <w:szCs w:val="24"/>
        </w:rPr>
        <w:t>86</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387560D4">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_Toc32102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lang w:eastAsia="zh-CN"/>
        </w:rPr>
        <w:t>大气环境功能区划图</w:t>
      </w:r>
      <w:r>
        <w:rPr>
          <w:sz w:val="24"/>
          <w:szCs w:val="24"/>
        </w:rPr>
        <w:tab/>
      </w:r>
      <w:r>
        <w:rPr>
          <w:sz w:val="24"/>
          <w:szCs w:val="24"/>
        </w:rPr>
        <w:fldChar w:fldCharType="begin"/>
      </w:r>
      <w:r>
        <w:rPr>
          <w:sz w:val="24"/>
          <w:szCs w:val="24"/>
        </w:rPr>
        <w:instrText xml:space="preserve"> PAGEREF _Toc32102 \h </w:instrText>
      </w:r>
      <w:r>
        <w:rPr>
          <w:sz w:val="24"/>
          <w:szCs w:val="24"/>
        </w:rPr>
        <w:fldChar w:fldCharType="separate"/>
      </w:r>
      <w:r>
        <w:rPr>
          <w:sz w:val="24"/>
          <w:szCs w:val="24"/>
        </w:rPr>
        <w:t>87</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5A009A52">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_Toc27402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lang w:eastAsia="zh-CN"/>
        </w:rPr>
        <w:t>声环境功能区划图</w:t>
      </w:r>
      <w:r>
        <w:rPr>
          <w:sz w:val="24"/>
          <w:szCs w:val="24"/>
        </w:rPr>
        <w:tab/>
      </w:r>
      <w:r>
        <w:rPr>
          <w:sz w:val="24"/>
          <w:szCs w:val="24"/>
        </w:rPr>
        <w:fldChar w:fldCharType="begin"/>
      </w:r>
      <w:r>
        <w:rPr>
          <w:sz w:val="24"/>
          <w:szCs w:val="24"/>
        </w:rPr>
        <w:instrText xml:space="preserve"> PAGEREF _Toc27402 \h </w:instrText>
      </w:r>
      <w:r>
        <w:rPr>
          <w:sz w:val="24"/>
          <w:szCs w:val="24"/>
        </w:rPr>
        <w:fldChar w:fldCharType="separate"/>
      </w:r>
      <w:r>
        <w:rPr>
          <w:sz w:val="24"/>
          <w:szCs w:val="24"/>
        </w:rPr>
        <w:t>88</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EB00A32">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_Toc26578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eastAsia="zh-CN"/>
        </w:rPr>
        <w:t>生态红线分布图</w:t>
      </w:r>
      <w:r>
        <w:rPr>
          <w:sz w:val="24"/>
          <w:szCs w:val="24"/>
        </w:rPr>
        <w:tab/>
      </w:r>
      <w:r>
        <w:rPr>
          <w:sz w:val="24"/>
          <w:szCs w:val="24"/>
        </w:rPr>
        <w:fldChar w:fldCharType="begin"/>
      </w:r>
      <w:r>
        <w:rPr>
          <w:sz w:val="24"/>
          <w:szCs w:val="24"/>
        </w:rPr>
        <w:instrText xml:space="preserve"> PAGEREF _Toc26578 \h </w:instrText>
      </w:r>
      <w:r>
        <w:rPr>
          <w:sz w:val="24"/>
          <w:szCs w:val="24"/>
        </w:rPr>
        <w:fldChar w:fldCharType="separate"/>
      </w:r>
      <w:r>
        <w:rPr>
          <w:sz w:val="24"/>
          <w:szCs w:val="24"/>
        </w:rPr>
        <w:t>89</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74225C8D">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_Toc15376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lang w:eastAsia="zh-CN"/>
        </w:rPr>
        <w:t>水环境管控单元图</w:t>
      </w:r>
      <w:r>
        <w:rPr>
          <w:sz w:val="24"/>
          <w:szCs w:val="24"/>
        </w:rPr>
        <w:tab/>
      </w:r>
      <w:r>
        <w:rPr>
          <w:sz w:val="24"/>
          <w:szCs w:val="24"/>
        </w:rPr>
        <w:fldChar w:fldCharType="begin"/>
      </w:r>
      <w:r>
        <w:rPr>
          <w:sz w:val="24"/>
          <w:szCs w:val="24"/>
        </w:rPr>
        <w:instrText xml:space="preserve"> PAGEREF _Toc15376 \h </w:instrText>
      </w:r>
      <w:r>
        <w:rPr>
          <w:sz w:val="24"/>
          <w:szCs w:val="24"/>
        </w:rPr>
        <w:fldChar w:fldCharType="separate"/>
      </w:r>
      <w:r>
        <w:rPr>
          <w:sz w:val="24"/>
          <w:szCs w:val="24"/>
        </w:rPr>
        <w:t>90</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63353C4">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_Toc19588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eastAsia="zh-CN"/>
        </w:rPr>
        <w:t>大气环境管控单元图</w:t>
      </w:r>
      <w:r>
        <w:rPr>
          <w:sz w:val="24"/>
          <w:szCs w:val="24"/>
        </w:rPr>
        <w:tab/>
      </w:r>
      <w:r>
        <w:rPr>
          <w:sz w:val="24"/>
          <w:szCs w:val="24"/>
        </w:rPr>
        <w:fldChar w:fldCharType="begin"/>
      </w:r>
      <w:r>
        <w:rPr>
          <w:sz w:val="24"/>
          <w:szCs w:val="24"/>
        </w:rPr>
        <w:instrText xml:space="preserve"> PAGEREF _Toc19588 \h </w:instrText>
      </w:r>
      <w:r>
        <w:rPr>
          <w:sz w:val="24"/>
          <w:szCs w:val="24"/>
        </w:rPr>
        <w:fldChar w:fldCharType="separate"/>
      </w:r>
      <w:r>
        <w:rPr>
          <w:sz w:val="24"/>
          <w:szCs w:val="24"/>
        </w:rPr>
        <w:t>91</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CD07B8F">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_Toc27857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12</w:t>
      </w:r>
      <w:r>
        <w:rPr>
          <w:rFonts w:hint="default" w:ascii="Times New Roman" w:hAnsi="Times New Roman" w:cs="Times New Roman"/>
          <w:sz w:val="24"/>
          <w:szCs w:val="24"/>
          <w:highlight w:val="none"/>
          <w:lang w:eastAsia="zh-CN"/>
        </w:rPr>
        <w:t>生态管控单元分区图</w:t>
      </w:r>
      <w:r>
        <w:rPr>
          <w:sz w:val="24"/>
          <w:szCs w:val="24"/>
        </w:rPr>
        <w:tab/>
      </w:r>
      <w:r>
        <w:rPr>
          <w:sz w:val="24"/>
          <w:szCs w:val="24"/>
        </w:rPr>
        <w:fldChar w:fldCharType="begin"/>
      </w:r>
      <w:r>
        <w:rPr>
          <w:sz w:val="24"/>
          <w:szCs w:val="24"/>
        </w:rPr>
        <w:instrText xml:space="preserve"> PAGEREF _Toc27857 \h </w:instrText>
      </w:r>
      <w:r>
        <w:rPr>
          <w:sz w:val="24"/>
          <w:szCs w:val="24"/>
        </w:rPr>
        <w:fldChar w:fldCharType="separate"/>
      </w:r>
      <w:r>
        <w:rPr>
          <w:sz w:val="24"/>
          <w:szCs w:val="24"/>
        </w:rPr>
        <w:t>92</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060803A9">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_Toc27482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13广东省“三线一单”截图</w:t>
      </w:r>
      <w:r>
        <w:rPr>
          <w:sz w:val="24"/>
          <w:szCs w:val="24"/>
        </w:rPr>
        <w:tab/>
      </w:r>
      <w:r>
        <w:rPr>
          <w:sz w:val="24"/>
          <w:szCs w:val="24"/>
        </w:rPr>
        <w:fldChar w:fldCharType="begin"/>
      </w:r>
      <w:r>
        <w:rPr>
          <w:sz w:val="24"/>
          <w:szCs w:val="24"/>
        </w:rPr>
        <w:instrText xml:space="preserve"> PAGEREF _Toc27482 \h </w:instrText>
      </w:r>
      <w:r>
        <w:rPr>
          <w:sz w:val="24"/>
          <w:szCs w:val="24"/>
        </w:rPr>
        <w:fldChar w:fldCharType="separate"/>
      </w:r>
      <w:r>
        <w:rPr>
          <w:sz w:val="24"/>
          <w:szCs w:val="24"/>
        </w:rPr>
        <w:t>93</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62970A34">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_Toc5149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14乐昌产业转移工业园管网分布图</w:t>
      </w:r>
      <w:r>
        <w:rPr>
          <w:sz w:val="24"/>
          <w:szCs w:val="24"/>
        </w:rPr>
        <w:tab/>
      </w:r>
      <w:r>
        <w:rPr>
          <w:sz w:val="24"/>
          <w:szCs w:val="24"/>
        </w:rPr>
        <w:fldChar w:fldCharType="begin"/>
      </w:r>
      <w:r>
        <w:rPr>
          <w:sz w:val="24"/>
          <w:szCs w:val="24"/>
        </w:rPr>
        <w:instrText xml:space="preserve"> PAGEREF _Toc5149 \h </w:instrText>
      </w:r>
      <w:r>
        <w:rPr>
          <w:sz w:val="24"/>
          <w:szCs w:val="24"/>
        </w:rPr>
        <w:fldChar w:fldCharType="separate"/>
      </w:r>
      <w:r>
        <w:rPr>
          <w:sz w:val="24"/>
          <w:szCs w:val="24"/>
        </w:rPr>
        <w:t>94</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242C4B4E">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_Toc9388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val="en-US" w:eastAsia="zh-CN"/>
        </w:rPr>
        <w:t>附图15项目环境现状监测点位图</w:t>
      </w:r>
      <w:r>
        <w:rPr>
          <w:sz w:val="24"/>
          <w:szCs w:val="24"/>
        </w:rPr>
        <w:tab/>
      </w:r>
      <w:r>
        <w:rPr>
          <w:sz w:val="24"/>
          <w:szCs w:val="24"/>
        </w:rPr>
        <w:fldChar w:fldCharType="begin"/>
      </w:r>
      <w:r>
        <w:rPr>
          <w:sz w:val="24"/>
          <w:szCs w:val="24"/>
        </w:rPr>
        <w:instrText xml:space="preserve"> PAGEREF _Toc9388 \h </w:instrText>
      </w:r>
      <w:r>
        <w:rPr>
          <w:sz w:val="24"/>
          <w:szCs w:val="24"/>
        </w:rPr>
        <w:fldChar w:fldCharType="separate"/>
      </w:r>
      <w:r>
        <w:rPr>
          <w:sz w:val="24"/>
          <w:szCs w:val="24"/>
        </w:rPr>
        <w:t>95</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06A169CA">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_Toc10920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val="en-US" w:eastAsia="zh-CN"/>
        </w:rPr>
        <w:t>附图16乐昌市国土空间总体规划图</w:t>
      </w:r>
      <w:r>
        <w:rPr>
          <w:sz w:val="24"/>
          <w:szCs w:val="24"/>
        </w:rPr>
        <w:tab/>
      </w:r>
      <w:r>
        <w:rPr>
          <w:sz w:val="24"/>
          <w:szCs w:val="24"/>
        </w:rPr>
        <w:fldChar w:fldCharType="begin"/>
      </w:r>
      <w:r>
        <w:rPr>
          <w:sz w:val="24"/>
          <w:szCs w:val="24"/>
        </w:rPr>
        <w:instrText xml:space="preserve"> PAGEREF _Toc10920 \h </w:instrText>
      </w:r>
      <w:r>
        <w:rPr>
          <w:sz w:val="24"/>
          <w:szCs w:val="24"/>
        </w:rPr>
        <w:fldChar w:fldCharType="separate"/>
      </w:r>
      <w:r>
        <w:rPr>
          <w:sz w:val="24"/>
          <w:szCs w:val="24"/>
        </w:rPr>
        <w:t>96</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052AEF0">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_Toc10541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val="en-US" w:eastAsia="zh-CN"/>
        </w:rPr>
        <w:t>附图1</w:t>
      </w:r>
      <w:r>
        <w:rPr>
          <w:rFonts w:hint="eastAsia" w:cs="Times New Roman"/>
          <w:sz w:val="24"/>
          <w:szCs w:val="24"/>
          <w:highlight w:val="none"/>
          <w:lang w:val="en-US" w:eastAsia="zh-CN"/>
        </w:rPr>
        <w:t>7本项目与韶关市区武江饮用水水源地准保护区位置关系</w:t>
      </w:r>
      <w:r>
        <w:rPr>
          <w:rFonts w:hint="default" w:ascii="Times New Roman" w:hAnsi="Times New Roman" w:cs="Times New Roman"/>
          <w:sz w:val="24"/>
          <w:szCs w:val="24"/>
          <w:highlight w:val="none"/>
          <w:lang w:val="en-US" w:eastAsia="zh-CN"/>
        </w:rPr>
        <w:t>图</w:t>
      </w:r>
      <w:r>
        <w:rPr>
          <w:sz w:val="24"/>
          <w:szCs w:val="24"/>
        </w:rPr>
        <w:tab/>
      </w:r>
      <w:r>
        <w:rPr>
          <w:sz w:val="24"/>
          <w:szCs w:val="24"/>
        </w:rPr>
        <w:fldChar w:fldCharType="begin"/>
      </w:r>
      <w:r>
        <w:rPr>
          <w:sz w:val="24"/>
          <w:szCs w:val="24"/>
        </w:rPr>
        <w:instrText xml:space="preserve"> PAGEREF _Toc10541 \h </w:instrText>
      </w:r>
      <w:r>
        <w:rPr>
          <w:sz w:val="24"/>
          <w:szCs w:val="24"/>
        </w:rPr>
        <w:fldChar w:fldCharType="separate"/>
      </w:r>
      <w:r>
        <w:rPr>
          <w:sz w:val="24"/>
          <w:szCs w:val="24"/>
        </w:rPr>
        <w:t>98</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0091C0F8">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_Toc5599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附件1营业执照</w:t>
      </w:r>
      <w:r>
        <w:rPr>
          <w:sz w:val="24"/>
          <w:szCs w:val="24"/>
        </w:rPr>
        <w:tab/>
      </w:r>
      <w:r>
        <w:rPr>
          <w:sz w:val="24"/>
          <w:szCs w:val="24"/>
        </w:rPr>
        <w:fldChar w:fldCharType="begin"/>
      </w:r>
      <w:r>
        <w:rPr>
          <w:sz w:val="24"/>
          <w:szCs w:val="24"/>
        </w:rPr>
        <w:instrText xml:space="preserve"> PAGEREF _Toc5599 \h </w:instrText>
      </w:r>
      <w:r>
        <w:rPr>
          <w:sz w:val="24"/>
          <w:szCs w:val="24"/>
        </w:rPr>
        <w:fldChar w:fldCharType="separate"/>
      </w:r>
      <w:r>
        <w:rPr>
          <w:sz w:val="24"/>
          <w:szCs w:val="24"/>
        </w:rPr>
        <w:t>99</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5FC87211">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_Toc2553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附件2法人身份证</w:t>
      </w:r>
      <w:r>
        <w:rPr>
          <w:sz w:val="24"/>
          <w:szCs w:val="24"/>
        </w:rPr>
        <w:tab/>
      </w:r>
      <w:r>
        <w:rPr>
          <w:sz w:val="24"/>
          <w:szCs w:val="24"/>
        </w:rPr>
        <w:fldChar w:fldCharType="begin"/>
      </w:r>
      <w:r>
        <w:rPr>
          <w:sz w:val="24"/>
          <w:szCs w:val="24"/>
        </w:rPr>
        <w:instrText xml:space="preserve"> PAGEREF _Toc2553 \h </w:instrText>
      </w:r>
      <w:r>
        <w:rPr>
          <w:sz w:val="24"/>
          <w:szCs w:val="24"/>
        </w:rPr>
        <w:fldChar w:fldCharType="separate"/>
      </w:r>
      <w:r>
        <w:rPr>
          <w:sz w:val="24"/>
          <w:szCs w:val="24"/>
        </w:rPr>
        <w:t>100</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3B4BFFCB">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_Toc26186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rPr>
        <w:t>附件3项目</w:t>
      </w:r>
      <w:r>
        <w:rPr>
          <w:rFonts w:hint="default" w:ascii="Times New Roman" w:hAnsi="Times New Roman" w:cs="Times New Roman"/>
          <w:sz w:val="24"/>
          <w:szCs w:val="24"/>
          <w:highlight w:val="none"/>
          <w:lang w:eastAsia="zh-CN"/>
        </w:rPr>
        <w:t>备案证</w:t>
      </w:r>
      <w:r>
        <w:rPr>
          <w:sz w:val="24"/>
          <w:szCs w:val="24"/>
        </w:rPr>
        <w:tab/>
      </w:r>
      <w:r>
        <w:rPr>
          <w:sz w:val="24"/>
          <w:szCs w:val="24"/>
        </w:rPr>
        <w:fldChar w:fldCharType="begin"/>
      </w:r>
      <w:r>
        <w:rPr>
          <w:sz w:val="24"/>
          <w:szCs w:val="24"/>
        </w:rPr>
        <w:instrText xml:space="preserve"> PAGEREF _Toc26186 \h </w:instrText>
      </w:r>
      <w:r>
        <w:rPr>
          <w:sz w:val="24"/>
          <w:szCs w:val="24"/>
        </w:rPr>
        <w:fldChar w:fldCharType="separate"/>
      </w:r>
      <w:r>
        <w:rPr>
          <w:sz w:val="24"/>
          <w:szCs w:val="24"/>
        </w:rPr>
        <w:t>101</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449C9B1">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_Toc12777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附件</w:t>
      </w:r>
      <w:r>
        <w:rPr>
          <w:rFonts w:hint="default" w:ascii="Times New Roman" w:hAnsi="Times New Roman" w:cs="Times New Roman"/>
          <w:sz w:val="24"/>
          <w:szCs w:val="24"/>
          <w:highlight w:val="none"/>
          <w:lang w:val="en-US" w:eastAsia="zh-CN"/>
        </w:rPr>
        <w:t>4产权证及租赁合同</w:t>
      </w:r>
      <w:r>
        <w:rPr>
          <w:sz w:val="24"/>
          <w:szCs w:val="24"/>
        </w:rPr>
        <w:tab/>
      </w:r>
      <w:r>
        <w:rPr>
          <w:sz w:val="24"/>
          <w:szCs w:val="24"/>
        </w:rPr>
        <w:fldChar w:fldCharType="begin"/>
      </w:r>
      <w:r>
        <w:rPr>
          <w:sz w:val="24"/>
          <w:szCs w:val="24"/>
        </w:rPr>
        <w:instrText xml:space="preserve"> PAGEREF _Toc12777 \h </w:instrText>
      </w:r>
      <w:r>
        <w:rPr>
          <w:sz w:val="24"/>
          <w:szCs w:val="24"/>
        </w:rPr>
        <w:fldChar w:fldCharType="separate"/>
      </w:r>
      <w:r>
        <w:rPr>
          <w:sz w:val="24"/>
          <w:szCs w:val="24"/>
        </w:rPr>
        <w:t>102</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22ECB9F8">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_Toc19977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附件</w:t>
      </w:r>
      <w:r>
        <w:rPr>
          <w:rFonts w:hint="default" w:ascii="Times New Roman" w:hAnsi="Times New Roman" w:cs="Times New Roman"/>
          <w:sz w:val="24"/>
          <w:szCs w:val="24"/>
          <w:highlight w:val="none"/>
          <w:lang w:val="en-US" w:eastAsia="zh-CN"/>
        </w:rPr>
        <w:t>5环境质量现状监测报告（摘录部分）</w:t>
      </w:r>
      <w:r>
        <w:rPr>
          <w:sz w:val="24"/>
          <w:szCs w:val="24"/>
        </w:rPr>
        <w:tab/>
      </w:r>
      <w:r>
        <w:rPr>
          <w:sz w:val="24"/>
          <w:szCs w:val="24"/>
        </w:rPr>
        <w:fldChar w:fldCharType="begin"/>
      </w:r>
      <w:r>
        <w:rPr>
          <w:sz w:val="24"/>
          <w:szCs w:val="24"/>
        </w:rPr>
        <w:instrText xml:space="preserve"> PAGEREF _Toc19977 \h </w:instrText>
      </w:r>
      <w:r>
        <w:rPr>
          <w:sz w:val="24"/>
          <w:szCs w:val="24"/>
        </w:rPr>
        <w:fldChar w:fldCharType="separate"/>
      </w:r>
      <w:r>
        <w:rPr>
          <w:sz w:val="24"/>
          <w:szCs w:val="24"/>
        </w:rPr>
        <w:t>111</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417F4A00">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sz w:val="24"/>
          <w:szCs w:val="24"/>
        </w:r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楷体_GB2312" w:cs="Times New Roman"/>
          <w:sz w:val="24"/>
          <w:szCs w:val="24"/>
          <w:highlight w:val="none"/>
        </w:rPr>
        <w:instrText xml:space="preserve"> HYPERLINK \l _Toc23199 </w:instrText>
      </w:r>
      <w:r>
        <w:rPr>
          <w:rFonts w:hint="default" w:ascii="Times New Roman" w:hAnsi="Times New Roman" w:eastAsia="楷体_GB2312" w:cs="Times New Roman"/>
          <w:sz w:val="24"/>
          <w:szCs w:val="24"/>
          <w:highlight w:val="none"/>
        </w:rPr>
        <w:fldChar w:fldCharType="separate"/>
      </w:r>
      <w:r>
        <w:rPr>
          <w:rFonts w:hint="default" w:ascii="Times New Roman" w:hAnsi="Times New Roman" w:cs="Times New Roman"/>
          <w:sz w:val="24"/>
          <w:szCs w:val="24"/>
          <w:highlight w:val="none"/>
          <w:lang w:eastAsia="zh-CN"/>
        </w:rPr>
        <w:t>附件</w:t>
      </w:r>
      <w:r>
        <w:rPr>
          <w:rFonts w:hint="default" w:ascii="Times New Roman" w:hAnsi="Times New Roman" w:cs="Times New Roman"/>
          <w:sz w:val="24"/>
          <w:szCs w:val="24"/>
          <w:highlight w:val="none"/>
          <w:lang w:val="en-US" w:eastAsia="zh-CN"/>
        </w:rPr>
        <w:t>6原料MSDS或VOCs检测报告</w:t>
      </w:r>
      <w:r>
        <w:rPr>
          <w:sz w:val="24"/>
          <w:szCs w:val="24"/>
        </w:rPr>
        <w:tab/>
      </w:r>
      <w:r>
        <w:rPr>
          <w:sz w:val="24"/>
          <w:szCs w:val="24"/>
        </w:rPr>
        <w:fldChar w:fldCharType="begin"/>
      </w:r>
      <w:r>
        <w:rPr>
          <w:sz w:val="24"/>
          <w:szCs w:val="24"/>
        </w:rPr>
        <w:instrText xml:space="preserve"> PAGEREF _Toc23199 \h </w:instrText>
      </w:r>
      <w:r>
        <w:rPr>
          <w:sz w:val="24"/>
          <w:szCs w:val="24"/>
        </w:rPr>
        <w:fldChar w:fldCharType="separate"/>
      </w:r>
      <w:r>
        <w:rPr>
          <w:sz w:val="24"/>
          <w:szCs w:val="24"/>
        </w:rPr>
        <w:t>123</w:t>
      </w:r>
      <w:r>
        <w:rPr>
          <w:sz w:val="24"/>
          <w:szCs w:val="24"/>
        </w:rPr>
        <w:fldChar w:fldCharType="end"/>
      </w: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46A945E1">
      <w:pPr>
        <w:pStyle w:val="32"/>
        <w:keepNext w:val="0"/>
        <w:keepLines w:val="0"/>
        <w:pageBreakBefore w:val="0"/>
        <w:widowControl w:val="0"/>
        <w:tabs>
          <w:tab w:val="right" w:leader="dot" w:pos="9746"/>
        </w:tabs>
        <w:kinsoku/>
        <w:wordWrap/>
        <w:overflowPunct/>
        <w:topLinePunct w:val="0"/>
        <w:autoSpaceDE/>
        <w:autoSpaceDN/>
        <w:bidi w:val="0"/>
        <w:adjustRightInd/>
        <w:snapToGrid/>
        <w:spacing w:line="336" w:lineRule="auto"/>
        <w:textAlignment w:val="auto"/>
        <w:rPr>
          <w:rFonts w:hint="default" w:ascii="Times New Roman" w:hAnsi="Times New Roman" w:eastAsia="楷体_GB2312" w:cs="Times New Roman"/>
          <w:color w:val="000000" w:themeColor="text1"/>
          <w:sz w:val="24"/>
          <w:szCs w:val="24"/>
          <w:highlight w:val="none"/>
          <w14:textFill>
            <w14:solidFill>
              <w14:schemeClr w14:val="tx1"/>
            </w14:solidFill>
          </w14:textFill>
        </w:rPr>
        <w:sectPr>
          <w:footerReference r:id="rId3" w:type="default"/>
          <w:pgSz w:w="11906" w:h="16838"/>
          <w:pgMar w:top="1361" w:right="1080" w:bottom="1134" w:left="1080"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楷体_GB2312" w:cs="Times New Roman"/>
          <w:color w:val="000000" w:themeColor="text1"/>
          <w:sz w:val="24"/>
          <w:szCs w:val="24"/>
          <w:highlight w:val="none"/>
          <w14:textFill>
            <w14:solidFill>
              <w14:schemeClr w14:val="tx1"/>
            </w14:solidFill>
          </w14:textFill>
        </w:rPr>
        <w:fldChar w:fldCharType="end"/>
      </w:r>
    </w:p>
    <w:p w14:paraId="1C6CC2D4">
      <w:pPr>
        <w:pStyle w:val="7"/>
        <w:rPr>
          <w:rFonts w:hint="default" w:ascii="Times New Roman" w:hAnsi="Times New Roman" w:cs="Times New Roman"/>
          <w:color w:val="000000" w:themeColor="text1"/>
          <w:highlight w:val="none"/>
          <w14:textFill>
            <w14:solidFill>
              <w14:schemeClr w14:val="tx1"/>
            </w14:solidFill>
          </w14:textFill>
        </w:rPr>
      </w:pPr>
      <w:bookmarkStart w:id="0" w:name="_Toc30955"/>
      <w:r>
        <w:rPr>
          <w:rFonts w:hint="default" w:ascii="Times New Roman" w:hAnsi="Times New Roman" w:cs="Times New Roman"/>
          <w:color w:val="000000" w:themeColor="text1"/>
          <w:highlight w:val="none"/>
          <w14:textFill>
            <w14:solidFill>
              <w14:schemeClr w14:val="tx1"/>
            </w14:solidFill>
          </w14:textFill>
        </w:rPr>
        <w:t>一、建设项目基本情况</w:t>
      </w:r>
      <w:bookmarkEnd w:id="0"/>
    </w:p>
    <w:tbl>
      <w:tblPr>
        <w:tblStyle w:val="38"/>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27"/>
        <w:gridCol w:w="1914"/>
        <w:gridCol w:w="2531"/>
        <w:gridCol w:w="704"/>
        <w:gridCol w:w="2518"/>
      </w:tblGrid>
      <w:tr w14:paraId="79EEA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77A90999">
            <w:pPr>
              <w:pStyle w:val="129"/>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000ECD54">
            <w:pPr>
              <w:pStyle w:val="129"/>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名称</w:t>
            </w:r>
          </w:p>
        </w:tc>
        <w:tc>
          <w:tcPr>
            <w:tcW w:w="4214" w:type="pct"/>
            <w:gridSpan w:val="4"/>
            <w:vAlign w:val="center"/>
          </w:tcPr>
          <w:p w14:paraId="2B222EED">
            <w:pPr>
              <w:keepNext w:val="0"/>
              <w:keepLines w:val="0"/>
              <w:pageBreakBefore w:val="0"/>
              <w:kinsoku/>
              <w:wordWrap w:val="0"/>
              <w:overflowPunct/>
              <w:topLinePunct w:val="0"/>
              <w:bidi w:val="0"/>
              <w:adjustRightInd/>
              <w:snapToGrid/>
              <w:jc w:val="center"/>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乐昌为朴电子科技项目</w:t>
            </w:r>
          </w:p>
        </w:tc>
      </w:tr>
      <w:tr w14:paraId="090208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6DE07A05">
            <w:pPr>
              <w:pStyle w:val="129"/>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4214" w:type="pct"/>
            <w:gridSpan w:val="4"/>
            <w:vAlign w:val="center"/>
          </w:tcPr>
          <w:p w14:paraId="01E05CB2">
            <w:pPr>
              <w:pStyle w:val="129"/>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2506-440281-04-01-559621</w:t>
            </w:r>
          </w:p>
        </w:tc>
      </w:tr>
      <w:tr w14:paraId="167FAF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0A868A02">
            <w:pPr>
              <w:pStyle w:val="129"/>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052" w:type="pct"/>
            <w:vAlign w:val="center"/>
          </w:tcPr>
          <w:p w14:paraId="3EB5BF85">
            <w:pPr>
              <w:pStyle w:val="129"/>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肖</w:t>
            </w:r>
          </w:p>
        </w:tc>
        <w:tc>
          <w:tcPr>
            <w:tcW w:w="1778" w:type="pct"/>
            <w:gridSpan w:val="2"/>
            <w:vAlign w:val="center"/>
          </w:tcPr>
          <w:p w14:paraId="504E755F">
            <w:pPr>
              <w:pStyle w:val="129"/>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383" w:type="pct"/>
            <w:vAlign w:val="center"/>
          </w:tcPr>
          <w:p w14:paraId="194A65DF">
            <w:pPr>
              <w:pStyle w:val="129"/>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bookmarkStart w:id="74" w:name="_GoBack"/>
            <w:bookmarkEnd w:id="74"/>
          </w:p>
        </w:tc>
      </w:tr>
      <w:tr w14:paraId="314461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3441D4E6">
            <w:pPr>
              <w:pStyle w:val="129"/>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4214" w:type="pct"/>
            <w:gridSpan w:val="4"/>
            <w:vAlign w:val="center"/>
          </w:tcPr>
          <w:p w14:paraId="1E8B6284">
            <w:pPr>
              <w:keepNext w:val="0"/>
              <w:keepLines w:val="0"/>
              <w:pageBreakBefore w:val="0"/>
              <w:widowControl/>
              <w:kinsoku/>
              <w:wordWrap w:val="0"/>
              <w:overflowPunct/>
              <w:topLinePunct w:val="0"/>
              <w:bidi w:val="0"/>
              <w:adjustRightInd/>
              <w:snapToGrid/>
              <w:jc w:val="center"/>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广东省韶关市乐昌市乐昌产业转移工业园乐园大道2A号C幢厂房</w:t>
            </w:r>
          </w:p>
        </w:tc>
      </w:tr>
      <w:tr w14:paraId="5D924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787F1329">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4214" w:type="pct"/>
            <w:gridSpan w:val="4"/>
            <w:vAlign w:val="center"/>
          </w:tcPr>
          <w:p w14:paraId="7DB2FC3F">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东经E：113°24′51.12″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北纬N：25°07′24.12″</w:t>
            </w:r>
          </w:p>
        </w:tc>
      </w:tr>
      <w:tr w14:paraId="5C710F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20" w:hRule="atLeast"/>
          <w:jc w:val="center"/>
        </w:trPr>
        <w:tc>
          <w:tcPr>
            <w:tcW w:w="785" w:type="pct"/>
            <w:tcMar>
              <w:top w:w="16" w:type="dxa"/>
              <w:left w:w="16" w:type="dxa"/>
              <w:right w:w="16" w:type="dxa"/>
            </w:tcMar>
            <w:vAlign w:val="center"/>
          </w:tcPr>
          <w:p w14:paraId="149D55D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32737651">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52" w:type="pct"/>
            <w:vAlign w:val="center"/>
          </w:tcPr>
          <w:p w14:paraId="1DC3C9F4">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C3974显示器件制造</w:t>
            </w:r>
          </w:p>
        </w:tc>
        <w:tc>
          <w:tcPr>
            <w:tcW w:w="1391" w:type="pct"/>
            <w:vAlign w:val="center"/>
          </w:tcPr>
          <w:p w14:paraId="061F75B1">
            <w:pPr>
              <w:adjustRightInd w:val="0"/>
              <w:snapToGrid w:val="0"/>
              <w:jc w:val="center"/>
              <w:rPr>
                <w:rFonts w:hint="default" w:ascii="Times New Roman" w:hAnsi="Times New Roman" w:cs="Times New Roman"/>
                <w:color w:val="auto"/>
                <w:sz w:val="24"/>
                <w:szCs w:val="24"/>
                <w:highlight w:val="none"/>
              </w:rPr>
            </w:pPr>
            <w:bookmarkStart w:id="1" w:name="_Hlk49843745"/>
            <w:r>
              <w:rPr>
                <w:rFonts w:hint="default" w:ascii="Times New Roman" w:hAnsi="Times New Roman" w:cs="Times New Roman"/>
                <w:color w:val="auto"/>
                <w:sz w:val="24"/>
                <w:szCs w:val="24"/>
                <w:highlight w:val="none"/>
              </w:rPr>
              <w:t>建设项目</w:t>
            </w:r>
          </w:p>
          <w:p w14:paraId="489F19D2">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bookmarkEnd w:id="1"/>
          </w:p>
        </w:tc>
        <w:tc>
          <w:tcPr>
            <w:tcW w:w="1771" w:type="pct"/>
            <w:gridSpan w:val="2"/>
            <w:vAlign w:val="center"/>
          </w:tcPr>
          <w:p w14:paraId="53073DA2">
            <w:pPr>
              <w:keepNext w:val="0"/>
              <w:keepLines w:val="0"/>
              <w:widowControl/>
              <w:suppressLineNumbers w:val="0"/>
              <w:jc w:val="center"/>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三十六、计算机、通信和其他电子设备制造业</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80、电子器件制造397</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显示器件制造；集成电路制造；使用有机溶剂的；有酸洗的以上均不含仅分割、焊接、组装的</w:t>
            </w:r>
          </w:p>
        </w:tc>
      </w:tr>
      <w:tr w14:paraId="250605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88" w:hRule="atLeast"/>
          <w:jc w:val="center"/>
        </w:trPr>
        <w:tc>
          <w:tcPr>
            <w:tcW w:w="785" w:type="pct"/>
            <w:tcMar>
              <w:top w:w="16" w:type="dxa"/>
              <w:left w:w="16" w:type="dxa"/>
              <w:right w:w="16" w:type="dxa"/>
            </w:tcMar>
            <w:vAlign w:val="center"/>
          </w:tcPr>
          <w:p w14:paraId="05C30353">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52" w:type="pct"/>
            <w:vAlign w:val="center"/>
          </w:tcPr>
          <w:p w14:paraId="610CC802">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新建（迁建）</w:t>
            </w:r>
          </w:p>
          <w:p w14:paraId="3E140599">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□改建</w:t>
            </w:r>
          </w:p>
          <w:p w14:paraId="5B534A06">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□扩建</w:t>
            </w:r>
          </w:p>
          <w:p w14:paraId="240A9422">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□技术改造</w:t>
            </w:r>
          </w:p>
        </w:tc>
        <w:tc>
          <w:tcPr>
            <w:tcW w:w="1391" w:type="pct"/>
            <w:vAlign w:val="center"/>
          </w:tcPr>
          <w:p w14:paraId="087AF0A2">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5C2DD28C">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771" w:type="pct"/>
            <w:gridSpan w:val="2"/>
            <w:vAlign w:val="center"/>
          </w:tcPr>
          <w:p w14:paraId="17E6CF98">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首次申报项目</w:t>
            </w:r>
          </w:p>
          <w:p w14:paraId="52C51AFE">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□不予批准后再次申报项目</w:t>
            </w:r>
          </w:p>
          <w:p w14:paraId="703D0A30">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□超五年重新审核项目</w:t>
            </w:r>
          </w:p>
          <w:p w14:paraId="4928902C">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□重大变动重新报批项目</w:t>
            </w:r>
          </w:p>
        </w:tc>
      </w:tr>
      <w:tr w14:paraId="3CF359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21" w:hRule="atLeast"/>
          <w:jc w:val="center"/>
        </w:trPr>
        <w:tc>
          <w:tcPr>
            <w:tcW w:w="785" w:type="pct"/>
            <w:tcMar>
              <w:top w:w="16" w:type="dxa"/>
              <w:left w:w="16" w:type="dxa"/>
              <w:right w:w="16" w:type="dxa"/>
            </w:tcMar>
            <w:vAlign w:val="center"/>
          </w:tcPr>
          <w:p w14:paraId="64E07E92">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52" w:type="pct"/>
            <w:vAlign w:val="center"/>
          </w:tcPr>
          <w:p w14:paraId="5D6FC08E">
            <w:pPr>
              <w:adjustRightInd w:val="0"/>
              <w:snapToGrid w:val="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w:t>
            </w:r>
          </w:p>
        </w:tc>
        <w:tc>
          <w:tcPr>
            <w:tcW w:w="1391" w:type="pct"/>
            <w:vAlign w:val="center"/>
          </w:tcPr>
          <w:p w14:paraId="20BCD4E5">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35E02B47">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备案）文号（选填）</w:t>
            </w:r>
          </w:p>
        </w:tc>
        <w:tc>
          <w:tcPr>
            <w:tcW w:w="1771" w:type="pct"/>
            <w:gridSpan w:val="2"/>
            <w:vAlign w:val="center"/>
          </w:tcPr>
          <w:p w14:paraId="5A44A377">
            <w:pPr>
              <w:adjustRightInd w:val="0"/>
              <w:snapToGrid w:val="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w:t>
            </w:r>
          </w:p>
        </w:tc>
      </w:tr>
      <w:tr w14:paraId="7E34B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18A37896">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52" w:type="pct"/>
            <w:vAlign w:val="center"/>
          </w:tcPr>
          <w:p w14:paraId="0A4147D5">
            <w:pPr>
              <w:pStyle w:val="129"/>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2000</w:t>
            </w:r>
          </w:p>
        </w:tc>
        <w:tc>
          <w:tcPr>
            <w:tcW w:w="1391" w:type="pct"/>
            <w:tcMar>
              <w:top w:w="16" w:type="dxa"/>
              <w:left w:w="16" w:type="dxa"/>
              <w:right w:w="16" w:type="dxa"/>
            </w:tcMar>
            <w:vAlign w:val="center"/>
          </w:tcPr>
          <w:p w14:paraId="44196447">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1771" w:type="pct"/>
            <w:gridSpan w:val="2"/>
            <w:vAlign w:val="center"/>
          </w:tcPr>
          <w:p w14:paraId="6EFBFF75">
            <w:pPr>
              <w:adjustRightInd w:val="0"/>
              <w:snapToGrid w:val="0"/>
              <w:jc w:val="center"/>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200</w:t>
            </w:r>
          </w:p>
        </w:tc>
      </w:tr>
      <w:tr w14:paraId="0A1CB0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5" w:type="pct"/>
            <w:tcMar>
              <w:top w:w="16" w:type="dxa"/>
              <w:left w:w="16" w:type="dxa"/>
              <w:right w:w="16" w:type="dxa"/>
            </w:tcMar>
            <w:vAlign w:val="center"/>
          </w:tcPr>
          <w:p w14:paraId="231B4F00">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52" w:type="pct"/>
            <w:vAlign w:val="center"/>
          </w:tcPr>
          <w:p w14:paraId="08958CDA">
            <w:pPr>
              <w:pStyle w:val="129"/>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10</w:t>
            </w:r>
          </w:p>
        </w:tc>
        <w:tc>
          <w:tcPr>
            <w:tcW w:w="1391" w:type="pct"/>
            <w:tcMar>
              <w:top w:w="16" w:type="dxa"/>
              <w:left w:w="16" w:type="dxa"/>
              <w:right w:w="16" w:type="dxa"/>
            </w:tcMar>
            <w:vAlign w:val="center"/>
          </w:tcPr>
          <w:p w14:paraId="3B6CEA13">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771" w:type="pct"/>
            <w:gridSpan w:val="2"/>
            <w:vAlign w:val="center"/>
          </w:tcPr>
          <w:p w14:paraId="1D5FFFEF">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个月</w:t>
            </w:r>
          </w:p>
        </w:tc>
      </w:tr>
      <w:tr w14:paraId="7CC08F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32" w:hRule="atLeast"/>
          <w:jc w:val="center"/>
        </w:trPr>
        <w:tc>
          <w:tcPr>
            <w:tcW w:w="785" w:type="pct"/>
            <w:tcMar>
              <w:top w:w="16" w:type="dxa"/>
              <w:left w:w="16" w:type="dxa"/>
              <w:right w:w="16" w:type="dxa"/>
            </w:tcMar>
            <w:vAlign w:val="center"/>
          </w:tcPr>
          <w:p w14:paraId="6A5C9284">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52" w:type="pct"/>
            <w:vAlign w:val="center"/>
          </w:tcPr>
          <w:p w14:paraId="57B8FA9D">
            <w:pPr>
              <w:adjustRightInd w:val="0"/>
              <w:snapToGrid w:val="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否</w:t>
            </w:r>
            <w:r>
              <w:rPr>
                <w:rFonts w:hint="default" w:ascii="Times New Roman" w:hAnsi="Times New Roman" w:cs="Times New Roman"/>
                <w:color w:val="auto"/>
                <w:sz w:val="24"/>
                <w:szCs w:val="24"/>
                <w:highlight w:val="none"/>
                <w:lang w:eastAsia="zh-CN"/>
              </w:rPr>
              <w:t>☑</w:t>
            </w:r>
          </w:p>
          <w:p w14:paraId="27294ED4">
            <w:pPr>
              <w:adjustRightInd w:val="0"/>
              <w:snapToGrid w:val="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是</w:t>
            </w:r>
            <w:r>
              <w:rPr>
                <w:rFonts w:hint="default" w:ascii="Times New Roman" w:hAnsi="Times New Roman" w:cs="Times New Roman"/>
                <w:color w:val="auto"/>
                <w:sz w:val="24"/>
                <w:szCs w:val="24"/>
                <w:highlight w:val="none"/>
                <w:lang w:eastAsia="zh-CN"/>
              </w:rPr>
              <w:t>□</w:t>
            </w:r>
          </w:p>
        </w:tc>
        <w:tc>
          <w:tcPr>
            <w:tcW w:w="1391" w:type="pct"/>
            <w:tcMar>
              <w:top w:w="16" w:type="dxa"/>
              <w:left w:w="16" w:type="dxa"/>
              <w:right w:w="16" w:type="dxa"/>
            </w:tcMar>
            <w:vAlign w:val="center"/>
          </w:tcPr>
          <w:p w14:paraId="2B058CA1">
            <w:pPr>
              <w:adjustRightInd w:val="0"/>
              <w:snapToGrid w:val="0"/>
              <w:jc w:val="center"/>
              <w:rPr>
                <w:rFonts w:hint="default" w:ascii="Times New Roman" w:hAnsi="Times New Roman" w:cs="Times New Roman"/>
                <w:color w:val="auto"/>
                <w:spacing w:val="-6"/>
                <w:sz w:val="24"/>
                <w:szCs w:val="24"/>
                <w:highlight w:val="none"/>
              </w:rPr>
            </w:pPr>
            <w:r>
              <w:rPr>
                <w:rFonts w:hint="default" w:ascii="Times New Roman" w:hAnsi="Times New Roman" w:cs="Times New Roman"/>
                <w:color w:val="auto"/>
                <w:spacing w:val="-6"/>
                <w:sz w:val="24"/>
                <w:szCs w:val="24"/>
                <w:highlight w:val="none"/>
              </w:rPr>
              <w:t>用地（用海）</w:t>
            </w:r>
          </w:p>
          <w:p w14:paraId="311EFC4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6"/>
                <w:sz w:val="24"/>
                <w:szCs w:val="24"/>
                <w:highlight w:val="none"/>
              </w:rPr>
              <w:t>面积（m</w:t>
            </w:r>
            <w:r>
              <w:rPr>
                <w:rFonts w:hint="default" w:ascii="Times New Roman" w:hAnsi="Times New Roman" w:cs="Times New Roman"/>
                <w:color w:val="auto"/>
                <w:spacing w:val="-6"/>
                <w:sz w:val="24"/>
                <w:szCs w:val="24"/>
                <w:highlight w:val="none"/>
                <w:vertAlign w:val="superscript"/>
              </w:rPr>
              <w:t>2</w:t>
            </w:r>
            <w:r>
              <w:rPr>
                <w:rFonts w:hint="default" w:ascii="Times New Roman" w:hAnsi="Times New Roman" w:cs="Times New Roman"/>
                <w:color w:val="auto"/>
                <w:spacing w:val="-6"/>
                <w:sz w:val="24"/>
                <w:szCs w:val="24"/>
                <w:highlight w:val="none"/>
              </w:rPr>
              <w:t>）</w:t>
            </w:r>
          </w:p>
        </w:tc>
        <w:tc>
          <w:tcPr>
            <w:tcW w:w="1771" w:type="pct"/>
            <w:gridSpan w:val="2"/>
            <w:vAlign w:val="center"/>
          </w:tcPr>
          <w:p w14:paraId="220323E8">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3265.52</w:t>
            </w:r>
          </w:p>
        </w:tc>
      </w:tr>
      <w:tr w14:paraId="03A6E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785" w:type="pct"/>
            <w:vAlign w:val="center"/>
          </w:tcPr>
          <w:p w14:paraId="6BC8D0FC">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专项评价设置情况</w:t>
            </w:r>
          </w:p>
        </w:tc>
        <w:tc>
          <w:tcPr>
            <w:tcW w:w="4214" w:type="pct"/>
            <w:gridSpan w:val="4"/>
            <w:vAlign w:val="center"/>
          </w:tcPr>
          <w:p w14:paraId="0F6417E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无</w:t>
            </w:r>
          </w:p>
        </w:tc>
      </w:tr>
      <w:tr w14:paraId="1C5795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785" w:type="pct"/>
            <w:vAlign w:val="center"/>
          </w:tcPr>
          <w:p w14:paraId="1D7C9BF3">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规划情况</w:t>
            </w:r>
          </w:p>
        </w:tc>
        <w:tc>
          <w:tcPr>
            <w:tcW w:w="4214" w:type="pct"/>
            <w:gridSpan w:val="4"/>
            <w:vAlign w:val="center"/>
          </w:tcPr>
          <w:p w14:paraId="47986A1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《乐昌产业转移工业园控制性详细规划-城东地块论证报告调整后》，乐昌产业转移工业园管理委员会、广州博厦建筑设计研究院有限公司</w:t>
            </w:r>
          </w:p>
        </w:tc>
      </w:tr>
      <w:tr w14:paraId="0018F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18" w:hRule="atLeast"/>
          <w:jc w:val="center"/>
        </w:trPr>
        <w:tc>
          <w:tcPr>
            <w:tcW w:w="785" w:type="pct"/>
            <w:vAlign w:val="center"/>
          </w:tcPr>
          <w:p w14:paraId="1ED4D001">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规划环境影响评价情况</w:t>
            </w:r>
          </w:p>
        </w:tc>
        <w:tc>
          <w:tcPr>
            <w:tcW w:w="4214" w:type="pct"/>
            <w:gridSpan w:val="4"/>
            <w:vAlign w:val="center"/>
          </w:tcPr>
          <w:p w14:paraId="10566B8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规划环评名称：</w:t>
            </w:r>
            <w:r>
              <w:rPr>
                <w:rFonts w:hint="default" w:ascii="Times New Roman" w:hAnsi="Times New Roman" w:cs="Times New Roman"/>
                <w:color w:val="auto"/>
                <w:kern w:val="0"/>
                <w:sz w:val="24"/>
                <w:szCs w:val="24"/>
                <w:highlight w:val="none"/>
              </w:rPr>
              <w:t>《广东乐昌经济开发区区位调整规划环境影响报告书》</w:t>
            </w:r>
            <w:r>
              <w:rPr>
                <w:rFonts w:hint="default" w:ascii="Times New Roman" w:hAnsi="Times New Roman" w:cs="Times New Roman"/>
                <w:color w:val="auto"/>
                <w:kern w:val="0"/>
                <w:sz w:val="24"/>
                <w:szCs w:val="24"/>
                <w:highlight w:val="none"/>
                <w:lang w:val="en-US" w:eastAsia="zh-CN"/>
              </w:rPr>
              <w:t>；</w:t>
            </w:r>
          </w:p>
          <w:p w14:paraId="19C851F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eastAsia="zh-CN"/>
              </w:rPr>
              <w:t>审查单位：</w:t>
            </w:r>
            <w:r>
              <w:rPr>
                <w:rFonts w:hint="default" w:ascii="Times New Roman" w:hAnsi="Times New Roman" w:cs="Times New Roman"/>
                <w:color w:val="auto"/>
                <w:kern w:val="0"/>
                <w:sz w:val="24"/>
                <w:szCs w:val="24"/>
                <w:highlight w:val="none"/>
                <w:lang w:val="en-US" w:eastAsia="zh-CN"/>
              </w:rPr>
              <w:t>原</w:t>
            </w:r>
            <w:r>
              <w:rPr>
                <w:rFonts w:hint="default" w:ascii="Times New Roman" w:hAnsi="Times New Roman" w:cs="Times New Roman"/>
                <w:color w:val="auto"/>
                <w:kern w:val="0"/>
                <w:sz w:val="24"/>
                <w:szCs w:val="24"/>
                <w:highlight w:val="none"/>
              </w:rPr>
              <w:t>广东省环保厅</w:t>
            </w:r>
            <w:r>
              <w:rPr>
                <w:rFonts w:hint="default" w:ascii="Times New Roman" w:hAnsi="Times New Roman" w:cs="Times New Roman"/>
                <w:color w:val="auto"/>
                <w:kern w:val="0"/>
                <w:sz w:val="24"/>
                <w:szCs w:val="24"/>
                <w:highlight w:val="none"/>
                <w:lang w:val="en-US" w:eastAsia="zh-CN"/>
              </w:rPr>
              <w:t>；</w:t>
            </w:r>
          </w:p>
          <w:p w14:paraId="3F06D10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审查文件：《</w:t>
            </w:r>
            <w:r>
              <w:rPr>
                <w:rFonts w:hint="default" w:ascii="Times New Roman" w:hAnsi="Times New Roman" w:cs="Times New Roman"/>
                <w:color w:val="auto"/>
                <w:kern w:val="0"/>
                <w:sz w:val="24"/>
                <w:szCs w:val="24"/>
                <w:highlight w:val="none"/>
              </w:rPr>
              <w:t>广东省环保厅关于印发</w:t>
            </w:r>
            <w:r>
              <w:rPr>
                <w:rFonts w:hint="default" w:ascii="Times New Roman" w:hAnsi="Times New Roman" w:cs="Times New Roman"/>
                <w:color w:val="auto"/>
                <w:kern w:val="0"/>
                <w:sz w:val="24"/>
                <w:szCs w:val="24"/>
                <w:highlight w:val="none"/>
                <w:lang w:val="en-US" w:eastAsia="zh-CN"/>
              </w:rPr>
              <w:t>&lt;</w:t>
            </w:r>
            <w:r>
              <w:rPr>
                <w:rFonts w:hint="default" w:ascii="Times New Roman" w:hAnsi="Times New Roman" w:cs="Times New Roman"/>
                <w:color w:val="auto"/>
                <w:kern w:val="0"/>
                <w:sz w:val="24"/>
                <w:szCs w:val="24"/>
                <w:highlight w:val="none"/>
              </w:rPr>
              <w:t>广东乐昌经济开发区区位调整规划环境影响报告书审查小组意见</w:t>
            </w:r>
            <w:r>
              <w:rPr>
                <w:rFonts w:hint="default" w:ascii="Times New Roman" w:hAnsi="Times New Roman" w:cs="Times New Roman"/>
                <w:color w:val="auto"/>
                <w:kern w:val="0"/>
                <w:sz w:val="24"/>
                <w:szCs w:val="24"/>
                <w:highlight w:val="none"/>
                <w:lang w:val="en-US" w:eastAsia="zh-CN"/>
              </w:rPr>
              <w:t>&gt;</w:t>
            </w:r>
            <w:r>
              <w:rPr>
                <w:rFonts w:hint="default" w:ascii="Times New Roman" w:hAnsi="Times New Roman" w:cs="Times New Roman"/>
                <w:color w:val="auto"/>
                <w:kern w:val="0"/>
                <w:sz w:val="24"/>
                <w:szCs w:val="24"/>
                <w:highlight w:val="none"/>
              </w:rPr>
              <w:t>的函</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（粤环函</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2016</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186号）</w:t>
            </w:r>
          </w:p>
        </w:tc>
      </w:tr>
      <w:tr w14:paraId="40012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08" w:hRule="atLeast"/>
          <w:jc w:val="center"/>
        </w:trPr>
        <w:tc>
          <w:tcPr>
            <w:tcW w:w="785" w:type="pct"/>
            <w:vAlign w:val="center"/>
          </w:tcPr>
          <w:p w14:paraId="77E28389">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规划及规划环境影响评价符合性分析</w:t>
            </w:r>
          </w:p>
        </w:tc>
        <w:tc>
          <w:tcPr>
            <w:tcW w:w="4214" w:type="pct"/>
            <w:gridSpan w:val="4"/>
            <w:vAlign w:val="center"/>
          </w:tcPr>
          <w:p w14:paraId="5C660D2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bookmarkStart w:id="2" w:name="_Toc24148"/>
            <w:bookmarkStart w:id="3" w:name="_Toc9596"/>
            <w:r>
              <w:rPr>
                <w:rFonts w:hint="default" w:ascii="Times New Roman" w:hAnsi="Times New Roman" w:eastAsia="宋体" w:cs="Times New Roman"/>
                <w:color w:val="auto"/>
                <w:kern w:val="0"/>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kern w:val="0"/>
                <w:sz w:val="24"/>
                <w:szCs w:val="24"/>
                <w:highlight w:val="none"/>
                <w:lang w:eastAsia="zh-CN"/>
              </w:rPr>
              <w:t>持</w:t>
            </w:r>
            <w:r>
              <w:rPr>
                <w:rFonts w:hint="default" w:ascii="Times New Roman" w:hAnsi="Times New Roman" w:eastAsia="宋体" w:cs="Times New Roman"/>
                <w:color w:val="auto"/>
                <w:kern w:val="0"/>
                <w:sz w:val="24"/>
                <w:szCs w:val="24"/>
                <w:highlight w:val="none"/>
              </w:rPr>
              <w:t>久性有机污染物的项目。</w:t>
            </w:r>
            <w:bookmarkEnd w:id="2"/>
            <w:bookmarkEnd w:id="3"/>
          </w:p>
          <w:p w14:paraId="1EF9116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本项目满足国家和地方相关产业政策，不排放一类污染物和有毒有害物质，不向河流排放含汞、砷、镉、铬、铅等重金属污染物和持久性有机污染物，</w:t>
            </w:r>
            <w:r>
              <w:rPr>
                <w:rFonts w:hint="default" w:ascii="Times New Roman" w:hAnsi="Times New Roman" w:cs="Times New Roman"/>
                <w:color w:val="auto"/>
                <w:kern w:val="0"/>
                <w:sz w:val="24"/>
                <w:szCs w:val="24"/>
                <w:highlight w:val="none"/>
                <w:lang w:val="en-US" w:eastAsia="zh-CN"/>
              </w:rPr>
              <w:t>本项目为C3974显示器件制造，</w:t>
            </w:r>
            <w:r>
              <w:rPr>
                <w:rFonts w:hint="eastAsia" w:cs="Times New Roman"/>
                <w:color w:val="auto"/>
                <w:kern w:val="0"/>
                <w:sz w:val="24"/>
                <w:szCs w:val="24"/>
                <w:highlight w:val="none"/>
                <w:lang w:val="en-US" w:eastAsia="zh-CN"/>
              </w:rPr>
              <w:t>属于</w:t>
            </w:r>
            <w:r>
              <w:rPr>
                <w:rFonts w:hint="default" w:ascii="Times New Roman" w:hAnsi="Times New Roman" w:cs="Times New Roman"/>
                <w:color w:val="auto"/>
                <w:kern w:val="0"/>
                <w:sz w:val="24"/>
                <w:szCs w:val="24"/>
                <w:highlight w:val="none"/>
                <w:lang w:val="en-US" w:eastAsia="zh-CN"/>
              </w:rPr>
              <w:t>重点发展电子行业</w:t>
            </w:r>
            <w:r>
              <w:rPr>
                <w:rFonts w:hint="default" w:ascii="Times New Roman" w:hAnsi="Times New Roman" w:eastAsia="宋体" w:cs="Times New Roman"/>
                <w:color w:val="auto"/>
                <w:kern w:val="0"/>
                <w:sz w:val="24"/>
                <w:szCs w:val="24"/>
                <w:highlight w:val="none"/>
              </w:rPr>
              <w:t>，符合园区准入条件。</w:t>
            </w:r>
          </w:p>
          <w:p w14:paraId="44D6FC3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p>
        </w:tc>
      </w:tr>
      <w:tr w14:paraId="2054F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7" w:hRule="atLeast"/>
          <w:jc w:val="center"/>
        </w:trPr>
        <w:tc>
          <w:tcPr>
            <w:tcW w:w="785" w:type="pct"/>
            <w:vAlign w:val="center"/>
          </w:tcPr>
          <w:p w14:paraId="6D4AD78D">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其他符合性分析</w:t>
            </w:r>
          </w:p>
        </w:tc>
        <w:tc>
          <w:tcPr>
            <w:tcW w:w="4214" w:type="pct"/>
            <w:gridSpan w:val="4"/>
            <w:vAlign w:val="center"/>
          </w:tcPr>
          <w:p w14:paraId="3DEB07D4">
            <w:pPr>
              <w:keepNext/>
              <w:keepLines/>
              <w:pageBreakBefore w:val="0"/>
              <w:tabs>
                <w:tab w:val="left" w:pos="0"/>
              </w:tabs>
              <w:wordWrap w:val="0"/>
              <w:overflowPunct/>
              <w:bidi w:val="0"/>
              <w:spacing w:line="360" w:lineRule="auto"/>
              <w:ind w:left="-2" w:firstLine="482" w:firstLineChars="200"/>
              <w:outlineLvl w:val="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一、产业政策相符性分析</w:t>
            </w:r>
          </w:p>
          <w:p w14:paraId="72F1DBAB">
            <w:pPr>
              <w:keepNext/>
              <w:keepLines/>
              <w:pageBreakBefore w:val="0"/>
              <w:tabs>
                <w:tab w:val="left" w:pos="0"/>
              </w:tabs>
              <w:wordWrap w:val="0"/>
              <w:overflowPunct/>
              <w:bidi w:val="0"/>
              <w:spacing w:line="360" w:lineRule="auto"/>
              <w:ind w:firstLine="480" w:firstLineChars="200"/>
              <w:outlineLvl w:val="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本项目所属行业类别为</w:t>
            </w:r>
            <w:r>
              <w:rPr>
                <w:rFonts w:hint="default" w:ascii="Times New Roman" w:hAnsi="Times New Roman" w:cs="Times New Roman"/>
                <w:color w:val="auto"/>
                <w:sz w:val="24"/>
                <w:szCs w:val="24"/>
                <w:highlight w:val="none"/>
                <w:lang w:eastAsia="zh-CN"/>
              </w:rPr>
              <w:t>C3974显示器件制造</w:t>
            </w:r>
            <w:r>
              <w:rPr>
                <w:rFonts w:hint="default" w:ascii="Times New Roman" w:hAnsi="Times New Roman" w:cs="Times New Roman"/>
                <w:color w:val="auto"/>
                <w:sz w:val="24"/>
                <w:szCs w:val="24"/>
                <w:highlight w:val="none"/>
              </w:rPr>
              <w:t>，根据《产业结构调整指导目录（2024年本）》（国家发展和改革委员会令第7号），本项目不属于指导目录中的鼓励类、限制类和淘汰类产业，符合国家有关法律、法规和政策规定，属于允许类。</w:t>
            </w:r>
          </w:p>
          <w:p w14:paraId="20DE6BE8">
            <w:pPr>
              <w:pStyle w:val="23"/>
              <w:pageBreakBefore w:val="0"/>
              <w:wordWrap w:val="0"/>
              <w:overflowPunct/>
              <w:bidi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根据</w:t>
            </w:r>
            <w:r>
              <w:rPr>
                <w:rFonts w:hint="default" w:ascii="Times New Roman" w:hAnsi="Times New Roman" w:eastAsia="宋体" w:cs="Times New Roman"/>
                <w:color w:val="auto"/>
                <w:sz w:val="24"/>
                <w:highlight w:val="none"/>
                <w:lang w:eastAsia="zh-CN"/>
              </w:rPr>
              <w:t>《市场准入负面清单》（2025年版）</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《广东省国家重点生态功能区产业准入负面清单（试行）》（粤发改规划</w:t>
            </w:r>
            <w:r>
              <w:rPr>
                <w:rFonts w:hint="default" w:ascii="Times New Roman" w:hAnsi="Times New Roman" w:cs="Times New Roman"/>
                <w:color w:val="auto"/>
                <w:kern w:val="0"/>
                <w:sz w:val="24"/>
                <w:szCs w:val="24"/>
                <w:highlight w:val="none"/>
                <w:lang w:eastAsia="zh-CN" w:bidi="ar"/>
              </w:rPr>
              <w:t>〔2017〕331号</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eastAsia="zh-CN" w:bidi="ar"/>
              </w:rPr>
              <w:t>项目</w:t>
            </w:r>
            <w:r>
              <w:rPr>
                <w:rFonts w:hint="default" w:ascii="Times New Roman" w:hAnsi="Times New Roman" w:cs="Times New Roman"/>
                <w:color w:val="auto"/>
                <w:kern w:val="0"/>
                <w:sz w:val="24"/>
                <w:szCs w:val="24"/>
                <w:highlight w:val="none"/>
                <w:lang w:bidi="ar"/>
              </w:rPr>
              <w:t>不属于</w:t>
            </w:r>
            <w:r>
              <w:rPr>
                <w:rFonts w:hint="default" w:ascii="Times New Roman" w:hAnsi="Times New Roman" w:cs="Times New Roman"/>
                <w:color w:val="auto"/>
                <w:sz w:val="24"/>
                <w:szCs w:val="24"/>
                <w:highlight w:val="none"/>
                <w:lang w:val="en-US" w:eastAsia="zh-CN"/>
              </w:rPr>
              <w:t>负面清单所列行业，也不属于许可准入事项</w:t>
            </w:r>
            <w:r>
              <w:rPr>
                <w:rFonts w:hint="default" w:ascii="Times New Roman" w:hAnsi="Times New Roman" w:cs="Times New Roman"/>
                <w:color w:val="auto"/>
                <w:kern w:val="0"/>
                <w:sz w:val="24"/>
                <w:szCs w:val="24"/>
                <w:highlight w:val="none"/>
                <w:lang w:bidi="ar"/>
              </w:rPr>
              <w:t>。因此，本项目可依法进行建设和投产。</w:t>
            </w:r>
          </w:p>
          <w:p w14:paraId="320815F4">
            <w:pPr>
              <w:pageBreakBefore w:val="0"/>
              <w:wordWrap w:val="0"/>
              <w:overflowPunct/>
              <w:bidi w:val="0"/>
              <w:adjustRightInd w:val="0"/>
              <w:snapToGrid w:val="0"/>
              <w:spacing w:line="360" w:lineRule="auto"/>
              <w:ind w:firstLine="482" w:firstLineChars="20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二、与环境功能区划相符性分析</w:t>
            </w:r>
          </w:p>
          <w:p w14:paraId="4C48E4B0">
            <w:pPr>
              <w:pStyle w:val="23"/>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（1）根据《广东省人民政府关于印发</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部分市乡镇集中式饮用水源保护区划分方案</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的通知》（粤府函〔2015〕17号）及《广东省人民政府关于调整韶关市部分饮用水水源保护区的批复》（粤府函〔2018〕427号），项目所在地不属于韶关市一、二级水源保护区，符合</w:t>
            </w:r>
            <w:r>
              <w:rPr>
                <w:rFonts w:hint="default" w:ascii="Times New Roman" w:hAnsi="Times New Roman" w:cs="Times New Roman"/>
                <w:color w:val="auto"/>
                <w:sz w:val="24"/>
                <w:szCs w:val="24"/>
                <w:highlight w:val="none"/>
              </w:rPr>
              <w:t>水污染防治条例</w:t>
            </w:r>
            <w:r>
              <w:rPr>
                <w:rFonts w:hint="default" w:ascii="Times New Roman" w:hAnsi="Times New Roman" w:cs="Times New Roman"/>
                <w:color w:val="auto"/>
                <w:kern w:val="0"/>
                <w:sz w:val="24"/>
                <w:szCs w:val="24"/>
                <w:highlight w:val="none"/>
              </w:rPr>
              <w:t>的有关要求。</w:t>
            </w:r>
          </w:p>
          <w:p w14:paraId="2A612D41">
            <w:pPr>
              <w:pStyle w:val="23"/>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rPr>
              <w:t>同时根据《广东省水利厅关于印发&lt;韶关市部分饮用水水源保护区调整方案&gt;的通知》（粤环函〔2024〕146号）可知，项目选址未处于各级饮用水水源保护区范围内。项目与最近饮用水水源保护区：韶关市区武江饮用水水源地准保护区距离约</w:t>
            </w:r>
            <w:r>
              <w:rPr>
                <w:rFonts w:hint="default" w:ascii="Times New Roman" w:hAnsi="Times New Roman" w:cs="Times New Roman"/>
                <w:color w:val="auto"/>
                <w:kern w:val="0"/>
                <w:sz w:val="24"/>
                <w:szCs w:val="24"/>
                <w:highlight w:val="none"/>
                <w:lang w:val="en-US" w:eastAsia="zh-CN"/>
              </w:rPr>
              <w:t>4</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val="en-US" w:eastAsia="zh-CN"/>
              </w:rPr>
              <w:t>k</w:t>
            </w:r>
            <w:r>
              <w:rPr>
                <w:rFonts w:hint="default" w:ascii="Times New Roman" w:hAnsi="Times New Roman" w:cs="Times New Roman"/>
                <w:color w:val="auto"/>
                <w:kern w:val="0"/>
                <w:sz w:val="24"/>
                <w:szCs w:val="24"/>
                <w:highlight w:val="none"/>
              </w:rPr>
              <w:t>m</w:t>
            </w:r>
            <w:r>
              <w:rPr>
                <w:rFonts w:hint="default" w:ascii="Times New Roman" w:hAnsi="Times New Roman" w:cs="Times New Roman"/>
                <w:color w:val="auto"/>
                <w:kern w:val="0"/>
                <w:sz w:val="24"/>
                <w:szCs w:val="24"/>
                <w:highlight w:val="none"/>
                <w:lang w:eastAsia="zh-CN"/>
              </w:rPr>
              <w:t>。</w:t>
            </w:r>
          </w:p>
          <w:p w14:paraId="35F2E191">
            <w:pPr>
              <w:pageBreakBefore w:val="0"/>
              <w:widowControl/>
              <w:wordWrap w:val="0"/>
              <w:overflowPunct/>
              <w:bidi w:val="0"/>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（2）根据《乐昌市人民政府办公室关于印发</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乐昌市生态环境保护“十四五”规划</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的通知》（乐府办〔2022〕16号）中《乐昌市“十四五”生态环境保护规划大气环境功能区划图》，项目所在区域为环境空气质量二类功能区（详见附图</w:t>
            </w:r>
            <w:r>
              <w:rPr>
                <w:rFonts w:hint="default" w:ascii="Times New Roman" w:hAnsi="Times New Roman" w:cs="Times New Roman"/>
                <w:color w:val="auto"/>
                <w:kern w:val="0"/>
                <w:sz w:val="24"/>
                <w:szCs w:val="24"/>
                <w:highlight w:val="none"/>
                <w:lang w:val="en-US" w:eastAsia="zh-CN"/>
              </w:rPr>
              <w:t>7</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bidi="ar"/>
              </w:rPr>
              <w:t>不属于环境空气质量一类功能区中的自然保护区风景名胜区和</w:t>
            </w:r>
            <w:r>
              <w:rPr>
                <w:rFonts w:hint="default" w:ascii="Times New Roman" w:hAnsi="Times New Roman" w:cs="Times New Roman"/>
                <w:color w:val="auto"/>
                <w:kern w:val="0"/>
                <w:sz w:val="24"/>
                <w:szCs w:val="24"/>
                <w:highlight w:val="none"/>
                <w:lang w:eastAsia="zh-CN" w:bidi="ar"/>
              </w:rPr>
              <w:t>其他需要</w:t>
            </w:r>
            <w:r>
              <w:rPr>
                <w:rFonts w:hint="default" w:ascii="Times New Roman" w:hAnsi="Times New Roman" w:cs="Times New Roman"/>
                <w:color w:val="auto"/>
                <w:kern w:val="0"/>
                <w:sz w:val="24"/>
                <w:szCs w:val="24"/>
                <w:highlight w:val="none"/>
                <w:lang w:bidi="ar"/>
              </w:rPr>
              <w:t>特殊保护的区域</w:t>
            </w:r>
            <w:r>
              <w:rPr>
                <w:rFonts w:hint="default" w:ascii="Times New Roman" w:hAnsi="Times New Roman" w:cs="Times New Roman"/>
                <w:color w:val="auto"/>
                <w:kern w:val="0"/>
                <w:sz w:val="24"/>
                <w:szCs w:val="24"/>
                <w:highlight w:val="none"/>
              </w:rPr>
              <w:t>。</w:t>
            </w:r>
          </w:p>
          <w:p w14:paraId="3A1823B7">
            <w:pPr>
              <w:pageBreakBefore w:val="0"/>
              <w:wordWrap w:val="0"/>
              <w:overflowPunct/>
              <w:bidi w:val="0"/>
              <w:adjustRightInd w:val="0"/>
              <w:snapToGrid w:val="0"/>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（3）根据《乐昌产业转移工业园控制性详细规划-城东地块论证报告调整后》及不动产权证，项目所在</w:t>
            </w:r>
            <w:r>
              <w:rPr>
                <w:rFonts w:hint="default" w:ascii="Times New Roman" w:hAnsi="Times New Roman" w:cs="Times New Roman"/>
                <w:color w:val="auto"/>
                <w:kern w:val="0"/>
                <w:sz w:val="24"/>
                <w:szCs w:val="24"/>
                <w:highlight w:val="none"/>
                <w:lang w:val="en-US" w:eastAsia="zh-CN"/>
              </w:rPr>
              <w:t>地块</w:t>
            </w:r>
            <w:r>
              <w:rPr>
                <w:rFonts w:hint="default" w:ascii="Times New Roman" w:hAnsi="Times New Roman" w:cs="Times New Roman"/>
                <w:color w:val="auto"/>
                <w:kern w:val="0"/>
                <w:sz w:val="24"/>
                <w:szCs w:val="24"/>
                <w:highlight w:val="none"/>
              </w:rPr>
              <w:t>为工业用地，项目所在区域为声环境3类区，不属于声环境1类区。</w:t>
            </w:r>
          </w:p>
          <w:p w14:paraId="37A230B2">
            <w:pPr>
              <w:pageBreakBefore w:val="0"/>
              <w:wordWrap w:val="0"/>
              <w:overflowPunct/>
              <w:bidi w:val="0"/>
              <w:adjustRightInd w:val="0"/>
              <w:snapToGrid w:val="0"/>
              <w:spacing w:line="360" w:lineRule="auto"/>
              <w:ind w:firstLine="482" w:firstLineChars="20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三、与城市规划相符性分析</w:t>
            </w:r>
          </w:p>
          <w:p w14:paraId="4586B23D">
            <w:pPr>
              <w:pageBreakBefore w:val="0"/>
              <w:wordWrap w:val="0"/>
              <w:overflowPunct/>
              <w:bidi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项目位于</w:t>
            </w:r>
            <w:r>
              <w:rPr>
                <w:rFonts w:hint="default" w:ascii="Times New Roman" w:hAnsi="Times New Roman" w:cs="Times New Roman"/>
                <w:color w:val="auto"/>
                <w:kern w:val="0"/>
                <w:sz w:val="24"/>
                <w:szCs w:val="24"/>
                <w:highlight w:val="none"/>
                <w:lang w:eastAsia="zh-CN"/>
              </w:rPr>
              <w:t>乐昌市乐昌产业转移工业园乐园大道2A号C幢厂房</w:t>
            </w:r>
            <w:r>
              <w:rPr>
                <w:rFonts w:hint="default" w:ascii="Times New Roman" w:hAnsi="Times New Roman" w:cs="Times New Roman"/>
                <w:color w:val="auto"/>
                <w:kern w:val="0"/>
                <w:sz w:val="24"/>
                <w:szCs w:val="24"/>
                <w:highlight w:val="none"/>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4" w:name="_Toc459880767"/>
          </w:p>
          <w:bookmarkEnd w:id="4"/>
          <w:p w14:paraId="5AFA8665">
            <w:pPr>
              <w:keepNext/>
              <w:keepLines/>
              <w:pageBreakBefore w:val="0"/>
              <w:tabs>
                <w:tab w:val="left" w:pos="0"/>
              </w:tabs>
              <w:wordWrap w:val="0"/>
              <w:overflowPunct/>
              <w:bidi w:val="0"/>
              <w:spacing w:line="360" w:lineRule="auto"/>
              <w:ind w:left="-2" w:firstLine="482" w:firstLineChars="200"/>
              <w:outlineLvl w:val="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四、与《工业和信息化部发布</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限期淘汰产生严重污染环境的工业固体废物的落后生产工艺设备名录</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公告》（中华人民共和国工业和信息化部公告2021年第25号）相符性分析</w:t>
            </w:r>
          </w:p>
          <w:p w14:paraId="08E943F7">
            <w:pPr>
              <w:pStyle w:val="2"/>
              <w:pageBreakBefore w:val="0"/>
              <w:wordWrap w:val="0"/>
              <w:overflowPunct/>
              <w:bidi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本项目所用生产工艺及设备不属于《限期淘汰产生严重污染环境的工业固体废物的落后生产工艺设备名录》中限期淘汰的落后生产工艺设备，故与《工业和信息化部发布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限期淘汰产生严重污染环境的工业固体废物的落后生产工艺设备名录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公告》（中华人民共和国工业和信息化部公告2021年第25号）相符。</w:t>
            </w:r>
          </w:p>
          <w:p w14:paraId="0A024F9A">
            <w:pPr>
              <w:keepNext/>
              <w:keepLines/>
              <w:pageBreakBefore w:val="0"/>
              <w:tabs>
                <w:tab w:val="left" w:pos="0"/>
              </w:tabs>
              <w:wordWrap w:val="0"/>
              <w:overflowPunct/>
              <w:bidi w:val="0"/>
              <w:spacing w:line="360" w:lineRule="auto"/>
              <w:ind w:left="-2" w:firstLine="482" w:firstLineChars="200"/>
              <w:outlineLvl w:val="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五、“三线一单”相符性分析</w:t>
            </w:r>
          </w:p>
          <w:p w14:paraId="3A7C9AF1">
            <w:pPr>
              <w:pStyle w:val="10"/>
              <w:pageBreakBefore w:val="0"/>
              <w:numPr>
                <w:ilvl w:val="3"/>
                <w:numId w:val="0"/>
              </w:numPr>
              <w:wordWrap w:val="0"/>
              <w:overflowPunct/>
              <w:bidi w:val="0"/>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项目与</w:t>
            </w:r>
            <w:r>
              <w:rPr>
                <w:rFonts w:hint="default" w:ascii="Times New Roman" w:hAnsi="Times New Roman" w:cs="Times New Roman"/>
                <w:color w:val="auto"/>
                <w:sz w:val="24"/>
                <w:szCs w:val="24"/>
                <w:highlight w:val="none"/>
              </w:rPr>
              <w:t>《关于印发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cs="Times New Roman"/>
                <w:color w:val="auto"/>
                <w:sz w:val="24"/>
                <w:szCs w:val="24"/>
                <w:highlight w:val="none"/>
              </w:rPr>
              <w:t>广东省“三线一单”生态环境分区管控方案</w:t>
            </w:r>
            <w:r>
              <w:rPr>
                <w:rFonts w:hint="default" w:ascii="Times New Roman" w:hAnsi="Times New Roman" w:cs="Times New Roman"/>
                <w:color w:val="auto"/>
                <w:sz w:val="24"/>
                <w:szCs w:val="24"/>
                <w:highlight w:val="none"/>
                <w:lang w:val="en-US" w:eastAsia="zh-CN"/>
              </w:rPr>
              <w:t>&gt;</w:t>
            </w:r>
            <w:r>
              <w:rPr>
                <w:rFonts w:hint="default" w:ascii="Times New Roman" w:hAnsi="Times New Roman" w:cs="Times New Roman"/>
                <w:color w:val="auto"/>
                <w:sz w:val="24"/>
                <w:szCs w:val="24"/>
                <w:highlight w:val="none"/>
              </w:rPr>
              <w:t>的通知》（粤府〔2020〕71号）及《广东省2023年度生态环境分区管控动态更新成果公告》</w:t>
            </w:r>
            <w:r>
              <w:rPr>
                <w:rFonts w:hint="default" w:ascii="Times New Roman" w:hAnsi="Times New Roman" w:cs="Times New Roman"/>
                <w:color w:val="auto"/>
                <w:sz w:val="24"/>
                <w:szCs w:val="24"/>
                <w:highlight w:val="none"/>
                <w:lang w:val="en-US" w:eastAsia="zh-CN"/>
              </w:rPr>
              <w:t>的相符性分析</w:t>
            </w:r>
          </w:p>
          <w:p w14:paraId="6CBC06BD">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“三线一单”相符性分析一览表</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8"/>
              <w:gridCol w:w="5526"/>
              <w:gridCol w:w="753"/>
            </w:tblGrid>
            <w:tr w14:paraId="78D44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8" w:type="pct"/>
                  <w:vAlign w:val="center"/>
                </w:tcPr>
                <w:p w14:paraId="276A885C">
                  <w:pPr>
                    <w:pStyle w:val="129"/>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“三线一单”</w:t>
                  </w:r>
                </w:p>
              </w:tc>
              <w:tc>
                <w:tcPr>
                  <w:tcW w:w="3714" w:type="pct"/>
                  <w:vAlign w:val="center"/>
                </w:tcPr>
                <w:p w14:paraId="3241A42B">
                  <w:pPr>
                    <w:pStyle w:val="129"/>
                    <w:pageBreakBefore w:val="0"/>
                    <w:wordWrap w:val="0"/>
                    <w:overflowPunct/>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项目情况</w:t>
                  </w:r>
                </w:p>
              </w:tc>
              <w:tc>
                <w:tcPr>
                  <w:tcW w:w="506" w:type="pct"/>
                  <w:vAlign w:val="center"/>
                </w:tcPr>
                <w:p w14:paraId="1B362AA6">
                  <w:pPr>
                    <w:pStyle w:val="129"/>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相符性</w:t>
                  </w:r>
                </w:p>
              </w:tc>
            </w:tr>
            <w:tr w14:paraId="5D40A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78" w:type="pct"/>
                  <w:vAlign w:val="center"/>
                </w:tcPr>
                <w:p w14:paraId="71DB91E5">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w:t>
                  </w:r>
                </w:p>
              </w:tc>
              <w:tc>
                <w:tcPr>
                  <w:tcW w:w="3714" w:type="pct"/>
                  <w:vAlign w:val="center"/>
                </w:tcPr>
                <w:p w14:paraId="21977A49">
                  <w:pPr>
                    <w:pStyle w:val="129"/>
                    <w:keepNext w:val="0"/>
                    <w:keepLines w:val="0"/>
                    <w:pageBreakBefore w:val="0"/>
                    <w:kinsoku/>
                    <w:wordWrap w:val="0"/>
                    <w:overflowPunct/>
                    <w:topLinePunct w:val="0"/>
                    <w:autoSpaceDE w:val="0"/>
                    <w:autoSpaceDN w:val="0"/>
                    <w:bidi w:val="0"/>
                    <w:snapToGrid/>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kern w:val="2"/>
                      <w:highlight w:val="none"/>
                    </w:rPr>
                    <w:t>项目用地用途为工业厂房，不在</w:t>
                  </w:r>
                  <w:r>
                    <w:rPr>
                      <w:rFonts w:hint="default" w:ascii="Times New Roman" w:hAnsi="Times New Roman" w:cs="Times New Roman"/>
                      <w:color w:val="auto"/>
                      <w:kern w:val="2"/>
                      <w:highlight w:val="none"/>
                      <w:lang w:val="zh-CN"/>
                    </w:rPr>
                    <w:t>生态保护红线和生态环境空间管控区内，</w:t>
                  </w:r>
                  <w:r>
                    <w:rPr>
                      <w:rFonts w:hint="default" w:ascii="Times New Roman" w:hAnsi="Times New Roman" w:cs="Times New Roman"/>
                      <w:color w:val="auto"/>
                      <w:kern w:val="2"/>
                      <w:highlight w:val="none"/>
                    </w:rPr>
                    <w:t>符合生态保护红线要求</w:t>
                  </w:r>
                  <w:r>
                    <w:rPr>
                      <w:rFonts w:hint="default" w:ascii="Times New Roman" w:hAnsi="Times New Roman" w:cs="Times New Roman"/>
                      <w:color w:val="auto"/>
                      <w:highlight w:val="none"/>
                    </w:rPr>
                    <w:t>。</w:t>
                  </w:r>
                </w:p>
              </w:tc>
              <w:tc>
                <w:tcPr>
                  <w:tcW w:w="506" w:type="pct"/>
                  <w:vAlign w:val="center"/>
                </w:tcPr>
                <w:p w14:paraId="096CACC0">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ADBF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0" w:hRule="atLeast"/>
              </w:trPr>
              <w:tc>
                <w:tcPr>
                  <w:tcW w:w="778" w:type="pct"/>
                  <w:vAlign w:val="center"/>
                </w:tcPr>
                <w:p w14:paraId="34995C1E">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资源利用上线</w:t>
                  </w:r>
                </w:p>
              </w:tc>
              <w:tc>
                <w:tcPr>
                  <w:tcW w:w="3714" w:type="pct"/>
                  <w:vAlign w:val="center"/>
                </w:tcPr>
                <w:p w14:paraId="5D6EB2AC">
                  <w:pPr>
                    <w:pStyle w:val="129"/>
                    <w:keepNext w:val="0"/>
                    <w:keepLines w:val="0"/>
                    <w:pageBreakBefore w:val="0"/>
                    <w:kinsoku/>
                    <w:wordWrap w:val="0"/>
                    <w:overflowPunct/>
                    <w:topLinePunct w:val="0"/>
                    <w:autoSpaceDE w:val="0"/>
                    <w:autoSpaceDN w:val="0"/>
                    <w:bidi w:val="0"/>
                    <w:snapToGrid/>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506" w:type="pct"/>
                  <w:vAlign w:val="center"/>
                </w:tcPr>
                <w:p w14:paraId="4AC01BF6">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9DE8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778" w:type="pct"/>
                  <w:vAlign w:val="center"/>
                </w:tcPr>
                <w:p w14:paraId="06068AC6">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环境质量底线</w:t>
                  </w:r>
                </w:p>
              </w:tc>
              <w:tc>
                <w:tcPr>
                  <w:tcW w:w="3714" w:type="pct"/>
                  <w:vAlign w:val="center"/>
                </w:tcPr>
                <w:p w14:paraId="0D2BD0AE">
                  <w:pPr>
                    <w:keepNext w:val="0"/>
                    <w:keepLines w:val="0"/>
                    <w:pageBreakBefore w:val="0"/>
                    <w:kinsoku/>
                    <w:wordWrap w:val="0"/>
                    <w:overflowPunct/>
                    <w:topLinePunct w:val="0"/>
                    <w:autoSpaceDE w:val="0"/>
                    <w:autoSpaceDN w:val="0"/>
                    <w:bidi w:val="0"/>
                    <w:adjustRightInd w:val="0"/>
                    <w:snapToGrid/>
                    <w:spacing w:line="24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年韶关市生态环境状况公报》，可知项目所在地地表水环境质量现状良好。</w:t>
                  </w:r>
                  <w:r>
                    <w:rPr>
                      <w:rFonts w:hint="default" w:ascii="Times New Roman" w:hAnsi="Times New Roman" w:cs="Times New Roman"/>
                      <w:color w:val="auto"/>
                      <w:sz w:val="21"/>
                      <w:szCs w:val="21"/>
                      <w:highlight w:val="none"/>
                      <w:lang w:val="en-US" w:eastAsia="zh-CN"/>
                    </w:rPr>
                    <w:t>本项目排放的大气污染物为颗粒物、挥发性有机废气、臭气浓度，项目废气排放量较少，收集处理后达标排放，对周围大气环境影响不大。项目生产废水经收集后排入园区污水处理厂处理。</w:t>
                  </w:r>
                  <w:r>
                    <w:rPr>
                      <w:rFonts w:hint="default" w:ascii="Times New Roman" w:hAnsi="Times New Roman" w:cs="Times New Roman"/>
                      <w:color w:val="auto"/>
                      <w:sz w:val="21"/>
                      <w:szCs w:val="21"/>
                      <w:highlight w:val="none"/>
                    </w:rPr>
                    <w:t>在严格落实各项污染防治措施的前提下，本项目的建设对周边环境影响较小，建成后不会突破当地环境质量底线，符合环境质量底线要求。</w:t>
                  </w:r>
                </w:p>
              </w:tc>
              <w:tc>
                <w:tcPr>
                  <w:tcW w:w="506" w:type="pct"/>
                  <w:vAlign w:val="center"/>
                </w:tcPr>
                <w:p w14:paraId="72651FFB">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6042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1" w:hRule="atLeast"/>
              </w:trPr>
              <w:tc>
                <w:tcPr>
                  <w:tcW w:w="778" w:type="pct"/>
                  <w:vAlign w:val="center"/>
                </w:tcPr>
                <w:p w14:paraId="127AC96A">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生态环境准入清单</w:t>
                  </w:r>
                </w:p>
              </w:tc>
              <w:tc>
                <w:tcPr>
                  <w:tcW w:w="3714" w:type="pct"/>
                  <w:vAlign w:val="center"/>
                </w:tcPr>
                <w:p w14:paraId="420053C1">
                  <w:pPr>
                    <w:pStyle w:val="129"/>
                    <w:keepNext w:val="0"/>
                    <w:keepLines w:val="0"/>
                    <w:pageBreakBefore w:val="0"/>
                    <w:kinsoku/>
                    <w:wordWrap w:val="0"/>
                    <w:overflowPunct/>
                    <w:topLinePunct w:val="0"/>
                    <w:autoSpaceDE w:val="0"/>
                    <w:autoSpaceDN w:val="0"/>
                    <w:bidi w:val="0"/>
                    <w:snapToGrid/>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本项目营运期主要污染物为废气、</w:t>
                  </w:r>
                  <w:r>
                    <w:rPr>
                      <w:rFonts w:hint="default" w:ascii="Times New Roman" w:hAnsi="Times New Roman" w:cs="Times New Roman"/>
                      <w:color w:val="auto"/>
                      <w:highlight w:val="none"/>
                      <w:lang w:val="en-US" w:eastAsia="zh-CN"/>
                    </w:rPr>
                    <w:t>废水、</w:t>
                  </w:r>
                  <w:r>
                    <w:rPr>
                      <w:rFonts w:hint="default" w:ascii="Times New Roman" w:hAnsi="Times New Roman" w:cs="Times New Roman"/>
                      <w:color w:val="auto"/>
                      <w:highlight w:val="none"/>
                    </w:rPr>
                    <w:t>噪声和固体废物，分别经处理后均能实现达标排放，固体废物经有效</w:t>
                  </w:r>
                  <w:r>
                    <w:rPr>
                      <w:rFonts w:hint="default" w:ascii="Times New Roman" w:hAnsi="Times New Roman" w:cs="Times New Roman"/>
                      <w:color w:val="auto"/>
                      <w:highlight w:val="none"/>
                      <w:lang w:eastAsia="zh-CN"/>
                    </w:rPr>
                    <w:t>地</w:t>
                  </w:r>
                  <w:r>
                    <w:rPr>
                      <w:rFonts w:hint="default" w:ascii="Times New Roman" w:hAnsi="Times New Roman" w:cs="Times New Roman"/>
                      <w:color w:val="auto"/>
                      <w:highlight w:val="none"/>
                    </w:rPr>
                    <w:t>分类收集、处置，对周围环境影响较小，故本项目可与周围环境相容，本项目不属于《市场准入负面清单（202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年版）》禁止准入类项目。</w:t>
                  </w:r>
                </w:p>
              </w:tc>
              <w:tc>
                <w:tcPr>
                  <w:tcW w:w="506" w:type="pct"/>
                  <w:vAlign w:val="center"/>
                </w:tcPr>
                <w:p w14:paraId="2D7BD5CB">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386E4DAE">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p>
          <w:p w14:paraId="4987C4FA">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环境管控单元要求一览表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43"/>
              <w:gridCol w:w="4106"/>
              <w:gridCol w:w="1970"/>
              <w:gridCol w:w="719"/>
            </w:tblGrid>
            <w:tr w14:paraId="25E4E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263D4A06">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单元</w:t>
                  </w:r>
                </w:p>
              </w:tc>
              <w:tc>
                <w:tcPr>
                  <w:tcW w:w="2759" w:type="pct"/>
                  <w:vAlign w:val="center"/>
                </w:tcPr>
                <w:p w14:paraId="226F4CE1">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保护和管控分区或相关要求（节选）</w:t>
                  </w:r>
                </w:p>
              </w:tc>
              <w:tc>
                <w:tcPr>
                  <w:tcW w:w="1324" w:type="pct"/>
                  <w:vAlign w:val="center"/>
                </w:tcPr>
                <w:p w14:paraId="7814E134">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项目情况</w:t>
                  </w:r>
                </w:p>
              </w:tc>
              <w:tc>
                <w:tcPr>
                  <w:tcW w:w="483" w:type="pct"/>
                  <w:vAlign w:val="center"/>
                </w:tcPr>
                <w:p w14:paraId="2FB93BD7">
                  <w:pPr>
                    <w:pStyle w:val="129"/>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相符性</w:t>
                  </w:r>
                </w:p>
              </w:tc>
            </w:tr>
            <w:tr w14:paraId="30FD8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5C458601">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2759" w:type="pct"/>
                  <w:vAlign w:val="center"/>
                </w:tcPr>
                <w:p w14:paraId="58CDB9C8">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生态优先保护区：生态保护红线、一般生态空间</w:t>
                  </w:r>
                </w:p>
              </w:tc>
              <w:tc>
                <w:tcPr>
                  <w:tcW w:w="1324" w:type="pct"/>
                  <w:vAlign w:val="center"/>
                </w:tcPr>
                <w:p w14:paraId="5B472525">
                  <w:pPr>
                    <w:pStyle w:val="129"/>
                    <w:pageBreakBefore w:val="0"/>
                    <w:wordWrap w:val="0"/>
                    <w:overflowPunct/>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项目不在生态保护红线内，详见附图</w:t>
                  </w:r>
                  <w:r>
                    <w:rPr>
                      <w:rFonts w:hint="default" w:ascii="Times New Roman" w:hAnsi="Times New Roman" w:cs="Times New Roman"/>
                      <w:color w:val="auto"/>
                      <w:highlight w:val="none"/>
                      <w:lang w:val="en-US" w:eastAsia="zh-CN"/>
                    </w:rPr>
                    <w:t>9</w:t>
                  </w:r>
                </w:p>
              </w:tc>
              <w:tc>
                <w:tcPr>
                  <w:tcW w:w="483" w:type="pct"/>
                  <w:vAlign w:val="center"/>
                </w:tcPr>
                <w:p w14:paraId="682A9AA6">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E8A0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1D2408C2">
                  <w:pPr>
                    <w:pStyle w:val="129"/>
                    <w:pageBreakBefore w:val="0"/>
                    <w:wordWrap w:val="0"/>
                    <w:overflowPunct/>
                    <w:bidi w:val="0"/>
                    <w:rPr>
                      <w:rFonts w:hint="default" w:ascii="Times New Roman" w:hAnsi="Times New Roman" w:cs="Times New Roman"/>
                      <w:color w:val="auto"/>
                      <w:highlight w:val="none"/>
                    </w:rPr>
                  </w:pPr>
                </w:p>
              </w:tc>
              <w:tc>
                <w:tcPr>
                  <w:tcW w:w="2759" w:type="pct"/>
                  <w:vAlign w:val="center"/>
                </w:tcPr>
                <w:p w14:paraId="43413140">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水环境优先保护区：饮用水水源一级保护区、二级保护区、准保护区</w:t>
                  </w:r>
                </w:p>
              </w:tc>
              <w:tc>
                <w:tcPr>
                  <w:tcW w:w="1324" w:type="pct"/>
                  <w:vAlign w:val="center"/>
                </w:tcPr>
                <w:p w14:paraId="1DFEA827">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项目不在饮用水水源保护区内，不属于水环境优先保护区</w:t>
                  </w:r>
                </w:p>
              </w:tc>
              <w:tc>
                <w:tcPr>
                  <w:tcW w:w="483" w:type="pct"/>
                  <w:vAlign w:val="center"/>
                </w:tcPr>
                <w:p w14:paraId="29445BDE">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4AF1F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5815A38E">
                  <w:pPr>
                    <w:pStyle w:val="129"/>
                    <w:pageBreakBefore w:val="0"/>
                    <w:wordWrap w:val="0"/>
                    <w:overflowPunct/>
                    <w:bidi w:val="0"/>
                    <w:rPr>
                      <w:rFonts w:hint="default" w:ascii="Times New Roman" w:hAnsi="Times New Roman" w:cs="Times New Roman"/>
                      <w:color w:val="auto"/>
                      <w:highlight w:val="none"/>
                    </w:rPr>
                  </w:pPr>
                </w:p>
              </w:tc>
              <w:tc>
                <w:tcPr>
                  <w:tcW w:w="2759" w:type="pct"/>
                  <w:vAlign w:val="center"/>
                </w:tcPr>
                <w:p w14:paraId="78F78E07">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大气环境优先保护区（环境空气质量一类功能区）</w:t>
                  </w:r>
                </w:p>
              </w:tc>
              <w:tc>
                <w:tcPr>
                  <w:tcW w:w="1324" w:type="pct"/>
                  <w:vAlign w:val="center"/>
                </w:tcPr>
                <w:p w14:paraId="1724BFCF">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项目属于空气质量二类功能区，不属于大气环境优先保护区</w:t>
                  </w:r>
                </w:p>
              </w:tc>
              <w:tc>
                <w:tcPr>
                  <w:tcW w:w="483" w:type="pct"/>
                  <w:vAlign w:val="center"/>
                </w:tcPr>
                <w:p w14:paraId="442159DF">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5E1D2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1D7E73E7">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重点管控单元</w:t>
                  </w:r>
                </w:p>
              </w:tc>
              <w:tc>
                <w:tcPr>
                  <w:tcW w:w="2759" w:type="pct"/>
                  <w:vAlign w:val="center"/>
                </w:tcPr>
                <w:p w14:paraId="069D3555">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324" w:type="pct"/>
                  <w:vAlign w:val="center"/>
                </w:tcPr>
                <w:p w14:paraId="11084D06">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项目位于乐昌经济开发区重点管控单元（管控编码ZH44028120003），属于园区重点管控单元，</w:t>
                  </w:r>
                  <w:r>
                    <w:rPr>
                      <w:rFonts w:hint="default"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rPr>
                    <w:t>项目主要从事显示器件制造，生产过程中产生</w:t>
                  </w:r>
                  <w:r>
                    <w:rPr>
                      <w:rFonts w:hint="default" w:ascii="Times New Roman" w:hAnsi="Times New Roman" w:cs="Times New Roman"/>
                      <w:color w:val="auto"/>
                      <w:sz w:val="21"/>
                      <w:szCs w:val="21"/>
                      <w:highlight w:val="none"/>
                      <w:lang w:val="en-US" w:eastAsia="zh-CN"/>
                    </w:rPr>
                    <w:t>挥发性有机废气</w:t>
                  </w:r>
                  <w:r>
                    <w:rPr>
                      <w:rFonts w:hint="default" w:ascii="Times New Roman" w:hAnsi="Times New Roman" w:cs="Times New Roman"/>
                      <w:color w:val="auto"/>
                      <w:sz w:val="21"/>
                      <w:szCs w:val="21"/>
                      <w:highlight w:val="none"/>
                      <w:lang w:eastAsia="zh-CN"/>
                    </w:rPr>
                    <w:t>，执行总量控制制度</w:t>
                  </w:r>
                  <w:r>
                    <w:rPr>
                      <w:rFonts w:hint="default" w:ascii="Times New Roman" w:hAnsi="Times New Roman" w:cs="Times New Roman"/>
                      <w:color w:val="auto"/>
                      <w:sz w:val="21"/>
                      <w:szCs w:val="21"/>
                      <w:highlight w:val="none"/>
                      <w:lang w:val="en-US" w:eastAsia="zh-CN"/>
                    </w:rPr>
                    <w:t>，新申总量。废水总量控制指标纳入园区污水处理厂，不另外申请</w:t>
                  </w:r>
                  <w:r>
                    <w:rPr>
                      <w:rFonts w:hint="default" w:ascii="Times New Roman" w:hAnsi="Times New Roman" w:cs="Times New Roman"/>
                      <w:color w:val="auto"/>
                      <w:sz w:val="21"/>
                      <w:szCs w:val="21"/>
                      <w:highlight w:val="none"/>
                    </w:rPr>
                    <w:t>。</w:t>
                  </w:r>
                </w:p>
              </w:tc>
              <w:tc>
                <w:tcPr>
                  <w:tcW w:w="483" w:type="pct"/>
                  <w:vAlign w:val="center"/>
                </w:tcPr>
                <w:p w14:paraId="3B7E752A">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5981E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52ACE2FB">
                  <w:pPr>
                    <w:pStyle w:val="129"/>
                    <w:pageBreakBefore w:val="0"/>
                    <w:wordWrap w:val="0"/>
                    <w:overflowPunct/>
                    <w:bidi w:val="0"/>
                    <w:rPr>
                      <w:rFonts w:hint="default" w:ascii="Times New Roman" w:hAnsi="Times New Roman" w:cs="Times New Roman"/>
                      <w:color w:val="auto"/>
                      <w:highlight w:val="none"/>
                    </w:rPr>
                  </w:pPr>
                </w:p>
              </w:tc>
              <w:tc>
                <w:tcPr>
                  <w:tcW w:w="2759" w:type="pct"/>
                  <w:vAlign w:val="center"/>
                </w:tcPr>
                <w:p w14:paraId="578252C6">
                  <w:pPr>
                    <w:pStyle w:val="129"/>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324" w:type="pct"/>
                  <w:vAlign w:val="center"/>
                </w:tcPr>
                <w:p w14:paraId="5B775726">
                  <w:pPr>
                    <w:pStyle w:val="129"/>
                    <w:pageBreakBefore w:val="0"/>
                    <w:wordWrap w:val="0"/>
                    <w:overflowPunct/>
                    <w:bidi w:val="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项目不属于耗水量大和污染物排放强度高的行业。</w:t>
                  </w:r>
                  <w:r>
                    <w:rPr>
                      <w:rFonts w:hint="default" w:ascii="Times New Roman" w:hAnsi="Times New Roman" w:cs="Times New Roman"/>
                      <w:color w:val="auto"/>
                      <w:highlight w:val="none"/>
                      <w:lang w:eastAsia="zh-CN"/>
                    </w:rPr>
                    <w:t>项目生产废水经收集后排入园区污水处理厂处理。</w:t>
                  </w:r>
                </w:p>
              </w:tc>
              <w:tc>
                <w:tcPr>
                  <w:tcW w:w="483" w:type="pct"/>
                  <w:vAlign w:val="center"/>
                </w:tcPr>
                <w:p w14:paraId="42BE6721">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DDE4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63C5544A">
                  <w:pPr>
                    <w:pStyle w:val="129"/>
                    <w:pageBreakBefore w:val="0"/>
                    <w:wordWrap w:val="0"/>
                    <w:overflowPunct/>
                    <w:bidi w:val="0"/>
                    <w:rPr>
                      <w:rFonts w:hint="default" w:ascii="Times New Roman" w:hAnsi="Times New Roman" w:cs="Times New Roman"/>
                      <w:color w:val="auto"/>
                      <w:highlight w:val="none"/>
                    </w:rPr>
                  </w:pPr>
                </w:p>
              </w:tc>
              <w:tc>
                <w:tcPr>
                  <w:tcW w:w="2759" w:type="pct"/>
                  <w:vAlign w:val="center"/>
                </w:tcPr>
                <w:p w14:paraId="2CD20B53">
                  <w:pPr>
                    <w:pStyle w:val="129"/>
                    <w:pageBreakBefore w:val="0"/>
                    <w:wordWrap w:val="0"/>
                    <w:overflowPunct/>
                    <w:bidi w:val="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r>
                    <w:rPr>
                      <w:rFonts w:hint="default" w:ascii="Times New Roman" w:hAnsi="Times New Roman" w:cs="Times New Roman"/>
                      <w:color w:val="auto"/>
                      <w:highlight w:val="none"/>
                      <w:lang w:eastAsia="zh-CN"/>
                    </w:rPr>
                    <w:t>。</w:t>
                  </w:r>
                </w:p>
              </w:tc>
              <w:tc>
                <w:tcPr>
                  <w:tcW w:w="1324" w:type="pct"/>
                  <w:vAlign w:val="center"/>
                </w:tcPr>
                <w:p w14:paraId="7DAB9391">
                  <w:pPr>
                    <w:pStyle w:val="129"/>
                    <w:pageBreakBefore w:val="0"/>
                    <w:wordWrap w:val="0"/>
                    <w:overflowPunct/>
                    <w:bidi w:val="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项目不属于产排有毒有害大气污染物的项目</w:t>
                  </w:r>
                  <w:r>
                    <w:rPr>
                      <w:rFonts w:hint="default" w:ascii="Times New Roman" w:hAnsi="Times New Roman" w:cs="Times New Roman"/>
                      <w:color w:val="auto"/>
                      <w:highlight w:val="none"/>
                      <w:lang w:eastAsia="zh-CN"/>
                    </w:rPr>
                    <w:t>。</w:t>
                  </w:r>
                </w:p>
              </w:tc>
              <w:tc>
                <w:tcPr>
                  <w:tcW w:w="483" w:type="pct"/>
                  <w:vAlign w:val="center"/>
                </w:tcPr>
                <w:p w14:paraId="70FB1744">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4551E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0609E607">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一般管控单元</w:t>
                  </w:r>
                </w:p>
              </w:tc>
              <w:tc>
                <w:tcPr>
                  <w:tcW w:w="2759" w:type="pct"/>
                  <w:vAlign w:val="center"/>
                </w:tcPr>
                <w:p w14:paraId="1B23DFEA">
                  <w:pPr>
                    <w:pStyle w:val="129"/>
                    <w:pageBreakBefore w:val="0"/>
                    <w:wordWrap w:val="0"/>
                    <w:overflowPunct/>
                    <w:bidi w:val="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执行区域生态环境保护的基本要求。根据资源环境承载能力，引导产业科学布局，合理控制开发强度，维护生态环境功能稳定</w:t>
                  </w:r>
                  <w:r>
                    <w:rPr>
                      <w:rFonts w:hint="default" w:ascii="Times New Roman" w:hAnsi="Times New Roman" w:cs="Times New Roman"/>
                      <w:color w:val="auto"/>
                      <w:highlight w:val="none"/>
                      <w:lang w:eastAsia="zh-CN"/>
                    </w:rPr>
                    <w:t>。</w:t>
                  </w:r>
                </w:p>
              </w:tc>
              <w:tc>
                <w:tcPr>
                  <w:tcW w:w="1324" w:type="pct"/>
                  <w:vAlign w:val="center"/>
                </w:tcPr>
                <w:p w14:paraId="5B7B8854">
                  <w:pPr>
                    <w:pStyle w:val="129"/>
                    <w:pageBreakBefore w:val="0"/>
                    <w:wordWrap w:val="0"/>
                    <w:overflowPunct/>
                    <w:bidi w:val="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项目执行区域生态环境保护的基本要求</w:t>
                  </w:r>
                  <w:r>
                    <w:rPr>
                      <w:rFonts w:hint="default" w:ascii="Times New Roman" w:hAnsi="Times New Roman" w:cs="Times New Roman"/>
                      <w:color w:val="auto"/>
                      <w:highlight w:val="none"/>
                      <w:lang w:eastAsia="zh-CN"/>
                    </w:rPr>
                    <w:t>。</w:t>
                  </w:r>
                </w:p>
              </w:tc>
              <w:tc>
                <w:tcPr>
                  <w:tcW w:w="483" w:type="pct"/>
                  <w:vAlign w:val="center"/>
                </w:tcPr>
                <w:p w14:paraId="02AFBE8E">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1129A5D1">
            <w:pPr>
              <w:keepNext w:val="0"/>
              <w:keepLines w:val="0"/>
              <w:pageBreakBefore w:val="0"/>
              <w:widowControl w:val="0"/>
              <w:kinsoku/>
              <w:wordWrap w:val="0"/>
              <w:overflowPunct/>
              <w:topLinePunct w:val="0"/>
              <w:autoSpaceDE/>
              <w:autoSpaceDN/>
              <w:bidi w:val="0"/>
              <w:adjustRightInd/>
              <w:snapToGrid/>
              <w:spacing w:before="157" w:beforeLines="50" w:line="348" w:lineRule="auto"/>
              <w:ind w:right="76" w:rightChars="36"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综上所述，项目符合《广东省人民政府关于印发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cs="Times New Roman"/>
                <w:color w:val="auto"/>
                <w:sz w:val="24"/>
                <w:szCs w:val="24"/>
                <w:highlight w:val="none"/>
              </w:rPr>
              <w:t>广东省“三线一单”生态环境分区管控方案</w:t>
            </w:r>
            <w:r>
              <w:rPr>
                <w:rFonts w:hint="default" w:ascii="Times New Roman" w:hAnsi="Times New Roman" w:cs="Times New Roman"/>
                <w:color w:val="auto"/>
                <w:sz w:val="24"/>
                <w:szCs w:val="24"/>
                <w:highlight w:val="none"/>
                <w:lang w:val="en-US" w:eastAsia="zh-CN"/>
              </w:rPr>
              <w:t>&gt;</w:t>
            </w:r>
            <w:r>
              <w:rPr>
                <w:rFonts w:hint="default" w:ascii="Times New Roman" w:hAnsi="Times New Roman" w:cs="Times New Roman"/>
                <w:color w:val="auto"/>
                <w:sz w:val="24"/>
                <w:szCs w:val="24"/>
                <w:highlight w:val="none"/>
              </w:rPr>
              <w:t>的通知》（粤府〔2020〕71号）及《广东省2023年度生态环境分区管控动态更新成果公告》的相关要求。</w:t>
            </w:r>
          </w:p>
          <w:p w14:paraId="0C60D88A">
            <w:pPr>
              <w:pageBreakBefore w:val="0"/>
              <w:wordWrap w:val="0"/>
              <w:overflowPunct/>
              <w:bidi w:val="0"/>
              <w:spacing w:line="348" w:lineRule="auto"/>
              <w:ind w:right="76" w:rightChars="36" w:firstLine="482" w:firstLineChars="200"/>
              <w:jc w:val="lef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项目与韶关市人民政府关于印发《韶关市“三线一单”生态环境分区管控方案的通知》的通知（韶府〔2021〕10号）</w:t>
            </w:r>
            <w:r>
              <w:rPr>
                <w:rFonts w:hint="default" w:ascii="Times New Roman" w:hAnsi="Times New Roman" w:cs="Times New Roman"/>
                <w:b/>
                <w:bCs/>
                <w:color w:val="auto"/>
                <w:sz w:val="24"/>
                <w:szCs w:val="24"/>
                <w:highlight w:val="none"/>
                <w:lang w:eastAsia="zh-CN"/>
              </w:rPr>
              <w:t>、《韶关市生态环境分区管控动态更新成果》</w:t>
            </w:r>
            <w:r>
              <w:rPr>
                <w:rFonts w:hint="default" w:ascii="Times New Roman" w:hAnsi="Times New Roman" w:cs="Times New Roman"/>
                <w:b/>
                <w:bCs/>
                <w:color w:val="auto"/>
                <w:sz w:val="24"/>
                <w:szCs w:val="24"/>
                <w:highlight w:val="none"/>
              </w:rPr>
              <w:t>的相符性分析</w:t>
            </w:r>
          </w:p>
          <w:p w14:paraId="351CBDDD">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（韶府〔2021〕10号）的相符性分析一览表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37"/>
              <w:gridCol w:w="554"/>
              <w:gridCol w:w="4234"/>
              <w:gridCol w:w="1850"/>
              <w:gridCol w:w="463"/>
            </w:tblGrid>
            <w:tr w14:paraId="59909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3EC6D07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2845" w:type="pct"/>
                  <w:tcBorders>
                    <w:tl2br w:val="nil"/>
                    <w:tr2bl w:val="nil"/>
                  </w:tcBorders>
                  <w:vAlign w:val="center"/>
                </w:tcPr>
                <w:p w14:paraId="2FF08876">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要求</w:t>
                  </w:r>
                </w:p>
              </w:tc>
              <w:tc>
                <w:tcPr>
                  <w:tcW w:w="1243" w:type="pct"/>
                  <w:tcBorders>
                    <w:tl2br w:val="nil"/>
                    <w:tr2bl w:val="nil"/>
                  </w:tcBorders>
                  <w:vAlign w:val="center"/>
                </w:tcPr>
                <w:p w14:paraId="78CCF824">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相符性分析</w:t>
                  </w:r>
                </w:p>
              </w:tc>
              <w:tc>
                <w:tcPr>
                  <w:tcW w:w="311" w:type="pct"/>
                  <w:tcBorders>
                    <w:tl2br w:val="nil"/>
                    <w:tr2bl w:val="nil"/>
                  </w:tcBorders>
                  <w:vAlign w:val="center"/>
                </w:tcPr>
                <w:p w14:paraId="35623078">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结论</w:t>
                  </w:r>
                </w:p>
              </w:tc>
            </w:tr>
            <w:tr w14:paraId="4B0FF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5306B33C">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全市总体管控</w:t>
                  </w:r>
                </w:p>
              </w:tc>
              <w:tc>
                <w:tcPr>
                  <w:tcW w:w="372" w:type="pct"/>
                  <w:tcBorders>
                    <w:tl2br w:val="nil"/>
                    <w:tr2bl w:val="nil"/>
                  </w:tcBorders>
                  <w:vAlign w:val="center"/>
                </w:tcPr>
                <w:p w14:paraId="597245B7">
                  <w:pPr>
                    <w:pageBreakBefore w:val="0"/>
                    <w:widowControl/>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区域布局管控</w:t>
                  </w:r>
                </w:p>
              </w:tc>
              <w:tc>
                <w:tcPr>
                  <w:tcW w:w="2845" w:type="pct"/>
                  <w:tcBorders>
                    <w:tl2br w:val="nil"/>
                    <w:tr2bl w:val="nil"/>
                  </w:tcBorders>
                  <w:vAlign w:val="center"/>
                </w:tcPr>
                <w:p w14:paraId="23C32FE0">
                  <w:pPr>
                    <w:pageBreakBefore w:val="0"/>
                    <w:wordWrap w:val="0"/>
                    <w:overflowPunct/>
                    <w:bidi w:val="0"/>
                    <w:spacing w:line="240" w:lineRule="auto"/>
                    <w:jc w:val="both"/>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30A6002F">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本项目为项目</w:t>
                  </w:r>
                  <w:r>
                    <w:rPr>
                      <w:rFonts w:hint="default" w:ascii="Times New Roman" w:hAnsi="Times New Roman" w:cs="Times New Roman"/>
                      <w:color w:val="auto"/>
                      <w:sz w:val="21"/>
                      <w:szCs w:val="21"/>
                      <w:highlight w:val="none"/>
                      <w:lang w:eastAsia="zh-CN"/>
                    </w:rPr>
                    <w:t>主要从事显示器件制造</w:t>
                  </w:r>
                  <w:r>
                    <w:rPr>
                      <w:rFonts w:hint="default" w:ascii="Times New Roman" w:hAnsi="Times New Roman" w:cs="Times New Roman"/>
                      <w:color w:val="auto"/>
                      <w:sz w:val="21"/>
                      <w:szCs w:val="21"/>
                      <w:highlight w:val="none"/>
                    </w:rPr>
                    <w:t>，不涉重金属，不属于高污染高耗能行业，项目位于乐昌产业转移工业园，园区已开展规划环境评价，项目符合园区准入条件。项目所在地属于</w:t>
                  </w:r>
                  <w:r>
                    <w:rPr>
                      <w:rFonts w:hint="default" w:ascii="Times New Roman" w:hAnsi="Times New Roman" w:cs="Times New Roman"/>
                      <w:color w:val="auto"/>
                      <w:sz w:val="21"/>
                      <w:szCs w:val="21"/>
                      <w:highlight w:val="none"/>
                      <w:lang w:val="en-US" w:eastAsia="zh-CN"/>
                    </w:rPr>
                    <w:t>大气</w:t>
                  </w:r>
                  <w:r>
                    <w:rPr>
                      <w:rFonts w:hint="default" w:ascii="Times New Roman" w:hAnsi="Times New Roman" w:cs="Times New Roman"/>
                      <w:color w:val="auto"/>
                      <w:sz w:val="21"/>
                      <w:szCs w:val="21"/>
                      <w:highlight w:val="none"/>
                    </w:rPr>
                    <w:t>环境功能二类区、水环境质量达标区。</w:t>
                  </w:r>
                </w:p>
              </w:tc>
              <w:tc>
                <w:tcPr>
                  <w:tcW w:w="311" w:type="pct"/>
                  <w:tcBorders>
                    <w:tl2br w:val="nil"/>
                    <w:tr2bl w:val="nil"/>
                  </w:tcBorders>
                  <w:vAlign w:val="center"/>
                </w:tcPr>
                <w:p w14:paraId="73ABB73F">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49A7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449F2C4F">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19D8FAE6">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303B1EB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5BE88E2B">
                  <w:pPr>
                    <w:pageBreakBefore w:val="0"/>
                    <w:wordWrap w:val="0"/>
                    <w:overflowPunct/>
                    <w:bidi w:val="0"/>
                    <w:spacing w:line="240" w:lineRule="auto"/>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主要从事显示器件制造</w:t>
                  </w:r>
                  <w:r>
                    <w:rPr>
                      <w:rFonts w:hint="default" w:ascii="Times New Roman" w:hAnsi="Times New Roman" w:cs="Times New Roman"/>
                      <w:color w:val="auto"/>
                      <w:sz w:val="21"/>
                      <w:szCs w:val="21"/>
                      <w:highlight w:val="none"/>
                    </w:rPr>
                    <w:t>，不属于电力、建材、冶炼等重点耗能行业，不涉及水电、风电</w:t>
                  </w:r>
                  <w:r>
                    <w:rPr>
                      <w:rFonts w:hint="default" w:ascii="Times New Roman" w:hAnsi="Times New Roman" w:cs="Times New Roman"/>
                      <w:color w:val="auto"/>
                      <w:sz w:val="21"/>
                      <w:szCs w:val="21"/>
                      <w:highlight w:val="none"/>
                      <w:lang w:eastAsia="zh-CN"/>
                    </w:rPr>
                    <w:t>。</w:t>
                  </w:r>
                </w:p>
              </w:tc>
              <w:tc>
                <w:tcPr>
                  <w:tcW w:w="311" w:type="pct"/>
                  <w:tcBorders>
                    <w:tl2br w:val="nil"/>
                    <w:tr2bl w:val="nil"/>
                  </w:tcBorders>
                  <w:vAlign w:val="center"/>
                </w:tcPr>
                <w:p w14:paraId="238CB2FD">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3206D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51DDFB6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4CC9AF2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污染物排放管控</w:t>
                  </w:r>
                </w:p>
              </w:tc>
              <w:tc>
                <w:tcPr>
                  <w:tcW w:w="2845" w:type="pct"/>
                  <w:tcBorders>
                    <w:tl2br w:val="nil"/>
                    <w:tr2bl w:val="nil"/>
                  </w:tcBorders>
                  <w:vAlign w:val="center"/>
                </w:tcPr>
                <w:p w14:paraId="50CE41B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5F008448">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01BFA8D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5F2C55DD">
                  <w:pPr>
                    <w:pageBreakBefore w:val="0"/>
                    <w:wordWrap w:val="0"/>
                    <w:overflowPunct/>
                    <w:bidi w:val="0"/>
                    <w:spacing w:line="240" w:lineRule="auto"/>
                    <w:jc w:val="both"/>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7E0023F2">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主要从事显示器件制造</w:t>
                  </w:r>
                  <w:r>
                    <w:rPr>
                      <w:rFonts w:hint="default" w:ascii="Times New Roman" w:hAnsi="Times New Roman" w:cs="Times New Roman"/>
                      <w:color w:val="auto"/>
                      <w:sz w:val="21"/>
                      <w:szCs w:val="21"/>
                      <w:highlight w:val="none"/>
                    </w:rPr>
                    <w:t>，不属于造纸、焦化、有色金属、印染、农副食品加工、原料药制造、制革、农药、电镀等行业，不属于“两高”项目。项目所在地不涉及饮用水水源保护区，</w:t>
                  </w:r>
                  <w:r>
                    <w:rPr>
                      <w:rFonts w:hint="default" w:ascii="Times New Roman" w:hAnsi="Times New Roman" w:cs="Times New Roman"/>
                      <w:color w:val="auto"/>
                      <w:szCs w:val="21"/>
                      <w:highlight w:val="none"/>
                    </w:rPr>
                    <w:t>项目生产废水</w:t>
                  </w:r>
                  <w:r>
                    <w:rPr>
                      <w:rFonts w:hint="default" w:ascii="Times New Roman" w:hAnsi="Times New Roman" w:cs="Times New Roman"/>
                      <w:color w:val="auto"/>
                      <w:szCs w:val="21"/>
                      <w:highlight w:val="none"/>
                      <w:lang w:eastAsia="zh-CN"/>
                    </w:rPr>
                    <w:t>经收集后</w:t>
                  </w:r>
                  <w:r>
                    <w:rPr>
                      <w:rFonts w:hint="default" w:ascii="Times New Roman" w:hAnsi="Times New Roman" w:cs="Times New Roman"/>
                      <w:color w:val="auto"/>
                      <w:szCs w:val="21"/>
                      <w:highlight w:val="none"/>
                    </w:rPr>
                    <w:t>排入园区污水处理厂处理</w:t>
                  </w:r>
                  <w:r>
                    <w:rPr>
                      <w:rFonts w:hint="default" w:ascii="Times New Roman" w:hAnsi="Times New Roman" w:cs="Times New Roman"/>
                      <w:color w:val="auto"/>
                      <w:szCs w:val="21"/>
                      <w:highlight w:val="none"/>
                      <w:lang w:eastAsia="zh-CN"/>
                    </w:rPr>
                    <w:t>。</w:t>
                  </w:r>
                </w:p>
              </w:tc>
              <w:tc>
                <w:tcPr>
                  <w:tcW w:w="311" w:type="pct"/>
                  <w:tcBorders>
                    <w:tl2br w:val="nil"/>
                    <w:tr2bl w:val="nil"/>
                  </w:tcBorders>
                  <w:vAlign w:val="center"/>
                </w:tcPr>
                <w:p w14:paraId="70B7635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2F090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5C23FAF8">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605870C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环境风险管控</w:t>
                  </w:r>
                </w:p>
              </w:tc>
              <w:tc>
                <w:tcPr>
                  <w:tcW w:w="2845" w:type="pct"/>
                  <w:tcBorders>
                    <w:tl2br w:val="nil"/>
                    <w:tr2bl w:val="nil"/>
                  </w:tcBorders>
                  <w:vAlign w:val="center"/>
                </w:tcPr>
                <w:p w14:paraId="47D7EEE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243" w:type="pct"/>
                  <w:tcBorders>
                    <w:tl2br w:val="nil"/>
                    <w:tr2bl w:val="nil"/>
                  </w:tcBorders>
                  <w:vAlign w:val="center"/>
                </w:tcPr>
                <w:p w14:paraId="118EF2E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21E77B5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287F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2C7538A6">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生态环境准入清单</w:t>
                  </w:r>
                </w:p>
              </w:tc>
              <w:tc>
                <w:tcPr>
                  <w:tcW w:w="372" w:type="pct"/>
                  <w:tcBorders>
                    <w:tl2br w:val="nil"/>
                    <w:tr2bl w:val="nil"/>
                  </w:tcBorders>
                  <w:vAlign w:val="center"/>
                </w:tcPr>
                <w:p w14:paraId="46DBAFF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845" w:type="pct"/>
                  <w:tcBorders>
                    <w:tl2br w:val="nil"/>
                    <w:tr2bl w:val="nil"/>
                  </w:tcBorders>
                  <w:vAlign w:val="center"/>
                </w:tcPr>
                <w:p w14:paraId="5214A285">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38033A5C">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406AB254">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26D88F3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243" w:type="pct"/>
                  <w:tcBorders>
                    <w:tl2br w:val="nil"/>
                    <w:tr2bl w:val="nil"/>
                  </w:tcBorders>
                  <w:vAlign w:val="center"/>
                </w:tcPr>
                <w:p w14:paraId="0A5A1DAA">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主要从事显示器件制造</w:t>
                  </w:r>
                  <w:r>
                    <w:rPr>
                      <w:rFonts w:hint="default" w:ascii="Times New Roman" w:hAnsi="Times New Roman" w:cs="Times New Roman"/>
                      <w:color w:val="auto"/>
                      <w:sz w:val="21"/>
                      <w:szCs w:val="21"/>
                      <w:highlight w:val="none"/>
                    </w:rPr>
                    <w:t>，不属于专业电镀、化学制浆、鞣革等水污染物排放量大或排放一类污染物、持久性有机污染物的项目；项目符合园区发展定位；周边无敏感点。</w:t>
                  </w:r>
                </w:p>
              </w:tc>
              <w:tc>
                <w:tcPr>
                  <w:tcW w:w="311" w:type="pct"/>
                  <w:tcBorders>
                    <w:tl2br w:val="nil"/>
                    <w:tr2bl w:val="nil"/>
                  </w:tcBorders>
                  <w:vAlign w:val="center"/>
                </w:tcPr>
                <w:p w14:paraId="14D47B13">
                  <w:pPr>
                    <w:pageBreakBefore w:val="0"/>
                    <w:wordWrap w:val="0"/>
                    <w:overflowPunct/>
                    <w:bidi w:val="0"/>
                    <w:spacing w:line="240" w:lineRule="auto"/>
                    <w:ind w:right="7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FDC5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48FD53A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4A043985">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5ADB5898">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42FFCB3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35BE2AA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243" w:type="pct"/>
                  <w:tcBorders>
                    <w:tl2br w:val="nil"/>
                    <w:tr2bl w:val="nil"/>
                  </w:tcBorders>
                  <w:vAlign w:val="center"/>
                </w:tcPr>
                <w:p w14:paraId="2562C345">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项目以主要电能作为生产能源，属于清洁能源；</w:t>
                  </w:r>
                  <w:r>
                    <w:rPr>
                      <w:rFonts w:hint="default" w:ascii="Times New Roman" w:hAnsi="Times New Roman" w:cs="Times New Roman"/>
                      <w:color w:val="auto"/>
                      <w:szCs w:val="21"/>
                      <w:highlight w:val="none"/>
                      <w:lang w:eastAsia="zh-CN"/>
                    </w:rPr>
                    <w:t>项目生产废水经收集后排入园区污水处理厂处理</w:t>
                  </w:r>
                  <w:r>
                    <w:rPr>
                      <w:rFonts w:hint="default" w:ascii="Times New Roman" w:hAnsi="Times New Roman" w:cs="Times New Roman"/>
                      <w:color w:val="auto"/>
                      <w:sz w:val="21"/>
                      <w:szCs w:val="21"/>
                      <w:highlight w:val="none"/>
                    </w:rPr>
                    <w:t>。</w:t>
                  </w:r>
                </w:p>
              </w:tc>
              <w:tc>
                <w:tcPr>
                  <w:tcW w:w="311" w:type="pct"/>
                  <w:tcBorders>
                    <w:tl2br w:val="nil"/>
                    <w:tr2bl w:val="nil"/>
                  </w:tcBorders>
                  <w:vAlign w:val="center"/>
                </w:tcPr>
                <w:p w14:paraId="0339326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277C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7B30CEB">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2CD919C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845" w:type="pct"/>
                  <w:tcBorders>
                    <w:tl2br w:val="nil"/>
                    <w:tr2bl w:val="nil"/>
                  </w:tcBorders>
                  <w:vAlign w:val="center"/>
                </w:tcPr>
                <w:p w14:paraId="2FE74EF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298062EE">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27FC15BA">
                  <w:pPr>
                    <w:pageBreakBefore w:val="0"/>
                    <w:wordWrap w:val="0"/>
                    <w:overflowPunct/>
                    <w:bidi w:val="0"/>
                    <w:spacing w:line="240" w:lineRule="auto"/>
                    <w:jc w:val="both"/>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243" w:type="pct"/>
                  <w:tcBorders>
                    <w:tl2br w:val="nil"/>
                    <w:tr2bl w:val="nil"/>
                  </w:tcBorders>
                  <w:vAlign w:val="center"/>
                </w:tcPr>
                <w:p w14:paraId="61DB08DB">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本项目</w:t>
                  </w:r>
                  <w:r>
                    <w:rPr>
                      <w:rFonts w:hint="default" w:ascii="Times New Roman" w:hAnsi="Times New Roman" w:cs="Times New Roman"/>
                      <w:color w:val="auto"/>
                      <w:sz w:val="21"/>
                      <w:szCs w:val="21"/>
                      <w:highlight w:val="none"/>
                    </w:rPr>
                    <w:t>生产过程中产生</w:t>
                  </w:r>
                  <w:r>
                    <w:rPr>
                      <w:rFonts w:hint="default" w:ascii="Times New Roman" w:hAnsi="Times New Roman" w:cs="Times New Roman"/>
                      <w:color w:val="auto"/>
                      <w:sz w:val="21"/>
                      <w:szCs w:val="21"/>
                      <w:highlight w:val="none"/>
                      <w:lang w:val="en-US" w:eastAsia="zh-CN"/>
                    </w:rPr>
                    <w:t>挥发性有机废气</w:t>
                  </w:r>
                  <w:r>
                    <w:rPr>
                      <w:rFonts w:hint="default" w:ascii="Times New Roman" w:hAnsi="Times New Roman" w:cs="Times New Roman"/>
                      <w:color w:val="auto"/>
                      <w:sz w:val="21"/>
                      <w:szCs w:val="21"/>
                      <w:highlight w:val="none"/>
                      <w:lang w:eastAsia="zh-CN"/>
                    </w:rPr>
                    <w:t>，执行总量控制制度</w:t>
                  </w:r>
                  <w:r>
                    <w:rPr>
                      <w:rFonts w:hint="default" w:ascii="Times New Roman" w:hAnsi="Times New Roman" w:cs="Times New Roman"/>
                      <w:color w:val="auto"/>
                      <w:sz w:val="21"/>
                      <w:szCs w:val="21"/>
                      <w:highlight w:val="none"/>
                      <w:lang w:val="en-US" w:eastAsia="zh-CN"/>
                    </w:rPr>
                    <w:t>，新申总量；废水总量控制指标纳入园区污水处理厂，不另外申请</w:t>
                  </w:r>
                  <w:r>
                    <w:rPr>
                      <w:rFonts w:hint="default" w:ascii="Times New Roman" w:hAnsi="Times New Roman" w:cs="Times New Roman"/>
                      <w:color w:val="auto"/>
                      <w:sz w:val="21"/>
                      <w:szCs w:val="21"/>
                      <w:highlight w:val="none"/>
                    </w:rPr>
                    <w:t>。项目不涉及重金属污染物，危险废物贮存在厂区危险废物暂存间，统一收集后交有资质的单位处理。</w:t>
                  </w:r>
                </w:p>
              </w:tc>
              <w:tc>
                <w:tcPr>
                  <w:tcW w:w="311" w:type="pct"/>
                  <w:tcBorders>
                    <w:tl2br w:val="nil"/>
                    <w:tr2bl w:val="nil"/>
                  </w:tcBorders>
                  <w:vAlign w:val="center"/>
                </w:tcPr>
                <w:p w14:paraId="6D809C0C">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BD1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132AF38D">
                  <w:pPr>
                    <w:pageBreakBefore w:val="0"/>
                    <w:wordWrap w:val="0"/>
                    <w:overflowPunct/>
                    <w:bidi w:val="0"/>
                    <w:spacing w:line="240" w:lineRule="auto"/>
                    <w:ind w:right="76" w:rightChars="36"/>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7FBFA0B3">
                  <w:pPr>
                    <w:pageBreakBefore w:val="0"/>
                    <w:wordWrap w:val="0"/>
                    <w:overflowPunct/>
                    <w:bidi w:val="0"/>
                    <w:spacing w:line="240" w:lineRule="auto"/>
                    <w:ind w:right="7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845" w:type="pct"/>
                  <w:tcBorders>
                    <w:tl2br w:val="nil"/>
                    <w:tr2bl w:val="nil"/>
                  </w:tcBorders>
                  <w:vAlign w:val="center"/>
                </w:tcPr>
                <w:p w14:paraId="6829078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243" w:type="pct"/>
                  <w:tcBorders>
                    <w:tl2br w:val="nil"/>
                    <w:tr2bl w:val="nil"/>
                  </w:tcBorders>
                  <w:vAlign w:val="center"/>
                </w:tcPr>
                <w:p w14:paraId="1D57298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68FD35C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45858726">
            <w:pPr>
              <w:pStyle w:val="22"/>
              <w:pageBreakBefore w:val="0"/>
              <w:wordWrap w:val="0"/>
              <w:overflowPunct/>
              <w:bidi w:val="0"/>
              <w:ind w:firstLine="480" w:firstLineChars="200"/>
              <w:jc w:val="left"/>
              <w:rPr>
                <w:rFonts w:hint="default" w:ascii="Times New Roman" w:hAnsi="Times New Roman" w:cs="Times New Roman"/>
                <w:b w:val="0"/>
                <w:bCs w:val="0"/>
                <w:color w:val="auto"/>
                <w:sz w:val="24"/>
                <w:szCs w:val="24"/>
                <w:highlight w:val="none"/>
              </w:rPr>
            </w:pPr>
          </w:p>
          <w:p w14:paraId="30DF45DA">
            <w:pPr>
              <w:pageBreakBefore w:val="0"/>
              <w:wordWrap w:val="0"/>
              <w:overflowPunct/>
              <w:bidi w:val="0"/>
              <w:spacing w:line="348" w:lineRule="auto"/>
              <w:ind w:right="76" w:rightChars="36"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综上，项目符合</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韶关市人民政府关于印发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eastAsia="宋体" w:cs="Times New Roman"/>
                <w:color w:val="auto"/>
                <w:sz w:val="24"/>
                <w:szCs w:val="24"/>
                <w:highlight w:val="none"/>
              </w:rPr>
              <w:t>韶关市“三线一单”生态环境分区管控方案的通知</w:t>
            </w:r>
            <w:r>
              <w:rPr>
                <w:rFonts w:hint="default" w:ascii="Times New Roman" w:hAnsi="Times New Roman" w:cs="Times New Roman"/>
                <w:color w:val="auto"/>
                <w:sz w:val="24"/>
                <w:szCs w:val="24"/>
                <w:highlight w:val="none"/>
                <w:lang w:val="en-US" w:eastAsia="zh-CN"/>
              </w:rPr>
              <w:t>&gt;</w:t>
            </w:r>
            <w:r>
              <w:rPr>
                <w:rFonts w:hint="default" w:ascii="Times New Roman" w:hAnsi="Times New Roman" w:eastAsia="宋体" w:cs="Times New Roman"/>
                <w:color w:val="auto"/>
                <w:sz w:val="24"/>
                <w:szCs w:val="24"/>
                <w:highlight w:val="none"/>
              </w:rPr>
              <w:t>的通知</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（韶府〔2021〕10号）、《韶关市生态环境分区管控动态更新成果》的相关要求。</w:t>
            </w:r>
          </w:p>
          <w:p w14:paraId="38C94039">
            <w:pPr>
              <w:keepNext/>
              <w:keepLines/>
              <w:pageBreakBefore w:val="0"/>
              <w:tabs>
                <w:tab w:val="left" w:pos="0"/>
              </w:tabs>
              <w:wordWrap w:val="0"/>
              <w:overflowPunct/>
              <w:bidi w:val="0"/>
              <w:spacing w:line="360" w:lineRule="auto"/>
              <w:ind w:left="-2" w:firstLine="482" w:firstLineChars="200"/>
              <w:outlineLvl w:val="2"/>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六、相关规划相符性分析</w:t>
            </w:r>
          </w:p>
          <w:p w14:paraId="586FB673">
            <w:pPr>
              <w:keepNext/>
              <w:keepLines/>
              <w:pageBreakBefore w:val="0"/>
              <w:tabs>
                <w:tab w:val="left" w:pos="0"/>
              </w:tabs>
              <w:wordWrap w:val="0"/>
              <w:overflowPunct/>
              <w:bidi w:val="0"/>
              <w:spacing w:line="360" w:lineRule="auto"/>
              <w:ind w:firstLine="482" w:firstLineChars="200"/>
              <w:outlineLvl w:val="3"/>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rPr>
              <w:t>1、</w:t>
            </w:r>
            <w:r>
              <w:rPr>
                <w:rFonts w:hint="default" w:ascii="Times New Roman" w:hAnsi="Times New Roman" w:cs="Times New Roman"/>
                <w:b/>
                <w:bCs/>
                <w:color w:val="auto"/>
                <w:sz w:val="24"/>
                <w:szCs w:val="24"/>
                <w:highlight w:val="none"/>
                <w:lang w:val="en-US" w:eastAsia="zh-CN"/>
              </w:rPr>
              <w:t>与</w:t>
            </w:r>
            <w:r>
              <w:rPr>
                <w:rFonts w:hint="default" w:ascii="Times New Roman" w:hAnsi="Times New Roman" w:cs="Times New Roman"/>
                <w:b/>
                <w:bCs/>
                <w:color w:val="auto"/>
                <w:sz w:val="24"/>
                <w:szCs w:val="24"/>
                <w:highlight w:val="none"/>
              </w:rPr>
              <w:t>《关于印发</w:t>
            </w:r>
            <w:r>
              <w:rPr>
                <w:rFonts w:hint="default" w:ascii="Times New Roman" w:hAnsi="Times New Roman" w:cs="Times New Roman"/>
                <w:b/>
                <w:bCs/>
                <w:color w:val="auto"/>
                <w:sz w:val="24"/>
                <w:szCs w:val="24"/>
                <w:highlight w:val="none"/>
                <w:lang w:val="en-US" w:eastAsia="zh-CN"/>
              </w:rPr>
              <w:t>&lt;</w:t>
            </w:r>
            <w:r>
              <w:rPr>
                <w:rFonts w:hint="default" w:ascii="Times New Roman" w:hAnsi="Times New Roman" w:cs="Times New Roman"/>
                <w:b/>
                <w:bCs/>
                <w:color w:val="auto"/>
                <w:sz w:val="24"/>
                <w:szCs w:val="24"/>
                <w:highlight w:val="none"/>
              </w:rPr>
              <w:t>广东省生态环境保护“十四五”规划</w:t>
            </w:r>
            <w:r>
              <w:rPr>
                <w:rFonts w:hint="default" w:ascii="Times New Roman" w:hAnsi="Times New Roman" w:cs="Times New Roman"/>
                <w:b/>
                <w:bCs/>
                <w:color w:val="auto"/>
                <w:sz w:val="24"/>
                <w:szCs w:val="24"/>
                <w:highlight w:val="none"/>
                <w:lang w:val="en-US" w:eastAsia="zh-CN"/>
              </w:rPr>
              <w:t>&gt;</w:t>
            </w:r>
            <w:r>
              <w:rPr>
                <w:rFonts w:hint="default" w:ascii="Times New Roman" w:hAnsi="Times New Roman" w:cs="Times New Roman"/>
                <w:b/>
                <w:bCs/>
                <w:color w:val="auto"/>
                <w:sz w:val="24"/>
                <w:szCs w:val="24"/>
                <w:highlight w:val="none"/>
              </w:rPr>
              <w:t>的通知》（粤环〔2021〕10号）</w:t>
            </w:r>
            <w:r>
              <w:rPr>
                <w:rFonts w:hint="default" w:ascii="Times New Roman" w:hAnsi="Times New Roman" w:cs="Times New Roman"/>
                <w:b/>
                <w:bCs/>
                <w:color w:val="auto"/>
                <w:sz w:val="24"/>
                <w:szCs w:val="24"/>
                <w:highlight w:val="none"/>
                <w:lang w:val="en-US" w:eastAsia="zh-CN"/>
              </w:rPr>
              <w:t>的相符性分析</w:t>
            </w:r>
          </w:p>
          <w:p w14:paraId="2BC4204B">
            <w:pPr>
              <w:pStyle w:val="15"/>
              <w:keepNext w:val="0"/>
              <w:keepLines w:val="0"/>
              <w:pageBreakBefore w:val="0"/>
              <w:kinsoku/>
              <w:wordWrap w:val="0"/>
              <w:overflowPunct/>
              <w:topLinePunct w:val="0"/>
              <w:autoSpaceDE/>
              <w:autoSpaceDN/>
              <w:bidi w:val="0"/>
              <w:adjustRightInd/>
              <w:snapToGrid/>
              <w:spacing w:after="0"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5" w:name="_Toc16815"/>
            <w:bookmarkStart w:id="6" w:name="_Toc13033"/>
          </w:p>
          <w:p w14:paraId="3CB1D60F">
            <w:pPr>
              <w:pStyle w:val="20"/>
              <w:keepNext w:val="0"/>
              <w:keepLines w:val="0"/>
              <w:pageBreakBefore w:val="0"/>
              <w:kinsoku/>
              <w:wordWrap w:val="0"/>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属于显示器件制造，不属于石化、化工、包装印刷、工业涂装等重点行业，本项目不涉及高VOCs含量的溶剂型涂料、油墨、胶粘剂等原辅材料使用。注塑产生的有机废气经收集后通过“二级活性炭吸附装置”处理达标后，由排气筒DA00</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高空排放，排放高度为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lang w:eastAsia="zh-CN"/>
              </w:rPr>
              <w:t>固化</w:t>
            </w:r>
            <w:r>
              <w:rPr>
                <w:rFonts w:hint="default" w:ascii="Times New Roman" w:hAnsi="Times New Roman" w:cs="Times New Roman"/>
                <w:color w:val="auto"/>
                <w:sz w:val="24"/>
                <w:szCs w:val="24"/>
                <w:highlight w:val="none"/>
              </w:rPr>
              <w:t>工序产生的有机废气</w:t>
            </w:r>
            <w:bookmarkEnd w:id="5"/>
            <w:bookmarkEnd w:id="6"/>
            <w:r>
              <w:rPr>
                <w:rFonts w:hint="default" w:ascii="Times New Roman" w:hAnsi="Times New Roman" w:cs="Times New Roman"/>
                <w:color w:val="auto"/>
                <w:sz w:val="24"/>
                <w:szCs w:val="24"/>
                <w:highlight w:val="none"/>
                <w:lang w:val="en-US" w:eastAsia="zh-CN"/>
              </w:rPr>
              <w:t>量较少，呈无组织形式排放。</w:t>
            </w:r>
          </w:p>
          <w:p w14:paraId="705DF169">
            <w:pPr>
              <w:pStyle w:val="15"/>
              <w:keepNext w:val="0"/>
              <w:keepLines w:val="0"/>
              <w:pageBreakBefore w:val="0"/>
              <w:kinsoku/>
              <w:wordWrap w:val="0"/>
              <w:overflowPunct/>
              <w:topLinePunct w:val="0"/>
              <w:autoSpaceDE/>
              <w:autoSpaceDN/>
              <w:bidi w:val="0"/>
              <w:adjustRightInd/>
              <w:snapToGrid/>
              <w:spacing w:after="0"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综上所述，本项目与《关于印发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cs="Times New Roman"/>
                <w:color w:val="auto"/>
                <w:sz w:val="24"/>
                <w:szCs w:val="24"/>
                <w:highlight w:val="none"/>
              </w:rPr>
              <w:t>广东省生态环境保护“十四五”规划</w:t>
            </w:r>
            <w:r>
              <w:rPr>
                <w:rFonts w:hint="default" w:ascii="Times New Roman" w:hAnsi="Times New Roman" w:cs="Times New Roman"/>
                <w:color w:val="auto"/>
                <w:sz w:val="24"/>
                <w:szCs w:val="24"/>
                <w:highlight w:val="none"/>
                <w:lang w:val="en-US" w:eastAsia="zh-CN"/>
              </w:rPr>
              <w:t>&gt;</w:t>
            </w:r>
            <w:r>
              <w:rPr>
                <w:rFonts w:hint="default" w:ascii="Times New Roman" w:hAnsi="Times New Roman" w:cs="Times New Roman"/>
                <w:color w:val="auto"/>
                <w:sz w:val="24"/>
                <w:szCs w:val="24"/>
                <w:highlight w:val="none"/>
              </w:rPr>
              <w:t>的通知》（粤环〔2021〕10号）相符。</w:t>
            </w:r>
          </w:p>
          <w:p w14:paraId="3C147B81">
            <w:pPr>
              <w:pStyle w:val="15"/>
              <w:keepNext w:val="0"/>
              <w:keepLines w:val="0"/>
              <w:pageBreakBefore w:val="0"/>
              <w:kinsoku/>
              <w:wordWrap w:val="0"/>
              <w:overflowPunct/>
              <w:topLinePunct w:val="0"/>
              <w:autoSpaceDE/>
              <w:autoSpaceDN/>
              <w:bidi w:val="0"/>
              <w:adjustRightInd/>
              <w:snapToGrid/>
              <w:spacing w:after="0" w:line="360" w:lineRule="auto"/>
              <w:ind w:firstLine="482"/>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lang w:val="en-US" w:eastAsia="zh-CN"/>
              </w:rPr>
              <w:t>与</w:t>
            </w:r>
            <w:r>
              <w:rPr>
                <w:rFonts w:hint="default" w:ascii="Times New Roman" w:hAnsi="Times New Roman" w:cs="Times New Roman"/>
                <w:b/>
                <w:bCs/>
                <w:color w:val="auto"/>
                <w:sz w:val="24"/>
                <w:szCs w:val="24"/>
                <w:highlight w:val="none"/>
              </w:rPr>
              <w:t>《韶关市人民政府办公室关于印发</w:t>
            </w:r>
            <w:r>
              <w:rPr>
                <w:rFonts w:hint="default" w:ascii="Times New Roman" w:hAnsi="Times New Roman" w:cs="Times New Roman"/>
                <w:b/>
                <w:bCs/>
                <w:color w:val="auto"/>
                <w:sz w:val="24"/>
                <w:szCs w:val="24"/>
                <w:highlight w:val="none"/>
                <w:lang w:val="en-US" w:eastAsia="zh-CN"/>
              </w:rPr>
              <w:t>&lt;</w:t>
            </w:r>
            <w:r>
              <w:rPr>
                <w:rFonts w:hint="default" w:ascii="Times New Roman" w:hAnsi="Times New Roman" w:cs="Times New Roman"/>
                <w:b/>
                <w:bCs/>
                <w:color w:val="auto"/>
                <w:sz w:val="24"/>
                <w:szCs w:val="24"/>
                <w:highlight w:val="none"/>
              </w:rPr>
              <w:t>韶关市生态环境保护“十四五”规划</w:t>
            </w:r>
            <w:r>
              <w:rPr>
                <w:rFonts w:hint="default" w:ascii="Times New Roman" w:hAnsi="Times New Roman" w:cs="Times New Roman"/>
                <w:b/>
                <w:bCs/>
                <w:color w:val="auto"/>
                <w:sz w:val="24"/>
                <w:szCs w:val="24"/>
                <w:highlight w:val="none"/>
                <w:lang w:val="en-US" w:eastAsia="zh-CN"/>
              </w:rPr>
              <w:t>&gt;</w:t>
            </w:r>
            <w:r>
              <w:rPr>
                <w:rFonts w:hint="default" w:ascii="Times New Roman" w:hAnsi="Times New Roman" w:cs="Times New Roman"/>
                <w:b/>
                <w:bCs/>
                <w:color w:val="auto"/>
                <w:sz w:val="24"/>
                <w:szCs w:val="24"/>
                <w:highlight w:val="none"/>
              </w:rPr>
              <w:t>的通知》（韶府办〔2022〕1号）</w:t>
            </w:r>
            <w:r>
              <w:rPr>
                <w:rFonts w:hint="default" w:ascii="Times New Roman" w:hAnsi="Times New Roman" w:cs="Times New Roman"/>
                <w:b/>
                <w:bCs/>
                <w:color w:val="auto"/>
                <w:sz w:val="24"/>
                <w:szCs w:val="24"/>
                <w:highlight w:val="none"/>
                <w:lang w:val="en-US" w:eastAsia="zh-CN"/>
              </w:rPr>
              <w:t>的相符性分析</w:t>
            </w:r>
          </w:p>
          <w:p w14:paraId="5A93E3AB">
            <w:pPr>
              <w:keepNext w:val="0"/>
              <w:keepLines w:val="0"/>
              <w:pageBreakBefore w:val="0"/>
              <w:widowControl/>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139691B6">
            <w:pPr>
              <w:pStyle w:val="15"/>
              <w:keepNext w:val="0"/>
              <w:keepLines w:val="0"/>
              <w:pageBreakBefore w:val="0"/>
              <w:kinsoku/>
              <w:wordWrap w:val="0"/>
              <w:overflowPunct/>
              <w:topLinePunct w:val="0"/>
              <w:autoSpaceDE/>
              <w:autoSpaceDN/>
              <w:bidi w:val="0"/>
              <w:adjustRightInd/>
              <w:snapToGrid/>
              <w:spacing w:after="0"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eastAsia="zh-CN"/>
              </w:rPr>
              <w:t>设备均采用电能，</w:t>
            </w:r>
            <w:r>
              <w:rPr>
                <w:rFonts w:hint="default" w:ascii="Times New Roman" w:hAnsi="Times New Roman" w:cs="Times New Roman"/>
                <w:color w:val="auto"/>
                <w:sz w:val="24"/>
                <w:szCs w:val="24"/>
                <w:highlight w:val="none"/>
              </w:rPr>
              <w:t>注塑产生的有机废气经收集后通过“二级活性炭吸附装置”处理达标后，由排气筒DA00</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高空排放，排放高度为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lang w:eastAsia="zh-CN"/>
              </w:rPr>
              <w:t>固化</w:t>
            </w:r>
            <w:r>
              <w:rPr>
                <w:rFonts w:hint="default" w:ascii="Times New Roman" w:hAnsi="Times New Roman" w:cs="Times New Roman"/>
                <w:color w:val="auto"/>
                <w:sz w:val="24"/>
                <w:szCs w:val="24"/>
                <w:highlight w:val="none"/>
              </w:rPr>
              <w:t>工序产生的有机废气</w:t>
            </w:r>
            <w:r>
              <w:rPr>
                <w:rFonts w:hint="default" w:ascii="Times New Roman" w:hAnsi="Times New Roman" w:cs="Times New Roman"/>
                <w:color w:val="auto"/>
                <w:sz w:val="24"/>
                <w:szCs w:val="24"/>
                <w:highlight w:val="none"/>
                <w:lang w:val="en-US" w:eastAsia="zh-CN"/>
              </w:rPr>
              <w:t>量较少，呈无组织形式排放</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故本项目与韶关市人民政府办公室《韶关市人民政府办公室关于印发&lt;韶关市生态环境保护“十四五”规划&gt;的通知》（韶府办〔2022〕1号）相符。</w:t>
            </w:r>
          </w:p>
          <w:p w14:paraId="2AAB5DD4">
            <w:pPr>
              <w:pStyle w:val="20"/>
              <w:keepNext w:val="0"/>
              <w:keepLines w:val="0"/>
              <w:pageBreakBefore w:val="0"/>
              <w:kinsoku/>
              <w:wordWrap w:val="0"/>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rPr>
              <w:t>3、</w:t>
            </w:r>
            <w:r>
              <w:rPr>
                <w:rFonts w:hint="default" w:ascii="Times New Roman" w:hAnsi="Times New Roman" w:cs="Times New Roman"/>
                <w:b/>
                <w:bCs/>
                <w:color w:val="auto"/>
                <w:sz w:val="24"/>
                <w:szCs w:val="24"/>
                <w:highlight w:val="none"/>
                <w:lang w:val="en-US" w:eastAsia="zh-CN"/>
              </w:rPr>
              <w:t>与</w:t>
            </w:r>
            <w:r>
              <w:rPr>
                <w:rFonts w:hint="default" w:ascii="Times New Roman" w:hAnsi="Times New Roman" w:cs="Times New Roman"/>
                <w:b/>
                <w:bCs/>
                <w:color w:val="auto"/>
                <w:sz w:val="24"/>
                <w:szCs w:val="24"/>
                <w:highlight w:val="none"/>
              </w:rPr>
              <w:t>《乐昌市人民政府办公室关于印发</w:t>
            </w:r>
            <w:r>
              <w:rPr>
                <w:rFonts w:hint="default" w:ascii="Times New Roman" w:hAnsi="Times New Roman" w:cs="Times New Roman"/>
                <w:b/>
                <w:bCs/>
                <w:color w:val="auto"/>
                <w:sz w:val="24"/>
                <w:szCs w:val="24"/>
                <w:highlight w:val="none"/>
                <w:lang w:val="en-US" w:eastAsia="zh-CN"/>
              </w:rPr>
              <w:t>&lt;</w:t>
            </w:r>
            <w:r>
              <w:rPr>
                <w:rFonts w:hint="default" w:ascii="Times New Roman" w:hAnsi="Times New Roman" w:cs="Times New Roman"/>
                <w:b/>
                <w:bCs/>
                <w:color w:val="auto"/>
                <w:sz w:val="24"/>
                <w:szCs w:val="24"/>
                <w:highlight w:val="none"/>
              </w:rPr>
              <w:t>乐昌市生态环境保护“十四五”规划</w:t>
            </w:r>
            <w:r>
              <w:rPr>
                <w:rFonts w:hint="default" w:ascii="Times New Roman" w:hAnsi="Times New Roman" w:cs="Times New Roman"/>
                <w:b/>
                <w:bCs/>
                <w:color w:val="auto"/>
                <w:sz w:val="24"/>
                <w:szCs w:val="24"/>
                <w:highlight w:val="none"/>
                <w:lang w:val="en-US" w:eastAsia="zh-CN"/>
              </w:rPr>
              <w:t>&gt;</w:t>
            </w:r>
            <w:r>
              <w:rPr>
                <w:rFonts w:hint="default" w:ascii="Times New Roman" w:hAnsi="Times New Roman" w:cs="Times New Roman"/>
                <w:b/>
                <w:bCs/>
                <w:color w:val="auto"/>
                <w:sz w:val="24"/>
                <w:szCs w:val="24"/>
                <w:highlight w:val="none"/>
              </w:rPr>
              <w:t>的通知》（乐府办〔2022〕16号）</w:t>
            </w:r>
            <w:r>
              <w:rPr>
                <w:rFonts w:hint="default" w:ascii="Times New Roman" w:hAnsi="Times New Roman" w:cs="Times New Roman"/>
                <w:b/>
                <w:bCs/>
                <w:color w:val="auto"/>
                <w:sz w:val="24"/>
                <w:szCs w:val="24"/>
                <w:highlight w:val="none"/>
                <w:lang w:val="en-US" w:eastAsia="zh-CN"/>
              </w:rPr>
              <w:t>的相符性分析</w:t>
            </w:r>
          </w:p>
          <w:p w14:paraId="222A0A51">
            <w:pPr>
              <w:pStyle w:val="133"/>
              <w:keepNext w:val="0"/>
              <w:keepLines w:val="0"/>
              <w:pageBreakBefore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熟料</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制造企业的水泥窑及窑尾余热利用系统烟气NOx排放浓度不高于100mg/m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29836322">
            <w:pPr>
              <w:pStyle w:val="20"/>
              <w:keepNext w:val="0"/>
              <w:keepLines w:val="0"/>
              <w:pageBreakBefore w:val="0"/>
              <w:kinsoku/>
              <w:wordWrap w:val="0"/>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eastAsia="zh-CN"/>
              </w:rPr>
              <w:t>设备均采用电能，</w:t>
            </w:r>
            <w:r>
              <w:rPr>
                <w:rFonts w:hint="default" w:ascii="Times New Roman" w:hAnsi="Times New Roman" w:cs="Times New Roman"/>
                <w:color w:val="auto"/>
                <w:sz w:val="24"/>
                <w:szCs w:val="24"/>
                <w:highlight w:val="none"/>
              </w:rPr>
              <w:t>注塑产生的有机废气经收集后通过“二级活性炭吸附装置”处理达标后，由排气筒DA00</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高空排放，排放高度为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lang w:eastAsia="zh-CN"/>
              </w:rPr>
              <w:t>固化</w:t>
            </w:r>
            <w:r>
              <w:rPr>
                <w:rFonts w:hint="default" w:ascii="Times New Roman" w:hAnsi="Times New Roman" w:cs="Times New Roman"/>
                <w:color w:val="auto"/>
                <w:sz w:val="24"/>
                <w:szCs w:val="24"/>
                <w:highlight w:val="none"/>
              </w:rPr>
              <w:t>工序产生的有机废气</w:t>
            </w:r>
            <w:r>
              <w:rPr>
                <w:rFonts w:hint="default" w:ascii="Times New Roman" w:hAnsi="Times New Roman" w:cs="Times New Roman"/>
                <w:color w:val="auto"/>
                <w:sz w:val="24"/>
                <w:szCs w:val="24"/>
                <w:highlight w:val="none"/>
                <w:lang w:val="en-US" w:eastAsia="zh-CN"/>
              </w:rPr>
              <w:t>量较少，呈无组织形式排放</w:t>
            </w:r>
            <w:r>
              <w:rPr>
                <w:rFonts w:hint="default" w:ascii="Times New Roman" w:hAnsi="Times New Roman" w:cs="Times New Roman"/>
                <w:color w:val="auto"/>
                <w:sz w:val="24"/>
                <w:szCs w:val="24"/>
                <w:highlight w:val="none"/>
              </w:rPr>
              <w:t>。故本项目与《乐昌市人民政府办公室关于印发&lt;乐昌市生态环境保护“十四五”规划&gt;的通知》（乐府办〔2022〕16号）相符。</w:t>
            </w:r>
          </w:p>
          <w:p w14:paraId="08521A12">
            <w:pPr>
              <w:pStyle w:val="20"/>
              <w:keepNext w:val="0"/>
              <w:keepLines w:val="0"/>
              <w:pageBreakBefore w:val="0"/>
              <w:kinsoku/>
              <w:wordWrap w:val="0"/>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4、与</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乐昌市人民政府关于印发</w:t>
            </w:r>
            <w:r>
              <w:rPr>
                <w:rFonts w:hint="default" w:ascii="Times New Roman" w:hAnsi="Times New Roman" w:eastAsia="宋体" w:cs="Times New Roman"/>
                <w:b/>
                <w:bCs/>
                <w:color w:val="auto"/>
                <w:sz w:val="24"/>
                <w:szCs w:val="24"/>
                <w:highlight w:val="none"/>
                <w:lang w:val="en-US" w:eastAsia="zh-CN"/>
              </w:rPr>
              <w:t>&lt;</w:t>
            </w:r>
            <w:r>
              <w:rPr>
                <w:rFonts w:hint="default" w:ascii="Times New Roman" w:hAnsi="Times New Roman" w:eastAsia="宋体" w:cs="Times New Roman"/>
                <w:b/>
                <w:bCs/>
                <w:color w:val="auto"/>
                <w:sz w:val="24"/>
                <w:szCs w:val="24"/>
                <w:highlight w:val="none"/>
              </w:rPr>
              <w:t>乐昌市国土空间总体规划（2021</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2035年）</w:t>
            </w:r>
            <w:r>
              <w:rPr>
                <w:rFonts w:hint="default" w:ascii="Times New Roman" w:hAnsi="Times New Roman" w:eastAsia="宋体" w:cs="Times New Roman"/>
                <w:b/>
                <w:bCs/>
                <w:color w:val="auto"/>
                <w:sz w:val="24"/>
                <w:szCs w:val="24"/>
                <w:highlight w:val="none"/>
                <w:lang w:val="en-US" w:eastAsia="zh-CN"/>
              </w:rPr>
              <w:t>&gt;</w:t>
            </w:r>
            <w:r>
              <w:rPr>
                <w:rFonts w:hint="default" w:ascii="Times New Roman" w:hAnsi="Times New Roman" w:eastAsia="宋体" w:cs="Times New Roman"/>
                <w:b/>
                <w:bCs/>
                <w:color w:val="auto"/>
                <w:sz w:val="24"/>
                <w:szCs w:val="24"/>
                <w:highlight w:val="none"/>
              </w:rPr>
              <w:t>的通知</w:t>
            </w:r>
            <w:r>
              <w:rPr>
                <w:rFonts w:hint="default" w:ascii="Times New Roman" w:hAnsi="Times New Roman" w:eastAsia="宋体" w:cs="Times New Roman"/>
                <w:b/>
                <w:bCs/>
                <w:color w:val="auto"/>
                <w:sz w:val="24"/>
                <w:szCs w:val="24"/>
                <w:highlight w:val="none"/>
                <w:lang w:eastAsia="zh-CN"/>
              </w:rPr>
              <w:t>》（乐府〔2025〕5号）</w:t>
            </w:r>
            <w:r>
              <w:rPr>
                <w:rFonts w:hint="default" w:ascii="Times New Roman" w:hAnsi="Times New Roman" w:cs="Times New Roman"/>
                <w:b/>
                <w:bCs/>
                <w:color w:val="auto"/>
                <w:sz w:val="24"/>
                <w:szCs w:val="24"/>
                <w:highlight w:val="none"/>
                <w:lang w:val="en-US" w:eastAsia="zh-CN"/>
              </w:rPr>
              <w:t>的相符性分析</w:t>
            </w:r>
          </w:p>
          <w:p w14:paraId="1932119A">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p>
          <w:p w14:paraId="43E98867">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“三线”管控基本要求相符性分析一览表</w:t>
            </w:r>
          </w:p>
          <w:tbl>
            <w:tblPr>
              <w:tblStyle w:val="39"/>
              <w:tblW w:w="4997" w:type="pct"/>
              <w:tblInd w:w="-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5"/>
              <w:gridCol w:w="4827"/>
              <w:gridCol w:w="1226"/>
              <w:gridCol w:w="579"/>
            </w:tblGrid>
            <w:tr w14:paraId="65AD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1" w:type="pct"/>
                  <w:vAlign w:val="center"/>
                </w:tcPr>
                <w:p w14:paraId="37AAA4D6">
                  <w:pPr>
                    <w:pStyle w:val="129"/>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管控内容</w:t>
                  </w:r>
                </w:p>
              </w:tc>
              <w:tc>
                <w:tcPr>
                  <w:tcW w:w="3245" w:type="pct"/>
                  <w:vAlign w:val="center"/>
                </w:tcPr>
                <w:p w14:paraId="77086068">
                  <w:pPr>
                    <w:pStyle w:val="129"/>
                    <w:pageBreakBefore w:val="0"/>
                    <w:wordWrap w:val="0"/>
                    <w:overflowPunct/>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管控要求</w:t>
                  </w:r>
                </w:p>
              </w:tc>
              <w:tc>
                <w:tcPr>
                  <w:tcW w:w="824" w:type="pct"/>
                  <w:vAlign w:val="center"/>
                </w:tcPr>
                <w:p w14:paraId="49E04FB9">
                  <w:pPr>
                    <w:pStyle w:val="129"/>
                    <w:pageBreakBefore w:val="0"/>
                    <w:wordWrap w:val="0"/>
                    <w:overflowPunct/>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项目情况</w:t>
                  </w:r>
                </w:p>
              </w:tc>
              <w:tc>
                <w:tcPr>
                  <w:tcW w:w="389" w:type="pct"/>
                  <w:vAlign w:val="center"/>
                </w:tcPr>
                <w:p w14:paraId="7B8E6A35">
                  <w:pPr>
                    <w:pStyle w:val="129"/>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相符性</w:t>
                  </w:r>
                </w:p>
              </w:tc>
            </w:tr>
            <w:tr w14:paraId="73F3A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1" w:type="pct"/>
                  <w:vAlign w:val="center"/>
                </w:tcPr>
                <w:p w14:paraId="267D53F0">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耕地和永久基本农田保护红线</w:t>
                  </w:r>
                </w:p>
              </w:tc>
              <w:tc>
                <w:tcPr>
                  <w:tcW w:w="3245" w:type="pct"/>
                  <w:vAlign w:val="center"/>
                </w:tcPr>
                <w:p w14:paraId="303E1AAD">
                  <w:pPr>
                    <w:pStyle w:val="129"/>
                    <w:keepNext w:val="0"/>
                    <w:keepLines w:val="0"/>
                    <w:pageBreakBefore w:val="0"/>
                    <w:kinsoku/>
                    <w:wordWrap w:val="0"/>
                    <w:overflowPunct/>
                    <w:topLinePunct w:val="0"/>
                    <w:autoSpaceDE w:val="0"/>
                    <w:autoSpaceDN w:val="0"/>
                    <w:bidi w:val="0"/>
                    <w:snapToGrid/>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2"/>
                      <w:highlight w:val="none"/>
                    </w:rPr>
                    <w:t>严守耕地保护红线，严格控制耕地转为非耕地。非农业建设必须节约使用土地，尽量不占或者少占耕地。非农业建设经批准占用耕地的，按照“占多少，垦多少”的原则，由占用耕地的单位负责补充与所占用耕地数量和质量相当的耕地。严格控制耕地转为林地、草地、园地、农业设施建设用地。因农业结构调整、农业设施建设等，确需将永久基本农田以外的耕地转为其他农用地的，应当按照“出多少，进多少”的原则，通过将其他农用地整治为耕地等方式，补充同等数量质量的耕地。永久基本农田一经划定，不得擅自占用或者改变用途。永久基本农田不得转为林地、草地、园地等其他农用地及农业设施建设用地。国家能源、交通、水利、军事设施等重点建设项目选址确实难以避让永久基本农田的，涉及农用地转用或者土地征收的，必须经国务院批准，并依法依规补划到位。</w:t>
                  </w:r>
                </w:p>
              </w:tc>
              <w:tc>
                <w:tcPr>
                  <w:tcW w:w="824" w:type="pct"/>
                  <w:vAlign w:val="center"/>
                </w:tcPr>
                <w:p w14:paraId="189CE820">
                  <w:pPr>
                    <w:pStyle w:val="129"/>
                    <w:keepNext w:val="0"/>
                    <w:keepLines w:val="0"/>
                    <w:pageBreakBefore w:val="0"/>
                    <w:kinsoku/>
                    <w:wordWrap w:val="0"/>
                    <w:overflowPunct/>
                    <w:topLinePunct w:val="0"/>
                    <w:autoSpaceDE w:val="0"/>
                    <w:autoSpaceDN w:val="0"/>
                    <w:bidi w:val="0"/>
                    <w:snapToGrid/>
                    <w:ind w:firstLine="0" w:firstLineChars="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本项目位于工业用地，不涉及永久基本农田等农用地。乐昌市国土空间总体规划图见附图16。</w:t>
                  </w:r>
                </w:p>
              </w:tc>
              <w:tc>
                <w:tcPr>
                  <w:tcW w:w="389" w:type="pct"/>
                  <w:vAlign w:val="center"/>
                </w:tcPr>
                <w:p w14:paraId="4DFF1412">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31E4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1" w:type="pct"/>
                  <w:vAlign w:val="center"/>
                </w:tcPr>
                <w:p w14:paraId="20FD94BB">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w:t>
                  </w:r>
                </w:p>
              </w:tc>
              <w:tc>
                <w:tcPr>
                  <w:tcW w:w="3245" w:type="pct"/>
                  <w:vAlign w:val="center"/>
                </w:tcPr>
                <w:p w14:paraId="04E027A5">
                  <w:pPr>
                    <w:pStyle w:val="129"/>
                    <w:keepNext w:val="0"/>
                    <w:keepLines w:val="0"/>
                    <w:pageBreakBefore w:val="0"/>
                    <w:kinsoku/>
                    <w:wordWrap w:val="0"/>
                    <w:overflowPunct/>
                    <w:topLinePunct w:val="0"/>
                    <w:autoSpaceDE w:val="0"/>
                    <w:autoSpaceDN w:val="0"/>
                    <w:bidi w:val="0"/>
                    <w:snapToGrid/>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规范管控有限人为活动。生态保护红线内自然保护地核心保护区外，禁止开发性、生产性建设活动，在符合法律法规的前提下，仅允许对生态功能不造成破坏的有限人为活动。有限人为活动之外，仅允许国家重大项目占用生态保护红线。</w:t>
                  </w:r>
                </w:p>
              </w:tc>
              <w:tc>
                <w:tcPr>
                  <w:tcW w:w="824" w:type="pct"/>
                  <w:vAlign w:val="center"/>
                </w:tcPr>
                <w:p w14:paraId="726C4EB3">
                  <w:pPr>
                    <w:pStyle w:val="129"/>
                    <w:keepNext w:val="0"/>
                    <w:keepLines w:val="0"/>
                    <w:pageBreakBefore w:val="0"/>
                    <w:kinsoku/>
                    <w:wordWrap w:val="0"/>
                    <w:overflowPunct/>
                    <w:topLinePunct w:val="0"/>
                    <w:autoSpaceDE w:val="0"/>
                    <w:autoSpaceDN w:val="0"/>
                    <w:bidi w:val="0"/>
                    <w:snapToGrid/>
                    <w:ind w:firstLine="0" w:firstLineChars="0"/>
                    <w:jc w:val="center"/>
                    <w:rPr>
                      <w:rFonts w:hint="default" w:ascii="Times New Roman" w:hAnsi="Times New Roman" w:eastAsia="宋体" w:cs="Times New Roman"/>
                      <w:color w:val="auto"/>
                      <w:kern w:val="2"/>
                      <w:highlight w:val="none"/>
                      <w:lang w:val="en-US"/>
                    </w:rPr>
                  </w:pPr>
                  <w:r>
                    <w:rPr>
                      <w:rFonts w:hint="default" w:ascii="Times New Roman" w:hAnsi="Times New Roman" w:cs="Times New Roman"/>
                      <w:color w:val="auto"/>
                      <w:kern w:val="2"/>
                      <w:highlight w:val="none"/>
                      <w:lang w:val="en-US" w:eastAsia="zh-CN"/>
                    </w:rPr>
                    <w:t>本项目位于工业用地，不涉及生态保护红线。</w:t>
                  </w:r>
                </w:p>
              </w:tc>
              <w:tc>
                <w:tcPr>
                  <w:tcW w:w="389" w:type="pct"/>
                  <w:vAlign w:val="center"/>
                </w:tcPr>
                <w:p w14:paraId="19118741">
                  <w:pPr>
                    <w:pStyle w:val="129"/>
                    <w:pageBreakBefore w:val="0"/>
                    <w:wordWrap w:val="0"/>
                    <w:overflowPunct/>
                    <w:bidi w:val="0"/>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符合</w:t>
                  </w:r>
                </w:p>
              </w:tc>
            </w:tr>
            <w:tr w14:paraId="1DEFB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1" w:type="pct"/>
                  <w:vAlign w:val="center"/>
                </w:tcPr>
                <w:p w14:paraId="339BE637">
                  <w:pPr>
                    <w:pStyle w:val="129"/>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城镇开发边界</w:t>
                  </w:r>
                </w:p>
              </w:tc>
              <w:tc>
                <w:tcPr>
                  <w:tcW w:w="3245" w:type="pct"/>
                  <w:vAlign w:val="center"/>
                </w:tcPr>
                <w:p w14:paraId="25580B7D">
                  <w:pPr>
                    <w:keepNext w:val="0"/>
                    <w:keepLines w:val="0"/>
                    <w:pageBreakBefore w:val="0"/>
                    <w:kinsoku/>
                    <w:wordWrap w:val="0"/>
                    <w:overflowPunct/>
                    <w:topLinePunct w:val="0"/>
                    <w:autoSpaceDE w:val="0"/>
                    <w:autoSpaceDN w:val="0"/>
                    <w:bidi w:val="0"/>
                    <w:adjustRightInd w:val="0"/>
                    <w:snapToGrid/>
                    <w:spacing w:line="24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城镇开发边界内，各类建设活动严格实行用途管制，按照规划用途依法办理有关手续，并加强与水体保护线、绿地系统线、基础设施建设控制线、历史文化保护线等协同管控。严格城镇开发边界外的空间准入，不得进行城镇集中建设，不得设立各类开发区。</w:t>
                  </w:r>
                </w:p>
              </w:tc>
              <w:tc>
                <w:tcPr>
                  <w:tcW w:w="824" w:type="pct"/>
                  <w:vAlign w:val="center"/>
                </w:tcPr>
                <w:p w14:paraId="09070DB0">
                  <w:pPr>
                    <w:rPr>
                      <w:rFonts w:hint="default" w:ascii="Times New Roman" w:hAnsi="Times New Roman" w:eastAsia="宋体" w:cs="Times New Roman"/>
                      <w:color w:val="auto"/>
                      <w:kern w:val="2"/>
                      <w:sz w:val="21"/>
                      <w:szCs w:val="21"/>
                      <w:highlight w:val="none"/>
                      <w:lang w:val="en-US"/>
                    </w:rPr>
                  </w:pPr>
                  <w:r>
                    <w:rPr>
                      <w:rFonts w:hint="default" w:ascii="Times New Roman" w:hAnsi="Times New Roman" w:cs="Times New Roman"/>
                      <w:color w:val="auto"/>
                      <w:kern w:val="2"/>
                      <w:highlight w:val="none"/>
                      <w:lang w:val="en-US" w:eastAsia="zh-CN"/>
                    </w:rPr>
                    <w:t>本项目位于工业用地，不涉及水体、绿地、</w:t>
                  </w:r>
                  <w:r>
                    <w:rPr>
                      <w:rFonts w:hint="default" w:ascii="Times New Roman" w:hAnsi="Times New Roman" w:cs="Times New Roman"/>
                      <w:color w:val="auto"/>
                      <w:sz w:val="21"/>
                      <w:szCs w:val="21"/>
                      <w:highlight w:val="none"/>
                    </w:rPr>
                    <w:t>基础设施建设、历史</w:t>
                  </w:r>
                  <w:r>
                    <w:rPr>
                      <w:rFonts w:hint="default" w:ascii="Times New Roman" w:hAnsi="Times New Roman" w:cs="Times New Roman"/>
                      <w:color w:val="auto"/>
                      <w:sz w:val="21"/>
                      <w:szCs w:val="21"/>
                      <w:highlight w:val="none"/>
                      <w:lang w:val="en-US" w:eastAsia="zh-CN"/>
                    </w:rPr>
                    <w:t>文</w:t>
                  </w:r>
                  <w:r>
                    <w:rPr>
                      <w:rFonts w:hint="default" w:ascii="Times New Roman" w:hAnsi="Times New Roman" w:cs="Times New Roman"/>
                      <w:color w:val="auto"/>
                      <w:sz w:val="21"/>
                      <w:szCs w:val="21"/>
                      <w:highlight w:val="none"/>
                    </w:rPr>
                    <w:t>化保护</w:t>
                  </w:r>
                  <w:r>
                    <w:rPr>
                      <w:rFonts w:hint="default" w:ascii="Times New Roman" w:hAnsi="Times New Roman" w:cs="Times New Roman"/>
                      <w:color w:val="auto"/>
                      <w:sz w:val="21"/>
                      <w:szCs w:val="21"/>
                      <w:highlight w:val="none"/>
                      <w:lang w:val="en-US" w:eastAsia="zh-CN"/>
                    </w:rPr>
                    <w:t>线等。</w:t>
                  </w:r>
                </w:p>
              </w:tc>
              <w:tc>
                <w:tcPr>
                  <w:tcW w:w="389" w:type="pct"/>
                  <w:vAlign w:val="center"/>
                </w:tcPr>
                <w:p w14:paraId="469093C5">
                  <w:pPr>
                    <w:pStyle w:val="129"/>
                    <w:pageBreakBefore w:val="0"/>
                    <w:wordWrap w:val="0"/>
                    <w:overflowPunct/>
                    <w:bidi w:val="0"/>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符合</w:t>
                  </w:r>
                </w:p>
              </w:tc>
            </w:tr>
          </w:tbl>
          <w:p w14:paraId="30DF2F4E">
            <w:pPr>
              <w:pageBreakBefore w:val="0"/>
              <w:wordWrap w:val="0"/>
              <w:overflowPunct/>
              <w:bidi w:val="0"/>
              <w:spacing w:before="157" w:beforeLines="50" w:line="360" w:lineRule="auto"/>
              <w:ind w:right="76" w:rightChars="36"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综上所述，项目符合《乐昌市人民政府关于印发&lt;乐昌市国土空间总体规划（2021-2035年）&gt;的通知》（乐府〔2025〕5号）的相关要求。</w:t>
            </w:r>
          </w:p>
          <w:p w14:paraId="62A6142A">
            <w:pPr>
              <w:pStyle w:val="10"/>
              <w:pageBreakBefore w:val="0"/>
              <w:numPr>
                <w:ilvl w:val="3"/>
                <w:numId w:val="0"/>
              </w:numPr>
              <w:wordWrap w:val="0"/>
              <w:overflowPunct/>
              <w:bidi w:val="0"/>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七、</w:t>
            </w:r>
            <w:r>
              <w:rPr>
                <w:rFonts w:hint="default" w:ascii="Times New Roman" w:hAnsi="Times New Roman" w:cs="Times New Roman"/>
                <w:color w:val="auto"/>
                <w:sz w:val="24"/>
                <w:szCs w:val="24"/>
                <w:highlight w:val="none"/>
                <w:lang w:val="en-US" w:eastAsia="zh-CN"/>
              </w:rPr>
              <w:t>与</w:t>
            </w:r>
            <w:r>
              <w:rPr>
                <w:rFonts w:hint="default" w:ascii="Times New Roman" w:hAnsi="Times New Roman" w:cs="Times New Roman"/>
                <w:color w:val="auto"/>
                <w:sz w:val="24"/>
                <w:szCs w:val="24"/>
                <w:highlight w:val="none"/>
              </w:rPr>
              <w:t>《环境保护部关于印发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cs="Times New Roman"/>
                <w:color w:val="auto"/>
                <w:sz w:val="24"/>
                <w:szCs w:val="24"/>
                <w:highlight w:val="none"/>
              </w:rPr>
              <w:t>重点行业挥发性有机物综合治理方案</w:t>
            </w:r>
            <w:r>
              <w:rPr>
                <w:rFonts w:hint="default" w:ascii="Times New Roman" w:hAnsi="Times New Roman" w:cs="Times New Roman"/>
                <w:color w:val="auto"/>
                <w:sz w:val="24"/>
                <w:szCs w:val="24"/>
                <w:highlight w:val="none"/>
                <w:lang w:val="en-US" w:eastAsia="zh-CN"/>
              </w:rPr>
              <w:t>&gt;</w:t>
            </w:r>
            <w:r>
              <w:rPr>
                <w:rFonts w:hint="default" w:ascii="Times New Roman" w:hAnsi="Times New Roman" w:cs="Times New Roman"/>
                <w:color w:val="auto"/>
                <w:sz w:val="24"/>
                <w:szCs w:val="24"/>
                <w:highlight w:val="none"/>
              </w:rPr>
              <w:t>的通知》（环大气〔2019〕53号）</w:t>
            </w:r>
            <w:r>
              <w:rPr>
                <w:rFonts w:hint="default" w:ascii="Times New Roman" w:hAnsi="Times New Roman" w:cs="Times New Roman"/>
                <w:color w:val="auto"/>
                <w:sz w:val="24"/>
                <w:szCs w:val="24"/>
                <w:highlight w:val="none"/>
                <w:lang w:val="en-US" w:eastAsia="zh-CN"/>
              </w:rPr>
              <w:t>的相符性分析</w:t>
            </w:r>
          </w:p>
          <w:p w14:paraId="2AA663BC">
            <w:pPr>
              <w:pStyle w:val="15"/>
              <w:keepNext w:val="0"/>
              <w:keepLines w:val="0"/>
              <w:pageBreakBefore w:val="0"/>
              <w:widowControl w:val="0"/>
              <w:kinsoku/>
              <w:wordWrap w:val="0"/>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0BB68874">
            <w:pPr>
              <w:pStyle w:val="15"/>
              <w:keepNext w:val="0"/>
              <w:keepLines w:val="0"/>
              <w:pageBreakBefore w:val="0"/>
              <w:widowControl w:val="0"/>
              <w:kinsoku/>
              <w:wordWrap w:val="0"/>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不属于重点行业，涉及</w:t>
            </w:r>
            <w:r>
              <w:rPr>
                <w:rFonts w:hint="default" w:ascii="Times New Roman" w:hAnsi="Times New Roman" w:cs="Times New Roman"/>
                <w:color w:val="auto"/>
                <w:sz w:val="24"/>
                <w:szCs w:val="24"/>
                <w:highlight w:val="none"/>
              </w:rPr>
              <w:t>VOCs原料</w:t>
            </w:r>
            <w:r>
              <w:rPr>
                <w:rFonts w:hint="default" w:ascii="Times New Roman" w:hAnsi="Times New Roman" w:cs="Times New Roman"/>
                <w:color w:val="auto"/>
                <w:sz w:val="24"/>
                <w:szCs w:val="24"/>
                <w:highlight w:val="none"/>
                <w:lang w:val="en-US" w:eastAsia="zh-CN"/>
              </w:rPr>
              <w:t>采用密闭容器储存</w:t>
            </w:r>
            <w:r>
              <w:rPr>
                <w:rFonts w:hint="default" w:ascii="Times New Roman" w:hAnsi="Times New Roman" w:cs="Times New Roman"/>
                <w:color w:val="auto"/>
                <w:sz w:val="24"/>
                <w:szCs w:val="24"/>
                <w:highlight w:val="none"/>
              </w:rPr>
              <w:t>，可从源头有效控制VOCs排放，注塑产生的有机废气经收集后通过“二级活性炭吸附装置”处理达标后，由排气筒DA00</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高空排放，排放高度为</w:t>
            </w:r>
            <w:r>
              <w:rPr>
                <w:rFonts w:hint="default" w:ascii="Times New Roman" w:hAnsi="Times New Roman" w:cs="Times New Roman"/>
                <w:color w:val="auto"/>
                <w:sz w:val="24"/>
                <w:szCs w:val="24"/>
                <w:highlight w:val="none"/>
                <w:lang w:eastAsia="zh-CN"/>
              </w:rPr>
              <w:t>30m</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固化</w:t>
            </w:r>
            <w:r>
              <w:rPr>
                <w:rFonts w:hint="default" w:ascii="Times New Roman" w:hAnsi="Times New Roman" w:cs="Times New Roman"/>
                <w:color w:val="auto"/>
                <w:sz w:val="24"/>
                <w:szCs w:val="24"/>
                <w:highlight w:val="none"/>
              </w:rPr>
              <w:t>工序产生的有机废气</w:t>
            </w:r>
            <w:r>
              <w:rPr>
                <w:rFonts w:hint="default" w:ascii="Times New Roman" w:hAnsi="Times New Roman" w:cs="Times New Roman"/>
                <w:color w:val="auto"/>
                <w:sz w:val="24"/>
                <w:szCs w:val="24"/>
                <w:highlight w:val="none"/>
                <w:lang w:val="en-US" w:eastAsia="zh-CN"/>
              </w:rPr>
              <w:t>量较少，呈无组织形式排放</w:t>
            </w:r>
            <w:r>
              <w:rPr>
                <w:rFonts w:hint="default" w:ascii="Times New Roman" w:hAnsi="Times New Roman" w:cs="Times New Roman"/>
                <w:color w:val="auto"/>
                <w:sz w:val="24"/>
                <w:szCs w:val="24"/>
                <w:highlight w:val="none"/>
              </w:rPr>
              <w:t>。综上，本项目与《环境保护部关于印发</w:t>
            </w:r>
            <w:r>
              <w:rPr>
                <w:rFonts w:hint="default" w:ascii="Times New Roman" w:hAnsi="Times New Roman" w:cs="Times New Roman"/>
                <w:color w:val="auto"/>
                <w:sz w:val="24"/>
                <w:szCs w:val="24"/>
                <w:highlight w:val="none"/>
                <w:lang w:val="en-US" w:eastAsia="zh-CN"/>
              </w:rPr>
              <w:t>&lt;</w:t>
            </w:r>
            <w:r>
              <w:rPr>
                <w:rFonts w:hint="default" w:ascii="Times New Roman" w:hAnsi="Times New Roman" w:cs="Times New Roman"/>
                <w:color w:val="auto"/>
                <w:sz w:val="24"/>
                <w:szCs w:val="24"/>
                <w:highlight w:val="none"/>
              </w:rPr>
              <w:t>重点行业挥发性有机物综合治理方案</w:t>
            </w:r>
            <w:r>
              <w:rPr>
                <w:rFonts w:hint="default" w:ascii="Times New Roman" w:hAnsi="Times New Roman" w:cs="Times New Roman"/>
                <w:color w:val="auto"/>
                <w:sz w:val="24"/>
                <w:szCs w:val="24"/>
                <w:highlight w:val="none"/>
                <w:lang w:val="en-US" w:eastAsia="zh-CN"/>
              </w:rPr>
              <w:t>&gt;</w:t>
            </w:r>
            <w:r>
              <w:rPr>
                <w:rFonts w:hint="default" w:ascii="Times New Roman" w:hAnsi="Times New Roman" w:cs="Times New Roman"/>
                <w:color w:val="auto"/>
                <w:sz w:val="24"/>
                <w:szCs w:val="24"/>
                <w:highlight w:val="none"/>
              </w:rPr>
              <w:t>的通知》（环大气〔2019〕53号）相符。</w:t>
            </w:r>
          </w:p>
          <w:p w14:paraId="07F5A0BE">
            <w:pPr>
              <w:pStyle w:val="10"/>
              <w:pageBreakBefore w:val="0"/>
              <w:numPr>
                <w:ilvl w:val="3"/>
                <w:numId w:val="0"/>
              </w:numPr>
              <w:wordWrap w:val="0"/>
              <w:overflowPunct/>
              <w:bidi w:val="0"/>
              <w:spacing w:line="360" w:lineRule="auto"/>
              <w:ind w:firstLine="482"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八</w:t>
            </w:r>
            <w:r>
              <w:rPr>
                <w:rFonts w:hint="default" w:ascii="Times New Roman" w:hAnsi="Times New Roman" w:cs="Times New Roman"/>
                <w:color w:val="auto"/>
                <w:sz w:val="24"/>
                <w:szCs w:val="24"/>
                <w:highlight w:val="none"/>
              </w:rPr>
              <w:t>、与《广东省塑料制品与制造业挥发性有机物综合整治技术指南》相符性分析</w:t>
            </w:r>
          </w:p>
          <w:p w14:paraId="2DFC0E52">
            <w:pPr>
              <w:pStyle w:val="22"/>
              <w:pageBreakBefore w:val="0"/>
              <w:numPr>
                <w:ilvl w:val="0"/>
                <w:numId w:val="0"/>
              </w:numPr>
              <w:tabs>
                <w:tab w:val="left" w:pos="0"/>
              </w:tabs>
              <w:wordWrap w:val="0"/>
              <w:overflowPunct/>
              <w:bidi w:val="0"/>
              <w:spacing w:line="240" w:lineRule="auto"/>
              <w:ind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本项目与《广东省塑料制品与制造业挥发性有机物综合整治技术指南》的相关相符性分析</w:t>
            </w:r>
          </w:p>
          <w:tbl>
            <w:tblPr>
              <w:tblStyle w:val="38"/>
              <w:tblW w:w="4997" w:type="pct"/>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06"/>
              <w:gridCol w:w="3983"/>
              <w:gridCol w:w="2213"/>
              <w:gridCol w:w="732"/>
              <w:gridCol w:w="3"/>
            </w:tblGrid>
            <w:tr w14:paraId="48CC9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017" w:type="pct"/>
                  <w:gridSpan w:val="2"/>
                  <w:shd w:val="clear" w:color="auto" w:fill="auto"/>
                  <w:vAlign w:val="center"/>
                </w:tcPr>
                <w:p w14:paraId="289B4AAD">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政策要求</w:t>
                  </w:r>
                </w:p>
              </w:tc>
              <w:tc>
                <w:tcPr>
                  <w:tcW w:w="1487" w:type="pct"/>
                  <w:shd w:val="clear" w:color="auto" w:fill="auto"/>
                  <w:vAlign w:val="center"/>
                </w:tcPr>
                <w:p w14:paraId="6F84EB57">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项目情况</w:t>
                  </w:r>
                </w:p>
              </w:tc>
              <w:tc>
                <w:tcPr>
                  <w:tcW w:w="492" w:type="pct"/>
                  <w:shd w:val="clear" w:color="auto" w:fill="auto"/>
                  <w:vAlign w:val="center"/>
                </w:tcPr>
                <w:p w14:paraId="3FA81EAB">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相符性</w:t>
                  </w:r>
                </w:p>
              </w:tc>
            </w:tr>
            <w:tr w14:paraId="06929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40" w:type="pct"/>
                  <w:vMerge w:val="restart"/>
                  <w:shd w:val="clear" w:color="auto" w:fill="auto"/>
                  <w:vAlign w:val="center"/>
                </w:tcPr>
                <w:p w14:paraId="1CFBF88A">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污染预防技术</w:t>
                  </w:r>
                </w:p>
              </w:tc>
              <w:tc>
                <w:tcPr>
                  <w:tcW w:w="2677" w:type="pct"/>
                  <w:shd w:val="clear" w:color="auto" w:fill="auto"/>
                  <w:vAlign w:val="center"/>
                </w:tcPr>
                <w:p w14:paraId="7850C1D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使用符合《胶粘剂挥发性有机化合物限量》（GB33372-2020）、《清洗剂挥发性有机化合物含量限值》（GB38508-2020）、《油墨中可挥发性有机化合物（VOCs）含量的限值》（GB38507-2020）、《玩具用涂料中有害物质限量》（GB24613-2009）、《工业防护涂料中有害物质限量》（GB30981-2020）要求的胶粘剂、清洗剂、油墨和涂料等。</w:t>
                  </w:r>
                </w:p>
              </w:tc>
              <w:tc>
                <w:tcPr>
                  <w:tcW w:w="1487" w:type="pct"/>
                  <w:vMerge w:val="restart"/>
                  <w:shd w:val="clear" w:color="auto" w:fill="auto"/>
                  <w:vAlign w:val="center"/>
                </w:tcPr>
                <w:p w14:paraId="27720598">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清洗剂MSDS，START-3380A液晶清洗剂的VOCs含量为6.8%，即57.8g/L；START-3380B液晶清洗剂VOCs含量为5%，即55g/L，均满足《清洗剂挥发性有机化合物含量限值》（GB38508-2020）表2低VOC含量半水基清洗剂限值要求，即≤100g/L。</w:t>
                  </w:r>
                </w:p>
                <w:p w14:paraId="23DAD7D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根据VOCs检测报告可知，</w:t>
                  </w:r>
                  <w:r>
                    <w:rPr>
                      <w:rFonts w:hint="default" w:ascii="Times New Roman" w:hAnsi="Times New Roman" w:cs="Times New Roman"/>
                      <w:color w:val="auto"/>
                      <w:highlight w:val="none"/>
                      <w:lang w:eastAsia="zh-CN"/>
                    </w:rPr>
                    <w:t>封口胶</w:t>
                  </w:r>
                  <w:r>
                    <w:rPr>
                      <w:rFonts w:hint="default" w:ascii="Times New Roman" w:hAnsi="Times New Roman" w:cs="Times New Roman"/>
                      <w:color w:val="auto"/>
                      <w:highlight w:val="none"/>
                      <w:lang w:val="en-US" w:eastAsia="zh-CN"/>
                    </w:rPr>
                    <w:t>VOCs含量为10g/kg，</w:t>
                  </w:r>
                  <w:r>
                    <w:rPr>
                      <w:rFonts w:hint="default" w:ascii="Times New Roman" w:hAnsi="Times New Roman" w:cs="Times New Roman"/>
                      <w:color w:val="auto"/>
                      <w:highlight w:val="none"/>
                    </w:rPr>
                    <w:t>符合《胶粘剂挥发性有机化合物限量》（GB33372-2020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表3聚氨酯类限值要求，即≤50g/kg；</w:t>
                  </w:r>
                  <w:r>
                    <w:rPr>
                      <w:rFonts w:hint="default" w:ascii="Times New Roman" w:hAnsi="Times New Roman" w:cs="Times New Roman"/>
                      <w:color w:val="auto"/>
                      <w:highlight w:val="none"/>
                      <w:lang w:eastAsia="zh-CN"/>
                    </w:rPr>
                    <w:t>点胶剂</w:t>
                  </w:r>
                  <w:r>
                    <w:rPr>
                      <w:rFonts w:hint="default" w:ascii="Times New Roman" w:hAnsi="Times New Roman" w:cs="Times New Roman"/>
                      <w:color w:val="auto"/>
                      <w:highlight w:val="none"/>
                      <w:lang w:val="en-US" w:eastAsia="zh-CN"/>
                    </w:rPr>
                    <w:t>VOCs含量为5g/kg，符合丙烯酸酯类限制要求，即≤200g/kg。</w:t>
                  </w:r>
                </w:p>
              </w:tc>
              <w:tc>
                <w:tcPr>
                  <w:tcW w:w="492" w:type="pct"/>
                  <w:vMerge w:val="restart"/>
                  <w:shd w:val="clear" w:color="auto" w:fill="auto"/>
                  <w:vAlign w:val="center"/>
                </w:tcPr>
                <w:p w14:paraId="0F080536">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7C7F6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40" w:type="pct"/>
                  <w:vMerge w:val="continue"/>
                  <w:shd w:val="clear" w:color="auto" w:fill="auto"/>
                  <w:vAlign w:val="center"/>
                </w:tcPr>
                <w:p w14:paraId="2D13608E">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398A196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（2）采用水性、高固、能量固化油墨代替溶剂型油墨；鼓励使用无溶剂胶黏剂、无溶剂涂料、辐射固化涂料。</w:t>
                  </w:r>
                </w:p>
              </w:tc>
              <w:tc>
                <w:tcPr>
                  <w:tcW w:w="1487" w:type="pct"/>
                  <w:vMerge w:val="continue"/>
                  <w:shd w:val="clear" w:color="auto" w:fill="auto"/>
                  <w:vAlign w:val="center"/>
                </w:tcPr>
                <w:p w14:paraId="0808BE9A">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2" w:type="pct"/>
                  <w:vMerge w:val="continue"/>
                  <w:shd w:val="clear" w:color="auto" w:fill="auto"/>
                  <w:vAlign w:val="center"/>
                </w:tcPr>
                <w:p w14:paraId="43E73D8B">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01F1A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40" w:type="pct"/>
                  <w:vMerge w:val="continue"/>
                  <w:shd w:val="clear" w:color="auto" w:fill="auto"/>
                  <w:vAlign w:val="center"/>
                </w:tcPr>
                <w:p w14:paraId="5EE802DE">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18F39D8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（3）推广使用静电喷涂技术。</w:t>
                  </w:r>
                </w:p>
              </w:tc>
              <w:tc>
                <w:tcPr>
                  <w:tcW w:w="1487" w:type="pct"/>
                  <w:vMerge w:val="continue"/>
                  <w:shd w:val="clear" w:color="auto" w:fill="auto"/>
                  <w:vAlign w:val="center"/>
                </w:tcPr>
                <w:p w14:paraId="631B465B">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2" w:type="pct"/>
                  <w:vMerge w:val="continue"/>
                  <w:shd w:val="clear" w:color="auto" w:fill="auto"/>
                  <w:vAlign w:val="center"/>
                </w:tcPr>
                <w:p w14:paraId="6322D80B">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07EE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40" w:type="pct"/>
                  <w:vMerge w:val="continue"/>
                  <w:shd w:val="clear" w:color="auto" w:fill="auto"/>
                  <w:vAlign w:val="center"/>
                </w:tcPr>
                <w:p w14:paraId="2288C0D7">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67546269">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（4）采用自动化、智能化喷涂设备替代人工喷涂。</w:t>
                  </w:r>
                </w:p>
              </w:tc>
              <w:tc>
                <w:tcPr>
                  <w:tcW w:w="1487" w:type="pct"/>
                  <w:vMerge w:val="continue"/>
                  <w:shd w:val="clear" w:color="auto" w:fill="auto"/>
                  <w:vAlign w:val="center"/>
                </w:tcPr>
                <w:p w14:paraId="250EA34F">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2" w:type="pct"/>
                  <w:vMerge w:val="continue"/>
                  <w:shd w:val="clear" w:color="auto" w:fill="auto"/>
                  <w:vAlign w:val="center"/>
                </w:tcPr>
                <w:p w14:paraId="225DA90E">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646F9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2" w:type="pct"/>
                <w:trHeight w:val="397" w:hRule="atLeast"/>
              </w:trPr>
              <w:tc>
                <w:tcPr>
                  <w:tcW w:w="340" w:type="pct"/>
                  <w:shd w:val="clear" w:color="auto" w:fill="auto"/>
                  <w:vAlign w:val="center"/>
                </w:tcPr>
                <w:p w14:paraId="42C67396">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过程控制技术</w:t>
                  </w:r>
                </w:p>
              </w:tc>
              <w:tc>
                <w:tcPr>
                  <w:tcW w:w="2677" w:type="pct"/>
                  <w:shd w:val="clear" w:color="auto" w:fill="auto"/>
                  <w:vAlign w:val="center"/>
                </w:tcPr>
                <w:p w14:paraId="6291AE2E">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VOCs物料密闭储存；盛装VOCs物料的容器或包装袋应存放于室内，或存放于设置有雨棚、遮阳和防渗设施的专用场地；盛装VOCs物料的容器或包装袋在非取用状态时加盖、封口，保持密闭。液态VOCs物料投加，采用密闭管道输送方式或采用高位槽（罐）、桶泵等给料方式密闭投加。粉状、粒状VOCs物料投加，宜采用气力输送方式或采用密闭固体投料器等给料方式密闭投加。压制、压延、发泡、涂饰、印刷、清洗等涉VOCs工序应采用密闭设备或在密闭空间内操作，废气排至废气收集处理系统。塑炼/塑化/熔化、挤出、注塑、吹膜等成型工序可采取局部气体收集措施，且满足控制风速不低于0.3m/s的要求。</w:t>
                  </w:r>
                </w:p>
              </w:tc>
              <w:tc>
                <w:tcPr>
                  <w:tcW w:w="1487" w:type="pct"/>
                  <w:shd w:val="clear" w:color="auto" w:fill="auto"/>
                  <w:vAlign w:val="center"/>
                </w:tcPr>
                <w:p w14:paraId="221516FA">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本项目原辅料均采用密闭包装袋储存，并放于室内，采用密闭的包装袋进行物料转移；项目注塑工序在密闭空间内操作，废气排至废气收集处理系统。</w:t>
                  </w:r>
                </w:p>
              </w:tc>
              <w:tc>
                <w:tcPr>
                  <w:tcW w:w="492" w:type="pct"/>
                  <w:shd w:val="clear" w:color="auto" w:fill="auto"/>
                  <w:vAlign w:val="center"/>
                </w:tcPr>
                <w:p w14:paraId="1A4E08EC">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39556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restart"/>
                  <w:shd w:val="clear" w:color="auto" w:fill="auto"/>
                  <w:vAlign w:val="center"/>
                </w:tcPr>
                <w:p w14:paraId="47046425">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末端治理</w:t>
                  </w:r>
                </w:p>
              </w:tc>
              <w:tc>
                <w:tcPr>
                  <w:tcW w:w="2677" w:type="pct"/>
                  <w:shd w:val="clear" w:color="auto" w:fill="auto"/>
                  <w:vAlign w:val="center"/>
                </w:tcPr>
                <w:p w14:paraId="04B157DC">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（1）有机废气分类收集、分质处理，水溶性组分占比较大的有机废气宜采用含水喷淋吸收的组合技术处理；非水溶组分有机废气宜采用热氧化或其他组合技术进行处理。</w:t>
                  </w:r>
                </w:p>
              </w:tc>
              <w:tc>
                <w:tcPr>
                  <w:tcW w:w="1487" w:type="pct"/>
                  <w:shd w:val="clear" w:color="auto" w:fill="auto"/>
                  <w:vAlign w:val="center"/>
                </w:tcPr>
                <w:p w14:paraId="03754E43">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注塑产生的有机废气经收集后通过“二级活性炭吸附装置”处理达标后排放，</w:t>
                  </w:r>
                  <w:r>
                    <w:rPr>
                      <w:rFonts w:hint="default" w:ascii="Times New Roman" w:hAnsi="Times New Roman" w:cs="Times New Roman"/>
                      <w:color w:val="auto"/>
                      <w:highlight w:val="none"/>
                      <w:lang w:eastAsia="zh-CN"/>
                    </w:rPr>
                    <w:t>固化工序产生的有机废气量较少，呈无组织形式排放。</w:t>
                  </w:r>
                </w:p>
              </w:tc>
              <w:tc>
                <w:tcPr>
                  <w:tcW w:w="494" w:type="pct"/>
                  <w:gridSpan w:val="2"/>
                  <w:shd w:val="clear" w:color="auto" w:fill="auto"/>
                  <w:vAlign w:val="center"/>
                </w:tcPr>
                <w:p w14:paraId="5B8784E0">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342A4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continue"/>
                  <w:shd w:val="clear" w:color="auto" w:fill="auto"/>
                  <w:textDirection w:val="tbRlV"/>
                  <w:vAlign w:val="center"/>
                </w:tcPr>
                <w:p w14:paraId="62247A2E">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4500016F">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（2）含有油烟产生或温度、湿度较高的有机废气应对油烟、温度及湿度等进行预处理。</w:t>
                  </w:r>
                </w:p>
              </w:tc>
              <w:tc>
                <w:tcPr>
                  <w:tcW w:w="1487" w:type="pct"/>
                  <w:shd w:val="clear" w:color="auto" w:fill="auto"/>
                  <w:vAlign w:val="center"/>
                </w:tcPr>
                <w:p w14:paraId="1294E72F">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不涉及</w:t>
                  </w:r>
                </w:p>
              </w:tc>
              <w:tc>
                <w:tcPr>
                  <w:tcW w:w="494" w:type="pct"/>
                  <w:gridSpan w:val="2"/>
                  <w:shd w:val="clear" w:color="auto" w:fill="auto"/>
                  <w:vAlign w:val="center"/>
                </w:tcPr>
                <w:p w14:paraId="3644AAFD">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5AD4C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continue"/>
                  <w:shd w:val="clear" w:color="auto" w:fill="auto"/>
                  <w:textDirection w:val="tbRlV"/>
                  <w:vAlign w:val="center"/>
                </w:tcPr>
                <w:p w14:paraId="0757AA6D">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6AA7D19F">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（3）成型工序产生的有机废气经点对点收集后可采用组合技术处理；后处理工序宜采用热力氧化技术。</w:t>
                  </w:r>
                </w:p>
              </w:tc>
              <w:tc>
                <w:tcPr>
                  <w:tcW w:w="1487" w:type="pct"/>
                  <w:shd w:val="clear" w:color="auto" w:fill="auto"/>
                  <w:vAlign w:val="center"/>
                </w:tcPr>
                <w:p w14:paraId="1E861E3A">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注塑产生的有机废气经收集后通过“二级活性炭吸附装置”处理达标后排放</w:t>
                  </w:r>
                  <w:r>
                    <w:rPr>
                      <w:rFonts w:hint="default" w:ascii="Times New Roman" w:hAnsi="Times New Roman" w:cs="Times New Roman"/>
                      <w:color w:val="auto"/>
                      <w:highlight w:val="none"/>
                      <w:lang w:eastAsia="zh-CN"/>
                    </w:rPr>
                    <w:t>。</w:t>
                  </w:r>
                </w:p>
              </w:tc>
              <w:tc>
                <w:tcPr>
                  <w:tcW w:w="494" w:type="pct"/>
                  <w:gridSpan w:val="2"/>
                  <w:shd w:val="clear" w:color="auto" w:fill="auto"/>
                  <w:vAlign w:val="center"/>
                </w:tcPr>
                <w:p w14:paraId="21001E0C">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5A618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continue"/>
                  <w:shd w:val="clear" w:color="auto" w:fill="auto"/>
                  <w:textDirection w:val="tbRlV"/>
                  <w:vAlign w:val="center"/>
                </w:tcPr>
                <w:p w14:paraId="2B339DA7">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59856A1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（4）设置高效的颗粒物（漆渣、粉尘）去除系统，治理设施内无肉眼可见的颗粒物（漆渣、粉尘）。</w:t>
                  </w:r>
                </w:p>
              </w:tc>
              <w:tc>
                <w:tcPr>
                  <w:tcW w:w="1487" w:type="pct"/>
                  <w:shd w:val="clear" w:color="auto" w:fill="auto"/>
                  <w:vAlign w:val="center"/>
                </w:tcPr>
                <w:p w14:paraId="5AC8B141">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切割</w:t>
                  </w:r>
                  <w:r>
                    <w:rPr>
                      <w:rFonts w:hint="eastAsia" w:cs="Times New Roman"/>
                      <w:color w:val="auto"/>
                      <w:highlight w:val="none"/>
                      <w:lang w:eastAsia="zh-CN"/>
                    </w:rPr>
                    <w:t>、</w:t>
                  </w:r>
                  <w:r>
                    <w:rPr>
                      <w:rFonts w:hint="eastAsia" w:cs="Times New Roman"/>
                      <w:color w:val="auto"/>
                      <w:highlight w:val="none"/>
                      <w:lang w:val="en-US" w:eastAsia="zh-CN"/>
                    </w:rPr>
                    <w:t>打粒</w:t>
                  </w:r>
                  <w:r>
                    <w:rPr>
                      <w:rFonts w:hint="default" w:ascii="Times New Roman" w:hAnsi="Times New Roman" w:cs="Times New Roman"/>
                      <w:color w:val="auto"/>
                      <w:highlight w:val="none"/>
                      <w:lang w:val="en-US" w:eastAsia="zh-CN"/>
                    </w:rPr>
                    <w:t>粉尘经自然沉降</w:t>
                  </w:r>
                  <w:r>
                    <w:rPr>
                      <w:rFonts w:hint="default" w:ascii="Times New Roman" w:hAnsi="Times New Roman" w:cs="Times New Roman"/>
                      <w:color w:val="auto"/>
                      <w:highlight w:val="none"/>
                      <w:lang w:eastAsia="zh-CN"/>
                    </w:rPr>
                    <w:t>，磨边</w:t>
                  </w:r>
                  <w:r>
                    <w:rPr>
                      <w:rFonts w:hint="default" w:ascii="Times New Roman" w:hAnsi="Times New Roman" w:cs="Times New Roman"/>
                      <w:color w:val="auto"/>
                      <w:highlight w:val="none"/>
                      <w:lang w:val="en-US" w:eastAsia="zh-CN"/>
                    </w:rPr>
                    <w:t>采用湿法加工，因此本项目产生粉尘量较少，呈无组织排放。</w:t>
                  </w:r>
                </w:p>
              </w:tc>
              <w:tc>
                <w:tcPr>
                  <w:tcW w:w="494" w:type="pct"/>
                  <w:gridSpan w:val="2"/>
                  <w:shd w:val="clear" w:color="auto" w:fill="auto"/>
                  <w:vAlign w:val="center"/>
                </w:tcPr>
                <w:p w14:paraId="5C939D2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51E1E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continue"/>
                  <w:shd w:val="clear" w:color="auto" w:fill="auto"/>
                  <w:textDirection w:val="tbRlV"/>
                  <w:vAlign w:val="center"/>
                </w:tcPr>
                <w:p w14:paraId="0E717C09">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70FB5D18">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（5）若采用活性炭吸附技术，采用颗粒活性炭作为吸附剂时，其碘值不宜低于800mg/g；采用蜂窝活性炭作为吸附剂时，其碘值不宜低650mg/g；采用活性炭纤维作为吸附剂时，其比表面积不低于1100m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g（BET法）。工作温度和湿度应符合：温度T&lt;40℃、湿度RH&lt;60%；活性炭表面不应有积尘和积水；活性炭吸附箱是否足额装填活性炭（1吨活性炭通常只能吸附0.1～0.2吨VOCs，根据VOCs产生量推算需使用的活性炭，以活性炭购买记录（含发票、合同等）、危废合同、转移联单和危废间暂存量佐证其活性炭更换量）；箱体内气流走向及碳床铺设应符合《吸附法工业有机废气治理工程技术规范》（HJ2026-2013）。在确保活性炭无积尘无潮湿的情况下，可采用VOCs速测仪测处理前后浓度的方法快速判断活性炭是否饱和（处理后浓度高于处理前浓度，即活性炭已达到饱和状态）</w:t>
                  </w:r>
                </w:p>
              </w:tc>
              <w:tc>
                <w:tcPr>
                  <w:tcW w:w="1487" w:type="pct"/>
                  <w:shd w:val="clear" w:color="auto" w:fill="auto"/>
                  <w:vAlign w:val="center"/>
                </w:tcPr>
                <w:p w14:paraId="3186E0B3">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本项目使用颗粒活性炭处理有机废气，二级炭箱活性炭填充量为4.032t，每季度更换一次。</w:t>
                  </w:r>
                </w:p>
              </w:tc>
              <w:tc>
                <w:tcPr>
                  <w:tcW w:w="494" w:type="pct"/>
                  <w:gridSpan w:val="2"/>
                  <w:shd w:val="clear" w:color="auto" w:fill="auto"/>
                  <w:vAlign w:val="center"/>
                </w:tcPr>
                <w:p w14:paraId="13819FD6">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0ECE3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340" w:type="pct"/>
                  <w:vMerge w:val="continue"/>
                  <w:shd w:val="clear" w:color="auto" w:fill="auto"/>
                  <w:textDirection w:val="tbRlV"/>
                  <w:vAlign w:val="center"/>
                </w:tcPr>
                <w:p w14:paraId="68210AB4">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2677" w:type="pct"/>
                  <w:shd w:val="clear" w:color="auto" w:fill="auto"/>
                  <w:vAlign w:val="center"/>
                </w:tcPr>
                <w:p w14:paraId="3CAC6BBD">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车间或生产设施排气筒废气排放浓度不高于《合成树脂工业污染物排放标准》（GB31572-2015）排放限值的50%，若环评审批或排污许可证都是核发的《大气污染物排放限值》（DB4427-2001）第Ⅱ时段排放限值100%，建议取两者中最严值执行；合成革和人造革制造企业排放浓度不高于《合成革与人造革工业污染物排放标准》（GB21902-2008）排放限值的50%，若国家和我省出台并实施适用于塑料制品业的大气污染物排放标准，则有机废气排气筒排放浓度不高于相应限值的50%。车间或生产设施排气中NMHC初始排放速率≥3kg/h时，建设VOCs处理设施且处理效率≥80%，采用的原辅材料符合国家有关低VOCs含量产品规定的除外。</w:t>
                  </w:r>
                </w:p>
              </w:tc>
              <w:tc>
                <w:tcPr>
                  <w:tcW w:w="1487" w:type="pct"/>
                  <w:shd w:val="clear" w:color="auto" w:fill="auto"/>
                  <w:vAlign w:val="center"/>
                </w:tcPr>
                <w:p w14:paraId="060049FA">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本项目注塑工序，NMHC排气筒排放浓度为0.8</w:t>
                  </w:r>
                  <w:r>
                    <w:rPr>
                      <w:rFonts w:hint="eastAsia" w:cs="Times New Roman"/>
                      <w:color w:val="auto"/>
                      <w:highlight w:val="none"/>
                      <w:lang w:val="en-US" w:eastAsia="zh-CN"/>
                    </w:rPr>
                    <w:t>81</w:t>
                  </w:r>
                  <w:r>
                    <w:rPr>
                      <w:rFonts w:hint="default" w:ascii="Times New Roman" w:hAnsi="Times New Roman" w:cs="Times New Roman"/>
                      <w:color w:val="auto"/>
                      <w:highlight w:val="none"/>
                      <w:lang w:val="en-US" w:eastAsia="zh-CN"/>
                    </w:rPr>
                    <w:t>mg/m³，满足《合成树脂工业污染物排放标准》（GB31572-2015，含2024年修改单）表5特别排放限值要求（60mg/m³）；本项目排气筒中NMHC初始排放速率为</w:t>
                  </w:r>
                  <w:r>
                    <w:rPr>
                      <w:rFonts w:hint="eastAsia" w:cs="Times New Roman"/>
                      <w:color w:val="auto"/>
                      <w:highlight w:val="none"/>
                      <w:lang w:val="en-US" w:eastAsia="zh-CN"/>
                    </w:rPr>
                    <w:t>0.099</w:t>
                  </w:r>
                  <w:r>
                    <w:rPr>
                      <w:rFonts w:hint="default" w:ascii="Times New Roman" w:hAnsi="Times New Roman" w:cs="Times New Roman"/>
                      <w:color w:val="auto"/>
                      <w:highlight w:val="none"/>
                      <w:lang w:val="en-US" w:eastAsia="zh-CN"/>
                    </w:rPr>
                    <w:t>kg/h，VOCs处理设施处理效率为</w:t>
                  </w:r>
                  <w:r>
                    <w:rPr>
                      <w:rFonts w:hint="eastAsia" w:cs="Times New Roman"/>
                      <w:color w:val="auto"/>
                      <w:highlight w:val="none"/>
                      <w:lang w:val="en-US" w:eastAsia="zh-CN"/>
                    </w:rPr>
                    <w:t>75</w:t>
                  </w:r>
                  <w:r>
                    <w:rPr>
                      <w:rFonts w:hint="default" w:ascii="Times New Roman" w:hAnsi="Times New Roman" w:cs="Times New Roman"/>
                      <w:color w:val="auto"/>
                      <w:highlight w:val="none"/>
                      <w:lang w:val="en-US" w:eastAsia="zh-CN"/>
                    </w:rPr>
                    <w:t>%。</w:t>
                  </w:r>
                </w:p>
              </w:tc>
              <w:tc>
                <w:tcPr>
                  <w:tcW w:w="494" w:type="pct"/>
                  <w:gridSpan w:val="2"/>
                  <w:shd w:val="clear" w:color="auto" w:fill="auto"/>
                  <w:vAlign w:val="center"/>
                </w:tcPr>
                <w:p w14:paraId="233F9C47">
                  <w:pPr>
                    <w:pStyle w:val="129"/>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bl>
          <w:p w14:paraId="7BE161E5">
            <w:pPr>
              <w:spacing w:line="360" w:lineRule="auto"/>
              <w:ind w:firstLine="0" w:firstLineChars="0"/>
              <w:rPr>
                <w:rStyle w:val="72"/>
                <w:rFonts w:hint="default" w:ascii="Times New Roman" w:hAnsi="Times New Roman" w:cs="Times New Roman"/>
                <w:color w:val="auto"/>
                <w:highlight w:val="none"/>
              </w:rPr>
            </w:pPr>
          </w:p>
        </w:tc>
      </w:tr>
    </w:tbl>
    <w:p w14:paraId="6F676F77">
      <w:pPr>
        <w:spacing w:line="360" w:lineRule="auto"/>
        <w:outlineLvl w:val="0"/>
        <w:rPr>
          <w:rFonts w:hint="default" w:ascii="Times New Roman" w:hAnsi="Times New Roman" w:eastAsia="黑体" w:cs="Times New Roman"/>
          <w:color w:val="auto"/>
          <w:sz w:val="30"/>
          <w:highlight w:val="none"/>
        </w:rPr>
        <w:sectPr>
          <w:footerReference r:id="rId4" w:type="default"/>
          <w:pgSz w:w="11906" w:h="16838"/>
          <w:pgMar w:top="1418" w:right="1418" w:bottom="1418" w:left="1418" w:header="851" w:footer="850" w:gutter="0"/>
          <w:pgBorders>
            <w:top w:val="none" w:sz="0" w:space="0"/>
            <w:left w:val="none" w:sz="0" w:space="0"/>
            <w:bottom w:val="none" w:sz="0" w:space="0"/>
            <w:right w:val="none" w:sz="0" w:space="0"/>
          </w:pgBorders>
          <w:pgNumType w:fmt="decimal" w:start="1"/>
          <w:cols w:space="720" w:num="1"/>
          <w:docGrid w:linePitch="312" w:charSpace="0"/>
        </w:sectPr>
      </w:pPr>
    </w:p>
    <w:p w14:paraId="16FB7508">
      <w:pPr>
        <w:pStyle w:val="7"/>
        <w:rPr>
          <w:rFonts w:hint="default" w:ascii="Times New Roman" w:hAnsi="Times New Roman" w:cs="Times New Roman"/>
          <w:snapToGrid w:val="0"/>
          <w:color w:val="auto"/>
          <w:highlight w:val="none"/>
        </w:rPr>
      </w:pPr>
      <w:bookmarkStart w:id="7" w:name="_Toc20473"/>
      <w:r>
        <w:rPr>
          <w:rFonts w:hint="default" w:ascii="Times New Roman" w:hAnsi="Times New Roman" w:cs="Times New Roman"/>
          <w:snapToGrid w:val="0"/>
          <w:color w:val="auto"/>
          <w:highlight w:val="none"/>
        </w:rPr>
        <w:t>二、建设项目工程分析</w:t>
      </w:r>
      <w:bookmarkEnd w:id="7"/>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8684"/>
      </w:tblGrid>
      <w:tr w14:paraId="7E9D01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6" w:type="pct"/>
            <w:vAlign w:val="center"/>
          </w:tcPr>
          <w:p w14:paraId="40D0DA1A">
            <w:pPr>
              <w:pStyle w:val="35"/>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rPr>
              <w:t>建设内容</w:t>
            </w:r>
          </w:p>
        </w:tc>
        <w:tc>
          <w:tcPr>
            <w:tcW w:w="4663" w:type="pct"/>
          </w:tcPr>
          <w:p w14:paraId="34D0B9A8">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一、项目由来</w:t>
            </w:r>
          </w:p>
          <w:p w14:paraId="0EFC1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i w:val="0"/>
                <w:iCs w:val="0"/>
                <w:caps w:val="0"/>
                <w:color w:val="auto"/>
                <w:spacing w:val="0"/>
                <w:sz w:val="24"/>
                <w:szCs w:val="24"/>
                <w:highlight w:val="none"/>
                <w:shd w:val="clear" w:fill="FFFFFF"/>
                <w:lang w:eastAsia="zh-CN"/>
              </w:rPr>
            </w:pPr>
            <w:r>
              <w:rPr>
                <w:rFonts w:hint="default" w:ascii="Times New Roman" w:hAnsi="Times New Roman" w:cs="Times New Roman"/>
                <w:i w:val="0"/>
                <w:iCs w:val="0"/>
                <w:caps w:val="0"/>
                <w:color w:val="auto"/>
                <w:spacing w:val="0"/>
                <w:sz w:val="24"/>
                <w:szCs w:val="24"/>
                <w:highlight w:val="none"/>
                <w:shd w:val="clear" w:fill="FFFFFF"/>
                <w:lang w:eastAsia="zh-CN"/>
              </w:rPr>
              <w:t>为朴光电（乐昌）有限公司</w:t>
            </w:r>
            <w:r>
              <w:rPr>
                <w:rFonts w:hint="default" w:ascii="Times New Roman" w:hAnsi="Times New Roman" w:eastAsia="宋体" w:cs="Times New Roman"/>
                <w:i w:val="0"/>
                <w:iCs w:val="0"/>
                <w:caps w:val="0"/>
                <w:color w:val="auto"/>
                <w:spacing w:val="0"/>
                <w:sz w:val="24"/>
                <w:szCs w:val="24"/>
                <w:highlight w:val="none"/>
                <w:shd w:val="clear" w:fill="FFFFFF"/>
              </w:rPr>
              <w:t>（以下简称</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建设单位</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）拟</w:t>
            </w:r>
            <w:r>
              <w:rPr>
                <w:rFonts w:hint="default" w:ascii="Times New Roman" w:hAnsi="Times New Roman" w:eastAsia="宋体" w:cs="Times New Roman"/>
                <w:i w:val="0"/>
                <w:iCs w:val="0"/>
                <w:caps w:val="0"/>
                <w:color w:val="auto"/>
                <w:spacing w:val="0"/>
                <w:sz w:val="24"/>
                <w:szCs w:val="24"/>
                <w:highlight w:val="none"/>
                <w:shd w:val="clear" w:fill="FFFFFF"/>
                <w:lang w:eastAsia="zh-CN"/>
              </w:rPr>
              <w:t>租赁</w:t>
            </w:r>
            <w:r>
              <w:rPr>
                <w:rFonts w:hint="default" w:ascii="Times New Roman" w:hAnsi="Times New Roman" w:cs="Times New Roman"/>
                <w:i w:val="0"/>
                <w:iCs w:val="0"/>
                <w:caps w:val="0"/>
                <w:color w:val="auto"/>
                <w:spacing w:val="0"/>
                <w:sz w:val="24"/>
                <w:szCs w:val="24"/>
                <w:highlight w:val="none"/>
                <w:shd w:val="clear" w:fill="FFFFFF"/>
                <w:lang w:eastAsia="zh-CN"/>
              </w:rPr>
              <w:t>乐昌市乐昌产业转移工业园乐园大道2A号C幢厂房</w:t>
            </w:r>
            <w:r>
              <w:rPr>
                <w:rFonts w:hint="default" w:ascii="Times New Roman" w:hAnsi="Times New Roman" w:eastAsia="宋体" w:cs="Times New Roman"/>
                <w:i w:val="0"/>
                <w:iCs w:val="0"/>
                <w:caps w:val="0"/>
                <w:color w:val="auto"/>
                <w:spacing w:val="0"/>
                <w:sz w:val="24"/>
                <w:szCs w:val="24"/>
                <w:highlight w:val="none"/>
                <w:shd w:val="clear" w:fill="FFFFFF"/>
              </w:rPr>
              <w:t>建设</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cs="Times New Roman"/>
                <w:i w:val="0"/>
                <w:iCs w:val="0"/>
                <w:caps w:val="0"/>
                <w:color w:val="auto"/>
                <w:spacing w:val="0"/>
                <w:sz w:val="24"/>
                <w:szCs w:val="24"/>
                <w:highlight w:val="none"/>
                <w:shd w:val="clear" w:fill="FFFFFF"/>
                <w:lang w:eastAsia="zh-CN"/>
              </w:rPr>
              <w:t>乐昌为朴电子科技项目</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（以下简称</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本项目</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）。根据</w:t>
            </w:r>
            <w:r>
              <w:rPr>
                <w:rFonts w:hint="default" w:ascii="Times New Roman" w:hAnsi="Times New Roman" w:cs="Times New Roman"/>
                <w:i w:val="0"/>
                <w:iCs w:val="0"/>
                <w:caps w:val="0"/>
                <w:color w:val="auto"/>
                <w:spacing w:val="0"/>
                <w:sz w:val="24"/>
                <w:szCs w:val="24"/>
                <w:highlight w:val="none"/>
                <w:shd w:val="clear" w:fill="FFFFFF"/>
                <w:lang w:val="en-US" w:eastAsia="zh-CN"/>
              </w:rPr>
              <w:t>项目</w:t>
            </w:r>
            <w:r>
              <w:rPr>
                <w:rFonts w:hint="default" w:ascii="Times New Roman" w:hAnsi="Times New Roman" w:eastAsia="宋体" w:cs="Times New Roman"/>
                <w:i w:val="0"/>
                <w:iCs w:val="0"/>
                <w:caps w:val="0"/>
                <w:color w:val="auto"/>
                <w:spacing w:val="0"/>
                <w:sz w:val="24"/>
                <w:szCs w:val="24"/>
                <w:highlight w:val="none"/>
                <w:shd w:val="clear" w:fill="FFFFFF"/>
              </w:rPr>
              <w:t>备案</w:t>
            </w:r>
            <w:r>
              <w:rPr>
                <w:rFonts w:hint="default" w:ascii="Times New Roman" w:hAnsi="Times New Roman" w:cs="Times New Roman"/>
                <w:i w:val="0"/>
                <w:iCs w:val="0"/>
                <w:caps w:val="0"/>
                <w:color w:val="auto"/>
                <w:spacing w:val="0"/>
                <w:sz w:val="24"/>
                <w:szCs w:val="24"/>
                <w:highlight w:val="none"/>
                <w:shd w:val="clear" w:fill="FFFFFF"/>
                <w:lang w:val="en-US" w:eastAsia="zh-CN"/>
              </w:rPr>
              <w:t>证</w:t>
            </w:r>
            <w:r>
              <w:rPr>
                <w:rFonts w:hint="default" w:ascii="Times New Roman" w:hAnsi="Times New Roman" w:eastAsia="宋体" w:cs="Times New Roman"/>
                <w:i w:val="0"/>
                <w:iCs w:val="0"/>
                <w:caps w:val="0"/>
                <w:color w:val="auto"/>
                <w:spacing w:val="0"/>
                <w:sz w:val="24"/>
                <w:szCs w:val="24"/>
                <w:highlight w:val="none"/>
                <w:shd w:val="clear" w:fill="FFFFFF"/>
              </w:rPr>
              <w:t>（附件</w:t>
            </w:r>
            <w:r>
              <w:rPr>
                <w:rFonts w:hint="default" w:ascii="Times New Roman" w:hAnsi="Times New Roman" w:cs="Times New Roman"/>
                <w:i w:val="0"/>
                <w:iCs w:val="0"/>
                <w:caps w:val="0"/>
                <w:color w:val="auto"/>
                <w:spacing w:val="0"/>
                <w:sz w:val="24"/>
                <w:szCs w:val="24"/>
                <w:highlight w:val="none"/>
                <w:shd w:val="clear" w:fill="FFFFFF"/>
                <w:lang w:val="en-US" w:eastAsia="zh-CN"/>
              </w:rPr>
              <w:t>3</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cs="Times New Roman"/>
                <w:i w:val="0"/>
                <w:iCs w:val="0"/>
                <w:caps w:val="0"/>
                <w:color w:val="auto"/>
                <w:spacing w:val="0"/>
                <w:sz w:val="24"/>
                <w:szCs w:val="24"/>
                <w:highlight w:val="none"/>
                <w:shd w:val="clear" w:fill="FFFFFF"/>
                <w:lang w:val="en-US" w:eastAsia="zh-CN"/>
              </w:rPr>
              <w:t>本</w:t>
            </w:r>
            <w:r>
              <w:rPr>
                <w:rFonts w:hint="default" w:ascii="Times New Roman" w:hAnsi="Times New Roman" w:eastAsia="宋体" w:cs="Times New Roman"/>
                <w:i w:val="0"/>
                <w:iCs w:val="0"/>
                <w:caps w:val="0"/>
                <w:color w:val="auto"/>
                <w:spacing w:val="0"/>
                <w:sz w:val="24"/>
                <w:szCs w:val="24"/>
                <w:highlight w:val="none"/>
                <w:shd w:val="clear" w:fill="FFFFFF"/>
              </w:rPr>
              <w:t>项目主要从事显示器件制造</w:t>
            </w:r>
            <w:r>
              <w:rPr>
                <w:rFonts w:hint="default" w:ascii="Times New Roman" w:hAnsi="Times New Roman" w:cs="Times New Roman"/>
                <w:i w:val="0"/>
                <w:iCs w:val="0"/>
                <w:caps w:val="0"/>
                <w:color w:val="auto"/>
                <w:spacing w:val="0"/>
                <w:sz w:val="24"/>
                <w:szCs w:val="24"/>
                <w:highlight w:val="none"/>
                <w:shd w:val="clear" w:fill="FFFFFF"/>
                <w:lang w:eastAsia="zh-CN"/>
              </w:rPr>
              <w:t>。</w:t>
            </w:r>
          </w:p>
          <w:p w14:paraId="559CB696">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default" w:ascii="Times New Roman" w:hAnsi="Times New Roman" w:cs="Times New Roman"/>
                <w:i w:val="0"/>
                <w:iCs w:val="0"/>
                <w:caps w:val="0"/>
                <w:color w:val="auto"/>
                <w:spacing w:val="0"/>
                <w:sz w:val="24"/>
                <w:szCs w:val="24"/>
                <w:highlight w:val="none"/>
                <w:shd w:val="clear" w:fill="FFFFFF"/>
                <w:lang w:eastAsia="zh-CN"/>
              </w:rPr>
              <w:t>C幢厂房</w:t>
            </w:r>
            <w:r>
              <w:rPr>
                <w:rFonts w:hint="default" w:ascii="Times New Roman" w:hAnsi="Times New Roman" w:cs="Times New Roman"/>
                <w:color w:val="auto"/>
                <w:sz w:val="24"/>
                <w:szCs w:val="24"/>
                <w:highlight w:val="none"/>
              </w:rPr>
              <w:t>总占地面积约</w:t>
            </w:r>
            <w:r>
              <w:rPr>
                <w:rFonts w:hint="default" w:ascii="Times New Roman" w:hAnsi="Times New Roman" w:cs="Times New Roman"/>
                <w:color w:val="auto"/>
                <w:kern w:val="24"/>
                <w:sz w:val="24"/>
                <w:szCs w:val="24"/>
                <w:highlight w:val="none"/>
                <w:lang w:val="en-US" w:eastAsia="zh-CN"/>
              </w:rPr>
              <w:t>3265.52</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sz w:val="24"/>
                <w:szCs w:val="24"/>
                <w:highlight w:val="none"/>
              </w:rPr>
              <w:t>，总建筑面积</w:t>
            </w:r>
            <w:r>
              <w:rPr>
                <w:rFonts w:hint="default" w:ascii="Times New Roman" w:hAnsi="Times New Roman" w:cs="Times New Roman"/>
                <w:color w:val="auto"/>
                <w:kern w:val="24"/>
                <w:sz w:val="24"/>
                <w:szCs w:val="24"/>
                <w:highlight w:val="none"/>
                <w:lang w:val="en-US" w:eastAsia="zh-CN"/>
              </w:rPr>
              <w:t>9796.56</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kern w:val="24"/>
                <w:sz w:val="24"/>
                <w:szCs w:val="24"/>
                <w:highlight w:val="none"/>
                <w:lang w:eastAsia="zh-CN"/>
              </w:rPr>
              <w:t>（</w:t>
            </w:r>
            <w:r>
              <w:rPr>
                <w:rFonts w:hint="default" w:ascii="Times New Roman" w:hAnsi="Times New Roman" w:cs="Times New Roman"/>
                <w:color w:val="auto"/>
                <w:kern w:val="24"/>
                <w:sz w:val="24"/>
                <w:szCs w:val="24"/>
                <w:highlight w:val="none"/>
                <w:lang w:val="en-US" w:eastAsia="zh-CN"/>
              </w:rPr>
              <w:t>含括厂房建筑面积</w:t>
            </w:r>
            <w:r>
              <w:rPr>
                <w:rFonts w:hint="default" w:ascii="Times New Roman" w:hAnsi="Times New Roman" w:cs="Times New Roman"/>
                <w:color w:val="auto"/>
                <w:sz w:val="24"/>
                <w:szCs w:val="24"/>
                <w:highlight w:val="none"/>
                <w:lang w:val="en-US" w:eastAsia="zh-CN"/>
              </w:rPr>
              <w:t>9374.28</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kern w:val="24"/>
                <w:sz w:val="24"/>
                <w:szCs w:val="24"/>
                <w:highlight w:val="none"/>
                <w:lang w:eastAsia="zh-CN"/>
              </w:rPr>
              <w:t>、</w:t>
            </w:r>
            <w:r>
              <w:rPr>
                <w:rFonts w:hint="default" w:ascii="Times New Roman" w:hAnsi="Times New Roman" w:cs="Times New Roman"/>
                <w:color w:val="auto"/>
                <w:kern w:val="24"/>
                <w:sz w:val="24"/>
                <w:szCs w:val="24"/>
                <w:highlight w:val="none"/>
                <w:lang w:val="en-US" w:eastAsia="zh-CN"/>
              </w:rPr>
              <w:t>门口遮雨棚面积422.28</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kern w:val="24"/>
                <w:sz w:val="24"/>
                <w:szCs w:val="24"/>
                <w:highlight w:val="none"/>
                <w:lang w:eastAsia="zh-CN"/>
              </w:rPr>
              <w:t>。）</w:t>
            </w:r>
            <w:r>
              <w:rPr>
                <w:rFonts w:hint="default" w:ascii="Times New Roman" w:hAnsi="Times New Roman" w:cs="Times New Roman"/>
                <w:color w:val="auto"/>
                <w:sz w:val="24"/>
                <w:szCs w:val="24"/>
                <w:highlight w:val="none"/>
              </w:rPr>
              <w:t>。项目总投资</w:t>
            </w:r>
            <w:r>
              <w:rPr>
                <w:rFonts w:hint="default" w:ascii="Times New Roman" w:hAnsi="Times New Roman"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万元，其中环保投资</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00万元。</w:t>
            </w:r>
            <w:r>
              <w:rPr>
                <w:rFonts w:hint="default" w:ascii="Times New Roman" w:hAnsi="Times New Roman" w:cs="Times New Roman"/>
                <w:color w:val="auto"/>
                <w:sz w:val="24"/>
                <w:szCs w:val="24"/>
                <w:highlight w:val="none"/>
                <w:lang w:val="en-US" w:eastAsia="zh-CN"/>
              </w:rPr>
              <w:t>本项目年产背光源0.3亿只、液晶屏0.25亿只</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背光源</w:t>
            </w:r>
            <w:r>
              <w:rPr>
                <w:rFonts w:hint="default" w:ascii="Times New Roman" w:hAnsi="Times New Roman" w:cs="Times New Roman"/>
                <w:color w:val="auto"/>
                <w:sz w:val="24"/>
                <w:szCs w:val="24"/>
                <w:highlight w:val="none"/>
                <w:lang w:eastAsia="zh-CN"/>
              </w:rPr>
              <w:t>主要生</w:t>
            </w:r>
            <w:r>
              <w:rPr>
                <w:rFonts w:hint="default" w:ascii="Times New Roman" w:hAnsi="Times New Roman" w:cs="Times New Roman"/>
                <w:color w:val="auto"/>
                <w:sz w:val="24"/>
                <w:lang w:val="en-US" w:eastAsia="zh-CN"/>
              </w:rPr>
              <w:t>产</w:t>
            </w:r>
            <w:r>
              <w:rPr>
                <w:rFonts w:hint="default" w:ascii="Times New Roman" w:hAnsi="Times New Roman" w:cs="Times New Roman"/>
                <w:color w:val="auto"/>
                <w:sz w:val="24"/>
                <w:szCs w:val="24"/>
                <w:highlight w:val="none"/>
                <w:lang w:eastAsia="zh-CN"/>
              </w:rPr>
              <w:t>工艺为注塑、覆膜、套板、贴膜；</w:t>
            </w:r>
            <w:r>
              <w:rPr>
                <w:rFonts w:hint="default" w:ascii="Times New Roman" w:hAnsi="Times New Roman" w:cs="Times New Roman"/>
                <w:color w:val="auto"/>
                <w:sz w:val="24"/>
                <w:szCs w:val="24"/>
                <w:highlight w:val="none"/>
                <w:lang w:val="en-US" w:eastAsia="zh-CN"/>
              </w:rPr>
              <w:t>多项液晶屏</w:t>
            </w:r>
            <w:r>
              <w:rPr>
                <w:rFonts w:hint="default" w:ascii="Times New Roman" w:hAnsi="Times New Roman" w:cs="Times New Roman"/>
                <w:color w:val="auto"/>
                <w:sz w:val="24"/>
                <w:szCs w:val="24"/>
                <w:highlight w:val="none"/>
                <w:lang w:eastAsia="zh-CN"/>
              </w:rPr>
              <w:t>主要生</w:t>
            </w:r>
            <w:r>
              <w:rPr>
                <w:rFonts w:hint="default" w:ascii="Times New Roman" w:hAnsi="Times New Roman" w:cs="Times New Roman"/>
                <w:color w:val="auto"/>
                <w:sz w:val="24"/>
                <w:szCs w:val="24"/>
                <w:highlight w:val="none"/>
                <w:lang w:val="en-US" w:eastAsia="zh-CN"/>
              </w:rPr>
              <w:t>产</w:t>
            </w:r>
            <w:r>
              <w:rPr>
                <w:rFonts w:hint="default" w:ascii="Times New Roman" w:hAnsi="Times New Roman" w:cs="Times New Roman"/>
                <w:color w:val="auto"/>
                <w:sz w:val="24"/>
                <w:szCs w:val="24"/>
                <w:highlight w:val="none"/>
                <w:lang w:eastAsia="zh-CN"/>
              </w:rPr>
              <w:t>工艺为切割、灌晶、封口固化、打粒磨边、水洗烘烤、贴片消泡、装</w:t>
            </w:r>
            <w:r>
              <w:rPr>
                <w:rFonts w:hint="default" w:ascii="Times New Roman" w:hAnsi="Times New Roman" w:cs="Times New Roman"/>
                <w:color w:val="auto"/>
                <w:sz w:val="24"/>
                <w:szCs w:val="24"/>
                <w:highlight w:val="none"/>
                <w:lang w:val="en-US" w:eastAsia="zh-CN"/>
              </w:rPr>
              <w:t>PIN等。</w:t>
            </w:r>
          </w:p>
          <w:p w14:paraId="397BF821">
            <w:pPr>
              <w:spacing w:line="360" w:lineRule="auto"/>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bCs/>
                <w:color w:val="auto"/>
                <w:sz w:val="24"/>
                <w:highlight w:val="none"/>
              </w:rPr>
              <w:t>根据《中华人民共和国环境影响评价法</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建设项目环境保护管理条例</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建设项目环境影响评价分类管理名录》等相关规定，本项目应办理环境影响评价手续。根据《建设项目环境保护分类管理目录》（2021年版）本项目属于“三十六、计算机、通信和其他电子设备制造业—80、电子器件制造397—显示器件制造；集成电路制造；使用有机溶剂的；有酸洗的以上均不含仅分割、焊接、组装的”。建设单位委托本单位编制该项目的环境影响报告表</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本单位接受委托后，组织有关人员进行现场踏勘，在对项目开展环境现状调查、资料收集和调研的基础上，按照环境影响评价有关技术规范和要求，编制了本项目环境影响报告表，供建设单位报环保主管部门审批和作为污染防治建设的依据</w:t>
            </w:r>
            <w:r>
              <w:rPr>
                <w:rFonts w:hint="default" w:ascii="Times New Roman" w:hAnsi="Times New Roman" w:cs="Times New Roman" w:eastAsiaTheme="minorEastAsia"/>
                <w:color w:val="auto"/>
                <w:sz w:val="24"/>
                <w:szCs w:val="24"/>
                <w:highlight w:val="none"/>
              </w:rPr>
              <w:t>。</w:t>
            </w:r>
          </w:p>
          <w:p w14:paraId="746B85B1">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二、项目建设内容</w:t>
            </w:r>
          </w:p>
          <w:p w14:paraId="4CF78D03">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1、项目基本概况</w:t>
            </w:r>
          </w:p>
          <w:p w14:paraId="2A6D8D33">
            <w:pPr>
              <w:spacing w:line="360" w:lineRule="auto"/>
              <w:ind w:firstLine="48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eastAsiaTheme="minorEastAsia"/>
                <w:b/>
                <w:bCs/>
                <w:color w:val="auto"/>
                <w:sz w:val="24"/>
                <w:highlight w:val="none"/>
              </w:rPr>
              <w:t>项目名称：</w:t>
            </w:r>
            <w:r>
              <w:rPr>
                <w:rFonts w:hint="default" w:ascii="Times New Roman" w:hAnsi="Times New Roman" w:cs="Times New Roman" w:eastAsiaTheme="minorEastAsia"/>
                <w:color w:val="auto"/>
                <w:sz w:val="24"/>
                <w:highlight w:val="none"/>
                <w:lang w:eastAsia="zh-CN"/>
              </w:rPr>
              <w:t>乐昌为朴电子科技项目</w:t>
            </w:r>
          </w:p>
          <w:p w14:paraId="3569F379">
            <w:pPr>
              <w:spacing w:line="360" w:lineRule="auto"/>
              <w:ind w:firstLine="48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b/>
                <w:bCs/>
                <w:color w:val="auto"/>
                <w:sz w:val="24"/>
                <w:highlight w:val="none"/>
              </w:rPr>
              <w:t>项目性质：</w:t>
            </w:r>
            <w:r>
              <w:rPr>
                <w:rFonts w:hint="default" w:ascii="Times New Roman" w:hAnsi="Times New Roman" w:cs="Times New Roman" w:eastAsiaTheme="minorEastAsia"/>
                <w:color w:val="auto"/>
                <w:sz w:val="24"/>
                <w:highlight w:val="none"/>
              </w:rPr>
              <w:t>新建项目</w:t>
            </w:r>
          </w:p>
          <w:p w14:paraId="009CFA0C">
            <w:pPr>
              <w:spacing w:line="360" w:lineRule="auto"/>
              <w:ind w:firstLine="48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eastAsiaTheme="minorEastAsia"/>
                <w:b/>
                <w:bCs/>
                <w:color w:val="auto"/>
                <w:sz w:val="24"/>
                <w:highlight w:val="none"/>
              </w:rPr>
              <w:t>建设地址：</w:t>
            </w:r>
            <w:r>
              <w:rPr>
                <w:rFonts w:hint="default" w:ascii="Times New Roman" w:hAnsi="Times New Roman" w:cs="Times New Roman" w:eastAsiaTheme="minorEastAsia"/>
                <w:color w:val="auto"/>
                <w:sz w:val="24"/>
                <w:highlight w:val="none"/>
              </w:rPr>
              <w:t>乐昌市乐昌产业转移工业园乐园大道2A号C幢厂房，项目中心坐标为东经E：113°24′51.12″，北纬N：25°07′24.12″</w:t>
            </w:r>
            <w:r>
              <w:rPr>
                <w:rFonts w:hint="default" w:ascii="Times New Roman" w:hAnsi="Times New Roman" w:cs="Times New Roman" w:eastAsiaTheme="minorEastAsia"/>
                <w:color w:val="auto"/>
                <w:sz w:val="24"/>
                <w:highlight w:val="none"/>
                <w:lang w:eastAsia="zh-CN"/>
              </w:rPr>
              <w:t>。</w:t>
            </w:r>
          </w:p>
          <w:p w14:paraId="1756F79C">
            <w:pPr>
              <w:spacing w:line="360" w:lineRule="auto"/>
              <w:ind w:firstLine="48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b/>
                <w:bCs/>
                <w:color w:val="auto"/>
                <w:sz w:val="24"/>
                <w:highlight w:val="none"/>
              </w:rPr>
              <w:t>建设规模</w:t>
            </w:r>
            <w:r>
              <w:rPr>
                <w:rFonts w:hint="default" w:ascii="Times New Roman" w:hAnsi="Times New Roman" w:cs="Times New Roman" w:eastAsiaTheme="minorEastAsia"/>
                <w:color w:val="auto"/>
                <w:sz w:val="24"/>
                <w:highlight w:val="none"/>
              </w:rPr>
              <w:t>：</w:t>
            </w:r>
            <w:r>
              <w:rPr>
                <w:rFonts w:hint="default" w:ascii="Times New Roman" w:hAnsi="Times New Roman" w:cs="Times New Roman" w:eastAsiaTheme="minorEastAsia"/>
                <w:color w:val="auto"/>
                <w:sz w:val="24"/>
                <w:highlight w:val="none"/>
                <w:lang w:eastAsia="zh-CN"/>
              </w:rPr>
              <w:t>租赁现有厂房作为生产厂房。</w:t>
            </w:r>
            <w:r>
              <w:rPr>
                <w:rFonts w:hint="default" w:ascii="Times New Roman" w:hAnsi="Times New Roman" w:cs="Times New Roman"/>
                <w:i w:val="0"/>
                <w:iCs w:val="0"/>
                <w:caps w:val="0"/>
                <w:color w:val="auto"/>
                <w:spacing w:val="0"/>
                <w:sz w:val="24"/>
                <w:szCs w:val="24"/>
                <w:highlight w:val="none"/>
                <w:shd w:val="clear" w:fill="FFFFFF"/>
                <w:lang w:eastAsia="zh-CN"/>
              </w:rPr>
              <w:t>C幢厂房</w:t>
            </w:r>
            <w:r>
              <w:rPr>
                <w:rFonts w:hint="default" w:ascii="Times New Roman" w:hAnsi="Times New Roman" w:cs="Times New Roman"/>
                <w:color w:val="auto"/>
                <w:sz w:val="24"/>
                <w:szCs w:val="24"/>
                <w:highlight w:val="none"/>
              </w:rPr>
              <w:t>总占地面积约</w:t>
            </w:r>
            <w:r>
              <w:rPr>
                <w:rFonts w:hint="default" w:ascii="Times New Roman" w:hAnsi="Times New Roman" w:cs="Times New Roman"/>
                <w:color w:val="auto"/>
                <w:kern w:val="24"/>
                <w:sz w:val="24"/>
                <w:szCs w:val="24"/>
                <w:highlight w:val="none"/>
                <w:lang w:val="en-US" w:eastAsia="zh-CN"/>
              </w:rPr>
              <w:t>3547.04</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sz w:val="24"/>
                <w:szCs w:val="24"/>
                <w:highlight w:val="none"/>
              </w:rPr>
              <w:t>，总建筑面积</w:t>
            </w:r>
            <w:r>
              <w:rPr>
                <w:rFonts w:hint="default" w:ascii="Times New Roman" w:hAnsi="Times New Roman" w:cs="Times New Roman"/>
                <w:color w:val="auto"/>
                <w:sz w:val="24"/>
                <w:szCs w:val="24"/>
                <w:highlight w:val="none"/>
                <w:lang w:val="en-US" w:eastAsia="zh-CN"/>
              </w:rPr>
              <w:t>9796.56</w:t>
            </w:r>
            <w:r>
              <w:rPr>
                <w:rFonts w:hint="default" w:ascii="Times New Roman" w:hAnsi="Times New Roman" w:cs="Times New Roman"/>
                <w:color w:val="auto"/>
                <w:kern w:val="24"/>
                <w:sz w:val="24"/>
                <w:szCs w:val="24"/>
                <w:highlight w:val="none"/>
              </w:rPr>
              <w:t>m²</w:t>
            </w:r>
            <w:r>
              <w:rPr>
                <w:rFonts w:hint="default" w:ascii="Times New Roman" w:hAnsi="Times New Roman" w:cs="Times New Roman"/>
                <w:color w:val="auto"/>
                <w:kern w:val="24"/>
                <w:sz w:val="24"/>
                <w:szCs w:val="24"/>
                <w:highlight w:val="none"/>
                <w:lang w:eastAsia="zh-CN"/>
              </w:rPr>
              <w:t>。</w:t>
            </w:r>
            <w:r>
              <w:rPr>
                <w:rFonts w:hint="default" w:ascii="Times New Roman" w:hAnsi="Times New Roman" w:cs="Times New Roman"/>
                <w:color w:val="auto"/>
                <w:sz w:val="24"/>
                <w:szCs w:val="24"/>
                <w:highlight w:val="none"/>
                <w:lang w:val="en-US" w:eastAsia="zh-CN"/>
              </w:rPr>
              <w:t>年产背光源0.3亿只、液晶屏0.25亿只</w:t>
            </w:r>
            <w:r>
              <w:rPr>
                <w:rFonts w:hint="default" w:ascii="Times New Roman" w:hAnsi="Times New Roman" w:cs="Times New Roman" w:eastAsiaTheme="minorEastAsia"/>
                <w:color w:val="auto"/>
                <w:sz w:val="24"/>
                <w:highlight w:val="none"/>
              </w:rPr>
              <w:t>。</w:t>
            </w:r>
          </w:p>
          <w:p w14:paraId="2339E4CD">
            <w:pPr>
              <w:spacing w:line="360" w:lineRule="auto"/>
              <w:ind w:firstLine="456" w:firstLineChars="200"/>
              <w:rPr>
                <w:rFonts w:hint="default" w:ascii="Times New Roman" w:hAnsi="Times New Roman" w:cs="Times New Roman" w:eastAsiaTheme="minorEastAsia"/>
                <w:color w:val="auto"/>
                <w:spacing w:val="-6"/>
                <w:sz w:val="24"/>
                <w:highlight w:val="none"/>
              </w:rPr>
            </w:pPr>
            <w:r>
              <w:rPr>
                <w:rFonts w:hint="default" w:ascii="Times New Roman" w:hAnsi="Times New Roman" w:cs="Times New Roman" w:eastAsiaTheme="minorEastAsia"/>
                <w:color w:val="auto"/>
                <w:spacing w:val="-6"/>
                <w:sz w:val="24"/>
                <w:highlight w:val="none"/>
              </w:rPr>
              <w:t>具体工程组成详见下表。</w:t>
            </w:r>
          </w:p>
          <w:p w14:paraId="4FBAEFFF">
            <w:pPr>
              <w:spacing w:line="360" w:lineRule="auto"/>
              <w:ind w:firstLine="456" w:firstLineChars="200"/>
              <w:rPr>
                <w:rFonts w:hint="default" w:ascii="Times New Roman" w:hAnsi="Times New Roman" w:cs="Times New Roman" w:eastAsiaTheme="minorEastAsia"/>
                <w:color w:val="auto"/>
                <w:spacing w:val="-6"/>
                <w:sz w:val="24"/>
                <w:highlight w:val="none"/>
              </w:rPr>
            </w:pPr>
          </w:p>
          <w:p w14:paraId="30CA41E1">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本项目建筑规模</w:t>
            </w:r>
          </w:p>
          <w:tbl>
            <w:tblPr>
              <w:tblStyle w:val="39"/>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427"/>
              <w:gridCol w:w="1300"/>
              <w:gridCol w:w="5926"/>
            </w:tblGrid>
            <w:tr w14:paraId="10EAE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3" w:type="pct"/>
                  <w:gridSpan w:val="3"/>
                  <w:vAlign w:val="center"/>
                </w:tcPr>
                <w:p w14:paraId="7B7DDA65">
                  <w:pPr>
                    <w:pStyle w:val="64"/>
                    <w:spacing w:before="24" w:after="24"/>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工程名称</w:t>
                  </w:r>
                </w:p>
              </w:tc>
              <w:tc>
                <w:tcPr>
                  <w:tcW w:w="3566" w:type="pct"/>
                  <w:vAlign w:val="center"/>
                </w:tcPr>
                <w:p w14:paraId="49FB43CF">
                  <w:pPr>
                    <w:pStyle w:val="64"/>
                    <w:spacing w:before="24" w:after="24"/>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建设内容</w:t>
                  </w:r>
                </w:p>
              </w:tc>
            </w:tr>
            <w:tr w14:paraId="28E68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restart"/>
                  <w:vAlign w:val="center"/>
                </w:tcPr>
                <w:p w14:paraId="26E78B8D">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主体工程</w:t>
                  </w:r>
                </w:p>
              </w:tc>
              <w:tc>
                <w:tcPr>
                  <w:tcW w:w="1039" w:type="pct"/>
                  <w:gridSpan w:val="2"/>
                  <w:vAlign w:val="center"/>
                </w:tcPr>
                <w:p w14:paraId="6D0E64CF">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厂房一楼</w:t>
                  </w:r>
                </w:p>
              </w:tc>
              <w:tc>
                <w:tcPr>
                  <w:tcW w:w="3566" w:type="pct"/>
                  <w:vAlign w:val="center"/>
                </w:tcPr>
                <w:p w14:paraId="6E173E2D">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占地面积</w:t>
                  </w:r>
                  <w:r>
                    <w:rPr>
                      <w:rFonts w:hint="default" w:ascii="Times New Roman" w:hAnsi="Times New Roman" w:cs="Times New Roman"/>
                      <w:color w:val="auto"/>
                      <w:szCs w:val="21"/>
                      <w:highlight w:val="none"/>
                      <w:lang w:val="en-US" w:eastAsia="zh-CN"/>
                    </w:rPr>
                    <w:t>3547.04</w:t>
                  </w:r>
                  <w:r>
                    <w:rPr>
                      <w:rFonts w:hint="default" w:ascii="Times New Roman" w:hAnsi="Times New Roman" w:cs="Times New Roman"/>
                      <w:color w:val="auto"/>
                      <w:szCs w:val="21"/>
                      <w:highlight w:val="none"/>
                    </w:rPr>
                    <w:t>平方米，</w:t>
                  </w:r>
                  <w:r>
                    <w:rPr>
                      <w:rFonts w:hint="default" w:ascii="Times New Roman" w:hAnsi="Times New Roman" w:cs="Times New Roman"/>
                      <w:color w:val="auto"/>
                      <w:szCs w:val="21"/>
                      <w:highlight w:val="none"/>
                      <w:lang w:val="en-US" w:eastAsia="zh-CN"/>
                    </w:rPr>
                    <w:t>注塑车间、裁切、破碎车间、成品仓库、原料仓库</w:t>
                  </w:r>
                </w:p>
              </w:tc>
            </w:tr>
            <w:tr w14:paraId="0E3EA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0F52AC7B">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1878CEB2">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厂房二楼</w:t>
                  </w:r>
                </w:p>
              </w:tc>
              <w:tc>
                <w:tcPr>
                  <w:tcW w:w="3566" w:type="pct"/>
                  <w:vAlign w:val="center"/>
                </w:tcPr>
                <w:p w14:paraId="27162E08">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占地面积</w:t>
                  </w:r>
                  <w:r>
                    <w:rPr>
                      <w:rFonts w:hint="default" w:ascii="Times New Roman" w:hAnsi="Times New Roman" w:cs="Times New Roman"/>
                      <w:color w:val="auto"/>
                      <w:szCs w:val="21"/>
                      <w:highlight w:val="none"/>
                      <w:lang w:val="en-US" w:eastAsia="zh-CN"/>
                    </w:rPr>
                    <w:t>3124.76</w:t>
                  </w:r>
                  <w:r>
                    <w:rPr>
                      <w:rFonts w:hint="default" w:ascii="Times New Roman" w:hAnsi="Times New Roman" w:cs="Times New Roman"/>
                      <w:color w:val="auto"/>
                      <w:szCs w:val="21"/>
                      <w:highlight w:val="none"/>
                    </w:rPr>
                    <w:t>平方米，</w:t>
                  </w:r>
                  <w:r>
                    <w:rPr>
                      <w:rFonts w:hint="default" w:ascii="Times New Roman" w:hAnsi="Times New Roman" w:cs="Times New Roman"/>
                      <w:color w:val="auto"/>
                      <w:szCs w:val="21"/>
                      <w:highlight w:val="none"/>
                      <w:lang w:val="en-US" w:eastAsia="zh-CN"/>
                    </w:rPr>
                    <w:t>液晶屏车间</w:t>
                  </w:r>
                </w:p>
              </w:tc>
            </w:tr>
            <w:tr w14:paraId="42325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2BB62A3D">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78C0A6C4">
                  <w:pPr>
                    <w:pStyle w:val="64"/>
                    <w:spacing w:before="24" w:after="2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厂房三楼</w:t>
                  </w:r>
                </w:p>
              </w:tc>
              <w:tc>
                <w:tcPr>
                  <w:tcW w:w="3566" w:type="pct"/>
                  <w:vAlign w:val="center"/>
                </w:tcPr>
                <w:p w14:paraId="3E811381">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占地</w:t>
                  </w:r>
                  <w:r>
                    <w:rPr>
                      <w:rFonts w:hint="default" w:ascii="Times New Roman" w:hAnsi="Times New Roman" w:cs="Times New Roman"/>
                      <w:color w:val="auto"/>
                      <w:highlight w:val="none"/>
                    </w:rPr>
                    <w:t>面积</w:t>
                  </w:r>
                  <w:r>
                    <w:rPr>
                      <w:rFonts w:hint="default" w:ascii="Times New Roman" w:hAnsi="Times New Roman" w:cs="Times New Roman"/>
                      <w:color w:val="auto"/>
                      <w:szCs w:val="21"/>
                      <w:highlight w:val="none"/>
                      <w:lang w:val="en-US" w:eastAsia="zh-CN"/>
                    </w:rPr>
                    <w:t>3124.76</w:t>
                  </w:r>
                  <w:r>
                    <w:rPr>
                      <w:rFonts w:hint="default" w:ascii="Times New Roman" w:hAnsi="Times New Roman" w:cs="Times New Roman"/>
                      <w:color w:val="auto"/>
                      <w:highlight w:val="none"/>
                    </w:rPr>
                    <w:t>平方米</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背光源车间</w:t>
                  </w:r>
                </w:p>
              </w:tc>
            </w:tr>
            <w:tr w14:paraId="2510C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restart"/>
                  <w:vAlign w:val="center"/>
                </w:tcPr>
                <w:p w14:paraId="5C893B75">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公用工程</w:t>
                  </w:r>
                </w:p>
              </w:tc>
              <w:tc>
                <w:tcPr>
                  <w:tcW w:w="1039" w:type="pct"/>
                  <w:gridSpan w:val="2"/>
                  <w:vAlign w:val="center"/>
                </w:tcPr>
                <w:p w14:paraId="17581C50">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给水</w:t>
                  </w:r>
                </w:p>
              </w:tc>
              <w:tc>
                <w:tcPr>
                  <w:tcW w:w="3566" w:type="pct"/>
                  <w:vAlign w:val="center"/>
                </w:tcPr>
                <w:p w14:paraId="53AB2FAE">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生产用水由市政管网供应</w:t>
                  </w:r>
                </w:p>
              </w:tc>
            </w:tr>
            <w:tr w14:paraId="1B555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7D30FB1A">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7CD14056">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排水</w:t>
                  </w:r>
                </w:p>
              </w:tc>
              <w:tc>
                <w:tcPr>
                  <w:tcW w:w="3566" w:type="pct"/>
                  <w:vAlign w:val="center"/>
                </w:tcPr>
                <w:p w14:paraId="457FF5A8">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雨污分流制；生产废水经收集池收集达到园区污水处理厂接管水质要求、广东省《水污染物排放限值》（DB44/26-2001）第二时段三级标准、《电子工业水污染物排放标准》（GB39731-2020）间接排放标准的三者较严值后，混合排入园区污水管网进入园区污水处理厂进行深度处理</w:t>
                  </w:r>
                </w:p>
              </w:tc>
            </w:tr>
            <w:tr w14:paraId="5B9AD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3C852BC6">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4A95E87D">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供电</w:t>
                  </w:r>
                </w:p>
              </w:tc>
              <w:tc>
                <w:tcPr>
                  <w:tcW w:w="3566" w:type="pct"/>
                  <w:vAlign w:val="center"/>
                </w:tcPr>
                <w:p w14:paraId="43F69466">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市政供电</w:t>
                  </w:r>
                </w:p>
              </w:tc>
            </w:tr>
            <w:tr w14:paraId="55DFA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restart"/>
                  <w:vAlign w:val="center"/>
                </w:tcPr>
                <w:p w14:paraId="5F85679E">
                  <w:pPr>
                    <w:pStyle w:val="64"/>
                    <w:spacing w:before="24" w:after="2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环保工程</w:t>
                  </w:r>
                </w:p>
              </w:tc>
              <w:tc>
                <w:tcPr>
                  <w:tcW w:w="257" w:type="pct"/>
                  <w:vMerge w:val="restart"/>
                  <w:vAlign w:val="center"/>
                </w:tcPr>
                <w:p w14:paraId="61D06F49">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废气</w:t>
                  </w:r>
                </w:p>
              </w:tc>
              <w:tc>
                <w:tcPr>
                  <w:tcW w:w="782" w:type="pct"/>
                  <w:shd w:val="clear" w:color="auto" w:fill="auto"/>
                  <w:vAlign w:val="center"/>
                </w:tcPr>
                <w:p w14:paraId="3BC4DE4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注塑废气</w:t>
                  </w:r>
                </w:p>
              </w:tc>
              <w:tc>
                <w:tcPr>
                  <w:tcW w:w="3566" w:type="pct"/>
                  <w:vAlign w:val="center"/>
                </w:tcPr>
                <w:p w14:paraId="07B49AC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经</w:t>
                  </w:r>
                  <w:r>
                    <w:rPr>
                      <w:rFonts w:hint="default" w:ascii="Times New Roman" w:hAnsi="Times New Roman" w:cs="Times New Roman"/>
                      <w:i w:val="0"/>
                      <w:iCs w:val="0"/>
                      <w:color w:val="auto"/>
                      <w:kern w:val="0"/>
                      <w:sz w:val="21"/>
                      <w:szCs w:val="21"/>
                      <w:highlight w:val="none"/>
                      <w:u w:val="none"/>
                      <w:lang w:val="en-US" w:eastAsia="zh-CN" w:bidi="ar"/>
                    </w:rPr>
                    <w:t>二级活性炭吸附装置</w:t>
                  </w:r>
                  <w:r>
                    <w:rPr>
                      <w:rFonts w:hint="default" w:ascii="Times New Roman" w:hAnsi="Times New Roman" w:eastAsia="宋体" w:cs="Times New Roman"/>
                      <w:i w:val="0"/>
                      <w:iCs w:val="0"/>
                      <w:color w:val="auto"/>
                      <w:kern w:val="0"/>
                      <w:sz w:val="21"/>
                      <w:szCs w:val="21"/>
                      <w:highlight w:val="none"/>
                      <w:u w:val="none"/>
                      <w:lang w:val="en-US" w:eastAsia="zh-CN" w:bidi="ar"/>
                    </w:rPr>
                    <w:t>处理后由</w:t>
                  </w:r>
                  <w:r>
                    <w:rPr>
                      <w:rFonts w:hint="default" w:ascii="Times New Roman" w:hAnsi="Times New Roman" w:cs="Times New Roman"/>
                      <w:i w:val="0"/>
                      <w:iCs w:val="0"/>
                      <w:color w:val="auto"/>
                      <w:kern w:val="0"/>
                      <w:sz w:val="21"/>
                      <w:szCs w:val="21"/>
                      <w:highlight w:val="none"/>
                      <w:u w:val="none"/>
                      <w:lang w:val="en-US" w:eastAsia="zh-CN" w:bidi="ar"/>
                    </w:rPr>
                    <w:t>30</w:t>
                  </w:r>
                  <w:r>
                    <w:rPr>
                      <w:rFonts w:hint="default" w:ascii="Times New Roman" w:hAnsi="Times New Roman" w:eastAsia="宋体" w:cs="Times New Roman"/>
                      <w:i w:val="0"/>
                      <w:iCs w:val="0"/>
                      <w:color w:val="auto"/>
                      <w:kern w:val="0"/>
                      <w:sz w:val="21"/>
                      <w:szCs w:val="21"/>
                      <w:highlight w:val="none"/>
                      <w:u w:val="none"/>
                      <w:lang w:val="en-US" w:eastAsia="zh-CN" w:bidi="ar"/>
                    </w:rPr>
                    <w:t>m高</w:t>
                  </w:r>
                  <w:r>
                    <w:rPr>
                      <w:rFonts w:hint="default" w:ascii="Times New Roman" w:hAnsi="Times New Roman" w:cs="Times New Roman"/>
                      <w:i w:val="0"/>
                      <w:iCs w:val="0"/>
                      <w:color w:val="auto"/>
                      <w:kern w:val="0"/>
                      <w:sz w:val="21"/>
                      <w:szCs w:val="21"/>
                      <w:highlight w:val="none"/>
                      <w:u w:val="none"/>
                      <w:lang w:val="en-US" w:eastAsia="zh-CN" w:bidi="ar"/>
                    </w:rPr>
                    <w:t>DA</w:t>
                  </w:r>
                  <w:r>
                    <w:rPr>
                      <w:rFonts w:hint="default" w:ascii="Times New Roman" w:hAnsi="Times New Roman" w:eastAsia="宋体" w:cs="Times New Roman"/>
                      <w:i w:val="0"/>
                      <w:iCs w:val="0"/>
                      <w:color w:val="auto"/>
                      <w:kern w:val="0"/>
                      <w:sz w:val="21"/>
                      <w:szCs w:val="21"/>
                      <w:highlight w:val="none"/>
                      <w:u w:val="none"/>
                      <w:lang w:val="en-US" w:eastAsia="zh-CN" w:bidi="ar"/>
                    </w:rPr>
                    <w:t>001排气筒排放</w:t>
                  </w:r>
                </w:p>
              </w:tc>
            </w:tr>
            <w:tr w14:paraId="6A6D7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49F0EEE4">
                  <w:pPr>
                    <w:pStyle w:val="64"/>
                    <w:spacing w:before="24" w:after="24"/>
                    <w:rPr>
                      <w:rFonts w:hint="default" w:ascii="Times New Roman" w:hAnsi="Times New Roman" w:cs="Times New Roman"/>
                      <w:color w:val="auto"/>
                      <w:szCs w:val="21"/>
                      <w:highlight w:val="none"/>
                    </w:rPr>
                  </w:pPr>
                </w:p>
              </w:tc>
              <w:tc>
                <w:tcPr>
                  <w:tcW w:w="257" w:type="pct"/>
                  <w:vMerge w:val="continue"/>
                  <w:vAlign w:val="center"/>
                </w:tcPr>
                <w:p w14:paraId="3979ABCD">
                  <w:pPr>
                    <w:pStyle w:val="64"/>
                    <w:spacing w:before="24" w:after="24"/>
                    <w:rPr>
                      <w:rFonts w:hint="default" w:ascii="Times New Roman" w:hAnsi="Times New Roman" w:eastAsia="宋体" w:cs="Times New Roman"/>
                      <w:color w:val="auto"/>
                      <w:szCs w:val="21"/>
                      <w:highlight w:val="none"/>
                      <w:lang w:val="en-US" w:eastAsia="zh-CN"/>
                    </w:rPr>
                  </w:pPr>
                </w:p>
              </w:tc>
              <w:tc>
                <w:tcPr>
                  <w:tcW w:w="782" w:type="pct"/>
                  <w:shd w:val="clear" w:color="auto" w:fill="auto"/>
                  <w:vAlign w:val="center"/>
                </w:tcPr>
                <w:p w14:paraId="4862C2E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固化废气</w:t>
                  </w:r>
                </w:p>
              </w:tc>
              <w:tc>
                <w:tcPr>
                  <w:tcW w:w="3566" w:type="pct"/>
                  <w:vAlign w:val="center"/>
                </w:tcPr>
                <w:p w14:paraId="2FD2AAE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呈无组织形式排放，加强通风，绿化吸收，大气稀释扩散</w:t>
                  </w:r>
                </w:p>
              </w:tc>
            </w:tr>
            <w:tr w14:paraId="525CF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7ACF8E97">
                  <w:pPr>
                    <w:pStyle w:val="64"/>
                    <w:spacing w:before="24" w:after="24"/>
                    <w:rPr>
                      <w:rFonts w:hint="default" w:ascii="Times New Roman" w:hAnsi="Times New Roman" w:cs="Times New Roman"/>
                      <w:color w:val="auto"/>
                      <w:szCs w:val="21"/>
                      <w:highlight w:val="none"/>
                    </w:rPr>
                  </w:pPr>
                </w:p>
              </w:tc>
              <w:tc>
                <w:tcPr>
                  <w:tcW w:w="257" w:type="pct"/>
                  <w:vMerge w:val="continue"/>
                  <w:vAlign w:val="center"/>
                </w:tcPr>
                <w:p w14:paraId="6BA1771D">
                  <w:pPr>
                    <w:pStyle w:val="64"/>
                    <w:spacing w:before="24" w:after="24"/>
                    <w:rPr>
                      <w:rFonts w:hint="default" w:ascii="Times New Roman" w:hAnsi="Times New Roman" w:cs="Times New Roman"/>
                      <w:color w:val="auto"/>
                      <w:szCs w:val="21"/>
                      <w:highlight w:val="none"/>
                    </w:rPr>
                  </w:pPr>
                </w:p>
              </w:tc>
              <w:tc>
                <w:tcPr>
                  <w:tcW w:w="782" w:type="pct"/>
                  <w:shd w:val="clear" w:color="auto" w:fill="auto"/>
                  <w:vAlign w:val="center"/>
                </w:tcPr>
                <w:p w14:paraId="7586333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切割、</w:t>
                  </w:r>
                  <w:r>
                    <w:rPr>
                      <w:rFonts w:hint="eastAsia" w:cs="Times New Roman"/>
                      <w:i w:val="0"/>
                      <w:iCs w:val="0"/>
                      <w:color w:val="auto"/>
                      <w:kern w:val="0"/>
                      <w:sz w:val="21"/>
                      <w:szCs w:val="21"/>
                      <w:highlight w:val="none"/>
                      <w:u w:val="none"/>
                      <w:lang w:val="en-US" w:eastAsia="zh-CN" w:bidi="ar"/>
                    </w:rPr>
                    <w:t>打粒、</w:t>
                  </w:r>
                  <w:r>
                    <w:rPr>
                      <w:rFonts w:hint="default" w:ascii="Times New Roman" w:hAnsi="Times New Roman" w:eastAsia="宋体" w:cs="Times New Roman"/>
                      <w:i w:val="0"/>
                      <w:iCs w:val="0"/>
                      <w:color w:val="auto"/>
                      <w:kern w:val="0"/>
                      <w:sz w:val="21"/>
                      <w:szCs w:val="21"/>
                      <w:highlight w:val="none"/>
                      <w:u w:val="none"/>
                      <w:lang w:val="en-US" w:eastAsia="zh-CN" w:bidi="ar"/>
                    </w:rPr>
                    <w:t>磨边粉尘</w:t>
                  </w:r>
                </w:p>
              </w:tc>
              <w:tc>
                <w:tcPr>
                  <w:tcW w:w="3566" w:type="pct"/>
                  <w:shd w:val="clear" w:color="auto" w:fill="auto"/>
                  <w:vAlign w:val="center"/>
                </w:tcPr>
                <w:p w14:paraId="561CB3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自然沉降，呈无组织形式排放</w:t>
                  </w:r>
                  <w:r>
                    <w:rPr>
                      <w:rFonts w:hint="eastAsia" w:cs="Times New Roman"/>
                      <w:color w:val="auto"/>
                      <w:szCs w:val="21"/>
                      <w:highlight w:val="none"/>
                      <w:lang w:val="en-US" w:eastAsia="zh-CN"/>
                    </w:rPr>
                    <w:t>（其中磨边采用湿法工艺）</w:t>
                  </w:r>
                </w:p>
              </w:tc>
            </w:tr>
            <w:tr w14:paraId="1F4B9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7141F6E5">
                  <w:pPr>
                    <w:pStyle w:val="64"/>
                    <w:spacing w:before="24" w:after="24"/>
                    <w:rPr>
                      <w:rFonts w:hint="default" w:ascii="Times New Roman" w:hAnsi="Times New Roman" w:cs="Times New Roman"/>
                      <w:color w:val="auto"/>
                      <w:szCs w:val="21"/>
                      <w:highlight w:val="none"/>
                    </w:rPr>
                  </w:pPr>
                </w:p>
              </w:tc>
              <w:tc>
                <w:tcPr>
                  <w:tcW w:w="257" w:type="pct"/>
                  <w:vAlign w:val="center"/>
                </w:tcPr>
                <w:p w14:paraId="2287CF9B">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废水</w:t>
                  </w:r>
                </w:p>
              </w:tc>
              <w:tc>
                <w:tcPr>
                  <w:tcW w:w="782" w:type="pct"/>
                  <w:shd w:val="clear" w:color="auto" w:fill="auto"/>
                  <w:vAlign w:val="center"/>
                </w:tcPr>
                <w:p w14:paraId="485ADDB1">
                  <w:pPr>
                    <w:pStyle w:val="129"/>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highlight w:val="none"/>
                    </w:rPr>
                    <w:t>生产废水</w:t>
                  </w:r>
                </w:p>
              </w:tc>
              <w:tc>
                <w:tcPr>
                  <w:tcW w:w="3566" w:type="pct"/>
                  <w:vAlign w:val="center"/>
                </w:tcPr>
                <w:p w14:paraId="7D0DE4EC">
                  <w:pPr>
                    <w:pStyle w:val="64"/>
                    <w:spacing w:before="24" w:after="2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2"/>
                      <w:highlight w:val="none"/>
                      <w:lang w:val="en-US" w:eastAsia="zh-CN"/>
                    </w:rPr>
                    <w:t>工件清洗废水、纯水设备废水、冷却塔废水</w:t>
                  </w:r>
                  <w:r>
                    <w:rPr>
                      <w:rFonts w:hint="default" w:ascii="Times New Roman" w:hAnsi="Times New Roman" w:cs="Times New Roman"/>
                      <w:color w:val="auto"/>
                      <w:kern w:val="2"/>
                      <w:highlight w:val="none"/>
                    </w:rPr>
                    <w:t>经</w:t>
                  </w:r>
                  <w:r>
                    <w:rPr>
                      <w:rFonts w:hint="default" w:ascii="Times New Roman" w:hAnsi="Times New Roman" w:cs="Times New Roman"/>
                      <w:color w:val="auto"/>
                      <w:kern w:val="2"/>
                      <w:highlight w:val="none"/>
                      <w:lang w:eastAsia="zh-CN"/>
                    </w:rPr>
                    <w:t>收集池收集</w:t>
                  </w:r>
                  <w:r>
                    <w:rPr>
                      <w:rFonts w:hint="default" w:ascii="Times New Roman" w:hAnsi="Times New Roman" w:cs="Times New Roman"/>
                      <w:color w:val="auto"/>
                      <w:kern w:val="2"/>
                      <w:highlight w:val="none"/>
                    </w:rPr>
                    <w:t>后排入园区污水处理厂进一步处理后排入武江</w:t>
                  </w:r>
                  <w:r>
                    <w:rPr>
                      <w:rFonts w:hint="default" w:ascii="Times New Roman" w:hAnsi="Times New Roman" w:cs="Times New Roman"/>
                      <w:color w:val="auto"/>
                      <w:lang w:eastAsia="zh-CN"/>
                    </w:rPr>
                    <w:t>。磨边废水进入磨边废水收集池沉淀，定期捞渣，磨边废水循环使用不外排。</w:t>
                  </w:r>
                </w:p>
              </w:tc>
            </w:tr>
            <w:tr w14:paraId="75EDC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3136DB8E">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2B817528">
                  <w:pPr>
                    <w:pStyle w:val="64"/>
                    <w:spacing w:before="24" w:after="24"/>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一般固废</w:t>
                  </w:r>
                </w:p>
              </w:tc>
              <w:tc>
                <w:tcPr>
                  <w:tcW w:w="3566" w:type="pct"/>
                  <w:vAlign w:val="center"/>
                </w:tcPr>
                <w:p w14:paraId="53CF14F7">
                  <w:pPr>
                    <w:adjustRightInd w:val="0"/>
                    <w:snapToGrid w:val="0"/>
                    <w:ind w:firstLine="210" w:firstLineChars="100"/>
                    <w:rPr>
                      <w:rFonts w:hint="default" w:ascii="Times New Roman" w:hAnsi="Times New Roman" w:cs="Times New Roman"/>
                      <w:color w:val="auto"/>
                      <w:highlight w:val="none"/>
                      <w:lang w:eastAsia="zh-CN"/>
                    </w:rPr>
                  </w:pPr>
                  <w:r>
                    <w:rPr>
                      <w:rFonts w:hint="default" w:ascii="Times New Roman" w:hAnsi="Times New Roman" w:cs="Times New Roman"/>
                      <w:b w:val="0"/>
                      <w:bCs w:val="0"/>
                      <w:color w:val="auto"/>
                      <w:sz w:val="21"/>
                      <w:szCs w:val="21"/>
                      <w:highlight w:val="none"/>
                      <w:lang w:val="en-US" w:eastAsia="zh-CN"/>
                    </w:rPr>
                    <w:t>一般固体废物仓位于厂房东侧，占地面积为10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p>
                <w:p w14:paraId="7BC7F646">
                  <w:pPr>
                    <w:adjustRightInd w:val="0"/>
                    <w:snapToGrid w:val="0"/>
                    <w:ind w:firstLine="210" w:firstLineChars="1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一般废原料包装</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收集后交由物资回收单位处理</w:t>
                  </w:r>
                  <w:r>
                    <w:rPr>
                      <w:rFonts w:hint="default" w:ascii="Times New Roman" w:hAnsi="Times New Roman" w:cs="Times New Roman"/>
                      <w:b w:val="0"/>
                      <w:bCs w:val="0"/>
                      <w:color w:val="auto"/>
                      <w:sz w:val="21"/>
                      <w:szCs w:val="21"/>
                      <w:highlight w:val="none"/>
                      <w:lang w:eastAsia="zh-CN"/>
                    </w:rPr>
                    <w:t>。</w:t>
                  </w:r>
                </w:p>
                <w:p w14:paraId="264E3690">
                  <w:pPr>
                    <w:adjustRightInd w:val="0"/>
                    <w:snapToGrid w:val="0"/>
                    <w:ind w:firstLine="210" w:firstLineChars="1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不合格品</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收集后交由专业的回收废背光/废液晶显示屏单位回收处理</w:t>
                  </w:r>
                  <w:r>
                    <w:rPr>
                      <w:rFonts w:hint="default" w:ascii="Times New Roman" w:hAnsi="Times New Roman" w:cs="Times New Roman"/>
                      <w:b w:val="0"/>
                      <w:bCs w:val="0"/>
                      <w:color w:val="auto"/>
                      <w:sz w:val="21"/>
                      <w:szCs w:val="21"/>
                      <w:highlight w:val="none"/>
                      <w:lang w:eastAsia="zh-CN"/>
                    </w:rPr>
                    <w:t>。</w:t>
                  </w:r>
                </w:p>
                <w:p w14:paraId="4A782CD9">
                  <w:pPr>
                    <w:pStyle w:val="64"/>
                    <w:spacing w:before="24" w:after="24"/>
                    <w:ind w:firstLine="210" w:firstLineChars="100"/>
                    <w:jc w:val="left"/>
                    <w:rPr>
                      <w:rFonts w:hint="default" w:ascii="Times New Roman" w:hAnsi="Times New Roman" w:eastAsia="宋体" w:cs="Times New Roman"/>
                      <w:b w:val="0"/>
                      <w:bCs w:val="0"/>
                      <w:color w:val="auto"/>
                      <w:sz w:val="21"/>
                      <w:szCs w:val="21"/>
                      <w:highlight w:val="none"/>
                    </w:rPr>
                  </w:pPr>
                  <w:r>
                    <w:rPr>
                      <w:rFonts w:hint="default" w:ascii="Times New Roman" w:hAnsi="Times New Roman" w:cs="Times New Roman"/>
                      <w:color w:val="auto"/>
                      <w:szCs w:val="21"/>
                      <w:highlight w:val="none"/>
                    </w:rPr>
                    <w:t>边角料</w:t>
                  </w:r>
                  <w:r>
                    <w:rPr>
                      <w:rFonts w:hint="default" w:ascii="Times New Roman" w:hAnsi="Times New Roman" w:cs="Times New Roman"/>
                      <w:color w:val="auto"/>
                      <w:szCs w:val="21"/>
                      <w:highlight w:val="none"/>
                      <w:lang w:eastAsia="zh-CN"/>
                    </w:rPr>
                    <w:t>、废渣、</w:t>
                  </w:r>
                  <w:r>
                    <w:rPr>
                      <w:rFonts w:hint="default" w:ascii="Times New Roman" w:hAnsi="Times New Roman" w:cs="Times New Roman"/>
                      <w:color w:val="auto"/>
                      <w:szCs w:val="21"/>
                      <w:highlight w:val="none"/>
                    </w:rPr>
                    <w:t>纯水制备系统废弃物</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收集后交由物资回收单位处理</w:t>
                  </w:r>
                  <w:r>
                    <w:rPr>
                      <w:rFonts w:hint="default" w:ascii="Times New Roman" w:hAnsi="Times New Roman" w:cs="Times New Roman"/>
                      <w:color w:val="auto"/>
                      <w:szCs w:val="21"/>
                      <w:highlight w:val="none"/>
                      <w:lang w:eastAsia="zh-CN"/>
                    </w:rPr>
                    <w:t>。</w:t>
                  </w:r>
                </w:p>
              </w:tc>
            </w:tr>
            <w:tr w14:paraId="05FCA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086B1A7B">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028D3ABB">
                  <w:pPr>
                    <w:pStyle w:val="64"/>
                    <w:spacing w:before="24" w:after="24"/>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危险废物</w:t>
                  </w:r>
                </w:p>
              </w:tc>
              <w:tc>
                <w:tcPr>
                  <w:tcW w:w="3566" w:type="pct"/>
                  <w:vAlign w:val="center"/>
                </w:tcPr>
                <w:p w14:paraId="60B2C52A">
                  <w:pPr>
                    <w:pStyle w:val="64"/>
                    <w:spacing w:before="24" w:after="24"/>
                    <w:ind w:firstLine="210" w:firstLineChars="100"/>
                    <w:jc w:val="both"/>
                    <w:rPr>
                      <w:rFonts w:hint="default" w:ascii="Times New Roman" w:hAnsi="Times New Roman" w:cs="Times New Roman"/>
                      <w:color w:val="auto"/>
                      <w:highlight w:val="none"/>
                      <w:lang w:eastAsia="zh-CN"/>
                    </w:rPr>
                  </w:pPr>
                  <w:r>
                    <w:rPr>
                      <w:rFonts w:hint="default" w:ascii="Times New Roman" w:hAnsi="Times New Roman" w:cs="Times New Roman"/>
                      <w:b w:val="0"/>
                      <w:bCs w:val="0"/>
                      <w:color w:val="auto"/>
                      <w:sz w:val="21"/>
                      <w:szCs w:val="21"/>
                      <w:highlight w:val="none"/>
                      <w:lang w:val="en-US" w:eastAsia="zh-CN"/>
                    </w:rPr>
                    <w:t>危废暂存间位于厂房东侧，占地面积为8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p>
                <w:p w14:paraId="76AEF920">
                  <w:pPr>
                    <w:pStyle w:val="64"/>
                    <w:spacing w:before="24" w:after="24"/>
                    <w:ind w:firstLine="210" w:firstLineChars="100"/>
                    <w:jc w:val="both"/>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废含油抹布手套</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废机油</w:t>
                  </w:r>
                  <w:r>
                    <w:rPr>
                      <w:rFonts w:hint="default" w:ascii="Times New Roman" w:hAnsi="Times New Roman" w:cs="Times New Roman"/>
                      <w:b w:val="0"/>
                      <w:bCs w:val="0"/>
                      <w:color w:val="auto"/>
                      <w:sz w:val="21"/>
                      <w:szCs w:val="21"/>
                      <w:highlight w:val="none"/>
                      <w:lang w:eastAsia="zh-CN"/>
                    </w:rPr>
                    <w:t>、废</w:t>
                  </w:r>
                  <w:r>
                    <w:rPr>
                      <w:rFonts w:hint="default" w:ascii="Times New Roman" w:hAnsi="Times New Roman" w:cs="Times New Roman"/>
                      <w:b w:val="0"/>
                      <w:bCs w:val="0"/>
                      <w:color w:val="auto"/>
                      <w:sz w:val="21"/>
                      <w:szCs w:val="21"/>
                      <w:highlight w:val="none"/>
                      <w:lang w:val="en-US" w:eastAsia="zh-CN"/>
                    </w:rPr>
                    <w:t>UV灯管、废活性炭</w:t>
                  </w:r>
                  <w:r>
                    <w:rPr>
                      <w:rFonts w:hint="default" w:ascii="Times New Roman" w:hAnsi="Times New Roman" w:eastAsia="宋体" w:cs="Times New Roman"/>
                      <w:b w:val="0"/>
                      <w:bCs w:val="0"/>
                      <w:color w:val="auto"/>
                      <w:sz w:val="21"/>
                      <w:szCs w:val="21"/>
                      <w:highlight w:val="none"/>
                      <w:lang w:val="en-US" w:eastAsia="zh-CN"/>
                    </w:rPr>
                    <w:t>收集后委托有危废资质单位处理处置</w:t>
                  </w:r>
                  <w:r>
                    <w:rPr>
                      <w:rFonts w:hint="eastAsia" w:cs="Times New Roman"/>
                      <w:color w:val="auto"/>
                      <w:lang w:eastAsia="zh-CN"/>
                    </w:rPr>
                    <w:t>。</w:t>
                  </w:r>
                </w:p>
              </w:tc>
            </w:tr>
            <w:tr w14:paraId="6DB5E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7FA0B9A8">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77D3B394">
                  <w:pPr>
                    <w:pStyle w:val="64"/>
                    <w:spacing w:before="24" w:after="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3566" w:type="pct"/>
                  <w:vAlign w:val="center"/>
                </w:tcPr>
                <w:p w14:paraId="19B12A38">
                  <w:pPr>
                    <w:pStyle w:val="64"/>
                    <w:spacing w:before="24" w:after="24"/>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收集后交环卫部门处理</w:t>
                  </w:r>
                </w:p>
              </w:tc>
            </w:tr>
            <w:tr w14:paraId="73B78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vAlign w:val="center"/>
                </w:tcPr>
                <w:p w14:paraId="020A2CD7">
                  <w:pPr>
                    <w:pStyle w:val="64"/>
                    <w:spacing w:before="24" w:after="24"/>
                    <w:rPr>
                      <w:rFonts w:hint="default" w:ascii="Times New Roman" w:hAnsi="Times New Roman" w:cs="Times New Roman"/>
                      <w:color w:val="auto"/>
                      <w:szCs w:val="21"/>
                      <w:highlight w:val="none"/>
                    </w:rPr>
                  </w:pPr>
                </w:p>
              </w:tc>
              <w:tc>
                <w:tcPr>
                  <w:tcW w:w="1039" w:type="pct"/>
                  <w:gridSpan w:val="2"/>
                  <w:vAlign w:val="center"/>
                </w:tcPr>
                <w:p w14:paraId="766AF6B8">
                  <w:pPr>
                    <w:pStyle w:val="64"/>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3566" w:type="pct"/>
                  <w:vAlign w:val="center"/>
                </w:tcPr>
                <w:p w14:paraId="03084EAD">
                  <w:pPr>
                    <w:pStyle w:val="64"/>
                    <w:spacing w:before="24" w:after="24"/>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采用减振、隔声、消声等降噪措施</w:t>
                  </w:r>
                </w:p>
              </w:tc>
            </w:tr>
          </w:tbl>
          <w:p w14:paraId="718D30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szCs w:val="24"/>
                <w:highlight w:val="none"/>
                <w:vertAlign w:val="baseline"/>
                <w:lang w:val="en-US" w:eastAsia="zh-CN"/>
              </w:rPr>
            </w:pPr>
          </w:p>
          <w:p w14:paraId="10E3D016">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eastAsiaTheme="minorEastAsia"/>
                <w:b/>
                <w:bCs/>
                <w:color w:val="auto"/>
                <w:sz w:val="24"/>
                <w:highlight w:val="none"/>
              </w:rPr>
              <w:t>2、</w:t>
            </w:r>
            <w:r>
              <w:rPr>
                <w:rFonts w:hint="default" w:ascii="Times New Roman" w:hAnsi="Times New Roman" w:cs="Times New Roman"/>
                <w:b/>
                <w:color w:val="auto"/>
                <w:sz w:val="24"/>
                <w:highlight w:val="none"/>
              </w:rPr>
              <w:t>主要产品及产能</w:t>
            </w:r>
          </w:p>
          <w:p w14:paraId="66ECF3F3">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项目主要产品及产能</w:t>
            </w:r>
          </w:p>
          <w:tbl>
            <w:tblPr>
              <w:tblStyle w:val="38"/>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61"/>
              <w:gridCol w:w="1899"/>
              <w:gridCol w:w="1534"/>
              <w:gridCol w:w="4359"/>
            </w:tblGrid>
            <w:tr w14:paraId="67F520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94" w:hRule="atLeast"/>
                <w:jc w:val="center"/>
              </w:trPr>
              <w:tc>
                <w:tcPr>
                  <w:tcW w:w="391" w:type="pct"/>
                  <w:noWrap w:val="0"/>
                  <w:vAlign w:val="center"/>
                </w:tcPr>
                <w:p w14:paraId="07120E4D">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序号</w:t>
                  </w:r>
                </w:p>
              </w:tc>
              <w:tc>
                <w:tcPr>
                  <w:tcW w:w="1123" w:type="pct"/>
                  <w:noWrap w:val="0"/>
                  <w:vAlign w:val="center"/>
                </w:tcPr>
                <w:p w14:paraId="3C35E09B">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产品名称</w:t>
                  </w:r>
                </w:p>
              </w:tc>
              <w:tc>
                <w:tcPr>
                  <w:tcW w:w="907" w:type="pct"/>
                  <w:noWrap w:val="0"/>
                  <w:vAlign w:val="center"/>
                </w:tcPr>
                <w:p w14:paraId="598803CA">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lang w:val="en-US" w:eastAsia="zh-CN"/>
                    </w:rPr>
                    <w:t>年</w:t>
                  </w:r>
                  <w:r>
                    <w:rPr>
                      <w:rFonts w:hint="default" w:ascii="Times New Roman" w:hAnsi="Times New Roman" w:cs="Times New Roman"/>
                      <w:b/>
                      <w:color w:val="auto"/>
                      <w:szCs w:val="21"/>
                      <w:highlight w:val="none"/>
                    </w:rPr>
                    <w:t>产量</w:t>
                  </w:r>
                </w:p>
              </w:tc>
              <w:tc>
                <w:tcPr>
                  <w:tcW w:w="2577" w:type="pct"/>
                  <w:noWrap w:val="0"/>
                  <w:vAlign w:val="center"/>
                </w:tcPr>
                <w:p w14:paraId="44A05945">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highlight w:val="none"/>
                    </w:rPr>
                    <w:t>产品</w:t>
                  </w:r>
                  <w:r>
                    <w:rPr>
                      <w:rFonts w:hint="default" w:ascii="Times New Roman" w:hAnsi="Times New Roman" w:cs="Times New Roman"/>
                      <w:b/>
                      <w:color w:val="auto"/>
                      <w:highlight w:val="none"/>
                      <w:lang w:val="en-US" w:eastAsia="zh-CN"/>
                    </w:rPr>
                    <w:t>示意图</w:t>
                  </w:r>
                </w:p>
              </w:tc>
            </w:tr>
            <w:tr w14:paraId="7596A8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7" w:hRule="atLeast"/>
                <w:jc w:val="center"/>
              </w:trPr>
              <w:tc>
                <w:tcPr>
                  <w:tcW w:w="391" w:type="pct"/>
                  <w:noWrap w:val="0"/>
                  <w:vAlign w:val="center"/>
                </w:tcPr>
                <w:p w14:paraId="41E12E3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123" w:type="pct"/>
                  <w:noWrap w:val="0"/>
                  <w:vAlign w:val="center"/>
                </w:tcPr>
                <w:p w14:paraId="432324AE">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背光源</w:t>
                  </w:r>
                </w:p>
              </w:tc>
              <w:tc>
                <w:tcPr>
                  <w:tcW w:w="907" w:type="pct"/>
                  <w:noWrap w:val="0"/>
                  <w:vAlign w:val="center"/>
                </w:tcPr>
                <w:p w14:paraId="39CB47B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0.3</w:t>
                  </w:r>
                  <w:r>
                    <w:rPr>
                      <w:rFonts w:hint="default" w:ascii="Times New Roman" w:hAnsi="Times New Roman" w:cs="Times New Roman"/>
                      <w:color w:val="auto"/>
                      <w:szCs w:val="21"/>
                      <w:highlight w:val="none"/>
                    </w:rPr>
                    <w:t>亿只</w:t>
                  </w:r>
                </w:p>
              </w:tc>
              <w:tc>
                <w:tcPr>
                  <w:tcW w:w="2577" w:type="pct"/>
                  <w:noWrap w:val="0"/>
                  <w:vAlign w:val="center"/>
                </w:tcPr>
                <w:p w14:paraId="569B31D4">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b/>
                      <w:bCs/>
                      <w:color w:val="auto"/>
                      <w:sz w:val="24"/>
                      <w:szCs w:val="24"/>
                      <w:highlight w:val="none"/>
                      <w:lang w:val="en-US"/>
                    </w:rPr>
                    <w:drawing>
                      <wp:inline distT="0" distB="0" distL="114300" distR="114300">
                        <wp:extent cx="923925" cy="1403350"/>
                        <wp:effectExtent l="0" t="0" r="6350" b="9525"/>
                        <wp:docPr id="161" name="图片 9" descr="014b70a30f968233cea9d91692cf3b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9" descr="014b70a30f968233cea9d91692cf3b0a"/>
                                <pic:cNvPicPr>
                                  <a:picLocks noChangeAspect="1"/>
                                </pic:cNvPicPr>
                              </pic:nvPicPr>
                              <pic:blipFill>
                                <a:blip r:embed="rId19"/>
                                <a:srcRect l="26321" r="24326"/>
                                <a:stretch>
                                  <a:fillRect/>
                                </a:stretch>
                              </pic:blipFill>
                              <pic:spPr>
                                <a:xfrm rot="-5400000">
                                  <a:off x="0" y="0"/>
                                  <a:ext cx="923925" cy="1403350"/>
                                </a:xfrm>
                                <a:prstGeom prst="rect">
                                  <a:avLst/>
                                </a:prstGeom>
                                <a:noFill/>
                                <a:ln>
                                  <a:noFill/>
                                </a:ln>
                              </pic:spPr>
                            </pic:pic>
                          </a:graphicData>
                        </a:graphic>
                      </wp:inline>
                    </w:drawing>
                  </w:r>
                </w:p>
              </w:tc>
            </w:tr>
            <w:tr w14:paraId="498960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7" w:hRule="atLeast"/>
                <w:jc w:val="center"/>
              </w:trPr>
              <w:tc>
                <w:tcPr>
                  <w:tcW w:w="391" w:type="pct"/>
                  <w:noWrap w:val="0"/>
                  <w:vAlign w:val="center"/>
                </w:tcPr>
                <w:p w14:paraId="1CD28E2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1123" w:type="pct"/>
                  <w:noWrap w:val="0"/>
                  <w:vAlign w:val="center"/>
                </w:tcPr>
                <w:p w14:paraId="34FC138C">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val="en-US" w:eastAsia="zh-CN"/>
                    </w:rPr>
                    <w:t>液晶屏</w:t>
                  </w:r>
                </w:p>
              </w:tc>
              <w:tc>
                <w:tcPr>
                  <w:tcW w:w="907" w:type="pct"/>
                  <w:noWrap w:val="0"/>
                  <w:vAlign w:val="center"/>
                </w:tcPr>
                <w:p w14:paraId="1A02B986">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0.</w:t>
                  </w:r>
                  <w:r>
                    <w:rPr>
                      <w:rFonts w:hint="default" w:ascii="Times New Roman" w:hAnsi="Times New Roman" w:cs="Times New Roman"/>
                      <w:color w:val="auto"/>
                      <w:szCs w:val="21"/>
                      <w:highlight w:val="none"/>
                      <w:lang w:val="en-US" w:eastAsia="zh-CN"/>
                    </w:rPr>
                    <w:t>25</w:t>
                  </w:r>
                  <w:r>
                    <w:rPr>
                      <w:rFonts w:hint="default" w:ascii="Times New Roman" w:hAnsi="Times New Roman" w:cs="Times New Roman"/>
                      <w:color w:val="auto"/>
                      <w:szCs w:val="21"/>
                      <w:highlight w:val="none"/>
                      <w:lang w:eastAsia="zh-CN"/>
                    </w:rPr>
                    <w:t>亿只</w:t>
                  </w:r>
                </w:p>
              </w:tc>
              <w:tc>
                <w:tcPr>
                  <w:tcW w:w="2577" w:type="pct"/>
                  <w:noWrap w:val="0"/>
                  <w:vAlign w:val="center"/>
                </w:tcPr>
                <w:p w14:paraId="0D0EB9BA">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highlight w:val="none"/>
                    </w:rPr>
                    <w:drawing>
                      <wp:inline distT="0" distB="0" distL="114300" distR="114300">
                        <wp:extent cx="1144905" cy="1460500"/>
                        <wp:effectExtent l="0" t="158115" r="0" b="0"/>
                        <wp:docPr id="1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
                                <pic:cNvPicPr>
                                  <a:picLocks noChangeAspect="1"/>
                                </pic:cNvPicPr>
                              </pic:nvPicPr>
                              <pic:blipFill>
                                <a:blip r:embed="rId20"/>
                                <a:srcRect l="6870"/>
                                <a:stretch>
                                  <a:fillRect/>
                                </a:stretch>
                              </pic:blipFill>
                              <pic:spPr>
                                <a:xfrm rot="16200000">
                                  <a:off x="0" y="0"/>
                                  <a:ext cx="1144905" cy="1460500"/>
                                </a:xfrm>
                                <a:prstGeom prst="rect">
                                  <a:avLst/>
                                </a:prstGeom>
                                <a:noFill/>
                                <a:ln>
                                  <a:noFill/>
                                </a:ln>
                              </pic:spPr>
                            </pic:pic>
                          </a:graphicData>
                        </a:graphic>
                      </wp:inline>
                    </w:drawing>
                  </w:r>
                </w:p>
              </w:tc>
            </w:tr>
          </w:tbl>
          <w:p w14:paraId="7967C707">
            <w:pPr>
              <w:spacing w:line="360" w:lineRule="auto"/>
              <w:ind w:firstLine="482" w:firstLineChars="200"/>
              <w:rPr>
                <w:rFonts w:hint="default" w:ascii="Times New Roman" w:hAnsi="Times New Roman" w:cs="Times New Roman" w:eastAsiaTheme="minorEastAsia"/>
                <w:b/>
                <w:color w:val="auto"/>
                <w:sz w:val="24"/>
                <w:highlight w:val="none"/>
                <w:lang w:val="en-US" w:eastAsia="zh-CN"/>
              </w:rPr>
            </w:pPr>
          </w:p>
          <w:p w14:paraId="6965A5DB">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3</w:t>
            </w:r>
            <w:r>
              <w:rPr>
                <w:rFonts w:hint="default" w:ascii="Times New Roman" w:hAnsi="Times New Roman" w:cs="Times New Roman" w:eastAsiaTheme="minorEastAsia"/>
                <w:b/>
                <w:color w:val="auto"/>
                <w:sz w:val="24"/>
                <w:highlight w:val="none"/>
              </w:rPr>
              <w:t>、主要原辅材料及用量</w:t>
            </w:r>
          </w:p>
          <w:p w14:paraId="3E2A2099">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项目主要原辅材料情况一览表</w:t>
            </w:r>
          </w:p>
          <w:tbl>
            <w:tblPr>
              <w:tblStyle w:val="38"/>
              <w:tblW w:w="8450" w:type="dxa"/>
              <w:tblInd w:w="-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440"/>
              <w:gridCol w:w="1475"/>
              <w:gridCol w:w="866"/>
              <w:gridCol w:w="844"/>
              <w:gridCol w:w="773"/>
              <w:gridCol w:w="1201"/>
              <w:gridCol w:w="1201"/>
              <w:gridCol w:w="1187"/>
            </w:tblGrid>
            <w:tr w14:paraId="36448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08F8D32">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rPr>
                    <w:t>序号</w:t>
                  </w:r>
                </w:p>
              </w:tc>
              <w:tc>
                <w:tcPr>
                  <w:tcW w:w="260" w:type="pct"/>
                  <w:noWrap w:val="0"/>
                  <w:vAlign w:val="center"/>
                </w:tcPr>
                <w:p w14:paraId="04B7F3A3">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产品</w:t>
                  </w:r>
                </w:p>
              </w:tc>
              <w:tc>
                <w:tcPr>
                  <w:tcW w:w="872" w:type="pct"/>
                  <w:noWrap w:val="0"/>
                  <w:vAlign w:val="center"/>
                </w:tcPr>
                <w:p w14:paraId="6EEE551F">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原辅材料名称</w:t>
                  </w:r>
                </w:p>
              </w:tc>
              <w:tc>
                <w:tcPr>
                  <w:tcW w:w="512" w:type="pct"/>
                  <w:noWrap w:val="0"/>
                  <w:vAlign w:val="center"/>
                </w:tcPr>
                <w:p w14:paraId="2FADD18D">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单位</w:t>
                  </w:r>
                </w:p>
              </w:tc>
              <w:tc>
                <w:tcPr>
                  <w:tcW w:w="499" w:type="pct"/>
                  <w:noWrap w:val="0"/>
                  <w:vAlign w:val="center"/>
                </w:tcPr>
                <w:p w14:paraId="4EC4B8E0">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rPr>
                    <w:t>原材料</w:t>
                  </w:r>
                  <w:r>
                    <w:rPr>
                      <w:rFonts w:hint="default" w:ascii="Times New Roman" w:hAnsi="Times New Roman" w:cs="Times New Roman"/>
                      <w:b/>
                      <w:color w:val="auto"/>
                      <w:sz w:val="21"/>
                      <w:szCs w:val="21"/>
                      <w:highlight w:val="none"/>
                      <w:lang w:eastAsia="zh-CN"/>
                    </w:rPr>
                    <w:t>年用</w:t>
                  </w:r>
                  <w:r>
                    <w:rPr>
                      <w:rFonts w:hint="default" w:ascii="Times New Roman" w:hAnsi="Times New Roman" w:cs="Times New Roman"/>
                      <w:b/>
                      <w:color w:val="auto"/>
                      <w:sz w:val="21"/>
                      <w:szCs w:val="21"/>
                      <w:highlight w:val="none"/>
                    </w:rPr>
                    <w:t>量</w:t>
                  </w:r>
                </w:p>
              </w:tc>
              <w:tc>
                <w:tcPr>
                  <w:tcW w:w="457" w:type="pct"/>
                  <w:noWrap w:val="0"/>
                  <w:vAlign w:val="center"/>
                </w:tcPr>
                <w:p w14:paraId="7D017F91">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rPr>
                    <w:t>最大存在量</w:t>
                  </w:r>
                </w:p>
              </w:tc>
              <w:tc>
                <w:tcPr>
                  <w:tcW w:w="710" w:type="pct"/>
                  <w:noWrap w:val="0"/>
                  <w:vAlign w:val="center"/>
                </w:tcPr>
                <w:p w14:paraId="5EE62E9D">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包装方式</w:t>
                  </w:r>
                </w:p>
              </w:tc>
              <w:tc>
                <w:tcPr>
                  <w:tcW w:w="710" w:type="pct"/>
                  <w:noWrap w:val="0"/>
                  <w:vAlign w:val="center"/>
                </w:tcPr>
                <w:p w14:paraId="739FEF4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储存位置</w:t>
                  </w:r>
                </w:p>
              </w:tc>
              <w:tc>
                <w:tcPr>
                  <w:tcW w:w="701" w:type="pct"/>
                  <w:noWrap w:val="0"/>
                  <w:vAlign w:val="center"/>
                </w:tcPr>
                <w:p w14:paraId="053CE25B">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工序</w:t>
                  </w:r>
                </w:p>
              </w:tc>
            </w:tr>
            <w:tr w14:paraId="3FCF3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0C3E81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60" w:type="pct"/>
                  <w:vMerge w:val="restart"/>
                  <w:noWrap w:val="0"/>
                  <w:vAlign w:val="center"/>
                </w:tcPr>
                <w:p w14:paraId="3B6A84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highlight w:val="none"/>
                      <w:lang w:val="en-US" w:eastAsia="zh-CN"/>
                    </w:rPr>
                    <w:t>背光源</w:t>
                  </w:r>
                </w:p>
              </w:tc>
              <w:tc>
                <w:tcPr>
                  <w:tcW w:w="872" w:type="pct"/>
                  <w:noWrap w:val="0"/>
                  <w:vAlign w:val="center"/>
                </w:tcPr>
                <w:p w14:paraId="6AC644C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PS塑料粒</w:t>
                  </w:r>
                </w:p>
              </w:tc>
              <w:tc>
                <w:tcPr>
                  <w:tcW w:w="512" w:type="pct"/>
                  <w:noWrap w:val="0"/>
                  <w:vAlign w:val="center"/>
                </w:tcPr>
                <w:p w14:paraId="36E62C0B">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吨</w:t>
                  </w:r>
                </w:p>
              </w:tc>
              <w:tc>
                <w:tcPr>
                  <w:tcW w:w="499" w:type="pct"/>
                  <w:noWrap w:val="0"/>
                  <w:vAlign w:val="center"/>
                </w:tcPr>
                <w:p w14:paraId="423CC23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48</w:t>
                  </w:r>
                </w:p>
              </w:tc>
              <w:tc>
                <w:tcPr>
                  <w:tcW w:w="457" w:type="pct"/>
                  <w:noWrap w:val="0"/>
                  <w:vAlign w:val="center"/>
                </w:tcPr>
                <w:p w14:paraId="0CCCCEB4">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710" w:type="pct"/>
                  <w:noWrap w:val="0"/>
                  <w:vAlign w:val="center"/>
                </w:tcPr>
                <w:p w14:paraId="4696DEA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10" w:type="pct"/>
                  <w:noWrap w:val="0"/>
                  <w:vAlign w:val="center"/>
                </w:tcPr>
                <w:p w14:paraId="67A17C4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一楼仓库</w:t>
                  </w:r>
                </w:p>
              </w:tc>
              <w:tc>
                <w:tcPr>
                  <w:tcW w:w="701" w:type="pct"/>
                  <w:noWrap w:val="0"/>
                  <w:vAlign w:val="center"/>
                </w:tcPr>
                <w:p w14:paraId="0EDD21D8">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r>
            <w:tr w14:paraId="66763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114F64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60" w:type="pct"/>
                  <w:vMerge w:val="continue"/>
                  <w:noWrap w:val="0"/>
                  <w:vAlign w:val="center"/>
                </w:tcPr>
                <w:p w14:paraId="218D28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noWrap w:val="0"/>
                  <w:vAlign w:val="center"/>
                </w:tcPr>
                <w:p w14:paraId="5874077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ABS塑料粒</w:t>
                  </w:r>
                </w:p>
              </w:tc>
              <w:tc>
                <w:tcPr>
                  <w:tcW w:w="512" w:type="pct"/>
                  <w:noWrap w:val="0"/>
                  <w:vAlign w:val="center"/>
                </w:tcPr>
                <w:p w14:paraId="50213CD4">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吨</w:t>
                  </w:r>
                </w:p>
              </w:tc>
              <w:tc>
                <w:tcPr>
                  <w:tcW w:w="499" w:type="pct"/>
                  <w:noWrap w:val="0"/>
                  <w:vAlign w:val="center"/>
                </w:tcPr>
                <w:p w14:paraId="05426B2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48</w:t>
                  </w:r>
                </w:p>
              </w:tc>
              <w:tc>
                <w:tcPr>
                  <w:tcW w:w="457" w:type="pct"/>
                  <w:noWrap w:val="0"/>
                  <w:vAlign w:val="center"/>
                </w:tcPr>
                <w:p w14:paraId="0CF9CBC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710" w:type="pct"/>
                  <w:noWrap w:val="0"/>
                  <w:vAlign w:val="center"/>
                </w:tcPr>
                <w:p w14:paraId="1EEFEA3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10" w:type="pct"/>
                  <w:noWrap w:val="0"/>
                  <w:vAlign w:val="center"/>
                </w:tcPr>
                <w:p w14:paraId="6039720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一楼仓库</w:t>
                  </w:r>
                </w:p>
              </w:tc>
              <w:tc>
                <w:tcPr>
                  <w:tcW w:w="701" w:type="pct"/>
                  <w:noWrap w:val="0"/>
                  <w:vAlign w:val="center"/>
                </w:tcPr>
                <w:p w14:paraId="2ED5FBC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r>
            <w:tr w14:paraId="5DD9A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13AB80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60" w:type="pct"/>
                  <w:vMerge w:val="continue"/>
                  <w:noWrap w:val="0"/>
                  <w:vAlign w:val="center"/>
                </w:tcPr>
                <w:p w14:paraId="63FE06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1E8DCF0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PET光学膜</w:t>
                  </w:r>
                </w:p>
              </w:tc>
              <w:tc>
                <w:tcPr>
                  <w:tcW w:w="512" w:type="pct"/>
                  <w:shd w:val="clear" w:color="auto" w:fill="auto"/>
                  <w:noWrap w:val="0"/>
                  <w:vAlign w:val="center"/>
                </w:tcPr>
                <w:p w14:paraId="16EC8B67">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shd w:val="clear" w:color="auto" w:fill="auto"/>
                  <w:noWrap w:val="0"/>
                  <w:vAlign w:val="center"/>
                </w:tcPr>
                <w:p w14:paraId="351228E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57" w:type="pct"/>
                  <w:shd w:val="clear" w:color="auto" w:fill="auto"/>
                  <w:noWrap w:val="0"/>
                  <w:vAlign w:val="center"/>
                </w:tcPr>
                <w:p w14:paraId="163E124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10" w:type="pct"/>
                  <w:shd w:val="clear" w:color="auto" w:fill="auto"/>
                  <w:noWrap w:val="0"/>
                  <w:vAlign w:val="center"/>
                </w:tcPr>
                <w:p w14:paraId="55FA8A9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卷装</w:t>
                  </w:r>
                </w:p>
              </w:tc>
              <w:tc>
                <w:tcPr>
                  <w:tcW w:w="710" w:type="pct"/>
                  <w:shd w:val="clear" w:color="auto" w:fill="auto"/>
                  <w:noWrap w:val="0"/>
                  <w:vAlign w:val="center"/>
                </w:tcPr>
                <w:p w14:paraId="510F856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5C04362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覆膜</w:t>
                  </w:r>
                </w:p>
              </w:tc>
            </w:tr>
            <w:tr w14:paraId="727BE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7FC48FF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60" w:type="pct"/>
                  <w:vMerge w:val="continue"/>
                  <w:noWrap w:val="0"/>
                  <w:vAlign w:val="center"/>
                </w:tcPr>
                <w:p w14:paraId="28E37B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5C984C6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PET</w:t>
                  </w:r>
                  <w:r>
                    <w:rPr>
                      <w:rFonts w:hint="default" w:ascii="Times New Roman" w:hAnsi="Times New Roman" w:cs="Times New Roman"/>
                      <w:color w:val="auto"/>
                      <w:kern w:val="2"/>
                      <w:sz w:val="21"/>
                      <w:szCs w:val="21"/>
                      <w:highlight w:val="none"/>
                      <w:lang w:val="en-US" w:eastAsia="zh-CN" w:bidi="ar-SA"/>
                    </w:rPr>
                    <w:t>保护膜</w:t>
                  </w:r>
                </w:p>
              </w:tc>
              <w:tc>
                <w:tcPr>
                  <w:tcW w:w="512" w:type="pct"/>
                  <w:shd w:val="clear" w:color="auto" w:fill="auto"/>
                  <w:noWrap w:val="0"/>
                  <w:vAlign w:val="center"/>
                </w:tcPr>
                <w:p w14:paraId="4552F864">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shd w:val="clear" w:color="auto" w:fill="auto"/>
                  <w:noWrap w:val="0"/>
                  <w:vAlign w:val="center"/>
                </w:tcPr>
                <w:p w14:paraId="2A7208A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p>
              </w:tc>
              <w:tc>
                <w:tcPr>
                  <w:tcW w:w="457" w:type="pct"/>
                  <w:shd w:val="clear" w:color="auto" w:fill="auto"/>
                  <w:noWrap w:val="0"/>
                  <w:vAlign w:val="center"/>
                </w:tcPr>
                <w:p w14:paraId="2F88F9F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10" w:type="pct"/>
                  <w:shd w:val="clear" w:color="auto" w:fill="auto"/>
                  <w:noWrap w:val="0"/>
                  <w:vAlign w:val="center"/>
                </w:tcPr>
                <w:p w14:paraId="43C6D29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卷装</w:t>
                  </w:r>
                </w:p>
              </w:tc>
              <w:tc>
                <w:tcPr>
                  <w:tcW w:w="710" w:type="pct"/>
                  <w:shd w:val="clear" w:color="auto" w:fill="auto"/>
                  <w:noWrap w:val="0"/>
                  <w:vAlign w:val="center"/>
                </w:tcPr>
                <w:p w14:paraId="7BC9103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175C2B2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膜切</w:t>
                  </w:r>
                </w:p>
              </w:tc>
            </w:tr>
            <w:tr w14:paraId="2237C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D5DFB9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60" w:type="pct"/>
                  <w:vMerge w:val="continue"/>
                  <w:noWrap w:val="0"/>
                  <w:vAlign w:val="center"/>
                </w:tcPr>
                <w:p w14:paraId="69D37C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5A91C12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PCB灯条</w:t>
                  </w:r>
                </w:p>
              </w:tc>
              <w:tc>
                <w:tcPr>
                  <w:tcW w:w="512" w:type="pct"/>
                  <w:shd w:val="clear" w:color="auto" w:fill="auto"/>
                  <w:noWrap w:val="0"/>
                  <w:vAlign w:val="center"/>
                </w:tcPr>
                <w:p w14:paraId="5B3130AA">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shd w:val="clear" w:color="auto" w:fill="auto"/>
                  <w:noWrap w:val="0"/>
                  <w:vAlign w:val="center"/>
                </w:tcPr>
                <w:p w14:paraId="76B1D80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457" w:type="pct"/>
                  <w:shd w:val="clear" w:color="auto" w:fill="auto"/>
                  <w:noWrap w:val="0"/>
                  <w:vAlign w:val="center"/>
                </w:tcPr>
                <w:p w14:paraId="5F1B5ED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c>
                <w:tcPr>
                  <w:tcW w:w="710" w:type="pct"/>
                  <w:shd w:val="clear" w:color="auto" w:fill="auto"/>
                  <w:noWrap w:val="0"/>
                  <w:vAlign w:val="center"/>
                </w:tcPr>
                <w:p w14:paraId="1944156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1000个/包</w:t>
                  </w:r>
                </w:p>
              </w:tc>
              <w:tc>
                <w:tcPr>
                  <w:tcW w:w="710" w:type="pct"/>
                  <w:shd w:val="clear" w:color="auto" w:fill="auto"/>
                  <w:noWrap w:val="0"/>
                  <w:vAlign w:val="center"/>
                </w:tcPr>
                <w:p w14:paraId="48D3DBB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1A14822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套板</w:t>
                  </w:r>
                </w:p>
              </w:tc>
            </w:tr>
            <w:tr w14:paraId="2F272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215FD0E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60" w:type="pct"/>
                  <w:vMerge w:val="continue"/>
                  <w:noWrap w:val="0"/>
                  <w:vAlign w:val="center"/>
                </w:tcPr>
                <w:p w14:paraId="650257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5D157A4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LED</w:t>
                  </w:r>
                  <w:r>
                    <w:rPr>
                      <w:rFonts w:hint="default" w:ascii="Times New Roman" w:hAnsi="Times New Roman" w:cs="Times New Roman"/>
                      <w:color w:val="auto"/>
                      <w:kern w:val="2"/>
                      <w:sz w:val="21"/>
                      <w:szCs w:val="21"/>
                      <w:highlight w:val="none"/>
                      <w:lang w:val="en-US" w:eastAsia="zh-CN" w:bidi="ar-SA"/>
                    </w:rPr>
                    <w:t>发光膜</w:t>
                  </w:r>
                </w:p>
              </w:tc>
              <w:tc>
                <w:tcPr>
                  <w:tcW w:w="512" w:type="pct"/>
                  <w:shd w:val="clear" w:color="auto" w:fill="auto"/>
                  <w:noWrap w:val="0"/>
                  <w:vAlign w:val="center"/>
                </w:tcPr>
                <w:p w14:paraId="7503E212">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shd w:val="clear" w:color="auto" w:fill="auto"/>
                  <w:noWrap w:val="0"/>
                  <w:vAlign w:val="center"/>
                </w:tcPr>
                <w:p w14:paraId="6852127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57" w:type="pct"/>
                  <w:shd w:val="clear" w:color="auto" w:fill="auto"/>
                  <w:noWrap w:val="0"/>
                  <w:vAlign w:val="center"/>
                </w:tcPr>
                <w:p w14:paraId="017AF15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10" w:type="pct"/>
                  <w:shd w:val="clear" w:color="auto" w:fill="auto"/>
                  <w:noWrap w:val="0"/>
                  <w:vAlign w:val="center"/>
                </w:tcPr>
                <w:p w14:paraId="172F1D5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卷装</w:t>
                  </w:r>
                </w:p>
              </w:tc>
              <w:tc>
                <w:tcPr>
                  <w:tcW w:w="710" w:type="pct"/>
                  <w:shd w:val="clear" w:color="auto" w:fill="auto"/>
                  <w:noWrap w:val="0"/>
                  <w:vAlign w:val="center"/>
                </w:tcPr>
                <w:p w14:paraId="0B13C23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2C59FB9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套板</w:t>
                  </w:r>
                </w:p>
              </w:tc>
            </w:tr>
            <w:tr w14:paraId="23AA1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4A4C8B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60" w:type="pct"/>
                  <w:vMerge w:val="continue"/>
                  <w:noWrap w:val="0"/>
                  <w:vAlign w:val="center"/>
                </w:tcPr>
                <w:p w14:paraId="5C39D1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5D45970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注塑模具</w:t>
                  </w:r>
                </w:p>
              </w:tc>
              <w:tc>
                <w:tcPr>
                  <w:tcW w:w="512" w:type="pct"/>
                  <w:shd w:val="clear" w:color="auto" w:fill="auto"/>
                  <w:noWrap w:val="0"/>
                  <w:vAlign w:val="center"/>
                </w:tcPr>
                <w:p w14:paraId="034BE2AD">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kern w:val="2"/>
                      <w:sz w:val="21"/>
                      <w:szCs w:val="21"/>
                      <w:highlight w:val="none"/>
                      <w:lang w:val="en-US" w:eastAsia="zh-CN" w:bidi="ar-SA"/>
                    </w:rPr>
                    <w:t>个</w:t>
                  </w:r>
                </w:p>
              </w:tc>
              <w:tc>
                <w:tcPr>
                  <w:tcW w:w="499" w:type="pct"/>
                  <w:shd w:val="clear" w:color="auto" w:fill="auto"/>
                  <w:noWrap w:val="0"/>
                  <w:vAlign w:val="center"/>
                </w:tcPr>
                <w:p w14:paraId="0F3684F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250</w:t>
                  </w:r>
                </w:p>
              </w:tc>
              <w:tc>
                <w:tcPr>
                  <w:tcW w:w="457" w:type="pct"/>
                  <w:shd w:val="clear" w:color="auto" w:fill="auto"/>
                  <w:noWrap w:val="0"/>
                  <w:vAlign w:val="center"/>
                </w:tcPr>
                <w:p w14:paraId="66214AF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50</w:t>
                  </w:r>
                </w:p>
              </w:tc>
              <w:tc>
                <w:tcPr>
                  <w:tcW w:w="710" w:type="pct"/>
                  <w:shd w:val="clear" w:color="auto" w:fill="auto"/>
                  <w:noWrap w:val="0"/>
                  <w:vAlign w:val="center"/>
                </w:tcPr>
                <w:p w14:paraId="06F6CE8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710" w:type="pct"/>
                  <w:shd w:val="clear" w:color="auto" w:fill="auto"/>
                  <w:noWrap w:val="0"/>
                  <w:vAlign w:val="center"/>
                </w:tcPr>
                <w:p w14:paraId="5B48EF6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203D12A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上模具</w:t>
                  </w:r>
                </w:p>
              </w:tc>
            </w:tr>
            <w:tr w14:paraId="0528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A76665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260" w:type="pct"/>
                  <w:vMerge w:val="restart"/>
                  <w:noWrap w:val="0"/>
                  <w:vAlign w:val="center"/>
                </w:tcPr>
                <w:p w14:paraId="277113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液晶屏</w:t>
                  </w:r>
                </w:p>
              </w:tc>
              <w:tc>
                <w:tcPr>
                  <w:tcW w:w="872" w:type="pct"/>
                  <w:noWrap w:val="0"/>
                  <w:vAlign w:val="center"/>
                </w:tcPr>
                <w:p w14:paraId="6F0CE79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ITO玻璃</w:t>
                  </w:r>
                </w:p>
              </w:tc>
              <w:tc>
                <w:tcPr>
                  <w:tcW w:w="512" w:type="pct"/>
                  <w:noWrap w:val="0"/>
                  <w:vAlign w:val="center"/>
                </w:tcPr>
                <w:p w14:paraId="56570543">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noWrap w:val="0"/>
                  <w:vAlign w:val="center"/>
                </w:tcPr>
                <w:p w14:paraId="4E0B197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c>
                <w:tcPr>
                  <w:tcW w:w="457" w:type="pct"/>
                  <w:noWrap w:val="0"/>
                  <w:vAlign w:val="center"/>
                </w:tcPr>
                <w:p w14:paraId="06594B9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710" w:type="pct"/>
                  <w:noWrap w:val="0"/>
                  <w:vAlign w:val="center"/>
                </w:tcPr>
                <w:p w14:paraId="1EED7FE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1.2kg/组，捆装</w:t>
                  </w:r>
                </w:p>
              </w:tc>
              <w:tc>
                <w:tcPr>
                  <w:tcW w:w="710" w:type="pct"/>
                  <w:noWrap w:val="0"/>
                  <w:vAlign w:val="center"/>
                </w:tcPr>
                <w:p w14:paraId="5D73D01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一楼仓库</w:t>
                  </w:r>
                </w:p>
              </w:tc>
              <w:tc>
                <w:tcPr>
                  <w:tcW w:w="701" w:type="pct"/>
                  <w:noWrap w:val="0"/>
                  <w:vAlign w:val="center"/>
                </w:tcPr>
                <w:p w14:paraId="35985B0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切割</w:t>
                  </w:r>
                </w:p>
              </w:tc>
            </w:tr>
            <w:tr w14:paraId="1AEC5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76070FB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260" w:type="pct"/>
                  <w:vMerge w:val="continue"/>
                  <w:shd w:val="clear" w:color="auto" w:fill="auto"/>
                  <w:noWrap w:val="0"/>
                  <w:vAlign w:val="center"/>
                </w:tcPr>
                <w:p w14:paraId="0BA7C0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noWrap w:val="0"/>
                  <w:vAlign w:val="center"/>
                </w:tcPr>
                <w:p w14:paraId="603F9A2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液晶</w:t>
                  </w:r>
                </w:p>
              </w:tc>
              <w:tc>
                <w:tcPr>
                  <w:tcW w:w="512" w:type="pct"/>
                  <w:noWrap w:val="0"/>
                  <w:vAlign w:val="center"/>
                </w:tcPr>
                <w:p w14:paraId="5A13DF19">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吨</w:t>
                  </w:r>
                </w:p>
              </w:tc>
              <w:tc>
                <w:tcPr>
                  <w:tcW w:w="499" w:type="pct"/>
                  <w:noWrap w:val="0"/>
                  <w:vAlign w:val="center"/>
                </w:tcPr>
                <w:p w14:paraId="61AB207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0.077</w:t>
                  </w:r>
                </w:p>
              </w:tc>
              <w:tc>
                <w:tcPr>
                  <w:tcW w:w="457" w:type="pct"/>
                  <w:noWrap w:val="0"/>
                  <w:vAlign w:val="center"/>
                </w:tcPr>
                <w:p w14:paraId="37C2A9D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0.010</w:t>
                  </w:r>
                </w:p>
              </w:tc>
              <w:tc>
                <w:tcPr>
                  <w:tcW w:w="710" w:type="pct"/>
                  <w:noWrap w:val="0"/>
                  <w:vAlign w:val="center"/>
                </w:tcPr>
                <w:p w14:paraId="4B2AAD68">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100g/瓶</w:t>
                  </w:r>
                </w:p>
              </w:tc>
              <w:tc>
                <w:tcPr>
                  <w:tcW w:w="710" w:type="pct"/>
                  <w:noWrap w:val="0"/>
                  <w:vAlign w:val="center"/>
                </w:tcPr>
                <w:p w14:paraId="7763D9E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一楼仓库</w:t>
                  </w:r>
                </w:p>
              </w:tc>
              <w:tc>
                <w:tcPr>
                  <w:tcW w:w="701" w:type="pct"/>
                  <w:noWrap w:val="0"/>
                  <w:vAlign w:val="center"/>
                </w:tcPr>
                <w:p w14:paraId="0049C5D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灌晶</w:t>
                  </w:r>
                </w:p>
              </w:tc>
            </w:tr>
            <w:tr w14:paraId="4ACB0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3DA99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60" w:type="pct"/>
                  <w:vMerge w:val="continue"/>
                  <w:shd w:val="clear" w:color="auto" w:fill="auto"/>
                  <w:noWrap w:val="0"/>
                  <w:vAlign w:val="center"/>
                </w:tcPr>
                <w:p w14:paraId="52A49E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74EE654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封口胶</w:t>
                  </w:r>
                </w:p>
              </w:tc>
              <w:tc>
                <w:tcPr>
                  <w:tcW w:w="512" w:type="pct"/>
                  <w:shd w:val="clear" w:color="auto" w:fill="auto"/>
                  <w:noWrap w:val="0"/>
                  <w:vAlign w:val="center"/>
                </w:tcPr>
                <w:p w14:paraId="1AC72B56">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吨</w:t>
                  </w:r>
                </w:p>
              </w:tc>
              <w:tc>
                <w:tcPr>
                  <w:tcW w:w="499" w:type="pct"/>
                  <w:shd w:val="clear" w:color="auto" w:fill="auto"/>
                  <w:noWrap w:val="0"/>
                  <w:vAlign w:val="center"/>
                </w:tcPr>
                <w:p w14:paraId="2A7D1B1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0.39</w:t>
                  </w:r>
                </w:p>
              </w:tc>
              <w:tc>
                <w:tcPr>
                  <w:tcW w:w="457" w:type="pct"/>
                  <w:shd w:val="clear" w:color="auto" w:fill="auto"/>
                  <w:noWrap w:val="0"/>
                  <w:vAlign w:val="center"/>
                </w:tcPr>
                <w:p w14:paraId="53503AE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0.034</w:t>
                  </w:r>
                </w:p>
              </w:tc>
              <w:tc>
                <w:tcPr>
                  <w:tcW w:w="710" w:type="pct"/>
                  <w:shd w:val="clear" w:color="auto" w:fill="auto"/>
                  <w:noWrap w:val="0"/>
                  <w:vAlign w:val="center"/>
                </w:tcPr>
                <w:p w14:paraId="5B81D8F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2kg/瓶</w:t>
                  </w:r>
                </w:p>
              </w:tc>
              <w:tc>
                <w:tcPr>
                  <w:tcW w:w="710" w:type="pct"/>
                  <w:shd w:val="clear" w:color="auto" w:fill="auto"/>
                  <w:noWrap w:val="0"/>
                  <w:vAlign w:val="center"/>
                </w:tcPr>
                <w:p w14:paraId="5433C8E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57E2836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封口</w:t>
                  </w:r>
                </w:p>
              </w:tc>
            </w:tr>
            <w:tr w14:paraId="16477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8D899A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260" w:type="pct"/>
                  <w:vMerge w:val="continue"/>
                  <w:shd w:val="clear" w:color="auto" w:fill="auto"/>
                  <w:noWrap w:val="0"/>
                  <w:vAlign w:val="center"/>
                </w:tcPr>
                <w:p w14:paraId="570D94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3B334CB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START-3380A</w:t>
                  </w:r>
                  <w:r>
                    <w:rPr>
                      <w:rFonts w:hint="default" w:ascii="Times New Roman" w:hAnsi="Times New Roman" w:cs="Times New Roman"/>
                      <w:color w:val="auto"/>
                      <w:sz w:val="21"/>
                      <w:szCs w:val="21"/>
                      <w:highlight w:val="none"/>
                    </w:rPr>
                    <w:t>液晶清洗剂</w:t>
                  </w:r>
                </w:p>
              </w:tc>
              <w:tc>
                <w:tcPr>
                  <w:tcW w:w="512" w:type="pct"/>
                  <w:shd w:val="clear" w:color="auto" w:fill="auto"/>
                  <w:noWrap w:val="0"/>
                  <w:vAlign w:val="center"/>
                </w:tcPr>
                <w:p w14:paraId="7FEB3E14">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吨</w:t>
                  </w:r>
                </w:p>
              </w:tc>
              <w:tc>
                <w:tcPr>
                  <w:tcW w:w="499" w:type="pct"/>
                  <w:shd w:val="clear" w:color="auto" w:fill="auto"/>
                  <w:noWrap w:val="0"/>
                  <w:vAlign w:val="center"/>
                </w:tcPr>
                <w:p w14:paraId="024E19C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457" w:type="pct"/>
                  <w:shd w:val="clear" w:color="auto" w:fill="auto"/>
                  <w:noWrap w:val="0"/>
                  <w:vAlign w:val="center"/>
                </w:tcPr>
                <w:p w14:paraId="0A1BE6E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w:t>
                  </w:r>
                </w:p>
              </w:tc>
              <w:tc>
                <w:tcPr>
                  <w:tcW w:w="710" w:type="pct"/>
                  <w:shd w:val="clear" w:color="auto" w:fill="auto"/>
                  <w:noWrap w:val="0"/>
                  <w:vAlign w:val="center"/>
                </w:tcPr>
                <w:p w14:paraId="7F10F6E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25L/桶</w:t>
                  </w:r>
                </w:p>
              </w:tc>
              <w:tc>
                <w:tcPr>
                  <w:tcW w:w="710" w:type="pct"/>
                  <w:shd w:val="clear" w:color="auto" w:fill="auto"/>
                  <w:noWrap w:val="0"/>
                  <w:vAlign w:val="center"/>
                </w:tcPr>
                <w:p w14:paraId="1E16ABC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5A93EEE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水洗</w:t>
                  </w:r>
                </w:p>
              </w:tc>
            </w:tr>
            <w:tr w14:paraId="66AB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6360B2D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260" w:type="pct"/>
                  <w:vMerge w:val="continue"/>
                  <w:shd w:val="clear" w:color="auto" w:fill="auto"/>
                  <w:noWrap w:val="0"/>
                  <w:vAlign w:val="center"/>
                </w:tcPr>
                <w:p w14:paraId="7234BA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03611F4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START-3380B液晶清洗剂</w:t>
                  </w:r>
                </w:p>
              </w:tc>
              <w:tc>
                <w:tcPr>
                  <w:tcW w:w="512" w:type="pct"/>
                  <w:shd w:val="clear" w:color="auto" w:fill="auto"/>
                  <w:noWrap w:val="0"/>
                  <w:vAlign w:val="center"/>
                </w:tcPr>
                <w:p w14:paraId="2311E3F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吨</w:t>
                  </w:r>
                </w:p>
              </w:tc>
              <w:tc>
                <w:tcPr>
                  <w:tcW w:w="499" w:type="pct"/>
                  <w:shd w:val="clear" w:color="auto" w:fill="auto"/>
                  <w:noWrap w:val="0"/>
                  <w:vAlign w:val="center"/>
                </w:tcPr>
                <w:p w14:paraId="43E47AE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457" w:type="pct"/>
                  <w:shd w:val="clear" w:color="auto" w:fill="auto"/>
                  <w:noWrap w:val="0"/>
                  <w:vAlign w:val="center"/>
                </w:tcPr>
                <w:p w14:paraId="6EFF43B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w:t>
                  </w:r>
                </w:p>
              </w:tc>
              <w:tc>
                <w:tcPr>
                  <w:tcW w:w="710" w:type="pct"/>
                  <w:shd w:val="clear" w:color="auto" w:fill="auto"/>
                  <w:noWrap w:val="0"/>
                  <w:vAlign w:val="center"/>
                </w:tcPr>
                <w:p w14:paraId="7518C27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25L/桶</w:t>
                  </w:r>
                </w:p>
              </w:tc>
              <w:tc>
                <w:tcPr>
                  <w:tcW w:w="710" w:type="pct"/>
                  <w:shd w:val="clear" w:color="auto" w:fill="auto"/>
                  <w:noWrap w:val="0"/>
                  <w:vAlign w:val="center"/>
                </w:tcPr>
                <w:p w14:paraId="5DC92BB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6B72099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水洗</w:t>
                  </w:r>
                </w:p>
              </w:tc>
            </w:tr>
            <w:tr w14:paraId="3033F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18D3FD2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260" w:type="pct"/>
                  <w:vMerge w:val="continue"/>
                  <w:shd w:val="clear" w:color="auto" w:fill="auto"/>
                  <w:noWrap w:val="0"/>
                  <w:vAlign w:val="center"/>
                </w:tcPr>
                <w:p w14:paraId="1FF5E8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1E35BE8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偏光片</w:t>
                  </w:r>
                </w:p>
              </w:tc>
              <w:tc>
                <w:tcPr>
                  <w:tcW w:w="512" w:type="pct"/>
                  <w:shd w:val="clear" w:color="auto" w:fill="auto"/>
                  <w:noWrap w:val="0"/>
                  <w:vAlign w:val="center"/>
                </w:tcPr>
                <w:p w14:paraId="11B9266C">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2</w:t>
                  </w:r>
                </w:p>
              </w:tc>
              <w:tc>
                <w:tcPr>
                  <w:tcW w:w="499" w:type="pct"/>
                  <w:shd w:val="clear" w:color="auto" w:fill="auto"/>
                  <w:noWrap w:val="0"/>
                  <w:vAlign w:val="center"/>
                </w:tcPr>
                <w:p w14:paraId="43E413C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2.2</w:t>
                  </w:r>
                </w:p>
              </w:tc>
              <w:tc>
                <w:tcPr>
                  <w:tcW w:w="457" w:type="pct"/>
                  <w:shd w:val="clear" w:color="auto" w:fill="auto"/>
                  <w:noWrap w:val="0"/>
                  <w:vAlign w:val="center"/>
                </w:tcPr>
                <w:p w14:paraId="0E57267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w:t>
                  </w:r>
                </w:p>
              </w:tc>
              <w:tc>
                <w:tcPr>
                  <w:tcW w:w="710" w:type="pct"/>
                  <w:shd w:val="clear" w:color="auto" w:fill="auto"/>
                  <w:noWrap w:val="0"/>
                  <w:vAlign w:val="center"/>
                </w:tcPr>
                <w:p w14:paraId="4FFBF61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50m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/箱</w:t>
                  </w:r>
                </w:p>
              </w:tc>
              <w:tc>
                <w:tcPr>
                  <w:tcW w:w="710" w:type="pct"/>
                  <w:shd w:val="clear" w:color="auto" w:fill="auto"/>
                  <w:noWrap w:val="0"/>
                  <w:vAlign w:val="center"/>
                </w:tcPr>
                <w:p w14:paraId="795C79B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1716C23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贴片</w:t>
                  </w:r>
                </w:p>
              </w:tc>
            </w:tr>
            <w:tr w14:paraId="76CAB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3F808BF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260" w:type="pct"/>
                  <w:vMerge w:val="continue"/>
                  <w:shd w:val="clear" w:color="auto" w:fill="auto"/>
                  <w:noWrap w:val="0"/>
                  <w:vAlign w:val="center"/>
                </w:tcPr>
                <w:p w14:paraId="643E47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51608BDB">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双面胶带</w:t>
                  </w:r>
                </w:p>
              </w:tc>
              <w:tc>
                <w:tcPr>
                  <w:tcW w:w="512" w:type="pct"/>
                  <w:shd w:val="clear" w:color="auto" w:fill="auto"/>
                  <w:noWrap w:val="0"/>
                  <w:vAlign w:val="center"/>
                </w:tcPr>
                <w:p w14:paraId="1942F4B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吨</w:t>
                  </w:r>
                </w:p>
              </w:tc>
              <w:tc>
                <w:tcPr>
                  <w:tcW w:w="499" w:type="pct"/>
                  <w:shd w:val="clear" w:color="auto" w:fill="auto"/>
                  <w:noWrap w:val="0"/>
                  <w:vAlign w:val="center"/>
                </w:tcPr>
                <w:p w14:paraId="445BE89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c>
                <w:tcPr>
                  <w:tcW w:w="457" w:type="pct"/>
                  <w:shd w:val="clear" w:color="auto" w:fill="auto"/>
                  <w:noWrap w:val="0"/>
                  <w:vAlign w:val="center"/>
                </w:tcPr>
                <w:p w14:paraId="779598C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0.01</w:t>
                  </w:r>
                </w:p>
              </w:tc>
              <w:tc>
                <w:tcPr>
                  <w:tcW w:w="710" w:type="pct"/>
                  <w:shd w:val="clear" w:color="auto" w:fill="auto"/>
                  <w:noWrap w:val="0"/>
                  <w:vAlign w:val="center"/>
                </w:tcPr>
                <w:p w14:paraId="0AA5AB9C">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卷装</w:t>
                  </w:r>
                </w:p>
              </w:tc>
              <w:tc>
                <w:tcPr>
                  <w:tcW w:w="710" w:type="pct"/>
                  <w:shd w:val="clear" w:color="auto" w:fill="auto"/>
                  <w:noWrap w:val="0"/>
                  <w:vAlign w:val="center"/>
                </w:tcPr>
                <w:p w14:paraId="4404C78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4E00737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贴片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组装</w:t>
                  </w:r>
                </w:p>
              </w:tc>
            </w:tr>
            <w:tr w14:paraId="78835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4EF7067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260" w:type="pct"/>
                  <w:vMerge w:val="continue"/>
                  <w:shd w:val="clear" w:color="auto" w:fill="auto"/>
                  <w:noWrap w:val="0"/>
                  <w:vAlign w:val="center"/>
                </w:tcPr>
                <w:p w14:paraId="6532E5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64D62F9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单面胶带</w:t>
                  </w:r>
                </w:p>
              </w:tc>
              <w:tc>
                <w:tcPr>
                  <w:tcW w:w="512" w:type="pct"/>
                  <w:shd w:val="clear" w:color="auto" w:fill="auto"/>
                  <w:noWrap w:val="0"/>
                  <w:vAlign w:val="center"/>
                </w:tcPr>
                <w:p w14:paraId="32E681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吨</w:t>
                  </w:r>
                </w:p>
              </w:tc>
              <w:tc>
                <w:tcPr>
                  <w:tcW w:w="499" w:type="pct"/>
                  <w:shd w:val="clear" w:color="auto" w:fill="auto"/>
                  <w:noWrap w:val="0"/>
                  <w:vAlign w:val="center"/>
                </w:tcPr>
                <w:p w14:paraId="0DB6A1A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c>
                <w:tcPr>
                  <w:tcW w:w="457" w:type="pct"/>
                  <w:shd w:val="clear" w:color="auto" w:fill="auto"/>
                  <w:noWrap w:val="0"/>
                  <w:vAlign w:val="center"/>
                </w:tcPr>
                <w:p w14:paraId="5960E08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0.01</w:t>
                  </w:r>
                </w:p>
              </w:tc>
              <w:tc>
                <w:tcPr>
                  <w:tcW w:w="710" w:type="pct"/>
                  <w:shd w:val="clear" w:color="auto" w:fill="auto"/>
                  <w:noWrap w:val="0"/>
                  <w:vAlign w:val="center"/>
                </w:tcPr>
                <w:p w14:paraId="43D487B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卷装</w:t>
                  </w:r>
                </w:p>
              </w:tc>
              <w:tc>
                <w:tcPr>
                  <w:tcW w:w="710" w:type="pct"/>
                  <w:shd w:val="clear" w:color="auto" w:fill="auto"/>
                  <w:noWrap w:val="0"/>
                  <w:vAlign w:val="center"/>
                </w:tcPr>
                <w:p w14:paraId="393EF5FC">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6ECE82E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贴片、组装</w:t>
                  </w:r>
                </w:p>
              </w:tc>
            </w:tr>
            <w:tr w14:paraId="32AC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083C57A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16</w:t>
                  </w:r>
                </w:p>
              </w:tc>
              <w:tc>
                <w:tcPr>
                  <w:tcW w:w="260" w:type="pct"/>
                  <w:vMerge w:val="continue"/>
                  <w:shd w:val="clear" w:color="auto" w:fill="auto"/>
                  <w:noWrap w:val="0"/>
                  <w:vAlign w:val="center"/>
                </w:tcPr>
                <w:p w14:paraId="48BE0B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72D8B93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点胶剂</w:t>
                  </w:r>
                </w:p>
              </w:tc>
              <w:tc>
                <w:tcPr>
                  <w:tcW w:w="512" w:type="pct"/>
                  <w:shd w:val="clear" w:color="auto" w:fill="auto"/>
                  <w:noWrap w:val="0"/>
                  <w:vAlign w:val="center"/>
                </w:tcPr>
                <w:p w14:paraId="1DED6AD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吨</w:t>
                  </w:r>
                </w:p>
              </w:tc>
              <w:tc>
                <w:tcPr>
                  <w:tcW w:w="499" w:type="pct"/>
                  <w:shd w:val="clear" w:color="auto" w:fill="auto"/>
                  <w:noWrap w:val="0"/>
                  <w:vAlign w:val="center"/>
                </w:tcPr>
                <w:p w14:paraId="57E4A9C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0.26</w:t>
                  </w:r>
                </w:p>
              </w:tc>
              <w:tc>
                <w:tcPr>
                  <w:tcW w:w="457" w:type="pct"/>
                  <w:shd w:val="clear" w:color="auto" w:fill="auto"/>
                  <w:noWrap w:val="0"/>
                  <w:vAlign w:val="center"/>
                </w:tcPr>
                <w:p w14:paraId="411294B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0.022</w:t>
                  </w:r>
                </w:p>
              </w:tc>
              <w:tc>
                <w:tcPr>
                  <w:tcW w:w="710" w:type="pct"/>
                  <w:shd w:val="clear" w:color="auto" w:fill="auto"/>
                  <w:noWrap w:val="0"/>
                  <w:vAlign w:val="center"/>
                </w:tcPr>
                <w:p w14:paraId="32410D0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1kg/瓶</w:t>
                  </w:r>
                </w:p>
              </w:tc>
              <w:tc>
                <w:tcPr>
                  <w:tcW w:w="710" w:type="pct"/>
                  <w:shd w:val="clear" w:color="auto" w:fill="auto"/>
                  <w:noWrap w:val="0"/>
                  <w:vAlign w:val="center"/>
                </w:tcPr>
                <w:p w14:paraId="51EBD3C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43EF12D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装pin</w:t>
                  </w:r>
                </w:p>
              </w:tc>
            </w:tr>
            <w:tr w14:paraId="46171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shd w:val="clear" w:color="auto" w:fill="auto"/>
                  <w:noWrap w:val="0"/>
                  <w:vAlign w:val="center"/>
                </w:tcPr>
                <w:p w14:paraId="2AC721A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17</w:t>
                  </w:r>
                </w:p>
              </w:tc>
              <w:tc>
                <w:tcPr>
                  <w:tcW w:w="260" w:type="pct"/>
                  <w:vMerge w:val="continue"/>
                  <w:shd w:val="clear" w:color="auto" w:fill="auto"/>
                  <w:noWrap w:val="0"/>
                  <w:vAlign w:val="center"/>
                </w:tcPr>
                <w:p w14:paraId="7CE2BC31">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872" w:type="pct"/>
                  <w:shd w:val="clear" w:color="auto" w:fill="auto"/>
                  <w:noWrap w:val="0"/>
                  <w:vAlign w:val="center"/>
                </w:tcPr>
                <w:p w14:paraId="19A0EE1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机油</w:t>
                  </w:r>
                </w:p>
              </w:tc>
              <w:tc>
                <w:tcPr>
                  <w:tcW w:w="512" w:type="pct"/>
                  <w:shd w:val="clear" w:color="auto" w:fill="auto"/>
                  <w:noWrap w:val="0"/>
                  <w:vAlign w:val="center"/>
                </w:tcPr>
                <w:p w14:paraId="0E1EC36D">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吨</w:t>
                  </w:r>
                </w:p>
              </w:tc>
              <w:tc>
                <w:tcPr>
                  <w:tcW w:w="499" w:type="pct"/>
                  <w:shd w:val="clear" w:color="auto" w:fill="auto"/>
                  <w:noWrap w:val="0"/>
                  <w:vAlign w:val="center"/>
                </w:tcPr>
                <w:p w14:paraId="4D7293E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1.2</w:t>
                  </w:r>
                </w:p>
              </w:tc>
              <w:tc>
                <w:tcPr>
                  <w:tcW w:w="457" w:type="pct"/>
                  <w:shd w:val="clear" w:color="auto" w:fill="auto"/>
                  <w:noWrap w:val="0"/>
                  <w:vAlign w:val="center"/>
                </w:tcPr>
                <w:p w14:paraId="30A0A89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0.34</w:t>
                  </w:r>
                </w:p>
              </w:tc>
              <w:tc>
                <w:tcPr>
                  <w:tcW w:w="710" w:type="pct"/>
                  <w:shd w:val="clear" w:color="auto" w:fill="auto"/>
                  <w:noWrap w:val="0"/>
                  <w:vAlign w:val="center"/>
                </w:tcPr>
                <w:p w14:paraId="4A37E17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170kg/桶</w:t>
                  </w:r>
                </w:p>
              </w:tc>
              <w:tc>
                <w:tcPr>
                  <w:tcW w:w="710" w:type="pct"/>
                  <w:shd w:val="clear" w:color="auto" w:fill="auto"/>
                  <w:noWrap w:val="0"/>
                  <w:vAlign w:val="center"/>
                </w:tcPr>
                <w:p w14:paraId="47691C3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一楼仓库</w:t>
                  </w:r>
                </w:p>
              </w:tc>
              <w:tc>
                <w:tcPr>
                  <w:tcW w:w="701" w:type="pct"/>
                  <w:shd w:val="clear" w:color="auto" w:fill="auto"/>
                  <w:noWrap w:val="0"/>
                  <w:vAlign w:val="center"/>
                </w:tcPr>
                <w:p w14:paraId="62F0AE9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w:t>
                  </w:r>
                </w:p>
              </w:tc>
            </w:tr>
          </w:tbl>
          <w:p w14:paraId="0707CE12">
            <w:pPr>
              <w:spacing w:before="157" w:beforeLines="50" w:line="360" w:lineRule="auto"/>
              <w:ind w:firstLine="482" w:firstLineChars="200"/>
              <w:rPr>
                <w:rFonts w:hint="default" w:ascii="Times New Roman" w:hAnsi="Times New Roman" w:cs="Times New Roman" w:eastAsiaTheme="minorEastAsia"/>
                <w:b/>
                <w:color w:val="auto"/>
                <w:sz w:val="24"/>
                <w:highlight w:val="none"/>
                <w:lang w:val="en-US" w:eastAsia="zh-CN"/>
              </w:rPr>
            </w:pPr>
            <w:r>
              <w:rPr>
                <w:rFonts w:hint="default" w:ascii="Times New Roman" w:hAnsi="Times New Roman" w:cs="Times New Roman" w:eastAsiaTheme="minorEastAsia"/>
                <w:b/>
                <w:color w:val="auto"/>
                <w:sz w:val="24"/>
                <w:highlight w:val="none"/>
                <w:lang w:val="en-US" w:eastAsia="zh-CN"/>
              </w:rPr>
              <w:t>塑料粒、封口胶、点胶剂年用量核算：</w:t>
            </w:r>
          </w:p>
          <w:p w14:paraId="30E2909B">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塑料粒、封口胶、点胶剂</w:t>
            </w:r>
            <w:r>
              <w:rPr>
                <w:rFonts w:hint="default" w:ascii="Times New Roman" w:hAnsi="Times New Roman" w:eastAsia="宋体" w:cs="Times New Roman"/>
                <w:b/>
                <w:bCs/>
                <w:color w:val="auto"/>
                <w:sz w:val="21"/>
                <w:szCs w:val="21"/>
                <w:highlight w:val="none"/>
                <w:lang w:val="en-US" w:eastAsia="zh-CN"/>
              </w:rPr>
              <w:t>用量核算</w:t>
            </w:r>
            <w:r>
              <w:rPr>
                <w:rFonts w:hint="default" w:ascii="Times New Roman" w:hAnsi="Times New Roman" w:eastAsia="宋体" w:cs="Times New Roman"/>
                <w:b/>
                <w:bCs/>
                <w:color w:val="auto"/>
                <w:sz w:val="21"/>
                <w:szCs w:val="21"/>
                <w:highlight w:val="none"/>
              </w:rPr>
              <w:t>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1342"/>
              <w:gridCol w:w="2712"/>
              <w:gridCol w:w="1069"/>
              <w:gridCol w:w="1469"/>
              <w:gridCol w:w="1345"/>
            </w:tblGrid>
            <w:tr w14:paraId="52C75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6EC38C65">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rPr>
                    <w:t>序号</w:t>
                  </w:r>
                </w:p>
              </w:tc>
              <w:tc>
                <w:tcPr>
                  <w:tcW w:w="793" w:type="pct"/>
                  <w:noWrap w:val="0"/>
                  <w:vAlign w:val="center"/>
                </w:tcPr>
                <w:p w14:paraId="4D4C45F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原辅材料名称</w:t>
                  </w:r>
                </w:p>
              </w:tc>
              <w:tc>
                <w:tcPr>
                  <w:tcW w:w="1603" w:type="pct"/>
                  <w:noWrap w:val="0"/>
                  <w:vAlign w:val="center"/>
                </w:tcPr>
                <w:p w14:paraId="29F55665">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加工量</w:t>
                  </w:r>
                </w:p>
              </w:tc>
              <w:tc>
                <w:tcPr>
                  <w:tcW w:w="632" w:type="pct"/>
                  <w:shd w:val="clear" w:color="auto" w:fill="auto"/>
                  <w:noWrap w:val="0"/>
                  <w:vAlign w:val="center"/>
                </w:tcPr>
                <w:p w14:paraId="239E50A2">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单件净重</w:t>
                  </w:r>
                </w:p>
              </w:tc>
              <w:tc>
                <w:tcPr>
                  <w:tcW w:w="868" w:type="pct"/>
                  <w:noWrap w:val="0"/>
                  <w:vAlign w:val="center"/>
                </w:tcPr>
                <w:p w14:paraId="43A4FF8E">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损耗量</w:t>
                  </w:r>
                </w:p>
              </w:tc>
              <w:tc>
                <w:tcPr>
                  <w:tcW w:w="795" w:type="pct"/>
                  <w:shd w:val="clear" w:color="auto" w:fill="auto"/>
                  <w:noWrap w:val="0"/>
                  <w:vAlign w:val="center"/>
                </w:tcPr>
                <w:p w14:paraId="5D733E88">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rPr>
                    <w:t>原材料</w:t>
                  </w:r>
                  <w:r>
                    <w:rPr>
                      <w:rFonts w:hint="default" w:ascii="Times New Roman" w:hAnsi="Times New Roman" w:cs="Times New Roman"/>
                      <w:b/>
                      <w:color w:val="auto"/>
                      <w:sz w:val="21"/>
                      <w:szCs w:val="21"/>
                      <w:highlight w:val="none"/>
                      <w:lang w:eastAsia="zh-CN"/>
                    </w:rPr>
                    <w:t>用</w:t>
                  </w:r>
                  <w:r>
                    <w:rPr>
                      <w:rFonts w:hint="default" w:ascii="Times New Roman" w:hAnsi="Times New Roman" w:cs="Times New Roman"/>
                      <w:b/>
                      <w:color w:val="auto"/>
                      <w:sz w:val="21"/>
                      <w:szCs w:val="21"/>
                      <w:highlight w:val="none"/>
                    </w:rPr>
                    <w:t>量</w:t>
                  </w:r>
                </w:p>
              </w:tc>
            </w:tr>
            <w:tr w14:paraId="754A0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71600E2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93" w:type="pct"/>
                  <w:noWrap w:val="0"/>
                  <w:vAlign w:val="center"/>
                </w:tcPr>
                <w:p w14:paraId="186C847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PS塑料粒</w:t>
                  </w:r>
                </w:p>
              </w:tc>
              <w:tc>
                <w:tcPr>
                  <w:tcW w:w="1603" w:type="pct"/>
                  <w:noWrap w:val="0"/>
                  <w:vAlign w:val="center"/>
                </w:tcPr>
                <w:p w14:paraId="38595D1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背光源框生产0.15亿只/年</w:t>
                  </w:r>
                </w:p>
              </w:tc>
              <w:tc>
                <w:tcPr>
                  <w:tcW w:w="632" w:type="pct"/>
                  <w:shd w:val="clear" w:color="auto" w:fill="auto"/>
                  <w:noWrap w:val="0"/>
                  <w:vAlign w:val="center"/>
                </w:tcPr>
                <w:p w14:paraId="6FA115A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3.2g/只</w:t>
                  </w:r>
                </w:p>
              </w:tc>
              <w:tc>
                <w:tcPr>
                  <w:tcW w:w="868" w:type="pct"/>
                  <w:noWrap w:val="0"/>
                  <w:vAlign w:val="center"/>
                </w:tcPr>
                <w:p w14:paraId="7E088D0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p w14:paraId="2D78AE1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（破碎回用）</w:t>
                  </w:r>
                </w:p>
              </w:tc>
              <w:tc>
                <w:tcPr>
                  <w:tcW w:w="795" w:type="pct"/>
                  <w:shd w:val="clear" w:color="auto" w:fill="auto"/>
                  <w:noWrap w:val="0"/>
                  <w:vAlign w:val="center"/>
                </w:tcPr>
                <w:p w14:paraId="4ED2676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48吨/年</w:t>
                  </w:r>
                </w:p>
              </w:tc>
            </w:tr>
            <w:tr w14:paraId="3CA5C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1F899136">
                  <w:pPr>
                    <w:keepNext w:val="0"/>
                    <w:keepLines w:val="0"/>
                    <w:widowControl/>
                    <w:suppressLineNumbers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
                    </w:rPr>
                    <w:t>2</w:t>
                  </w:r>
                </w:p>
              </w:tc>
              <w:tc>
                <w:tcPr>
                  <w:tcW w:w="793" w:type="pct"/>
                  <w:noWrap w:val="0"/>
                  <w:vAlign w:val="center"/>
                </w:tcPr>
                <w:p w14:paraId="370A3A90">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ABS塑料粒</w:t>
                  </w:r>
                </w:p>
              </w:tc>
              <w:tc>
                <w:tcPr>
                  <w:tcW w:w="1603" w:type="pct"/>
                  <w:noWrap w:val="0"/>
                  <w:vAlign w:val="center"/>
                </w:tcPr>
                <w:p w14:paraId="04ED5765">
                  <w:pPr>
                    <w:jc w:val="center"/>
                    <w:rPr>
                      <w:rFonts w:hint="default" w:ascii="Times New Roman" w:hAnsi="Times New Roman" w:cs="Times New Roman"/>
                      <w:color w:val="auto"/>
                      <w:szCs w:val="21"/>
                      <w:lang w:val="en-US" w:eastAsia="zh-CN"/>
                    </w:rPr>
                  </w:pPr>
                  <w:r>
                    <w:rPr>
                      <w:rFonts w:hint="default" w:ascii="Times New Roman" w:hAnsi="Times New Roman" w:cs="Times New Roman"/>
                      <w:b w:val="0"/>
                      <w:bCs/>
                      <w:color w:val="auto"/>
                      <w:sz w:val="21"/>
                      <w:szCs w:val="21"/>
                      <w:highlight w:val="none"/>
                      <w:lang w:val="en-US" w:eastAsia="zh-CN"/>
                    </w:rPr>
                    <w:t>背光源框生产0.15亿只/年</w:t>
                  </w:r>
                </w:p>
              </w:tc>
              <w:tc>
                <w:tcPr>
                  <w:tcW w:w="632" w:type="pct"/>
                  <w:shd w:val="clear" w:color="auto" w:fill="auto"/>
                  <w:noWrap w:val="0"/>
                  <w:vAlign w:val="center"/>
                </w:tcPr>
                <w:p w14:paraId="478B280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3.2g/只</w:t>
                  </w:r>
                </w:p>
              </w:tc>
              <w:tc>
                <w:tcPr>
                  <w:tcW w:w="868" w:type="pct"/>
                  <w:noWrap w:val="0"/>
                  <w:vAlign w:val="center"/>
                </w:tcPr>
                <w:p w14:paraId="1C4B50E5">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p w14:paraId="1329AFF3">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 w:val="21"/>
                      <w:szCs w:val="21"/>
                      <w:highlight w:val="none"/>
                      <w:lang w:val="en-US" w:eastAsia="zh-CN"/>
                    </w:rPr>
                    <w:t>（破碎回用）</w:t>
                  </w:r>
                </w:p>
              </w:tc>
              <w:tc>
                <w:tcPr>
                  <w:tcW w:w="795" w:type="pct"/>
                  <w:shd w:val="clear" w:color="auto" w:fill="auto"/>
                  <w:noWrap w:val="0"/>
                  <w:vAlign w:val="center"/>
                </w:tcPr>
                <w:p w14:paraId="2CE38C55">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48</w:t>
                  </w:r>
                  <w:r>
                    <w:rPr>
                      <w:rFonts w:hint="default" w:ascii="Times New Roman" w:hAnsi="Times New Roman" w:cs="Times New Roman"/>
                      <w:color w:val="auto"/>
                      <w:sz w:val="21"/>
                      <w:szCs w:val="21"/>
                      <w:highlight w:val="none"/>
                      <w:lang w:val="en-US" w:eastAsia="zh-CN"/>
                    </w:rPr>
                    <w:t>吨/年</w:t>
                  </w:r>
                </w:p>
              </w:tc>
            </w:tr>
            <w:tr w14:paraId="7D407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64A1BF94">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21"/>
                      <w:szCs w:val="21"/>
                      <w:highlight w:val="none"/>
                      <w:u w:val="none"/>
                      <w:lang w:val="en-US" w:eastAsia="zh-CN" w:bidi="ar"/>
                    </w:rPr>
                  </w:pPr>
                  <w:r>
                    <w:rPr>
                      <w:rFonts w:hint="default" w:ascii="Times New Roman" w:hAnsi="Times New Roman" w:cs="Times New Roman"/>
                      <w:b/>
                      <w:color w:val="auto"/>
                      <w:sz w:val="21"/>
                      <w:szCs w:val="21"/>
                      <w:highlight w:val="none"/>
                    </w:rPr>
                    <w:t>序号</w:t>
                  </w:r>
                </w:p>
              </w:tc>
              <w:tc>
                <w:tcPr>
                  <w:tcW w:w="793" w:type="pct"/>
                  <w:noWrap w:val="0"/>
                  <w:vAlign w:val="center"/>
                </w:tcPr>
                <w:p w14:paraId="19A15C29">
                  <w:pPr>
                    <w:jc w:val="center"/>
                    <w:rPr>
                      <w:rFonts w:hint="default" w:ascii="Times New Roman" w:hAnsi="Times New Roman" w:cs="Times New Roman"/>
                      <w:color w:val="auto"/>
                      <w:szCs w:val="21"/>
                      <w:lang w:val="en-US" w:eastAsia="zh-CN"/>
                    </w:rPr>
                  </w:pPr>
                  <w:r>
                    <w:rPr>
                      <w:rFonts w:hint="default" w:ascii="Times New Roman" w:hAnsi="Times New Roman" w:cs="Times New Roman"/>
                      <w:b/>
                      <w:color w:val="auto"/>
                      <w:sz w:val="21"/>
                      <w:szCs w:val="21"/>
                      <w:highlight w:val="none"/>
                    </w:rPr>
                    <w:t>原辅材料名称</w:t>
                  </w:r>
                </w:p>
              </w:tc>
              <w:tc>
                <w:tcPr>
                  <w:tcW w:w="1603" w:type="pct"/>
                  <w:noWrap w:val="0"/>
                  <w:vAlign w:val="center"/>
                </w:tcPr>
                <w:p w14:paraId="3E832F96">
                  <w:pPr>
                    <w:jc w:val="center"/>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加工量</w:t>
                  </w:r>
                </w:p>
              </w:tc>
              <w:tc>
                <w:tcPr>
                  <w:tcW w:w="632" w:type="pct"/>
                  <w:shd w:val="clear" w:color="auto" w:fill="auto"/>
                  <w:noWrap w:val="0"/>
                  <w:vAlign w:val="center"/>
                </w:tcPr>
                <w:p w14:paraId="350DCB67">
                  <w:pPr>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cs="Times New Roman"/>
                      <w:b/>
                      <w:bCs w:val="0"/>
                      <w:color w:val="auto"/>
                      <w:sz w:val="21"/>
                      <w:szCs w:val="21"/>
                      <w:highlight w:val="none"/>
                      <w:lang w:val="en-US" w:eastAsia="zh-CN"/>
                    </w:rPr>
                    <w:t>单位用胶量</w:t>
                  </w:r>
                </w:p>
              </w:tc>
              <w:tc>
                <w:tcPr>
                  <w:tcW w:w="868" w:type="pct"/>
                  <w:noWrap w:val="0"/>
                  <w:vAlign w:val="center"/>
                </w:tcPr>
                <w:p w14:paraId="01ED1B80">
                  <w:pPr>
                    <w:jc w:val="center"/>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损耗量</w:t>
                  </w:r>
                </w:p>
              </w:tc>
              <w:tc>
                <w:tcPr>
                  <w:tcW w:w="795" w:type="pct"/>
                  <w:shd w:val="clear" w:color="auto" w:fill="auto"/>
                  <w:noWrap w:val="0"/>
                  <w:vAlign w:val="center"/>
                </w:tcPr>
                <w:p w14:paraId="2603CC16">
                  <w:pPr>
                    <w:jc w:val="center"/>
                    <w:rPr>
                      <w:rFonts w:hint="default" w:ascii="Times New Roman" w:hAnsi="Times New Roman" w:cs="Times New Roman"/>
                      <w:b/>
                      <w:bCs w:val="0"/>
                      <w:color w:val="auto"/>
                      <w:szCs w:val="21"/>
                      <w:lang w:val="en-US" w:eastAsia="zh-CN"/>
                    </w:rPr>
                  </w:pPr>
                  <w:r>
                    <w:rPr>
                      <w:rFonts w:hint="default" w:ascii="Times New Roman" w:hAnsi="Times New Roman" w:cs="Times New Roman"/>
                      <w:b/>
                      <w:color w:val="auto"/>
                      <w:sz w:val="21"/>
                      <w:szCs w:val="21"/>
                      <w:highlight w:val="none"/>
                    </w:rPr>
                    <w:t>原材料</w:t>
                  </w:r>
                  <w:r>
                    <w:rPr>
                      <w:rFonts w:hint="default" w:ascii="Times New Roman" w:hAnsi="Times New Roman" w:cs="Times New Roman"/>
                      <w:b/>
                      <w:color w:val="auto"/>
                      <w:sz w:val="21"/>
                      <w:szCs w:val="21"/>
                      <w:highlight w:val="none"/>
                      <w:lang w:eastAsia="zh-CN"/>
                    </w:rPr>
                    <w:t>用</w:t>
                  </w:r>
                  <w:r>
                    <w:rPr>
                      <w:rFonts w:hint="default" w:ascii="Times New Roman" w:hAnsi="Times New Roman" w:cs="Times New Roman"/>
                      <w:b/>
                      <w:color w:val="auto"/>
                      <w:sz w:val="21"/>
                      <w:szCs w:val="21"/>
                      <w:highlight w:val="none"/>
                    </w:rPr>
                    <w:t>量</w:t>
                  </w:r>
                </w:p>
              </w:tc>
            </w:tr>
            <w:tr w14:paraId="07E07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0E7DFEDD">
                  <w:pPr>
                    <w:keepNext w:val="0"/>
                    <w:keepLines w:val="0"/>
                    <w:widowControl/>
                    <w:suppressLineNumbers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
                    </w:rPr>
                    <w:t>3</w:t>
                  </w:r>
                </w:p>
              </w:tc>
              <w:tc>
                <w:tcPr>
                  <w:tcW w:w="793" w:type="pct"/>
                  <w:shd w:val="clear" w:color="auto" w:fill="auto"/>
                  <w:noWrap w:val="0"/>
                  <w:vAlign w:val="center"/>
                </w:tcPr>
                <w:p w14:paraId="752F4EC3">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封口胶</w:t>
                  </w:r>
                </w:p>
              </w:tc>
              <w:tc>
                <w:tcPr>
                  <w:tcW w:w="1603" w:type="pct"/>
                  <w:shd w:val="clear" w:color="auto" w:fill="auto"/>
                  <w:noWrap w:val="0"/>
                  <w:vAlign w:val="center"/>
                </w:tcPr>
                <w:p w14:paraId="28073380">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液晶屏</w:t>
                  </w:r>
                  <w:r>
                    <w:rPr>
                      <w:rFonts w:hint="default" w:ascii="Times New Roman" w:hAnsi="Times New Roman" w:cs="Times New Roman"/>
                      <w:color w:val="auto"/>
                      <w:szCs w:val="21"/>
                      <w:highlight w:val="none"/>
                      <w:lang w:eastAsia="zh-CN"/>
                    </w:rPr>
                    <w:t>0.</w:t>
                  </w:r>
                  <w:r>
                    <w:rPr>
                      <w:rFonts w:hint="default" w:ascii="Times New Roman" w:hAnsi="Times New Roman" w:cs="Times New Roman"/>
                      <w:color w:val="auto"/>
                      <w:szCs w:val="21"/>
                      <w:highlight w:val="none"/>
                      <w:lang w:val="en-US" w:eastAsia="zh-CN"/>
                    </w:rPr>
                    <w:t>25</w:t>
                  </w:r>
                  <w:r>
                    <w:rPr>
                      <w:rFonts w:hint="default" w:ascii="Times New Roman" w:hAnsi="Times New Roman" w:cs="Times New Roman"/>
                      <w:color w:val="auto"/>
                      <w:szCs w:val="21"/>
                      <w:highlight w:val="none"/>
                      <w:lang w:eastAsia="zh-CN"/>
                    </w:rPr>
                    <w:t>亿只，</w:t>
                  </w:r>
                  <w:r>
                    <w:rPr>
                      <w:rFonts w:hint="default" w:ascii="Times New Roman" w:hAnsi="Times New Roman" w:cs="Times New Roman"/>
                      <w:color w:val="auto"/>
                      <w:szCs w:val="21"/>
                      <w:highlight w:val="none"/>
                      <w:lang w:val="en-US" w:eastAsia="zh-CN"/>
                    </w:rPr>
                    <w:t>涂胶0.3cm/只</w:t>
                  </w:r>
                </w:p>
              </w:tc>
              <w:tc>
                <w:tcPr>
                  <w:tcW w:w="632" w:type="pct"/>
                  <w:shd w:val="clear" w:color="auto" w:fill="auto"/>
                  <w:noWrap w:val="0"/>
                  <w:vAlign w:val="center"/>
                </w:tcPr>
                <w:p w14:paraId="1E9F936A">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0.05g/cm</w:t>
                  </w:r>
                </w:p>
              </w:tc>
              <w:tc>
                <w:tcPr>
                  <w:tcW w:w="868" w:type="pct"/>
                  <w:shd w:val="clear" w:color="auto" w:fill="auto"/>
                  <w:noWrap w:val="0"/>
                  <w:vAlign w:val="center"/>
                </w:tcPr>
                <w:p w14:paraId="18571F62">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795" w:type="pct"/>
                  <w:shd w:val="clear" w:color="auto" w:fill="auto"/>
                  <w:noWrap w:val="0"/>
                  <w:vAlign w:val="center"/>
                </w:tcPr>
                <w:p w14:paraId="274BC09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0.39吨/年</w:t>
                  </w:r>
                </w:p>
              </w:tc>
            </w:tr>
            <w:tr w14:paraId="22683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6" w:type="pct"/>
                  <w:shd w:val="clear" w:color="auto" w:fill="auto"/>
                  <w:noWrap w:val="0"/>
                  <w:vAlign w:val="center"/>
                </w:tcPr>
                <w:p w14:paraId="74604891">
                  <w:pPr>
                    <w:keepNext w:val="0"/>
                    <w:keepLines w:val="0"/>
                    <w:widowControl/>
                    <w:suppressLineNumbers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
                    </w:rPr>
                    <w:t>4</w:t>
                  </w:r>
                </w:p>
              </w:tc>
              <w:tc>
                <w:tcPr>
                  <w:tcW w:w="793" w:type="pct"/>
                  <w:shd w:val="clear" w:color="auto" w:fill="auto"/>
                  <w:noWrap w:val="0"/>
                  <w:vAlign w:val="center"/>
                </w:tcPr>
                <w:p w14:paraId="70DAC663">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点胶剂</w:t>
                  </w:r>
                </w:p>
              </w:tc>
              <w:tc>
                <w:tcPr>
                  <w:tcW w:w="1603" w:type="pct"/>
                  <w:shd w:val="clear" w:color="auto" w:fill="auto"/>
                  <w:noWrap w:val="0"/>
                  <w:vAlign w:val="center"/>
                </w:tcPr>
                <w:p w14:paraId="06A15A7F">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液晶屏</w:t>
                  </w:r>
                  <w:r>
                    <w:rPr>
                      <w:rFonts w:hint="default" w:ascii="Times New Roman" w:hAnsi="Times New Roman" w:cs="Times New Roman"/>
                      <w:color w:val="auto"/>
                      <w:szCs w:val="21"/>
                      <w:highlight w:val="none"/>
                      <w:lang w:eastAsia="zh-CN"/>
                    </w:rPr>
                    <w:t>0.</w:t>
                  </w:r>
                  <w:r>
                    <w:rPr>
                      <w:rFonts w:hint="default" w:ascii="Times New Roman" w:hAnsi="Times New Roman" w:cs="Times New Roman"/>
                      <w:color w:val="auto"/>
                      <w:szCs w:val="21"/>
                      <w:highlight w:val="none"/>
                      <w:lang w:val="en-US" w:eastAsia="zh-CN"/>
                    </w:rPr>
                    <w:t>25</w:t>
                  </w:r>
                  <w:r>
                    <w:rPr>
                      <w:rFonts w:hint="default" w:ascii="Times New Roman" w:hAnsi="Times New Roman" w:cs="Times New Roman"/>
                      <w:color w:val="auto"/>
                      <w:szCs w:val="21"/>
                      <w:highlight w:val="none"/>
                      <w:lang w:eastAsia="zh-CN"/>
                    </w:rPr>
                    <w:t>亿只，</w:t>
                  </w:r>
                  <w:r>
                    <w:rPr>
                      <w:rFonts w:hint="default" w:ascii="Times New Roman" w:hAnsi="Times New Roman" w:cs="Times New Roman"/>
                      <w:color w:val="auto"/>
                      <w:szCs w:val="21"/>
                      <w:highlight w:val="none"/>
                      <w:lang w:val="en-US" w:eastAsia="zh-CN"/>
                    </w:rPr>
                    <w:t>点胶1点/只</w:t>
                  </w:r>
                </w:p>
              </w:tc>
              <w:tc>
                <w:tcPr>
                  <w:tcW w:w="632" w:type="pct"/>
                  <w:shd w:val="clear" w:color="auto" w:fill="auto"/>
                  <w:noWrap w:val="0"/>
                  <w:vAlign w:val="center"/>
                </w:tcPr>
                <w:p w14:paraId="6E34C02B">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0.01g/点</w:t>
                  </w:r>
                </w:p>
              </w:tc>
              <w:tc>
                <w:tcPr>
                  <w:tcW w:w="868" w:type="pct"/>
                  <w:shd w:val="clear" w:color="auto" w:fill="auto"/>
                  <w:noWrap w:val="0"/>
                  <w:vAlign w:val="center"/>
                </w:tcPr>
                <w:p w14:paraId="5C6990E3">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795" w:type="pct"/>
                  <w:shd w:val="clear" w:color="auto" w:fill="auto"/>
                  <w:noWrap w:val="0"/>
                  <w:vAlign w:val="center"/>
                </w:tcPr>
                <w:p w14:paraId="4FE0C16D">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0.26吨/年</w:t>
                  </w:r>
                </w:p>
              </w:tc>
            </w:tr>
          </w:tbl>
          <w:p w14:paraId="7701750C">
            <w:pPr>
              <w:spacing w:line="360" w:lineRule="auto"/>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主要原辅材料理化性质</w:t>
            </w:r>
            <w:r>
              <w:rPr>
                <w:rFonts w:hint="default" w:ascii="Times New Roman" w:hAnsi="Times New Roman" w:cs="Times New Roman"/>
                <w:b/>
                <w:bCs/>
                <w:color w:val="auto"/>
                <w:kern w:val="0"/>
                <w:sz w:val="24"/>
                <w:highlight w:val="none"/>
              </w:rPr>
              <w:t>：</w:t>
            </w:r>
          </w:p>
          <w:p w14:paraId="4A4752D6">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主要原辅材料理化性质</w:t>
            </w:r>
            <w:r>
              <w:rPr>
                <w:rFonts w:hint="default" w:ascii="Times New Roman" w:hAnsi="Times New Roman" w:eastAsia="宋体" w:cs="Times New Roman"/>
                <w:b/>
                <w:bCs/>
                <w:color w:val="auto"/>
                <w:sz w:val="21"/>
                <w:szCs w:val="21"/>
                <w:highlight w:val="none"/>
              </w:rPr>
              <w:t>一览表</w:t>
            </w:r>
          </w:p>
          <w:tbl>
            <w:tblPr>
              <w:tblStyle w:val="3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1474"/>
              <w:gridCol w:w="6508"/>
            </w:tblGrid>
            <w:tr w14:paraId="6CCE1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Align w:val="center"/>
                </w:tcPr>
                <w:p w14:paraId="090FC5FF">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序号</w:t>
                  </w:r>
                </w:p>
              </w:tc>
              <w:tc>
                <w:tcPr>
                  <w:tcW w:w="867" w:type="pct"/>
                  <w:vAlign w:val="center"/>
                </w:tcPr>
                <w:p w14:paraId="12998C42">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原料</w:t>
                  </w:r>
                </w:p>
              </w:tc>
              <w:tc>
                <w:tcPr>
                  <w:tcW w:w="3850" w:type="pct"/>
                  <w:vAlign w:val="center"/>
                </w:tcPr>
                <w:p w14:paraId="307AAF91">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理化性质</w:t>
                  </w:r>
                </w:p>
              </w:tc>
            </w:tr>
            <w:tr w14:paraId="280F1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65DBA48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67" w:type="pct"/>
                  <w:shd w:val="clear" w:color="auto" w:fill="auto"/>
                  <w:vAlign w:val="center"/>
                </w:tcPr>
                <w:p w14:paraId="70D12D7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PS塑料粒</w:t>
                  </w:r>
                </w:p>
              </w:tc>
              <w:tc>
                <w:tcPr>
                  <w:tcW w:w="3850" w:type="pct"/>
                  <w:shd w:val="clear" w:color="auto" w:fill="auto"/>
                  <w:vAlign w:val="center"/>
                </w:tcPr>
                <w:p w14:paraId="668A4A2B">
                  <w:pPr>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聚苯乙烯（Polystyrene，缩写PS）是指大分子链中包括苯乙烯基的一类塑料，注塑成型温度140~180℃，热分解温度250℃。密度：1.05 g/cm</w:t>
                  </w:r>
                  <w:r>
                    <w:rPr>
                      <w:rFonts w:hint="default"/>
                      <w:color w:val="auto"/>
                      <w:sz w:val="21"/>
                      <w:szCs w:val="21"/>
                      <w:highlight w:val="none"/>
                      <w:vertAlign w:val="superscript"/>
                    </w:rPr>
                    <w:t>3</w:t>
                  </w:r>
                  <w:r>
                    <w:rPr>
                      <w:rFonts w:hint="default" w:ascii="Times New Roman" w:hAnsi="Times New Roman" w:cs="Times New Roman"/>
                      <w:color w:val="auto"/>
                      <w:sz w:val="21"/>
                      <w:szCs w:val="21"/>
                      <w:highlight w:val="none"/>
                    </w:rPr>
                    <w:t>，电导率：10-16 S/m，导热系数：0.08W/(m·K)。热容：1.3 kJ/(kg·K)，吸水率：0.03–0.1。电阻率为1020～1022Ω·cm。导热系数30℃时0.116瓦/（米·开）。</w:t>
                  </w:r>
                </w:p>
              </w:tc>
            </w:tr>
            <w:tr w14:paraId="4424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033B4F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67" w:type="pct"/>
                  <w:shd w:val="clear" w:color="auto" w:fill="auto"/>
                  <w:vAlign w:val="center"/>
                </w:tcPr>
                <w:p w14:paraId="2B1D6F4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ABS塑料粒</w:t>
                  </w:r>
                </w:p>
              </w:tc>
              <w:tc>
                <w:tcPr>
                  <w:tcW w:w="3850" w:type="pct"/>
                </w:tcPr>
                <w:p w14:paraId="77046691">
                  <w:pP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主要成分为丙烯腈、1，3-丁二烯、苯乙烯三种单体的三元共聚物。为微黄色固体。具有良好尺寸稳定性，它抗酸、碱、盐的腐蚀能力比较强，也可在一定程度上耐受有机溶剂溶解。广泛应用于机械、汽车、电子电器、仪器仪表、纺织和建筑等工业领域，是一种用途极广的热塑型工程塑料。有一定的韧性，密度约为1.04-1.06g/c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vertAlign w:val="baseline"/>
                    </w:rPr>
                    <w:t>，成型收缩率0.4-0.7%，熔点为160-210℃左右，分解温度在270℃以上。</w:t>
                  </w:r>
                </w:p>
              </w:tc>
            </w:tr>
            <w:tr w14:paraId="564D6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5FEB675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67" w:type="pct"/>
                  <w:shd w:val="clear" w:color="auto" w:fill="auto"/>
                  <w:vAlign w:val="center"/>
                </w:tcPr>
                <w:p w14:paraId="5C581C3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PET光学膜</w:t>
                  </w:r>
                </w:p>
              </w:tc>
              <w:tc>
                <w:tcPr>
                  <w:tcW w:w="3850" w:type="pct"/>
                </w:tcPr>
                <w:p w14:paraId="7F82536E">
                  <w:pP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rPr>
                    <w:t>是以聚对苯二甲酸乙二醇酯（PET）为基材的功能性薄膜，</w:t>
                  </w:r>
                  <w:r>
                    <w:rPr>
                      <w:rFonts w:hint="default" w:ascii="Times New Roman" w:hAnsi="Times New Roman" w:cs="Times New Roman"/>
                      <w:color w:val="auto"/>
                      <w:sz w:val="21"/>
                      <w:szCs w:val="21"/>
                      <w:highlight w:val="none"/>
                      <w:vertAlign w:val="baseline"/>
                      <w:lang w:eastAsia="zh-CN"/>
                    </w:rPr>
                    <w:t>为自粘膜，</w:t>
                  </w:r>
                  <w:r>
                    <w:rPr>
                      <w:rFonts w:hint="default" w:ascii="Times New Roman" w:hAnsi="Times New Roman" w:cs="Times New Roman"/>
                      <w:color w:val="auto"/>
                      <w:sz w:val="21"/>
                      <w:szCs w:val="21"/>
                      <w:highlight w:val="none"/>
                      <w:vertAlign w:val="baseline"/>
                    </w:rPr>
                    <w:t>通过涂层、拉伸等工艺赋予其光学特性</w:t>
                  </w:r>
                  <w:r>
                    <w:rPr>
                      <w:rFonts w:hint="default" w:ascii="Times New Roman" w:hAnsi="Times New Roman" w:cs="Times New Roman"/>
                      <w:color w:val="auto"/>
                      <w:sz w:val="21"/>
                      <w:szCs w:val="21"/>
                      <w:highlight w:val="none"/>
                      <w:vertAlign w:val="baseline"/>
                      <w:lang w:eastAsia="zh-CN"/>
                    </w:rPr>
                    <w:t>。</w:t>
                  </w:r>
                </w:p>
              </w:tc>
            </w:tr>
            <w:tr w14:paraId="3A91F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4A4B422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867" w:type="pct"/>
                  <w:shd w:val="clear" w:color="auto" w:fill="auto"/>
                  <w:vAlign w:val="center"/>
                </w:tcPr>
                <w:p w14:paraId="0A3DB8E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PET覆膜</w:t>
                  </w:r>
                </w:p>
              </w:tc>
              <w:tc>
                <w:tcPr>
                  <w:tcW w:w="3850" w:type="pct"/>
                </w:tcPr>
                <w:p w14:paraId="4DB75D10">
                  <w:pP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rPr>
                    <w:t>以聚对苯二甲酸乙二醇酯（PET）为基材的功能性薄膜，PET覆膜侧重表面防护、装饰功能，比如屏幕防刮覆膜、包装覆膜。</w:t>
                  </w:r>
                </w:p>
              </w:tc>
            </w:tr>
            <w:tr w14:paraId="569F1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2F9388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867" w:type="pct"/>
                  <w:shd w:val="clear" w:color="auto" w:fill="auto"/>
                  <w:vAlign w:val="center"/>
                </w:tcPr>
                <w:p w14:paraId="14C6F42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LED</w:t>
                  </w:r>
                  <w:r>
                    <w:rPr>
                      <w:rFonts w:hint="default" w:ascii="Times New Roman" w:hAnsi="Times New Roman" w:cs="Times New Roman"/>
                      <w:color w:val="auto"/>
                      <w:kern w:val="2"/>
                      <w:sz w:val="21"/>
                      <w:szCs w:val="21"/>
                      <w:highlight w:val="none"/>
                      <w:lang w:val="en-US" w:eastAsia="zh-CN" w:bidi="ar-SA"/>
                    </w:rPr>
                    <w:t>发光膜</w:t>
                  </w:r>
                </w:p>
              </w:tc>
              <w:tc>
                <w:tcPr>
                  <w:tcW w:w="3850" w:type="pct"/>
                </w:tcPr>
                <w:p w14:paraId="6C3F3812">
                  <w:pP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rPr>
                    <w:t>是将微型LED芯片嵌入柔性薄膜基材中的新型面光源，也叫LED软膜，属于轻量化、薄型化的发光组件。核心特点：厚度可薄至0.1-0.5mm，可弯曲、折叠，发光均匀柔和，能适应不规则曲面安装</w:t>
                  </w:r>
                  <w:r>
                    <w:rPr>
                      <w:rFonts w:hint="default" w:ascii="Times New Roman" w:hAnsi="Times New Roman" w:cs="Times New Roman"/>
                      <w:color w:val="auto"/>
                      <w:sz w:val="21"/>
                      <w:szCs w:val="21"/>
                      <w:highlight w:val="none"/>
                      <w:vertAlign w:val="baseline"/>
                      <w:lang w:eastAsia="zh-CN"/>
                    </w:rPr>
                    <w:t>。</w:t>
                  </w:r>
                </w:p>
              </w:tc>
            </w:tr>
            <w:tr w14:paraId="3723E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7980AC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867" w:type="pct"/>
                  <w:shd w:val="clear" w:color="auto" w:fill="auto"/>
                  <w:vAlign w:val="center"/>
                </w:tcPr>
                <w:p w14:paraId="29A3F58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ITO玻璃</w:t>
                  </w:r>
                </w:p>
              </w:tc>
              <w:tc>
                <w:tcPr>
                  <w:tcW w:w="3850" w:type="pct"/>
                </w:tcPr>
                <w:p w14:paraId="25CA6F6E">
                  <w:pP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是在普通玻璃表面溅射一层铟锡氧化物（ITO）导电薄膜的功能性玻璃，兼具透光性和导电性，是透明导电玻璃的主流类型。</w:t>
                  </w:r>
                </w:p>
              </w:tc>
            </w:tr>
            <w:tr w14:paraId="672DA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0B137DF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67" w:type="pct"/>
                  <w:shd w:val="clear" w:color="auto" w:fill="auto"/>
                  <w:vAlign w:val="center"/>
                </w:tcPr>
                <w:p w14:paraId="76F48BC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液晶</w:t>
                  </w:r>
                </w:p>
              </w:tc>
              <w:tc>
                <w:tcPr>
                  <w:tcW w:w="3850" w:type="pct"/>
                </w:tcPr>
                <w:p w14:paraId="7F260AD8">
                  <w:pP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eastAsia="zh-CN"/>
                    </w:rPr>
                    <w:t>液晶最核心用途是显示，同时在光通信、传感、智能调光、医疗、车载、工业、航空航天等领域广泛应用，</w:t>
                  </w:r>
                  <w:r>
                    <w:rPr>
                      <w:rFonts w:hint="default" w:ascii="Times New Roman" w:hAnsi="Times New Roman" w:cs="Times New Roman"/>
                      <w:color w:val="auto"/>
                      <w:sz w:val="21"/>
                      <w:szCs w:val="21"/>
                      <w:highlight w:val="none"/>
                      <w:vertAlign w:val="baseline"/>
                      <w:lang w:val="en-US" w:eastAsia="zh-CN"/>
                    </w:rPr>
                    <w:t>液晶在本项目用于显示。</w:t>
                  </w:r>
                  <w:r>
                    <w:rPr>
                      <w:rFonts w:hint="default" w:ascii="Times New Roman" w:hAnsi="Times New Roman" w:cs="Times New Roman"/>
                      <w:color w:val="auto"/>
                      <w:sz w:val="21"/>
                      <w:szCs w:val="21"/>
                      <w:highlight w:val="none"/>
                      <w:vertAlign w:val="baseline"/>
                      <w:lang w:eastAsia="zh-CN"/>
                    </w:rPr>
                    <w:t>液晶</w:t>
                  </w:r>
                  <w:r>
                    <w:rPr>
                      <w:rFonts w:hint="default" w:ascii="Times New Roman" w:hAnsi="Times New Roman" w:cs="Times New Roman"/>
                      <w:color w:val="auto"/>
                      <w:sz w:val="21"/>
                      <w:szCs w:val="21"/>
                      <w:highlight w:val="none"/>
                      <w:vertAlign w:val="baseline"/>
                      <w:lang w:val="en-US" w:eastAsia="zh-CN"/>
                    </w:rPr>
                    <w:t>为</w:t>
                  </w:r>
                  <w:r>
                    <w:rPr>
                      <w:rFonts w:hint="default" w:ascii="Times New Roman" w:hAnsi="Times New Roman" w:cs="Times New Roman"/>
                      <w:color w:val="auto"/>
                      <w:sz w:val="21"/>
                      <w:szCs w:val="21"/>
                      <w:highlight w:val="none"/>
                      <w:vertAlign w:val="baseline"/>
                      <w:lang w:eastAsia="zh-CN"/>
                    </w:rPr>
                    <w:t>白色乳液，比重约</w:t>
                  </w:r>
                  <w:r>
                    <w:rPr>
                      <w:rFonts w:hint="default" w:ascii="Times New Roman" w:hAnsi="Times New Roman" w:cs="Times New Roman"/>
                      <w:color w:val="auto"/>
                      <w:sz w:val="21"/>
                      <w:szCs w:val="21"/>
                      <w:highlight w:val="none"/>
                      <w:vertAlign w:val="baseline"/>
                      <w:lang w:val="en-US" w:eastAsia="zh-CN"/>
                    </w:rPr>
                    <w:t>0.99，闪点300℃，不易燃。</w:t>
                  </w:r>
                </w:p>
                <w:tbl>
                  <w:tblPr>
                    <w:tblStyle w:val="39"/>
                    <w:tblW w:w="499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3331"/>
                    <w:gridCol w:w="1416"/>
                    <w:gridCol w:w="835"/>
                  </w:tblGrid>
                  <w:tr w14:paraId="587B5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Merge w:val="restart"/>
                        <w:vAlign w:val="center"/>
                      </w:tcPr>
                      <w:p w14:paraId="224F76D8">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eastAsia="zh-CN"/>
                          </w:rPr>
                          <w:t>主要成分</w:t>
                        </w:r>
                      </w:p>
                    </w:tc>
                    <w:tc>
                      <w:tcPr>
                        <w:tcW w:w="2652" w:type="pct"/>
                        <w:vAlign w:val="center"/>
                      </w:tcPr>
                      <w:p w14:paraId="1CDE7D88">
                        <w:pPr>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eastAsia="zh-CN"/>
                          </w:rPr>
                          <w:t>组成</w:t>
                        </w:r>
                      </w:p>
                    </w:tc>
                    <w:tc>
                      <w:tcPr>
                        <w:tcW w:w="1127" w:type="pct"/>
                        <w:vAlign w:val="center"/>
                      </w:tcPr>
                      <w:p w14:paraId="5503DFFF">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CAS号</w:t>
                        </w:r>
                      </w:p>
                    </w:tc>
                    <w:tc>
                      <w:tcPr>
                        <w:tcW w:w="665" w:type="pct"/>
                        <w:vAlign w:val="center"/>
                      </w:tcPr>
                      <w:p w14:paraId="0217621D">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含量%</w:t>
                        </w:r>
                      </w:p>
                    </w:tc>
                  </w:tr>
                  <w:tr w14:paraId="6194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Merge w:val="continue"/>
                        <w:vAlign w:val="center"/>
                      </w:tcPr>
                      <w:p w14:paraId="02432445">
                        <w:pPr>
                          <w:jc w:val="center"/>
                          <w:rPr>
                            <w:rFonts w:hint="default" w:ascii="Times New Roman" w:hAnsi="Times New Roman" w:eastAsia="宋体" w:cs="Times New Roman"/>
                            <w:color w:val="auto"/>
                            <w:sz w:val="21"/>
                            <w:szCs w:val="21"/>
                            <w:highlight w:val="none"/>
                            <w:vertAlign w:val="baseline"/>
                            <w:lang w:eastAsia="zh-CN"/>
                          </w:rPr>
                        </w:pPr>
                      </w:p>
                    </w:tc>
                    <w:tc>
                      <w:tcPr>
                        <w:tcW w:w="2652" w:type="pct"/>
                        <w:vAlign w:val="center"/>
                      </w:tcPr>
                      <w:p w14:paraId="1DE6E938">
                        <w:pPr>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4’-(反式-4-丙基环己基)-[1,1’-联苯]-4-甲腈</w:t>
                        </w:r>
                      </w:p>
                    </w:tc>
                    <w:tc>
                      <w:tcPr>
                        <w:tcW w:w="1127" w:type="pct"/>
                        <w:vAlign w:val="center"/>
                      </w:tcPr>
                      <w:p w14:paraId="046AEBA0">
                        <w:pPr>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Segoe UI" w:cs="Times New Roman"/>
                            <w:i w:val="0"/>
                            <w:iCs w:val="0"/>
                            <w:caps w:val="0"/>
                            <w:color w:val="auto"/>
                            <w:spacing w:val="0"/>
                            <w:sz w:val="21"/>
                            <w:szCs w:val="21"/>
                            <w:highlight w:val="none"/>
                            <w:shd w:val="clear" w:fill="FFFFFF"/>
                          </w:rPr>
                          <w:t>94412-40-5</w:t>
                        </w:r>
                      </w:p>
                    </w:tc>
                    <w:tc>
                      <w:tcPr>
                        <w:tcW w:w="665" w:type="pct"/>
                        <w:vAlign w:val="center"/>
                      </w:tcPr>
                      <w:p w14:paraId="4E989459">
                        <w:pPr>
                          <w:jc w:val="center"/>
                          <w:rPr>
                            <w:rFonts w:hint="default" w:ascii="Times New Roman" w:hAnsi="Times New Roman" w:eastAsia="宋体" w:cs="Times New Roman"/>
                            <w:i w:val="0"/>
                            <w:iCs w:val="0"/>
                            <w:caps w:val="0"/>
                            <w:color w:val="auto"/>
                            <w:spacing w:val="0"/>
                            <w:sz w:val="21"/>
                            <w:szCs w:val="21"/>
                            <w:highlight w:val="none"/>
                            <w:shd w:val="clear" w:fill="FFFFFF"/>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20</w:t>
                        </w:r>
                      </w:p>
                    </w:tc>
                  </w:tr>
                  <w:tr w14:paraId="4421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Merge w:val="continue"/>
                        <w:vAlign w:val="center"/>
                      </w:tcPr>
                      <w:p w14:paraId="6DB73394">
                        <w:pPr>
                          <w:jc w:val="center"/>
                          <w:rPr>
                            <w:rFonts w:hint="default" w:ascii="Times New Roman" w:hAnsi="Times New Roman" w:cs="Times New Roman"/>
                            <w:color w:val="auto"/>
                            <w:sz w:val="21"/>
                            <w:szCs w:val="21"/>
                            <w:highlight w:val="none"/>
                            <w:vertAlign w:val="baseline"/>
                          </w:rPr>
                        </w:pPr>
                      </w:p>
                    </w:tc>
                    <w:tc>
                      <w:tcPr>
                        <w:tcW w:w="2652" w:type="pct"/>
                        <w:vAlign w:val="center"/>
                      </w:tcPr>
                      <w:p w14:paraId="3AB8E6C0">
                        <w:pPr>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1-(4-甲氧基苯基)乙炔基-4-正戊苯</w:t>
                        </w:r>
                      </w:p>
                    </w:tc>
                    <w:tc>
                      <w:tcPr>
                        <w:tcW w:w="1127" w:type="pct"/>
                        <w:vAlign w:val="center"/>
                      </w:tcPr>
                      <w:p w14:paraId="35E6176E">
                        <w:pPr>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Segoe UI" w:cs="Times New Roman"/>
                            <w:i w:val="0"/>
                            <w:iCs w:val="0"/>
                            <w:caps w:val="0"/>
                            <w:color w:val="auto"/>
                            <w:spacing w:val="0"/>
                            <w:sz w:val="21"/>
                            <w:szCs w:val="21"/>
                            <w:highlight w:val="none"/>
                            <w:shd w:val="clear" w:fill="FFFFFF"/>
                          </w:rPr>
                          <w:t>39969-28-3</w:t>
                        </w:r>
                      </w:p>
                    </w:tc>
                    <w:tc>
                      <w:tcPr>
                        <w:tcW w:w="665" w:type="pct"/>
                        <w:vAlign w:val="center"/>
                      </w:tcPr>
                      <w:p w14:paraId="1792BC40">
                        <w:pPr>
                          <w:jc w:val="center"/>
                          <w:rPr>
                            <w:rFonts w:hint="default" w:ascii="Times New Roman" w:hAnsi="Times New Roman" w:eastAsia="宋体" w:cs="Times New Roman"/>
                            <w:i w:val="0"/>
                            <w:iCs w:val="0"/>
                            <w:caps w:val="0"/>
                            <w:color w:val="auto"/>
                            <w:spacing w:val="0"/>
                            <w:sz w:val="21"/>
                            <w:szCs w:val="21"/>
                            <w:highlight w:val="none"/>
                            <w:shd w:val="clear" w:fill="FFFFFF"/>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35</w:t>
                        </w:r>
                      </w:p>
                    </w:tc>
                  </w:tr>
                  <w:tr w14:paraId="25901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Merge w:val="continue"/>
                        <w:vAlign w:val="center"/>
                      </w:tcPr>
                      <w:p w14:paraId="03451813">
                        <w:pPr>
                          <w:jc w:val="center"/>
                          <w:rPr>
                            <w:rFonts w:hint="default" w:ascii="Times New Roman" w:hAnsi="Times New Roman" w:cs="Times New Roman"/>
                            <w:color w:val="auto"/>
                            <w:sz w:val="21"/>
                            <w:szCs w:val="21"/>
                            <w:highlight w:val="none"/>
                            <w:vertAlign w:val="baseline"/>
                          </w:rPr>
                        </w:pPr>
                      </w:p>
                    </w:tc>
                    <w:tc>
                      <w:tcPr>
                        <w:tcW w:w="2652" w:type="pct"/>
                        <w:vAlign w:val="center"/>
                      </w:tcPr>
                      <w:p w14:paraId="57D569E5">
                        <w:pPr>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反,反-4-(3,4-二氟苯基)-4''-丁基双环己烷</w:t>
                        </w:r>
                      </w:p>
                    </w:tc>
                    <w:tc>
                      <w:tcPr>
                        <w:tcW w:w="1127" w:type="pct"/>
                        <w:vAlign w:val="center"/>
                      </w:tcPr>
                      <w:p w14:paraId="4A83758F">
                        <w:pPr>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Segoe UI" w:cs="Times New Roman"/>
                            <w:i w:val="0"/>
                            <w:iCs w:val="0"/>
                            <w:caps w:val="0"/>
                            <w:color w:val="auto"/>
                            <w:spacing w:val="0"/>
                            <w:sz w:val="21"/>
                            <w:szCs w:val="21"/>
                            <w:highlight w:val="none"/>
                            <w:shd w:val="clear" w:fill="FFFFFF"/>
                          </w:rPr>
                          <w:t>82832-58-4</w:t>
                        </w:r>
                      </w:p>
                    </w:tc>
                    <w:tc>
                      <w:tcPr>
                        <w:tcW w:w="665" w:type="pct"/>
                        <w:vAlign w:val="center"/>
                      </w:tcPr>
                      <w:p w14:paraId="10416C60">
                        <w:pPr>
                          <w:jc w:val="center"/>
                          <w:rPr>
                            <w:rFonts w:hint="default" w:ascii="Times New Roman" w:hAnsi="Times New Roman" w:eastAsia="宋体" w:cs="Times New Roman"/>
                            <w:i w:val="0"/>
                            <w:iCs w:val="0"/>
                            <w:caps w:val="0"/>
                            <w:color w:val="auto"/>
                            <w:spacing w:val="0"/>
                            <w:sz w:val="21"/>
                            <w:szCs w:val="21"/>
                            <w:highlight w:val="none"/>
                            <w:shd w:val="clear" w:fill="FFFFFF"/>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25</w:t>
                        </w:r>
                      </w:p>
                    </w:tc>
                  </w:tr>
                  <w:tr w14:paraId="43308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Merge w:val="continue"/>
                        <w:vAlign w:val="center"/>
                      </w:tcPr>
                      <w:p w14:paraId="1C085BD3">
                        <w:pPr>
                          <w:jc w:val="center"/>
                          <w:rPr>
                            <w:rFonts w:hint="default" w:ascii="Times New Roman" w:hAnsi="Times New Roman" w:cs="Times New Roman"/>
                            <w:color w:val="auto"/>
                            <w:sz w:val="21"/>
                            <w:szCs w:val="21"/>
                            <w:highlight w:val="none"/>
                            <w:vertAlign w:val="baseline"/>
                          </w:rPr>
                        </w:pPr>
                      </w:p>
                    </w:tc>
                    <w:tc>
                      <w:tcPr>
                        <w:tcW w:w="2652" w:type="pct"/>
                        <w:vAlign w:val="center"/>
                      </w:tcPr>
                      <w:p w14:paraId="72C5DF36">
                        <w:pPr>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rPr>
                          <w:t>反式-4'-(4-戊基环己基)-[1,1'-联苯]-4-腈</w:t>
                        </w:r>
                      </w:p>
                    </w:tc>
                    <w:tc>
                      <w:tcPr>
                        <w:tcW w:w="1127" w:type="pct"/>
                        <w:vAlign w:val="center"/>
                      </w:tcPr>
                      <w:p w14:paraId="46431FF6">
                        <w:pPr>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Segoe UI" w:cs="Times New Roman"/>
                            <w:i w:val="0"/>
                            <w:iCs w:val="0"/>
                            <w:caps w:val="0"/>
                            <w:color w:val="auto"/>
                            <w:spacing w:val="0"/>
                            <w:sz w:val="21"/>
                            <w:szCs w:val="21"/>
                            <w:highlight w:val="none"/>
                            <w:shd w:val="clear" w:fill="FFFFFF"/>
                          </w:rPr>
                          <w:t>68065-81-6</w:t>
                        </w:r>
                      </w:p>
                    </w:tc>
                    <w:tc>
                      <w:tcPr>
                        <w:tcW w:w="665" w:type="pct"/>
                        <w:vAlign w:val="center"/>
                      </w:tcPr>
                      <w:p w14:paraId="2EA0B094">
                        <w:pPr>
                          <w:jc w:val="center"/>
                          <w:rPr>
                            <w:rFonts w:hint="default" w:ascii="Times New Roman" w:hAnsi="Times New Roman" w:eastAsia="宋体" w:cs="Times New Roman"/>
                            <w:i w:val="0"/>
                            <w:iCs w:val="0"/>
                            <w:caps w:val="0"/>
                            <w:color w:val="auto"/>
                            <w:spacing w:val="0"/>
                            <w:sz w:val="21"/>
                            <w:szCs w:val="21"/>
                            <w:highlight w:val="none"/>
                            <w:shd w:val="clear" w:fill="FFFFFF"/>
                            <w:lang w:val="en-US" w:eastAsia="zh-CN"/>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20</w:t>
                        </w:r>
                      </w:p>
                    </w:tc>
                  </w:tr>
                </w:tbl>
                <w:p w14:paraId="5E3AA0EA">
                  <w:pPr>
                    <w:rPr>
                      <w:rFonts w:hint="default" w:ascii="Times New Roman" w:hAnsi="Times New Roman" w:cs="Times New Roman"/>
                      <w:color w:val="auto"/>
                      <w:sz w:val="21"/>
                      <w:szCs w:val="21"/>
                      <w:highlight w:val="none"/>
                    </w:rPr>
                  </w:pPr>
                </w:p>
              </w:tc>
            </w:tr>
            <w:tr w14:paraId="581E5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5DDD2D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67" w:type="pct"/>
                  <w:shd w:val="clear" w:color="auto" w:fill="auto"/>
                  <w:vAlign w:val="center"/>
                </w:tcPr>
                <w:p w14:paraId="527265B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封口胶</w:t>
                  </w:r>
                </w:p>
              </w:tc>
              <w:tc>
                <w:tcPr>
                  <w:tcW w:w="3850" w:type="pct"/>
                </w:tcPr>
                <w:p w14:paraId="3DDB6A84">
                  <w:pP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固化后为透明固体；典型丙烯酸酯味；沸点约230℃；闪点约106℃。爆炸上限6.0%、爆炸下限1.3%；相对密度（水=1）＞1.17克/立方厘米（20℃）；蒸汽压</w:t>
                  </w:r>
                  <w:r>
                    <w:rPr>
                      <w:rFonts w:hint="default" w:ascii="Times New Roman" w:hAnsi="Times New Roman" w:cs="Times New Roman"/>
                      <w:color w:val="auto"/>
                      <w:sz w:val="21"/>
                      <w:szCs w:val="21"/>
                      <w:highlight w:val="none"/>
                      <w:u w:val="none"/>
                      <w:vertAlign w:val="baseline"/>
                      <w:lang w:val="en-US" w:eastAsia="zh-CN"/>
                    </w:rPr>
                    <w:t>5m</w:t>
                  </w:r>
                  <w:r>
                    <w:rPr>
                      <w:rFonts w:hint="default" w:ascii="Times New Roman" w:hAnsi="Times New Roman" w:cs="Times New Roman"/>
                      <w:color w:val="auto"/>
                      <w:sz w:val="21"/>
                      <w:szCs w:val="21"/>
                      <w:highlight w:val="none"/>
                      <w:vertAlign w:val="baseline"/>
                      <w:lang w:val="en-US" w:eastAsia="zh-CN"/>
                    </w:rPr>
                    <w:t>mHg（20℃）。不溶于水。主要成分：聚氨酯丙烯酸酯25%-45%、甲基丙烯酸酯5%-35%、丙烯酸酯单体20%-35%、引发剂2%-6%。根据VOCs检测报告，VOCs含量为10g/kg。</w:t>
                  </w:r>
                </w:p>
              </w:tc>
            </w:tr>
            <w:tr w14:paraId="6960E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4D969D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867" w:type="pct"/>
                  <w:shd w:val="clear" w:color="auto" w:fill="auto"/>
                  <w:vAlign w:val="center"/>
                </w:tcPr>
                <w:p w14:paraId="0BF24BA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START-3380A</w:t>
                  </w:r>
                  <w:r>
                    <w:rPr>
                      <w:rFonts w:hint="default" w:ascii="Times New Roman" w:hAnsi="Times New Roman" w:cs="Times New Roman"/>
                      <w:color w:val="auto"/>
                      <w:sz w:val="21"/>
                      <w:szCs w:val="21"/>
                      <w:highlight w:val="none"/>
                    </w:rPr>
                    <w:t>液晶清洗剂</w:t>
                  </w:r>
                </w:p>
              </w:tc>
              <w:tc>
                <w:tcPr>
                  <w:tcW w:w="3850" w:type="pct"/>
                </w:tcPr>
                <w:p w14:paraId="3C711056">
                  <w:pPr>
                    <w:rPr>
                      <w:rFonts w:hint="default" w:ascii="Times New Roman" w:hAnsi="Times New Roman" w:cs="Times New Roman"/>
                      <w:color w:val="auto"/>
                      <w:sz w:val="21"/>
                      <w:szCs w:val="21"/>
                      <w:highlight w:val="none"/>
                      <w:vertAlign w:val="baseline"/>
                      <w:lang w:val="en-US"/>
                    </w:rPr>
                  </w:pPr>
                  <w:r>
                    <w:rPr>
                      <w:rFonts w:hint="default" w:ascii="Times New Roman" w:hAnsi="Times New Roman" w:cs="Times New Roman"/>
                      <w:color w:val="auto"/>
                      <w:sz w:val="21"/>
                      <w:szCs w:val="21"/>
                      <w:highlight w:val="none"/>
                      <w:vertAlign w:val="baseline"/>
                    </w:rPr>
                    <w:t>透明液体</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轻微溶剂味</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馏程200-250℃</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比重（25℃）0.750-0.850g/ml</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闪点（闭口）大于65℃</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急性毒性LD</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vertAlign w:val="baseline"/>
                    </w:rPr>
                    <w:t>&gt;15000mg/kg</w:t>
                  </w:r>
                  <w:r>
                    <w:rPr>
                      <w:rFonts w:hint="default" w:ascii="Times New Roman" w:hAnsi="Times New Roman" w:cs="Times New Roman"/>
                      <w:color w:val="auto"/>
                      <w:sz w:val="21"/>
                      <w:szCs w:val="21"/>
                      <w:highlight w:val="none"/>
                      <w:vertAlign w:val="baseline"/>
                      <w:lang w:eastAsia="zh-CN"/>
                    </w:rPr>
                    <w:t>。本品为混合物，成分：异构烷烃碳氢化合物6.8%、脂肪醇聚氧乙烯醚30%、烷基酚聚氧乙烯醚20%、6501</w:t>
                  </w:r>
                  <w:r>
                    <w:rPr>
                      <w:rFonts w:hint="default" w:ascii="Times New Roman" w:hAnsi="Times New Roman" w:cs="Times New Roman"/>
                      <w:color w:val="auto"/>
                      <w:sz w:val="21"/>
                      <w:szCs w:val="21"/>
                      <w:highlight w:val="none"/>
                      <w:vertAlign w:val="baseline"/>
                      <w:lang w:val="en-US" w:eastAsia="zh-CN"/>
                    </w:rPr>
                    <w:t>助剂</w:t>
                  </w:r>
                  <w:r>
                    <w:rPr>
                      <w:rFonts w:hint="default" w:ascii="Times New Roman" w:hAnsi="Times New Roman" w:cs="Times New Roman"/>
                      <w:color w:val="auto"/>
                      <w:sz w:val="21"/>
                      <w:szCs w:val="21"/>
                      <w:highlight w:val="none"/>
                      <w:vertAlign w:val="baseline"/>
                      <w:lang w:eastAsia="zh-CN"/>
                    </w:rPr>
                    <w:t>0.2%、水43%。</w:t>
                  </w:r>
                </w:p>
              </w:tc>
            </w:tr>
            <w:tr w14:paraId="3AB3D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Align w:val="center"/>
                </w:tcPr>
                <w:p w14:paraId="03FD98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67" w:type="pct"/>
                  <w:shd w:val="clear" w:color="auto" w:fill="auto"/>
                  <w:vAlign w:val="center"/>
                </w:tcPr>
                <w:p w14:paraId="46B5F95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START-3380B液晶清洗剂</w:t>
                  </w:r>
                </w:p>
              </w:tc>
              <w:tc>
                <w:tcPr>
                  <w:tcW w:w="3850" w:type="pct"/>
                </w:tcPr>
                <w:p w14:paraId="09960B56">
                  <w:pP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rPr>
                    <w:t>透明液体</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气味轻微</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比重（25℃）0.990-1.100g/ml</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稳定</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禁配物</w:t>
                  </w:r>
                  <w:r>
                    <w:rPr>
                      <w:rFonts w:hint="default" w:ascii="Times New Roman" w:hAnsi="Times New Roman" w:cs="Times New Roman"/>
                      <w:color w:val="auto"/>
                      <w:sz w:val="21"/>
                      <w:szCs w:val="21"/>
                      <w:highlight w:val="none"/>
                      <w:vertAlign w:val="baseline"/>
                      <w:lang w:eastAsia="zh-CN"/>
                    </w:rPr>
                    <w:t>为</w:t>
                  </w:r>
                  <w:r>
                    <w:rPr>
                      <w:rFonts w:hint="default" w:ascii="Times New Roman" w:hAnsi="Times New Roman" w:cs="Times New Roman"/>
                      <w:color w:val="auto"/>
                      <w:sz w:val="21"/>
                      <w:szCs w:val="21"/>
                      <w:highlight w:val="none"/>
                      <w:vertAlign w:val="baseline"/>
                    </w:rPr>
                    <w:t>强酸性</w:t>
                  </w:r>
                  <w:r>
                    <w:rPr>
                      <w:rFonts w:hint="default" w:ascii="Times New Roman" w:hAnsi="Times New Roman" w:cs="Times New Roman"/>
                      <w:color w:val="auto"/>
                      <w:sz w:val="21"/>
                      <w:szCs w:val="21"/>
                      <w:highlight w:val="none"/>
                      <w:vertAlign w:val="baseline"/>
                      <w:lang w:eastAsia="zh-CN"/>
                    </w:rPr>
                    <w:t>物质。</w:t>
                  </w:r>
                  <w:r>
                    <w:rPr>
                      <w:rFonts w:hint="default" w:ascii="Times New Roman" w:hAnsi="Times New Roman" w:cs="Times New Roman"/>
                      <w:color w:val="auto"/>
                      <w:sz w:val="21"/>
                      <w:szCs w:val="21"/>
                      <w:highlight w:val="none"/>
                      <w:vertAlign w:val="baseline"/>
                    </w:rPr>
                    <w:t>急性毒性LD</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vertAlign w:val="baseline"/>
                    </w:rPr>
                    <w:t>&gt;15000mg/kg</w:t>
                  </w:r>
                  <w:r>
                    <w:rPr>
                      <w:rFonts w:hint="default" w:ascii="Times New Roman" w:hAnsi="Times New Roman" w:cs="Times New Roman"/>
                      <w:color w:val="auto"/>
                      <w:sz w:val="21"/>
                      <w:szCs w:val="21"/>
                      <w:highlight w:val="none"/>
                      <w:vertAlign w:val="baseline"/>
                      <w:lang w:eastAsia="zh-CN"/>
                    </w:rPr>
                    <w:t>。本品为混合物，成分：</w:t>
                  </w:r>
                  <w:r>
                    <w:rPr>
                      <w:rFonts w:hint="default" w:ascii="Times New Roman" w:hAnsi="Times New Roman" w:cs="Times New Roman"/>
                      <w:color w:val="auto"/>
                      <w:sz w:val="21"/>
                      <w:szCs w:val="21"/>
                      <w:highlight w:val="none"/>
                      <w:vertAlign w:val="baseline"/>
                    </w:rPr>
                    <w:t>N-甲基吡咯烷酮15-30%</w:t>
                  </w:r>
                  <w:r>
                    <w:rPr>
                      <w:rFonts w:hint="default" w:ascii="Times New Roman" w:hAnsi="Times New Roman" w:cs="Times New Roman"/>
                      <w:color w:val="auto"/>
                      <w:sz w:val="21"/>
                      <w:szCs w:val="21"/>
                      <w:highlight w:val="none"/>
                      <w:vertAlign w:val="baseline"/>
                      <w:lang w:eastAsia="zh-CN"/>
                    </w:rPr>
                    <w:t>、脂肪醇聚氧乙烯醚</w:t>
                  </w:r>
                  <w:r>
                    <w:rPr>
                      <w:rFonts w:hint="default" w:ascii="Times New Roman" w:hAnsi="Times New Roman" w:cs="Times New Roman"/>
                      <w:color w:val="auto"/>
                      <w:sz w:val="21"/>
                      <w:szCs w:val="21"/>
                      <w:highlight w:val="none"/>
                      <w:vertAlign w:val="baseline"/>
                    </w:rPr>
                    <w:t>20-40%</w:t>
                  </w:r>
                  <w:r>
                    <w:rPr>
                      <w:rFonts w:hint="default" w:ascii="Times New Roman" w:hAnsi="Times New Roman" w:cs="Times New Roman"/>
                      <w:color w:val="auto"/>
                      <w:sz w:val="21"/>
                      <w:szCs w:val="21"/>
                      <w:highlight w:val="none"/>
                      <w:vertAlign w:val="baseline"/>
                      <w:lang w:eastAsia="zh-CN"/>
                    </w:rPr>
                    <w:t>、一缩二乙二醇单乙醚</w:t>
                  </w:r>
                  <w:r>
                    <w:rPr>
                      <w:rFonts w:hint="default" w:ascii="Times New Roman" w:hAnsi="Times New Roman" w:cs="Times New Roman"/>
                      <w:color w:val="auto"/>
                      <w:sz w:val="21"/>
                      <w:szCs w:val="21"/>
                      <w:highlight w:val="none"/>
                      <w:vertAlign w:val="baseline"/>
                    </w:rPr>
                    <w:t>1-5%</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rPr>
                    <w:t>水25-64%</w:t>
                  </w:r>
                  <w:r>
                    <w:rPr>
                      <w:rFonts w:hint="default" w:ascii="Times New Roman" w:hAnsi="Times New Roman" w:cs="Times New Roman"/>
                      <w:color w:val="auto"/>
                      <w:sz w:val="21"/>
                      <w:szCs w:val="21"/>
                      <w:highlight w:val="none"/>
                      <w:vertAlign w:val="baseline"/>
                      <w:lang w:eastAsia="zh-CN"/>
                    </w:rPr>
                    <w:t>。</w:t>
                  </w:r>
                </w:p>
              </w:tc>
            </w:tr>
            <w:tr w14:paraId="642DB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Align w:val="center"/>
                </w:tcPr>
                <w:p w14:paraId="685C6DE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867" w:type="pct"/>
                  <w:shd w:val="clear" w:color="auto" w:fill="auto"/>
                  <w:vAlign w:val="center"/>
                </w:tcPr>
                <w:p w14:paraId="670E65C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点胶剂</w:t>
                  </w:r>
                </w:p>
              </w:tc>
              <w:tc>
                <w:tcPr>
                  <w:tcW w:w="3850" w:type="pct"/>
                </w:tcPr>
                <w:p w14:paraId="2668FD98">
                  <w:pP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粘稠状液体；清澈透明；微单体气味；分解温度&gt;200℃；闪点&gt;100℃（闭杯）；蒸汽压&lt;0.05mmHg；不溶于水，可溶于丙酮。比重1.14±0.02；沸点范围＞100℃。主要成分：1,6己二醇二丙烯酸3-5%、2-羟基-甲基苯基丙烷-1-酮4-7%、改性环氧丙烯酸酯90-95%。根据VOCs检测报告，VOCs含量为5g/kg。</w:t>
                  </w:r>
                </w:p>
              </w:tc>
            </w:tr>
            <w:tr w14:paraId="03D99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vAlign w:val="center"/>
                </w:tcPr>
                <w:p w14:paraId="3C6C54D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867" w:type="pct"/>
                  <w:shd w:val="clear" w:color="auto" w:fill="auto"/>
                  <w:vAlign w:val="center"/>
                </w:tcPr>
                <w:p w14:paraId="0AFBE41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机油</w:t>
                  </w:r>
                </w:p>
              </w:tc>
              <w:tc>
                <w:tcPr>
                  <w:tcW w:w="3850" w:type="pct"/>
                </w:tcPr>
                <w:p w14:paraId="6966B566">
                  <w:pP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黃至棕色透明液体，无特殊刺鼻味，蒸汽密度（空气=1）2.62，密度0.87～0.89g/cm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主要用于减少运动部件表面间的摩擦，同时对机器设备具有冷却、密封、防腐、防锈、绝缘、功率传送、清洗杂质等作用。主要以来自原油蒸馏装置的润滑油馏分和渣油馏分为原料。润滑油最主要的性能是粘度、氧化安定性和润滑性，它们与润滑油馏分的组成密切相关。润滑油的主要成分为基础油和添加剂，基础油分别有矿物基础油、合成基础油以及生物基础油三大类，添加剂一般有粘度指数改进剂，倾点下降剂，抗氧化剂，清净分散剂，摩擦缓和剂，油性剂，极压添加剂，抗泡沫剂，金属钝化剂，乳化剂，防腐蚀剂，防锈剂，破乳化剂，抗氧抗腐剂等。</w:t>
                  </w:r>
                </w:p>
              </w:tc>
            </w:tr>
          </w:tbl>
          <w:p w14:paraId="0F31921B">
            <w:pPr>
              <w:rPr>
                <w:rFonts w:hint="default" w:ascii="Times New Roman" w:hAnsi="Times New Roman" w:cs="Times New Roman"/>
                <w:color w:val="auto"/>
                <w:highlight w:val="none"/>
              </w:rPr>
            </w:pPr>
          </w:p>
          <w:p w14:paraId="7BAB5A26">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 xml:space="preserve"> 本项目涉VOCs原料信息一览表</w:t>
            </w:r>
          </w:p>
          <w:tbl>
            <w:tblPr>
              <w:tblStyle w:val="3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474"/>
              <w:gridCol w:w="1433"/>
              <w:gridCol w:w="2174"/>
              <w:gridCol w:w="2947"/>
            </w:tblGrid>
            <w:tr w14:paraId="25F2A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vAlign w:val="center"/>
                </w:tcPr>
                <w:p w14:paraId="278C16EA">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序号</w:t>
                  </w:r>
                </w:p>
              </w:tc>
              <w:tc>
                <w:tcPr>
                  <w:tcW w:w="871" w:type="pct"/>
                  <w:vAlign w:val="center"/>
                </w:tcPr>
                <w:p w14:paraId="249B33BF">
                  <w:pPr>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原料</w:t>
                  </w:r>
                </w:p>
              </w:tc>
              <w:tc>
                <w:tcPr>
                  <w:tcW w:w="847" w:type="pct"/>
                  <w:vAlign w:val="center"/>
                </w:tcPr>
                <w:p w14:paraId="46A0AE73">
                  <w:pPr>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用量（t/a）</w:t>
                  </w:r>
                </w:p>
              </w:tc>
              <w:tc>
                <w:tcPr>
                  <w:tcW w:w="1285" w:type="pct"/>
                  <w:vAlign w:val="center"/>
                </w:tcPr>
                <w:p w14:paraId="3A8CF241">
                  <w:pPr>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VOCs含量</w:t>
                  </w:r>
                </w:p>
              </w:tc>
              <w:tc>
                <w:tcPr>
                  <w:tcW w:w="1742" w:type="pct"/>
                  <w:vAlign w:val="center"/>
                </w:tcPr>
                <w:p w14:paraId="5DCD2B02">
                  <w:pPr>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本项目VOCs产生量（t/a）</w:t>
                  </w:r>
                </w:p>
              </w:tc>
            </w:tr>
            <w:tr w14:paraId="72CE8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shd w:val="clear" w:color="auto" w:fill="auto"/>
                  <w:vAlign w:val="center"/>
                </w:tcPr>
                <w:p w14:paraId="0D9D124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71" w:type="pct"/>
                  <w:shd w:val="clear" w:color="auto" w:fill="auto"/>
                  <w:vAlign w:val="center"/>
                </w:tcPr>
                <w:p w14:paraId="79ECD15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PS塑料粒</w:t>
                  </w:r>
                </w:p>
              </w:tc>
              <w:tc>
                <w:tcPr>
                  <w:tcW w:w="847" w:type="pct"/>
                  <w:shd w:val="clear" w:color="auto" w:fill="auto"/>
                  <w:vAlign w:val="center"/>
                </w:tcPr>
                <w:p w14:paraId="78221D0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48</w:t>
                  </w:r>
                </w:p>
              </w:tc>
              <w:tc>
                <w:tcPr>
                  <w:tcW w:w="1285" w:type="pct"/>
                  <w:shd w:val="clear" w:color="auto" w:fill="auto"/>
                  <w:vAlign w:val="center"/>
                </w:tcPr>
                <w:p w14:paraId="2CE4F51A">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p w14:paraId="32D0354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lang w:val="en-US" w:eastAsia="zh-CN"/>
                    </w:rPr>
                    <w:t>加热2.</w:t>
                  </w:r>
                  <w:r>
                    <w:rPr>
                      <w:rFonts w:hint="eastAsia" w:cs="Times New Roman"/>
                      <w:color w:val="auto"/>
                      <w:sz w:val="21"/>
                      <w:szCs w:val="21"/>
                      <w:lang w:val="en-US" w:eastAsia="zh-CN"/>
                    </w:rPr>
                    <w:t>368</w:t>
                  </w:r>
                  <w:r>
                    <w:rPr>
                      <w:rFonts w:hint="default" w:ascii="Times New Roman" w:hAnsi="Times New Roman" w:cs="Times New Roman"/>
                      <w:color w:val="auto"/>
                      <w:sz w:val="21"/>
                      <w:szCs w:val="21"/>
                    </w:rPr>
                    <w:t>kg/t-产品</w:t>
                  </w:r>
                </w:p>
              </w:tc>
              <w:tc>
                <w:tcPr>
                  <w:tcW w:w="1742" w:type="pct"/>
                  <w:shd w:val="clear" w:color="auto" w:fill="auto"/>
                  <w:vAlign w:val="center"/>
                </w:tcPr>
                <w:p w14:paraId="5D077FB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0.114</w:t>
                  </w:r>
                </w:p>
              </w:tc>
            </w:tr>
            <w:tr w14:paraId="516D1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shd w:val="clear" w:color="auto" w:fill="auto"/>
                  <w:vAlign w:val="center"/>
                </w:tcPr>
                <w:p w14:paraId="3309B5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871" w:type="pct"/>
                  <w:shd w:val="clear" w:color="auto" w:fill="auto"/>
                  <w:vAlign w:val="center"/>
                </w:tcPr>
                <w:p w14:paraId="7A6EAF3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ABS塑料粒</w:t>
                  </w:r>
                </w:p>
              </w:tc>
              <w:tc>
                <w:tcPr>
                  <w:tcW w:w="847" w:type="pct"/>
                  <w:shd w:val="clear" w:color="auto" w:fill="auto"/>
                  <w:vAlign w:val="center"/>
                </w:tcPr>
                <w:p w14:paraId="2BB2B81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48</w:t>
                  </w:r>
                </w:p>
              </w:tc>
              <w:tc>
                <w:tcPr>
                  <w:tcW w:w="1285" w:type="pct"/>
                  <w:shd w:val="clear" w:color="auto" w:fill="auto"/>
                  <w:vAlign w:val="center"/>
                </w:tcPr>
                <w:p w14:paraId="2140C72C">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p w14:paraId="2D3E6F5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lang w:val="en-US" w:eastAsia="zh-CN"/>
                    </w:rPr>
                    <w:t>加热2.</w:t>
                  </w:r>
                  <w:r>
                    <w:rPr>
                      <w:rFonts w:hint="eastAsia" w:cs="Times New Roman"/>
                      <w:color w:val="auto"/>
                      <w:sz w:val="21"/>
                      <w:szCs w:val="21"/>
                      <w:lang w:val="en-US" w:eastAsia="zh-CN"/>
                    </w:rPr>
                    <w:t>368</w:t>
                  </w:r>
                  <w:r>
                    <w:rPr>
                      <w:rFonts w:hint="default" w:ascii="Times New Roman" w:hAnsi="Times New Roman" w:cs="Times New Roman"/>
                      <w:color w:val="auto"/>
                      <w:sz w:val="21"/>
                      <w:szCs w:val="21"/>
                    </w:rPr>
                    <w:t>kg/t-产品</w:t>
                  </w:r>
                </w:p>
              </w:tc>
              <w:tc>
                <w:tcPr>
                  <w:tcW w:w="1742" w:type="pct"/>
                  <w:shd w:val="clear" w:color="auto" w:fill="auto"/>
                  <w:vAlign w:val="center"/>
                </w:tcPr>
                <w:p w14:paraId="4A589E43">
                  <w:pPr>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0.114</w:t>
                  </w:r>
                </w:p>
              </w:tc>
            </w:tr>
            <w:tr w14:paraId="43BF0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shd w:val="clear" w:color="auto" w:fill="auto"/>
                  <w:vAlign w:val="center"/>
                </w:tcPr>
                <w:p w14:paraId="072FC7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871" w:type="pct"/>
                  <w:shd w:val="clear" w:color="auto" w:fill="auto"/>
                  <w:vAlign w:val="center"/>
                </w:tcPr>
                <w:p w14:paraId="1586B19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封口胶</w:t>
                  </w:r>
                </w:p>
              </w:tc>
              <w:tc>
                <w:tcPr>
                  <w:tcW w:w="847" w:type="pct"/>
                  <w:shd w:val="clear" w:color="auto" w:fill="auto"/>
                  <w:vAlign w:val="center"/>
                </w:tcPr>
                <w:p w14:paraId="22620FE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0.39</w:t>
                  </w:r>
                </w:p>
              </w:tc>
              <w:tc>
                <w:tcPr>
                  <w:tcW w:w="1285" w:type="pct"/>
                  <w:shd w:val="clear" w:color="auto" w:fill="auto"/>
                  <w:vAlign w:val="center"/>
                </w:tcPr>
                <w:p w14:paraId="55049F4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10kg/g</w:t>
                  </w:r>
                </w:p>
              </w:tc>
              <w:tc>
                <w:tcPr>
                  <w:tcW w:w="1742" w:type="pct"/>
                  <w:shd w:val="clear" w:color="auto" w:fill="auto"/>
                  <w:vAlign w:val="center"/>
                </w:tcPr>
                <w:p w14:paraId="481E186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0.0039</w:t>
                  </w:r>
                </w:p>
              </w:tc>
            </w:tr>
            <w:tr w14:paraId="49C01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shd w:val="clear" w:color="auto" w:fill="auto"/>
                  <w:vAlign w:val="center"/>
                </w:tcPr>
                <w:p w14:paraId="2C7EF5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871" w:type="pct"/>
                  <w:shd w:val="clear" w:color="auto" w:fill="auto"/>
                  <w:vAlign w:val="center"/>
                </w:tcPr>
                <w:p w14:paraId="6A4C237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点胶剂</w:t>
                  </w:r>
                </w:p>
              </w:tc>
              <w:tc>
                <w:tcPr>
                  <w:tcW w:w="847" w:type="pct"/>
                  <w:shd w:val="clear" w:color="auto" w:fill="auto"/>
                  <w:vAlign w:val="center"/>
                </w:tcPr>
                <w:p w14:paraId="087B2FB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0.26</w:t>
                  </w:r>
                </w:p>
              </w:tc>
              <w:tc>
                <w:tcPr>
                  <w:tcW w:w="1285" w:type="pct"/>
                  <w:shd w:val="clear" w:color="auto" w:fill="auto"/>
                  <w:vAlign w:val="center"/>
                </w:tcPr>
                <w:p w14:paraId="3767A48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5kg/g</w:t>
                  </w:r>
                </w:p>
              </w:tc>
              <w:tc>
                <w:tcPr>
                  <w:tcW w:w="1742" w:type="pct"/>
                  <w:shd w:val="clear" w:color="auto" w:fill="auto"/>
                  <w:vAlign w:val="center"/>
                </w:tcPr>
                <w:p w14:paraId="7AB845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0.0013</w:t>
                  </w:r>
                </w:p>
              </w:tc>
            </w:tr>
            <w:tr w14:paraId="58B56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 w:type="pct"/>
                  <w:shd w:val="clear" w:color="auto" w:fill="auto"/>
                  <w:vAlign w:val="center"/>
                </w:tcPr>
                <w:p w14:paraId="208E48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871" w:type="pct"/>
                  <w:shd w:val="clear" w:color="auto" w:fill="auto"/>
                  <w:vAlign w:val="center"/>
                </w:tcPr>
                <w:p w14:paraId="3FA62FD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液晶</w:t>
                  </w:r>
                </w:p>
              </w:tc>
              <w:tc>
                <w:tcPr>
                  <w:tcW w:w="847" w:type="pct"/>
                  <w:shd w:val="clear" w:color="auto" w:fill="auto"/>
                  <w:vAlign w:val="center"/>
                </w:tcPr>
                <w:p w14:paraId="2B383B3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0.077</w:t>
                  </w:r>
                </w:p>
              </w:tc>
              <w:tc>
                <w:tcPr>
                  <w:tcW w:w="1285" w:type="pct"/>
                  <w:shd w:val="clear" w:color="auto" w:fill="auto"/>
                  <w:vAlign w:val="center"/>
                </w:tcPr>
                <w:p w14:paraId="3938D2C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742" w:type="pct"/>
                  <w:shd w:val="clear" w:color="auto" w:fill="auto"/>
                  <w:vAlign w:val="center"/>
                </w:tcPr>
                <w:p w14:paraId="11BC8AA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2"/>
                      <w:sz w:val="21"/>
                      <w:szCs w:val="21"/>
                      <w:u w:val="none"/>
                      <w:lang w:val="en-US" w:eastAsia="zh-CN" w:bidi="ar-SA"/>
                    </w:rPr>
                    <w:t>常温，少量</w:t>
                  </w:r>
                </w:p>
              </w:tc>
            </w:tr>
            <w:tr w14:paraId="45FB8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14:paraId="777B40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0" w:type="auto"/>
                  <w:shd w:val="clear" w:color="auto" w:fill="auto"/>
                  <w:vAlign w:val="center"/>
                </w:tcPr>
                <w:p w14:paraId="7578693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START-3380A</w:t>
                  </w:r>
                  <w:r>
                    <w:rPr>
                      <w:rFonts w:hint="default" w:ascii="Times New Roman" w:hAnsi="Times New Roman" w:cs="Times New Roman"/>
                      <w:color w:val="auto"/>
                      <w:sz w:val="21"/>
                      <w:szCs w:val="21"/>
                      <w:highlight w:val="none"/>
                    </w:rPr>
                    <w:t>液晶清洗剂</w:t>
                  </w:r>
                </w:p>
              </w:tc>
              <w:tc>
                <w:tcPr>
                  <w:tcW w:w="847" w:type="pct"/>
                  <w:shd w:val="clear" w:color="auto" w:fill="auto"/>
                  <w:vAlign w:val="center"/>
                </w:tcPr>
                <w:p w14:paraId="21416E1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1285" w:type="pct"/>
                  <w:vAlign w:val="center"/>
                </w:tcPr>
                <w:p w14:paraId="4F4EB3D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6.8%</w:t>
                  </w:r>
                </w:p>
              </w:tc>
              <w:tc>
                <w:tcPr>
                  <w:tcW w:w="0" w:type="auto"/>
                  <w:vAlign w:val="center"/>
                </w:tcPr>
                <w:p w14:paraId="4CEC0C1A">
                  <w:pPr>
                    <w:jc w:val="center"/>
                    <w:rPr>
                      <w:rFonts w:hint="default" w:ascii="Times New Roman" w:hAnsi="Times New Roman" w:eastAsia="宋体" w:cs="Times New Roman"/>
                      <w:color w:val="auto"/>
                      <w:sz w:val="21"/>
                      <w:szCs w:val="21"/>
                      <w:highlight w:val="none"/>
                      <w:lang w:val="en-US" w:eastAsia="zh-CN"/>
                    </w:rPr>
                  </w:pPr>
                  <w:r>
                    <w:rPr>
                      <w:rFonts w:hint="eastAsia"/>
                      <w:color w:val="auto"/>
                      <w:lang w:val="en-US" w:eastAsia="zh-CN"/>
                    </w:rPr>
                    <w:t>0.313</w:t>
                  </w:r>
                </w:p>
              </w:tc>
            </w:tr>
            <w:tr w14:paraId="3C7B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14:paraId="7729B2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w:t>
                  </w:r>
                </w:p>
              </w:tc>
              <w:tc>
                <w:tcPr>
                  <w:tcW w:w="0" w:type="auto"/>
                  <w:shd w:val="clear" w:color="auto" w:fill="auto"/>
                  <w:vAlign w:val="center"/>
                </w:tcPr>
                <w:p w14:paraId="1AEDD7D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START-3380B液晶清洗剂</w:t>
                  </w:r>
                </w:p>
              </w:tc>
              <w:tc>
                <w:tcPr>
                  <w:tcW w:w="847" w:type="pct"/>
                  <w:shd w:val="clear" w:color="auto" w:fill="auto"/>
                  <w:vAlign w:val="center"/>
                </w:tcPr>
                <w:p w14:paraId="3728ED2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1285" w:type="pct"/>
                  <w:vAlign w:val="center"/>
                </w:tcPr>
                <w:p w14:paraId="4E39EE0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0" w:type="auto"/>
                  <w:vAlign w:val="center"/>
                </w:tcPr>
                <w:p w14:paraId="35CBB274">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0.230</w:t>
                  </w:r>
                </w:p>
              </w:tc>
            </w:tr>
          </w:tbl>
          <w:p w14:paraId="0DCDFD4E">
            <w:pPr>
              <w:spacing w:before="157" w:beforeLines="50" w:line="360" w:lineRule="auto"/>
              <w:ind w:firstLine="458"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bCs/>
                <w:color w:val="auto"/>
                <w:spacing w:val="-6"/>
                <w:sz w:val="24"/>
                <w:highlight w:val="none"/>
                <w:lang w:val="en-US" w:eastAsia="zh-CN"/>
              </w:rPr>
              <w:t>4</w:t>
            </w:r>
            <w:r>
              <w:rPr>
                <w:rFonts w:hint="default" w:ascii="Times New Roman" w:hAnsi="Times New Roman" w:cs="Times New Roman" w:eastAsiaTheme="minorEastAsia"/>
                <w:b/>
                <w:bCs/>
                <w:color w:val="auto"/>
                <w:spacing w:val="-6"/>
                <w:sz w:val="24"/>
                <w:highlight w:val="none"/>
              </w:rPr>
              <w:t>、</w:t>
            </w:r>
            <w:r>
              <w:rPr>
                <w:rFonts w:hint="default" w:ascii="Times New Roman" w:hAnsi="Times New Roman" w:cs="Times New Roman" w:eastAsiaTheme="minorEastAsia"/>
                <w:b/>
                <w:color w:val="auto"/>
                <w:sz w:val="24"/>
                <w:highlight w:val="none"/>
              </w:rPr>
              <w:t>主要生产设备</w:t>
            </w:r>
          </w:p>
          <w:p w14:paraId="2C708662">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生产设备一览表</w:t>
            </w:r>
          </w:p>
          <w:tbl>
            <w:tblPr>
              <w:tblStyle w:val="3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2443"/>
              <w:gridCol w:w="1772"/>
              <w:gridCol w:w="1502"/>
              <w:gridCol w:w="1618"/>
            </w:tblGrid>
            <w:tr w14:paraId="0F1F5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62" w:type="pct"/>
                  <w:noWrap w:val="0"/>
                  <w:vAlign w:val="center"/>
                </w:tcPr>
                <w:p w14:paraId="124361DB">
                  <w:pPr>
                    <w:widowControl/>
                    <w:spacing w:line="240" w:lineRule="auto"/>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序号</w:t>
                  </w:r>
                </w:p>
              </w:tc>
              <w:tc>
                <w:tcPr>
                  <w:tcW w:w="1444" w:type="pct"/>
                  <w:noWrap w:val="0"/>
                  <w:vAlign w:val="center"/>
                </w:tcPr>
                <w:p w14:paraId="11160F6F">
                  <w:pPr>
                    <w:widowControl/>
                    <w:spacing w:line="240" w:lineRule="auto"/>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设备名称</w:t>
                  </w:r>
                </w:p>
              </w:tc>
              <w:tc>
                <w:tcPr>
                  <w:tcW w:w="1047" w:type="pct"/>
                  <w:noWrap w:val="0"/>
                  <w:vAlign w:val="center"/>
                </w:tcPr>
                <w:p w14:paraId="688CF506">
                  <w:pPr>
                    <w:widowControl/>
                    <w:spacing w:line="240" w:lineRule="auto"/>
                    <w:jc w:val="center"/>
                    <w:rPr>
                      <w:rFonts w:hint="default" w:ascii="Times New Roman" w:hAnsi="Times New Roman" w:eastAsia="宋体" w:cs="Times New Roman"/>
                      <w:b/>
                      <w:color w:val="auto"/>
                      <w:kern w:val="0"/>
                      <w:sz w:val="21"/>
                      <w:szCs w:val="21"/>
                      <w:highlight w:val="none"/>
                      <w:lang w:eastAsia="zh-CN"/>
                    </w:rPr>
                  </w:pPr>
                  <w:r>
                    <w:rPr>
                      <w:rFonts w:hint="default" w:ascii="Times New Roman" w:hAnsi="Times New Roman" w:cs="Times New Roman"/>
                      <w:b/>
                      <w:color w:val="auto"/>
                      <w:kern w:val="0"/>
                      <w:sz w:val="21"/>
                      <w:szCs w:val="21"/>
                      <w:highlight w:val="none"/>
                    </w:rPr>
                    <w:t>数量</w:t>
                  </w:r>
                  <w:r>
                    <w:rPr>
                      <w:rFonts w:hint="default" w:ascii="Times New Roman" w:hAnsi="Times New Roman" w:cs="Times New Roman"/>
                      <w:b/>
                      <w:color w:val="auto"/>
                      <w:kern w:val="0"/>
                      <w:sz w:val="21"/>
                      <w:szCs w:val="21"/>
                      <w:highlight w:val="none"/>
                      <w:lang w:eastAsia="zh-CN"/>
                    </w:rPr>
                    <w:t>（台）</w:t>
                  </w:r>
                </w:p>
              </w:tc>
              <w:tc>
                <w:tcPr>
                  <w:tcW w:w="888" w:type="pct"/>
                  <w:noWrap w:val="0"/>
                  <w:vAlign w:val="center"/>
                </w:tcPr>
                <w:p w14:paraId="656AC4FD">
                  <w:pPr>
                    <w:widowControl/>
                    <w:spacing w:line="240" w:lineRule="auto"/>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摆放位置</w:t>
                  </w:r>
                </w:p>
              </w:tc>
              <w:tc>
                <w:tcPr>
                  <w:tcW w:w="956" w:type="pct"/>
                  <w:noWrap w:val="0"/>
                  <w:vAlign w:val="center"/>
                </w:tcPr>
                <w:p w14:paraId="25BDA602">
                  <w:pPr>
                    <w:widowControl/>
                    <w:spacing w:line="240" w:lineRule="auto"/>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使用工序</w:t>
                  </w:r>
                </w:p>
              </w:tc>
            </w:tr>
            <w:tr w14:paraId="7A8DB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41D086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444" w:type="pct"/>
                  <w:shd w:val="clear" w:color="auto" w:fill="auto"/>
                  <w:noWrap w:val="0"/>
                  <w:vAlign w:val="center"/>
                </w:tcPr>
                <w:p w14:paraId="0D8FB46F">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上料机</w:t>
                  </w:r>
                </w:p>
              </w:tc>
              <w:tc>
                <w:tcPr>
                  <w:tcW w:w="1047" w:type="pct"/>
                  <w:shd w:val="clear" w:color="auto" w:fill="auto"/>
                  <w:noWrap w:val="0"/>
                  <w:vAlign w:val="center"/>
                </w:tcPr>
                <w:p w14:paraId="2708E62E">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w:t>
                  </w:r>
                </w:p>
              </w:tc>
              <w:tc>
                <w:tcPr>
                  <w:tcW w:w="888" w:type="pct"/>
                  <w:shd w:val="clear" w:color="auto" w:fill="auto"/>
                  <w:noWrap w:val="0"/>
                  <w:vAlign w:val="center"/>
                </w:tcPr>
                <w:p w14:paraId="66BA67F6">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282794D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上料</w:t>
                  </w:r>
                </w:p>
              </w:tc>
            </w:tr>
            <w:tr w14:paraId="3540D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2D3225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444" w:type="pct"/>
                  <w:shd w:val="clear" w:color="auto" w:fill="auto"/>
                  <w:noWrap w:val="0"/>
                  <w:vAlign w:val="center"/>
                </w:tcPr>
                <w:p w14:paraId="2DEB454D">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上料烘烤机</w:t>
                  </w:r>
                </w:p>
              </w:tc>
              <w:tc>
                <w:tcPr>
                  <w:tcW w:w="1047" w:type="pct"/>
                  <w:shd w:val="clear" w:color="auto" w:fill="auto"/>
                  <w:noWrap w:val="0"/>
                  <w:vAlign w:val="center"/>
                </w:tcPr>
                <w:p w14:paraId="0B7C73E1">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25</w:t>
                  </w:r>
                </w:p>
              </w:tc>
              <w:tc>
                <w:tcPr>
                  <w:tcW w:w="888" w:type="pct"/>
                  <w:shd w:val="clear" w:color="auto" w:fill="auto"/>
                  <w:noWrap w:val="0"/>
                  <w:vAlign w:val="center"/>
                </w:tcPr>
                <w:p w14:paraId="0F1453CA">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1ABFFE46">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上料烘烤</w:t>
                  </w:r>
                </w:p>
              </w:tc>
            </w:tr>
            <w:tr w14:paraId="11AAF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63C2A41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444" w:type="pct"/>
                  <w:shd w:val="clear" w:color="auto" w:fill="auto"/>
                  <w:noWrap w:val="0"/>
                  <w:vAlign w:val="center"/>
                </w:tcPr>
                <w:p w14:paraId="4F28F9B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模温台</w:t>
                  </w:r>
                </w:p>
              </w:tc>
              <w:tc>
                <w:tcPr>
                  <w:tcW w:w="1047" w:type="pct"/>
                  <w:shd w:val="clear" w:color="auto" w:fill="auto"/>
                  <w:noWrap w:val="0"/>
                  <w:vAlign w:val="center"/>
                </w:tcPr>
                <w:p w14:paraId="7988017B">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w:t>
                  </w:r>
                </w:p>
              </w:tc>
              <w:tc>
                <w:tcPr>
                  <w:tcW w:w="888" w:type="pct"/>
                  <w:shd w:val="clear" w:color="auto" w:fill="auto"/>
                  <w:noWrap w:val="0"/>
                  <w:vAlign w:val="center"/>
                </w:tcPr>
                <w:p w14:paraId="782A670C">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223B89D5">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上模具</w:t>
                  </w:r>
                </w:p>
              </w:tc>
            </w:tr>
            <w:tr w14:paraId="541C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37FB292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444" w:type="pct"/>
                  <w:shd w:val="clear" w:color="auto" w:fill="auto"/>
                  <w:noWrap w:val="0"/>
                  <w:vAlign w:val="center"/>
                </w:tcPr>
                <w:p w14:paraId="29AC4218">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注塑机</w:t>
                  </w:r>
                </w:p>
              </w:tc>
              <w:tc>
                <w:tcPr>
                  <w:tcW w:w="1047" w:type="pct"/>
                  <w:shd w:val="clear" w:color="auto" w:fill="auto"/>
                  <w:noWrap w:val="0"/>
                  <w:vAlign w:val="center"/>
                </w:tcPr>
                <w:p w14:paraId="453992E1">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25</w:t>
                  </w:r>
                </w:p>
              </w:tc>
              <w:tc>
                <w:tcPr>
                  <w:tcW w:w="888" w:type="pct"/>
                  <w:shd w:val="clear" w:color="auto" w:fill="auto"/>
                  <w:noWrap w:val="0"/>
                  <w:vAlign w:val="center"/>
                </w:tcPr>
                <w:p w14:paraId="1F5F0A51">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7083ACA9">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注塑</w:t>
                  </w:r>
                </w:p>
              </w:tc>
            </w:tr>
            <w:tr w14:paraId="72077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59905B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444" w:type="pct"/>
                  <w:shd w:val="clear" w:color="auto" w:fill="auto"/>
                  <w:noWrap w:val="0"/>
                  <w:vAlign w:val="center"/>
                </w:tcPr>
                <w:p w14:paraId="3F734412">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收料机</w:t>
                  </w:r>
                </w:p>
              </w:tc>
              <w:tc>
                <w:tcPr>
                  <w:tcW w:w="1047" w:type="pct"/>
                  <w:shd w:val="clear" w:color="auto" w:fill="auto"/>
                  <w:noWrap w:val="0"/>
                  <w:vAlign w:val="center"/>
                </w:tcPr>
                <w:p w14:paraId="72A49CA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25</w:t>
                  </w:r>
                </w:p>
              </w:tc>
              <w:tc>
                <w:tcPr>
                  <w:tcW w:w="888" w:type="pct"/>
                  <w:shd w:val="clear" w:color="auto" w:fill="auto"/>
                  <w:noWrap w:val="0"/>
                  <w:vAlign w:val="center"/>
                </w:tcPr>
                <w:p w14:paraId="00914AF8">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一楼、三楼</w:t>
                  </w:r>
                </w:p>
              </w:tc>
              <w:tc>
                <w:tcPr>
                  <w:tcW w:w="956" w:type="pct"/>
                  <w:shd w:val="clear" w:color="auto" w:fill="auto"/>
                  <w:noWrap w:val="0"/>
                  <w:vAlign w:val="center"/>
                </w:tcPr>
                <w:p w14:paraId="45E67D9B">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注塑收料</w:t>
                  </w:r>
                </w:p>
              </w:tc>
            </w:tr>
            <w:tr w14:paraId="2832B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FC4DA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444" w:type="pct"/>
                  <w:shd w:val="clear" w:color="auto" w:fill="auto"/>
                  <w:noWrap w:val="0"/>
                  <w:vAlign w:val="center"/>
                </w:tcPr>
                <w:p w14:paraId="4A78E1BC">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冷却塔</w:t>
                  </w:r>
                </w:p>
              </w:tc>
              <w:tc>
                <w:tcPr>
                  <w:tcW w:w="1047" w:type="pct"/>
                  <w:shd w:val="clear" w:color="auto" w:fill="auto"/>
                  <w:noWrap w:val="0"/>
                  <w:vAlign w:val="center"/>
                </w:tcPr>
                <w:p w14:paraId="42DBCD73">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888" w:type="pct"/>
                  <w:shd w:val="clear" w:color="auto" w:fill="auto"/>
                  <w:noWrap w:val="0"/>
                  <w:vAlign w:val="center"/>
                </w:tcPr>
                <w:p w14:paraId="5A686BB5">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一楼</w:t>
                  </w:r>
                </w:p>
              </w:tc>
              <w:tc>
                <w:tcPr>
                  <w:tcW w:w="956" w:type="pct"/>
                  <w:shd w:val="clear" w:color="auto" w:fill="auto"/>
                  <w:noWrap w:val="0"/>
                  <w:vAlign w:val="center"/>
                </w:tcPr>
                <w:p w14:paraId="6A3CE5D7">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注塑</w:t>
                  </w:r>
                </w:p>
              </w:tc>
            </w:tr>
            <w:tr w14:paraId="756B8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1E0DDB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444" w:type="pct"/>
                  <w:shd w:val="clear" w:color="auto" w:fill="auto"/>
                  <w:noWrap w:val="0"/>
                  <w:vAlign w:val="center"/>
                </w:tcPr>
                <w:p w14:paraId="5C6D148A">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裁切机</w:t>
                  </w:r>
                </w:p>
              </w:tc>
              <w:tc>
                <w:tcPr>
                  <w:tcW w:w="1047" w:type="pct"/>
                  <w:shd w:val="clear" w:color="auto" w:fill="auto"/>
                  <w:noWrap w:val="0"/>
                  <w:vAlign w:val="center"/>
                </w:tcPr>
                <w:p w14:paraId="5E3748E2">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25</w:t>
                  </w:r>
                </w:p>
              </w:tc>
              <w:tc>
                <w:tcPr>
                  <w:tcW w:w="888" w:type="pct"/>
                  <w:shd w:val="clear" w:color="auto" w:fill="auto"/>
                  <w:noWrap w:val="0"/>
                  <w:vAlign w:val="center"/>
                </w:tcPr>
                <w:p w14:paraId="7BEAA6D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535B9E57">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裁切</w:t>
                  </w:r>
                </w:p>
              </w:tc>
            </w:tr>
            <w:tr w14:paraId="6DF83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4824D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444" w:type="pct"/>
                  <w:shd w:val="clear" w:color="auto" w:fill="auto"/>
                  <w:noWrap w:val="0"/>
                  <w:vAlign w:val="center"/>
                </w:tcPr>
                <w:p w14:paraId="124A21C6">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碎料机</w:t>
                  </w:r>
                </w:p>
              </w:tc>
              <w:tc>
                <w:tcPr>
                  <w:tcW w:w="1047" w:type="pct"/>
                  <w:shd w:val="clear" w:color="auto" w:fill="auto"/>
                  <w:noWrap w:val="0"/>
                  <w:vAlign w:val="center"/>
                </w:tcPr>
                <w:p w14:paraId="672AF49A">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w:t>
                  </w:r>
                </w:p>
              </w:tc>
              <w:tc>
                <w:tcPr>
                  <w:tcW w:w="888" w:type="pct"/>
                  <w:shd w:val="clear" w:color="auto" w:fill="auto"/>
                  <w:noWrap w:val="0"/>
                  <w:vAlign w:val="center"/>
                </w:tcPr>
                <w:p w14:paraId="18DE4929">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w:t>
                  </w:r>
                </w:p>
              </w:tc>
              <w:tc>
                <w:tcPr>
                  <w:tcW w:w="956" w:type="pct"/>
                  <w:shd w:val="clear" w:color="auto" w:fill="auto"/>
                  <w:noWrap w:val="0"/>
                  <w:vAlign w:val="center"/>
                </w:tcPr>
                <w:p w14:paraId="62A28826">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碎料</w:t>
                  </w:r>
                </w:p>
              </w:tc>
            </w:tr>
            <w:tr w14:paraId="4C4F7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032428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444" w:type="pct"/>
                  <w:shd w:val="clear" w:color="auto" w:fill="auto"/>
                  <w:noWrap w:val="0"/>
                  <w:vAlign w:val="center"/>
                </w:tcPr>
                <w:p w14:paraId="59012969">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覆膜机</w:t>
                  </w:r>
                </w:p>
              </w:tc>
              <w:tc>
                <w:tcPr>
                  <w:tcW w:w="1047" w:type="pct"/>
                  <w:shd w:val="clear" w:color="auto" w:fill="auto"/>
                  <w:noWrap w:val="0"/>
                  <w:vAlign w:val="center"/>
                </w:tcPr>
                <w:p w14:paraId="4BF64D5B">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25</w:t>
                  </w:r>
                </w:p>
              </w:tc>
              <w:tc>
                <w:tcPr>
                  <w:tcW w:w="888" w:type="pct"/>
                  <w:shd w:val="clear" w:color="auto" w:fill="auto"/>
                  <w:noWrap w:val="0"/>
                  <w:vAlign w:val="center"/>
                </w:tcPr>
                <w:p w14:paraId="13799AC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三楼</w:t>
                  </w:r>
                </w:p>
              </w:tc>
              <w:tc>
                <w:tcPr>
                  <w:tcW w:w="956" w:type="pct"/>
                  <w:shd w:val="clear" w:color="auto" w:fill="auto"/>
                  <w:noWrap w:val="0"/>
                  <w:vAlign w:val="center"/>
                </w:tcPr>
                <w:p w14:paraId="4E78F629">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覆膜</w:t>
                  </w:r>
                </w:p>
              </w:tc>
            </w:tr>
            <w:tr w14:paraId="32384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0908E1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444" w:type="pct"/>
                  <w:shd w:val="clear" w:color="auto" w:fill="auto"/>
                  <w:noWrap w:val="0"/>
                  <w:vAlign w:val="center"/>
                </w:tcPr>
                <w:p w14:paraId="0FFE865D">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套板机</w:t>
                  </w:r>
                </w:p>
              </w:tc>
              <w:tc>
                <w:tcPr>
                  <w:tcW w:w="1047" w:type="pct"/>
                  <w:shd w:val="clear" w:color="auto" w:fill="auto"/>
                  <w:noWrap w:val="0"/>
                  <w:vAlign w:val="center"/>
                </w:tcPr>
                <w:p w14:paraId="51EC2C39">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w:t>
                  </w:r>
                </w:p>
              </w:tc>
              <w:tc>
                <w:tcPr>
                  <w:tcW w:w="888" w:type="pct"/>
                  <w:shd w:val="clear" w:color="auto" w:fill="auto"/>
                  <w:noWrap w:val="0"/>
                  <w:vAlign w:val="center"/>
                </w:tcPr>
                <w:p w14:paraId="39A599B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三楼</w:t>
                  </w:r>
                </w:p>
              </w:tc>
              <w:tc>
                <w:tcPr>
                  <w:tcW w:w="956" w:type="pct"/>
                  <w:shd w:val="clear" w:color="auto" w:fill="auto"/>
                  <w:noWrap w:val="0"/>
                  <w:vAlign w:val="center"/>
                </w:tcPr>
                <w:p w14:paraId="348D68F8">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套版</w:t>
                  </w:r>
                </w:p>
              </w:tc>
            </w:tr>
            <w:tr w14:paraId="7C56D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B83AF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444" w:type="pct"/>
                  <w:shd w:val="clear" w:color="auto" w:fill="auto"/>
                  <w:noWrap w:val="0"/>
                  <w:vAlign w:val="center"/>
                </w:tcPr>
                <w:p w14:paraId="0514F6F1">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膜切机</w:t>
                  </w:r>
                </w:p>
              </w:tc>
              <w:tc>
                <w:tcPr>
                  <w:tcW w:w="1047" w:type="pct"/>
                  <w:shd w:val="clear" w:color="auto" w:fill="auto"/>
                  <w:noWrap w:val="0"/>
                  <w:vAlign w:val="center"/>
                </w:tcPr>
                <w:p w14:paraId="15D73B8D">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7</w:t>
                  </w:r>
                </w:p>
              </w:tc>
              <w:tc>
                <w:tcPr>
                  <w:tcW w:w="888" w:type="pct"/>
                  <w:shd w:val="clear" w:color="auto" w:fill="auto"/>
                  <w:noWrap w:val="0"/>
                  <w:vAlign w:val="center"/>
                </w:tcPr>
                <w:p w14:paraId="31D2EED7">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三楼</w:t>
                  </w:r>
                </w:p>
              </w:tc>
              <w:tc>
                <w:tcPr>
                  <w:tcW w:w="956" w:type="pct"/>
                  <w:shd w:val="clear" w:color="auto" w:fill="auto"/>
                  <w:noWrap w:val="0"/>
                  <w:vAlign w:val="center"/>
                </w:tcPr>
                <w:p w14:paraId="5DFB36B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膜切</w:t>
                  </w:r>
                </w:p>
              </w:tc>
            </w:tr>
            <w:tr w14:paraId="31E9D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2DDCC33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444" w:type="pct"/>
                  <w:shd w:val="clear" w:color="auto" w:fill="auto"/>
                  <w:noWrap w:val="0"/>
                  <w:vAlign w:val="center"/>
                </w:tcPr>
                <w:p w14:paraId="740398C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贴膜机</w:t>
                  </w:r>
                </w:p>
              </w:tc>
              <w:tc>
                <w:tcPr>
                  <w:tcW w:w="1047" w:type="pct"/>
                  <w:shd w:val="clear" w:color="auto" w:fill="auto"/>
                  <w:noWrap w:val="0"/>
                  <w:vAlign w:val="center"/>
                </w:tcPr>
                <w:p w14:paraId="39C4775E">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30</w:t>
                  </w:r>
                </w:p>
              </w:tc>
              <w:tc>
                <w:tcPr>
                  <w:tcW w:w="888" w:type="pct"/>
                  <w:shd w:val="clear" w:color="auto" w:fill="auto"/>
                  <w:noWrap w:val="0"/>
                  <w:vAlign w:val="center"/>
                </w:tcPr>
                <w:p w14:paraId="57B18EB1">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三楼</w:t>
                  </w:r>
                </w:p>
              </w:tc>
              <w:tc>
                <w:tcPr>
                  <w:tcW w:w="956" w:type="pct"/>
                  <w:shd w:val="clear" w:color="auto" w:fill="auto"/>
                  <w:noWrap w:val="0"/>
                  <w:vAlign w:val="center"/>
                </w:tcPr>
                <w:p w14:paraId="4AF87A7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贴膜</w:t>
                  </w:r>
                </w:p>
              </w:tc>
            </w:tr>
            <w:tr w14:paraId="76BA1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14F14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444" w:type="pct"/>
                  <w:shd w:val="clear" w:color="auto" w:fill="auto"/>
                  <w:noWrap w:val="0"/>
                  <w:vAlign w:val="center"/>
                </w:tcPr>
                <w:p w14:paraId="79878C16">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测试电源机器</w:t>
                  </w:r>
                </w:p>
              </w:tc>
              <w:tc>
                <w:tcPr>
                  <w:tcW w:w="1047" w:type="pct"/>
                  <w:shd w:val="clear" w:color="auto" w:fill="auto"/>
                  <w:noWrap w:val="0"/>
                  <w:vAlign w:val="center"/>
                </w:tcPr>
                <w:p w14:paraId="03286745">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w:t>
                  </w:r>
                </w:p>
              </w:tc>
              <w:tc>
                <w:tcPr>
                  <w:tcW w:w="888" w:type="pct"/>
                  <w:shd w:val="clear" w:color="auto" w:fill="auto"/>
                  <w:noWrap w:val="0"/>
                  <w:vAlign w:val="center"/>
                </w:tcPr>
                <w:p w14:paraId="5B35F65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三楼</w:t>
                  </w:r>
                </w:p>
              </w:tc>
              <w:tc>
                <w:tcPr>
                  <w:tcW w:w="956" w:type="pct"/>
                  <w:shd w:val="clear" w:color="auto" w:fill="auto"/>
                  <w:noWrap w:val="0"/>
                  <w:vAlign w:val="center"/>
                </w:tcPr>
                <w:p w14:paraId="05B32087">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测试</w:t>
                  </w:r>
                </w:p>
              </w:tc>
            </w:tr>
            <w:tr w14:paraId="555E0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440B6A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444" w:type="pct"/>
                  <w:shd w:val="clear" w:color="auto" w:fill="auto"/>
                  <w:noWrap w:val="0"/>
                  <w:vAlign w:val="center"/>
                </w:tcPr>
                <w:p w14:paraId="5E4E5376">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切割机</w:t>
                  </w:r>
                </w:p>
              </w:tc>
              <w:tc>
                <w:tcPr>
                  <w:tcW w:w="1047" w:type="pct"/>
                  <w:shd w:val="clear" w:color="auto" w:fill="auto"/>
                  <w:noWrap w:val="0"/>
                  <w:vAlign w:val="center"/>
                </w:tcPr>
                <w:p w14:paraId="757457A4">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888" w:type="pct"/>
                  <w:shd w:val="clear" w:color="auto" w:fill="auto"/>
                  <w:noWrap w:val="0"/>
                  <w:vAlign w:val="center"/>
                </w:tcPr>
                <w:p w14:paraId="1354C354">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73CD01FD">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玻璃切割</w:t>
                  </w:r>
                </w:p>
              </w:tc>
            </w:tr>
            <w:tr w14:paraId="1A353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62" w:type="pct"/>
                  <w:noWrap w:val="0"/>
                  <w:vAlign w:val="center"/>
                </w:tcPr>
                <w:p w14:paraId="0FEBC7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444" w:type="pct"/>
                  <w:shd w:val="clear" w:color="auto" w:fill="auto"/>
                  <w:noWrap w:val="0"/>
                  <w:vAlign w:val="center"/>
                </w:tcPr>
                <w:p w14:paraId="363C50E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灌晶机</w:t>
                  </w:r>
                </w:p>
              </w:tc>
              <w:tc>
                <w:tcPr>
                  <w:tcW w:w="1047" w:type="pct"/>
                  <w:shd w:val="clear" w:color="auto" w:fill="auto"/>
                  <w:noWrap w:val="0"/>
                  <w:vAlign w:val="center"/>
                </w:tcPr>
                <w:p w14:paraId="6B457586">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3717F78F">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73D12F04">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灌晶</w:t>
                  </w:r>
                </w:p>
              </w:tc>
            </w:tr>
            <w:tr w14:paraId="23C2F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567FC9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444" w:type="pct"/>
                  <w:shd w:val="clear" w:color="auto" w:fill="auto"/>
                  <w:noWrap w:val="0"/>
                  <w:vAlign w:val="center"/>
                </w:tcPr>
                <w:p w14:paraId="7FFB9C3B">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UV封口机</w:t>
                  </w:r>
                </w:p>
              </w:tc>
              <w:tc>
                <w:tcPr>
                  <w:tcW w:w="1047" w:type="pct"/>
                  <w:shd w:val="clear" w:color="auto" w:fill="auto"/>
                  <w:noWrap w:val="0"/>
                  <w:vAlign w:val="center"/>
                </w:tcPr>
                <w:p w14:paraId="3C51C5E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7259345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47A1916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冷冻封口</w:t>
                  </w:r>
                </w:p>
              </w:tc>
            </w:tr>
            <w:tr w14:paraId="62A87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294BDB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444" w:type="pct"/>
                  <w:shd w:val="clear" w:color="auto" w:fill="auto"/>
                  <w:noWrap w:val="0"/>
                  <w:vAlign w:val="center"/>
                </w:tcPr>
                <w:p w14:paraId="30555759">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专用平整机</w:t>
                  </w:r>
                </w:p>
              </w:tc>
              <w:tc>
                <w:tcPr>
                  <w:tcW w:w="1047" w:type="pct"/>
                  <w:shd w:val="clear" w:color="auto" w:fill="auto"/>
                  <w:noWrap w:val="0"/>
                  <w:vAlign w:val="center"/>
                </w:tcPr>
                <w:p w14:paraId="13CA8B92">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888" w:type="pct"/>
                  <w:shd w:val="clear" w:color="auto" w:fill="auto"/>
                  <w:noWrap w:val="0"/>
                  <w:vAlign w:val="center"/>
                </w:tcPr>
                <w:p w14:paraId="72476477">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3AA6CC15">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整平封口</w:t>
                  </w:r>
                </w:p>
              </w:tc>
            </w:tr>
            <w:tr w14:paraId="1F78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0A8396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444" w:type="pct"/>
                  <w:shd w:val="clear" w:color="auto" w:fill="auto"/>
                  <w:noWrap w:val="0"/>
                  <w:vAlign w:val="center"/>
                </w:tcPr>
                <w:p w14:paraId="2167982A">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UV固化机</w:t>
                  </w:r>
                </w:p>
              </w:tc>
              <w:tc>
                <w:tcPr>
                  <w:tcW w:w="1047" w:type="pct"/>
                  <w:shd w:val="clear" w:color="auto" w:fill="auto"/>
                  <w:noWrap w:val="0"/>
                  <w:vAlign w:val="center"/>
                </w:tcPr>
                <w:p w14:paraId="79D68011">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2E483673">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6F98A0D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封口、点胶封口</w:t>
                  </w:r>
                </w:p>
              </w:tc>
            </w:tr>
            <w:tr w14:paraId="456A5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5BCB613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444" w:type="pct"/>
                  <w:shd w:val="clear" w:color="auto" w:fill="auto"/>
                  <w:noWrap w:val="0"/>
                  <w:vAlign w:val="center"/>
                </w:tcPr>
                <w:p w14:paraId="63063C27">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打粒机</w:t>
                  </w:r>
                </w:p>
              </w:tc>
              <w:tc>
                <w:tcPr>
                  <w:tcW w:w="1047" w:type="pct"/>
                  <w:shd w:val="clear" w:color="auto" w:fill="auto"/>
                  <w:noWrap w:val="0"/>
                  <w:vAlign w:val="center"/>
                </w:tcPr>
                <w:p w14:paraId="30EE53CA">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1E200862">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1B33C345">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打粒</w:t>
                  </w:r>
                </w:p>
              </w:tc>
            </w:tr>
            <w:tr w14:paraId="348FB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996BD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444" w:type="pct"/>
                  <w:shd w:val="clear" w:color="auto" w:fill="auto"/>
                  <w:noWrap w:val="0"/>
                  <w:vAlign w:val="center"/>
                </w:tcPr>
                <w:p w14:paraId="25B22EBE">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磨边机</w:t>
                  </w:r>
                </w:p>
              </w:tc>
              <w:tc>
                <w:tcPr>
                  <w:tcW w:w="1047" w:type="pct"/>
                  <w:shd w:val="clear" w:color="auto" w:fill="auto"/>
                  <w:noWrap w:val="0"/>
                  <w:vAlign w:val="center"/>
                </w:tcPr>
                <w:p w14:paraId="1FB14A3B">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3C47809A">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7A63F396">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条检</w:t>
                  </w:r>
                </w:p>
              </w:tc>
            </w:tr>
            <w:tr w14:paraId="78DB6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8F307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444" w:type="pct"/>
                  <w:shd w:val="clear" w:color="auto" w:fill="auto"/>
                  <w:noWrap w:val="0"/>
                  <w:vAlign w:val="center"/>
                </w:tcPr>
                <w:p w14:paraId="4BE3A12C">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清洗机</w:t>
                  </w:r>
                  <w:r>
                    <w:rPr>
                      <w:rFonts w:hint="default" w:ascii="Times New Roman" w:hAnsi="Times New Roman" w:cs="Times New Roman"/>
                      <w:color w:val="auto"/>
                      <w:sz w:val="21"/>
                      <w:szCs w:val="21"/>
                      <w:highlight w:val="none"/>
                      <w:lang w:eastAsia="zh-CN"/>
                    </w:rPr>
                    <w:t>（水洗机）</w:t>
                  </w:r>
                </w:p>
              </w:tc>
              <w:tc>
                <w:tcPr>
                  <w:tcW w:w="1047" w:type="pct"/>
                  <w:shd w:val="clear" w:color="auto" w:fill="auto"/>
                  <w:noWrap w:val="0"/>
                  <w:vAlign w:val="center"/>
                </w:tcPr>
                <w:p w14:paraId="52168D7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888" w:type="pct"/>
                  <w:shd w:val="clear" w:color="auto" w:fill="auto"/>
                  <w:noWrap w:val="0"/>
                  <w:vAlign w:val="center"/>
                </w:tcPr>
                <w:p w14:paraId="373524A3">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51058A6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玻璃清洗</w:t>
                  </w:r>
                </w:p>
              </w:tc>
            </w:tr>
            <w:tr w14:paraId="15539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39FA2F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444" w:type="pct"/>
                  <w:shd w:val="clear" w:color="auto" w:fill="auto"/>
                  <w:noWrap w:val="0"/>
                  <w:vAlign w:val="center"/>
                </w:tcPr>
                <w:p w14:paraId="155972D4">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烤箱（水洗烘干）</w:t>
                  </w:r>
                </w:p>
              </w:tc>
              <w:tc>
                <w:tcPr>
                  <w:tcW w:w="1047" w:type="pct"/>
                  <w:shd w:val="clear" w:color="auto" w:fill="auto"/>
                  <w:noWrap w:val="0"/>
                  <w:vAlign w:val="center"/>
                </w:tcPr>
                <w:p w14:paraId="5381EFF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w:t>
                  </w:r>
                </w:p>
              </w:tc>
              <w:tc>
                <w:tcPr>
                  <w:tcW w:w="888" w:type="pct"/>
                  <w:shd w:val="clear" w:color="auto" w:fill="auto"/>
                  <w:noWrap w:val="0"/>
                  <w:vAlign w:val="center"/>
                </w:tcPr>
                <w:p w14:paraId="78C882DB">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1B41E1DA">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玻璃烘烤</w:t>
                  </w:r>
                </w:p>
              </w:tc>
            </w:tr>
            <w:tr w14:paraId="5B404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03583D0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444" w:type="pct"/>
                  <w:shd w:val="clear" w:color="auto" w:fill="auto"/>
                  <w:noWrap w:val="0"/>
                  <w:vAlign w:val="center"/>
                </w:tcPr>
                <w:p w14:paraId="0847EC62">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电测机</w:t>
                  </w:r>
                </w:p>
              </w:tc>
              <w:tc>
                <w:tcPr>
                  <w:tcW w:w="1047" w:type="pct"/>
                  <w:shd w:val="clear" w:color="auto" w:fill="auto"/>
                  <w:noWrap w:val="0"/>
                  <w:vAlign w:val="center"/>
                </w:tcPr>
                <w:p w14:paraId="5BCB541D">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p>
              </w:tc>
              <w:tc>
                <w:tcPr>
                  <w:tcW w:w="888" w:type="pct"/>
                  <w:shd w:val="clear" w:color="auto" w:fill="auto"/>
                  <w:noWrap w:val="0"/>
                  <w:vAlign w:val="center"/>
                </w:tcPr>
                <w:p w14:paraId="1410A7C0">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4D39CAED">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电检</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管脚测试</w:t>
                  </w:r>
                </w:p>
              </w:tc>
            </w:tr>
            <w:tr w14:paraId="2DD7D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5418D1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444" w:type="pct"/>
                  <w:shd w:val="clear" w:color="auto" w:fill="auto"/>
                  <w:noWrap w:val="0"/>
                  <w:vAlign w:val="center"/>
                </w:tcPr>
                <w:p w14:paraId="120B6889">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切片机</w:t>
                  </w:r>
                </w:p>
              </w:tc>
              <w:tc>
                <w:tcPr>
                  <w:tcW w:w="1047" w:type="pct"/>
                  <w:shd w:val="clear" w:color="auto" w:fill="auto"/>
                  <w:noWrap w:val="0"/>
                  <w:vAlign w:val="center"/>
                </w:tcPr>
                <w:p w14:paraId="7D854250">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88" w:type="pct"/>
                  <w:shd w:val="clear" w:color="auto" w:fill="auto"/>
                  <w:noWrap w:val="0"/>
                  <w:vAlign w:val="center"/>
                </w:tcPr>
                <w:p w14:paraId="43E78A27">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705F8A41">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切片</w:t>
                  </w:r>
                </w:p>
              </w:tc>
            </w:tr>
            <w:tr w14:paraId="1645E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4A86D13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444" w:type="pct"/>
                  <w:shd w:val="clear" w:color="auto" w:fill="auto"/>
                  <w:noWrap w:val="0"/>
                  <w:vAlign w:val="center"/>
                </w:tcPr>
                <w:p w14:paraId="1CCE4194">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贴偏光片机（全自动贴片机）</w:t>
                  </w:r>
                </w:p>
              </w:tc>
              <w:tc>
                <w:tcPr>
                  <w:tcW w:w="1047" w:type="pct"/>
                  <w:shd w:val="clear" w:color="auto" w:fill="auto"/>
                  <w:noWrap w:val="0"/>
                  <w:vAlign w:val="center"/>
                </w:tcPr>
                <w:p w14:paraId="07A4D193">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10</w:t>
                  </w:r>
                </w:p>
              </w:tc>
              <w:tc>
                <w:tcPr>
                  <w:tcW w:w="888" w:type="pct"/>
                  <w:shd w:val="clear" w:color="auto" w:fill="auto"/>
                  <w:noWrap w:val="0"/>
                  <w:vAlign w:val="center"/>
                </w:tcPr>
                <w:p w14:paraId="76C0AA5A">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0A0318A9">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液晶贴片</w:t>
                  </w:r>
                </w:p>
              </w:tc>
            </w:tr>
            <w:tr w14:paraId="2E13F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34671B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1444" w:type="pct"/>
                  <w:shd w:val="clear" w:color="auto" w:fill="auto"/>
                  <w:noWrap w:val="0"/>
                  <w:vAlign w:val="center"/>
                </w:tcPr>
                <w:p w14:paraId="6CBC83F2">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消泡机</w:t>
                  </w:r>
                </w:p>
              </w:tc>
              <w:tc>
                <w:tcPr>
                  <w:tcW w:w="1047" w:type="pct"/>
                  <w:shd w:val="clear" w:color="auto" w:fill="auto"/>
                  <w:noWrap w:val="0"/>
                  <w:vAlign w:val="center"/>
                </w:tcPr>
                <w:p w14:paraId="22EB0144">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w:t>
                  </w:r>
                </w:p>
              </w:tc>
              <w:tc>
                <w:tcPr>
                  <w:tcW w:w="888" w:type="pct"/>
                  <w:shd w:val="clear" w:color="auto" w:fill="auto"/>
                  <w:noWrap w:val="0"/>
                  <w:vAlign w:val="center"/>
                </w:tcPr>
                <w:p w14:paraId="316DB565">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6FDC781E">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消泡</w:t>
                  </w:r>
                </w:p>
              </w:tc>
            </w:tr>
            <w:tr w14:paraId="091C0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7CE787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1444" w:type="pct"/>
                  <w:shd w:val="clear" w:color="auto" w:fill="auto"/>
                  <w:noWrap w:val="0"/>
                  <w:vAlign w:val="center"/>
                </w:tcPr>
                <w:p w14:paraId="58E29365">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点胶线</w:t>
                  </w:r>
                </w:p>
              </w:tc>
              <w:tc>
                <w:tcPr>
                  <w:tcW w:w="1047" w:type="pct"/>
                  <w:shd w:val="clear" w:color="auto" w:fill="auto"/>
                  <w:noWrap w:val="0"/>
                  <w:vAlign w:val="center"/>
                </w:tcPr>
                <w:p w14:paraId="56F07905">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w:t>
                  </w:r>
                </w:p>
              </w:tc>
              <w:tc>
                <w:tcPr>
                  <w:tcW w:w="888" w:type="pct"/>
                  <w:shd w:val="clear" w:color="auto" w:fill="auto"/>
                  <w:noWrap w:val="0"/>
                  <w:vAlign w:val="center"/>
                </w:tcPr>
                <w:p w14:paraId="1C95F671">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二楼</w:t>
                  </w:r>
                </w:p>
              </w:tc>
              <w:tc>
                <w:tcPr>
                  <w:tcW w:w="956" w:type="pct"/>
                  <w:shd w:val="clear" w:color="auto" w:fill="auto"/>
                  <w:noWrap w:val="0"/>
                  <w:vAlign w:val="center"/>
                </w:tcPr>
                <w:p w14:paraId="4DC4F624">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装PIN</w:t>
                  </w:r>
                </w:p>
              </w:tc>
            </w:tr>
            <w:tr w14:paraId="17A7A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noWrap w:val="0"/>
                  <w:vAlign w:val="center"/>
                </w:tcPr>
                <w:p w14:paraId="58DA3F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1444" w:type="pct"/>
                  <w:shd w:val="clear" w:color="auto" w:fill="auto"/>
                  <w:noWrap w:val="0"/>
                  <w:vAlign w:val="center"/>
                </w:tcPr>
                <w:p w14:paraId="36612D7A">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空压机</w:t>
                  </w:r>
                </w:p>
              </w:tc>
              <w:tc>
                <w:tcPr>
                  <w:tcW w:w="1047" w:type="pct"/>
                  <w:shd w:val="clear" w:color="auto" w:fill="auto"/>
                  <w:noWrap w:val="0"/>
                  <w:vAlign w:val="center"/>
                </w:tcPr>
                <w:p w14:paraId="3BE9EE41">
                  <w:pPr>
                    <w:widowControl/>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w:t>
                  </w:r>
                </w:p>
              </w:tc>
              <w:tc>
                <w:tcPr>
                  <w:tcW w:w="888" w:type="pct"/>
                  <w:shd w:val="clear" w:color="auto" w:fill="auto"/>
                  <w:noWrap w:val="0"/>
                  <w:vAlign w:val="center"/>
                </w:tcPr>
                <w:p w14:paraId="1201D344">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一楼、三楼</w:t>
                  </w:r>
                </w:p>
              </w:tc>
              <w:tc>
                <w:tcPr>
                  <w:tcW w:w="956" w:type="pct"/>
                  <w:shd w:val="clear" w:color="auto" w:fill="auto"/>
                  <w:noWrap w:val="0"/>
                  <w:vAlign w:val="center"/>
                </w:tcPr>
                <w:p w14:paraId="65AD8060">
                  <w:pPr>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通用</w:t>
                  </w:r>
                </w:p>
              </w:tc>
            </w:tr>
          </w:tbl>
          <w:p w14:paraId="51FA69A8">
            <w:pPr>
              <w:rPr>
                <w:rFonts w:hint="default" w:ascii="Times New Roman" w:hAnsi="Times New Roman" w:cs="Times New Roman"/>
                <w:color w:val="auto"/>
                <w:highlight w:val="none"/>
              </w:rPr>
            </w:pPr>
          </w:p>
          <w:p w14:paraId="23E6E573">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本项目主要生产设备产能匹配性分析</w:t>
            </w:r>
          </w:p>
          <w:tbl>
            <w:tblPr>
              <w:tblStyle w:val="38"/>
              <w:tblW w:w="845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5"/>
              <w:gridCol w:w="1018"/>
              <w:gridCol w:w="1381"/>
              <w:gridCol w:w="1296"/>
              <w:gridCol w:w="1381"/>
              <w:gridCol w:w="1416"/>
              <w:gridCol w:w="1044"/>
            </w:tblGrid>
            <w:tr w14:paraId="63FF64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541" w:type="pct"/>
                  <w:tcBorders>
                    <w:top w:val="single" w:color="000000" w:sz="4" w:space="0"/>
                    <w:left w:val="single" w:color="000000" w:sz="4" w:space="0"/>
                    <w:bottom w:val="single" w:color="000000" w:sz="4" w:space="0"/>
                    <w:right w:val="single" w:color="000000" w:sz="4" w:space="0"/>
                  </w:tcBorders>
                  <w:noWrap w:val="0"/>
                  <w:vAlign w:val="center"/>
                </w:tcPr>
                <w:p w14:paraId="625ED1B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cs="Times New Roman"/>
                      <w:b/>
                      <w:bCs/>
                      <w:i w:val="0"/>
                      <w:iCs w:val="0"/>
                      <w:color w:val="auto"/>
                      <w:sz w:val="21"/>
                      <w:szCs w:val="21"/>
                      <w:highlight w:val="none"/>
                      <w:u w:val="none"/>
                      <w:lang w:val="en-US" w:eastAsia="zh-CN"/>
                    </w:rPr>
                    <w:t>设备名称</w:t>
                  </w:r>
                </w:p>
              </w:tc>
              <w:tc>
                <w:tcPr>
                  <w:tcW w:w="602" w:type="pct"/>
                  <w:tcBorders>
                    <w:top w:val="single" w:color="000000" w:sz="4" w:space="0"/>
                    <w:left w:val="single" w:color="000000" w:sz="4" w:space="0"/>
                    <w:bottom w:val="single" w:color="000000" w:sz="4" w:space="0"/>
                    <w:right w:val="single" w:color="000000" w:sz="4" w:space="0"/>
                  </w:tcBorders>
                  <w:noWrap w:val="0"/>
                  <w:vAlign w:val="center"/>
                </w:tcPr>
                <w:p w14:paraId="38FAD9E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设备数量（台）</w:t>
                  </w:r>
                </w:p>
              </w:tc>
              <w:tc>
                <w:tcPr>
                  <w:tcW w:w="816" w:type="pct"/>
                  <w:tcBorders>
                    <w:top w:val="single" w:color="000000" w:sz="4" w:space="0"/>
                    <w:left w:val="single" w:color="000000" w:sz="4" w:space="0"/>
                    <w:bottom w:val="single" w:color="000000" w:sz="4" w:space="0"/>
                    <w:right w:val="single" w:color="000000" w:sz="4" w:space="0"/>
                  </w:tcBorders>
                  <w:noWrap w:val="0"/>
                  <w:vAlign w:val="center"/>
                </w:tcPr>
                <w:p w14:paraId="2A53261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单台生产速度（kg/h·台）</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14:paraId="3A062A7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年加工时间（h）</w:t>
                  </w:r>
                </w:p>
              </w:tc>
              <w:tc>
                <w:tcPr>
                  <w:tcW w:w="816" w:type="pct"/>
                  <w:tcBorders>
                    <w:top w:val="single" w:color="000000" w:sz="4" w:space="0"/>
                    <w:left w:val="single" w:color="000000" w:sz="4" w:space="0"/>
                    <w:bottom w:val="single" w:color="000000" w:sz="4" w:space="0"/>
                    <w:right w:val="single" w:color="000000" w:sz="4" w:space="0"/>
                  </w:tcBorders>
                  <w:noWrap w:val="0"/>
                  <w:vAlign w:val="center"/>
                </w:tcPr>
                <w:p w14:paraId="2319EB8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设备满负荷产能</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（吨/年）</w:t>
                  </w:r>
                </w:p>
              </w:tc>
              <w:tc>
                <w:tcPr>
                  <w:tcW w:w="837" w:type="pct"/>
                  <w:tcBorders>
                    <w:top w:val="single" w:color="000000" w:sz="4" w:space="0"/>
                    <w:left w:val="single" w:color="000000" w:sz="4" w:space="0"/>
                    <w:bottom w:val="single" w:color="000000" w:sz="4" w:space="0"/>
                    <w:right w:val="single" w:color="000000" w:sz="4" w:space="0"/>
                  </w:tcBorders>
                  <w:noWrap w:val="0"/>
                  <w:vAlign w:val="center"/>
                </w:tcPr>
                <w:p w14:paraId="6113AF1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本扩建项目设计生产能力（吨/年）</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3AF8D38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生产负荷</w:t>
                  </w:r>
                </w:p>
              </w:tc>
            </w:tr>
            <w:tr w14:paraId="3FEE3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541" w:type="pct"/>
                  <w:tcBorders>
                    <w:top w:val="single" w:color="000000" w:sz="4" w:space="0"/>
                    <w:left w:val="single" w:color="000000" w:sz="4" w:space="0"/>
                    <w:bottom w:val="single" w:color="000000" w:sz="4" w:space="0"/>
                    <w:right w:val="single" w:color="000000" w:sz="4" w:space="0"/>
                  </w:tcBorders>
                  <w:noWrap w:val="0"/>
                  <w:vAlign w:val="center"/>
                </w:tcPr>
                <w:p w14:paraId="58DED9A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注塑机</w:t>
                  </w:r>
                </w:p>
              </w:tc>
              <w:tc>
                <w:tcPr>
                  <w:tcW w:w="602" w:type="pct"/>
                  <w:tcBorders>
                    <w:top w:val="single" w:color="000000" w:sz="4" w:space="0"/>
                    <w:left w:val="single" w:color="000000" w:sz="4" w:space="0"/>
                    <w:bottom w:val="single" w:color="000000" w:sz="4" w:space="0"/>
                    <w:right w:val="single" w:color="000000" w:sz="4" w:space="0"/>
                  </w:tcBorders>
                  <w:noWrap w:val="0"/>
                  <w:vAlign w:val="center"/>
                </w:tcPr>
                <w:p w14:paraId="71D8A47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816" w:type="pct"/>
                  <w:tcBorders>
                    <w:top w:val="single" w:color="000000" w:sz="4" w:space="0"/>
                    <w:left w:val="single" w:color="000000" w:sz="4" w:space="0"/>
                    <w:bottom w:val="single" w:color="000000" w:sz="4" w:space="0"/>
                    <w:right w:val="single" w:color="000000" w:sz="4" w:space="0"/>
                  </w:tcBorders>
                  <w:noWrap w:val="0"/>
                  <w:vAlign w:val="center"/>
                </w:tcPr>
                <w:p w14:paraId="1FE7040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766" w:type="pct"/>
                  <w:tcBorders>
                    <w:top w:val="single" w:color="000000" w:sz="4" w:space="0"/>
                    <w:left w:val="single" w:color="000000" w:sz="4" w:space="0"/>
                    <w:bottom w:val="single" w:color="000000" w:sz="4" w:space="0"/>
                    <w:right w:val="single" w:color="000000" w:sz="4" w:space="0"/>
                  </w:tcBorders>
                  <w:noWrap w:val="0"/>
                  <w:vAlign w:val="center"/>
                </w:tcPr>
                <w:p w14:paraId="5E26AD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1840</w:t>
                  </w:r>
                </w:p>
              </w:tc>
              <w:tc>
                <w:tcPr>
                  <w:tcW w:w="816" w:type="pct"/>
                  <w:tcBorders>
                    <w:top w:val="single" w:color="000000" w:sz="4" w:space="0"/>
                    <w:left w:val="single" w:color="000000" w:sz="4" w:space="0"/>
                    <w:bottom w:val="single" w:color="000000" w:sz="4" w:space="0"/>
                    <w:right w:val="single" w:color="000000" w:sz="4" w:space="0"/>
                  </w:tcBorders>
                  <w:noWrap w:val="0"/>
                  <w:vAlign w:val="center"/>
                </w:tcPr>
                <w:p w14:paraId="701FD8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115.0</w:t>
                  </w:r>
                </w:p>
              </w:tc>
              <w:tc>
                <w:tcPr>
                  <w:tcW w:w="837" w:type="pct"/>
                  <w:tcBorders>
                    <w:top w:val="single" w:color="000000" w:sz="4" w:space="0"/>
                    <w:left w:val="single" w:color="000000" w:sz="4" w:space="0"/>
                    <w:bottom w:val="single" w:color="000000" w:sz="4" w:space="0"/>
                    <w:right w:val="single" w:color="000000" w:sz="4" w:space="0"/>
                  </w:tcBorders>
                  <w:noWrap w:val="0"/>
                  <w:vAlign w:val="center"/>
                </w:tcPr>
                <w:p w14:paraId="30FCE9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96</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6D94FE4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83%</w:t>
                  </w:r>
                </w:p>
              </w:tc>
            </w:tr>
          </w:tbl>
          <w:p w14:paraId="7B6D9769">
            <w:pPr>
              <w:rPr>
                <w:rFonts w:hint="default" w:ascii="Times New Roman" w:hAnsi="Times New Roman" w:cs="Times New Roman"/>
                <w:color w:val="auto"/>
                <w:highlight w:val="none"/>
              </w:rPr>
            </w:pPr>
          </w:p>
          <w:p w14:paraId="7A4C56FD">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5</w:t>
            </w:r>
            <w:r>
              <w:rPr>
                <w:rFonts w:hint="default" w:ascii="Times New Roman" w:hAnsi="Times New Roman" w:cs="Times New Roman" w:eastAsiaTheme="minorEastAsia"/>
                <w:b/>
                <w:color w:val="auto"/>
                <w:sz w:val="24"/>
                <w:highlight w:val="none"/>
              </w:rPr>
              <w:t>、项目定员及工作制度</w:t>
            </w:r>
          </w:p>
          <w:p w14:paraId="7B787124">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rPr>
              <w:t>项目劳动定员</w:t>
            </w:r>
            <w:r>
              <w:rPr>
                <w:rFonts w:hint="default" w:ascii="Times New Roman" w:hAnsi="Times New Roman" w:cs="Times New Roman" w:eastAsiaTheme="minorEastAsia"/>
                <w:color w:val="auto"/>
                <w:sz w:val="24"/>
                <w:highlight w:val="none"/>
                <w:lang w:val="en-US" w:eastAsia="zh-CN"/>
              </w:rPr>
              <w:t>200</w:t>
            </w:r>
            <w:r>
              <w:rPr>
                <w:rFonts w:hint="default" w:ascii="Times New Roman" w:hAnsi="Times New Roman" w:cs="Times New Roman" w:eastAsiaTheme="minorEastAsia"/>
                <w:color w:val="auto"/>
                <w:sz w:val="24"/>
                <w:highlight w:val="none"/>
              </w:rPr>
              <w:t>人，年工作</w:t>
            </w:r>
            <w:r>
              <w:rPr>
                <w:rFonts w:hint="default" w:ascii="Times New Roman" w:hAnsi="Times New Roman" w:cs="Times New Roman" w:eastAsiaTheme="minorEastAsia"/>
                <w:color w:val="auto"/>
                <w:sz w:val="24"/>
                <w:highlight w:val="none"/>
                <w:lang w:val="en-US" w:eastAsia="zh-CN"/>
              </w:rPr>
              <w:t>230</w:t>
            </w:r>
            <w:r>
              <w:rPr>
                <w:rFonts w:hint="default" w:ascii="Times New Roman" w:hAnsi="Times New Roman" w:cs="Times New Roman" w:eastAsiaTheme="minorEastAsia"/>
                <w:color w:val="auto"/>
                <w:sz w:val="24"/>
                <w:highlight w:val="none"/>
              </w:rPr>
              <w:t>天，每天工作</w:t>
            </w:r>
            <w:r>
              <w:rPr>
                <w:rFonts w:hint="default" w:ascii="Times New Roman" w:hAnsi="Times New Roman" w:cs="Times New Roman" w:eastAsiaTheme="minorEastAsia"/>
                <w:color w:val="auto"/>
                <w:sz w:val="24"/>
                <w:highlight w:val="none"/>
                <w:lang w:val="en-US" w:eastAsia="zh-CN"/>
              </w:rPr>
              <w:t>8</w:t>
            </w:r>
            <w:r>
              <w:rPr>
                <w:rFonts w:hint="default" w:ascii="Times New Roman" w:hAnsi="Times New Roman" w:cs="Times New Roman" w:eastAsiaTheme="minorEastAsia"/>
                <w:color w:val="auto"/>
                <w:sz w:val="24"/>
                <w:highlight w:val="none"/>
              </w:rPr>
              <w:t>小时</w:t>
            </w:r>
            <w:r>
              <w:rPr>
                <w:rFonts w:hint="default" w:ascii="Times New Roman" w:hAnsi="Times New Roman" w:cs="Times New Roman" w:eastAsiaTheme="minorEastAsia"/>
                <w:color w:val="auto"/>
                <w:sz w:val="24"/>
                <w:highlight w:val="none"/>
                <w:lang w:eastAsia="zh-CN"/>
              </w:rPr>
              <w:t>，均不在厂内食宿。</w:t>
            </w:r>
          </w:p>
          <w:p w14:paraId="22BFC68B">
            <w:pPr>
              <w:spacing w:line="360" w:lineRule="auto"/>
              <w:ind w:firstLine="482" w:firstLineChars="200"/>
              <w:rPr>
                <w:rFonts w:hint="default" w:ascii="Times New Roman" w:hAnsi="Times New Roman" w:cs="Times New Roman" w:eastAsiaTheme="minorEastAsia"/>
                <w:b/>
                <w:color w:val="auto"/>
                <w:sz w:val="24"/>
                <w:highlight w:val="none"/>
              </w:rPr>
            </w:pPr>
            <w:bookmarkStart w:id="8" w:name="_Hlk152403167"/>
            <w:r>
              <w:rPr>
                <w:rFonts w:hint="default" w:ascii="Times New Roman" w:hAnsi="Times New Roman" w:cs="Times New Roman" w:eastAsiaTheme="minorEastAsia"/>
                <w:b/>
                <w:color w:val="auto"/>
                <w:sz w:val="24"/>
                <w:highlight w:val="none"/>
                <w:lang w:val="en-US" w:eastAsia="zh-CN"/>
              </w:rPr>
              <w:t>6</w:t>
            </w:r>
            <w:r>
              <w:rPr>
                <w:rFonts w:hint="default" w:ascii="Times New Roman" w:hAnsi="Times New Roman" w:cs="Times New Roman" w:eastAsiaTheme="minorEastAsia"/>
                <w:b/>
                <w:color w:val="auto"/>
                <w:sz w:val="24"/>
                <w:highlight w:val="none"/>
              </w:rPr>
              <w:t>、给排水规模</w:t>
            </w:r>
          </w:p>
          <w:p w14:paraId="47F44F61">
            <w:pPr>
              <w:spacing w:line="360" w:lineRule="auto"/>
              <w:ind w:firstLine="482" w:firstLineChars="200"/>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（1）给水</w:t>
            </w:r>
          </w:p>
          <w:p w14:paraId="0DA2F990">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本项目用水由市政供水管网供给。</w:t>
            </w:r>
          </w:p>
          <w:p w14:paraId="248303C1">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本项目员工办公、生活依托园区其他公用工程，因此无生活用水使用。</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用水为生产用水，</w:t>
            </w:r>
            <w:r>
              <w:rPr>
                <w:rFonts w:hint="default" w:ascii="Times New Roman" w:hAnsi="Times New Roman" w:cs="Times New Roman"/>
                <w:color w:val="auto"/>
                <w:sz w:val="24"/>
                <w:highlight w:val="none"/>
              </w:rPr>
              <w:t>主要是</w:t>
            </w:r>
            <w:r>
              <w:rPr>
                <w:rFonts w:hint="default" w:ascii="Times New Roman" w:hAnsi="Times New Roman" w:cs="Times New Roman"/>
                <w:color w:val="auto"/>
                <w:sz w:val="24"/>
                <w:highlight w:val="none"/>
                <w:lang w:eastAsia="zh-CN"/>
              </w:rPr>
              <w:t>磨边用水、冷却塔用水</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纯水制备用</w:t>
            </w:r>
            <w:r>
              <w:rPr>
                <w:rFonts w:hint="default" w:ascii="Times New Roman" w:hAnsi="Times New Roman" w:cs="Times New Roman"/>
                <w:color w:val="auto"/>
                <w:sz w:val="24"/>
                <w:highlight w:val="none"/>
              </w:rPr>
              <w:t>水</w:t>
            </w:r>
            <w:r>
              <w:rPr>
                <w:rFonts w:hint="default" w:ascii="Times New Roman" w:hAnsi="Times New Roman" w:cs="Times New Roman"/>
                <w:color w:val="auto"/>
                <w:sz w:val="24"/>
                <w:highlight w:val="none"/>
                <w:lang w:eastAsia="zh-CN"/>
              </w:rPr>
              <w:t>（用于工件清洗）</w:t>
            </w:r>
            <w:r>
              <w:rPr>
                <w:rFonts w:hint="default" w:ascii="Times New Roman" w:hAnsi="Times New Roman" w:cs="Times New Roman"/>
                <w:color w:val="auto"/>
                <w:sz w:val="24"/>
                <w:highlight w:val="none"/>
              </w:rPr>
              <w:t>，产生的废水主要是</w:t>
            </w:r>
            <w:r>
              <w:rPr>
                <w:rFonts w:hint="default" w:ascii="Times New Roman" w:hAnsi="Times New Roman" w:cs="Times New Roman"/>
                <w:color w:val="auto"/>
                <w:sz w:val="24"/>
                <w:highlight w:val="none"/>
                <w:lang w:eastAsia="zh-CN"/>
              </w:rPr>
              <w:t>磨边用水、冷却塔废水、清洗废水、纯水设备废水</w:t>
            </w:r>
            <w:r>
              <w:rPr>
                <w:rFonts w:hint="default" w:ascii="Times New Roman" w:hAnsi="Times New Roman" w:cs="Times New Roman" w:eastAsiaTheme="minorEastAsia"/>
                <w:color w:val="auto"/>
                <w:sz w:val="24"/>
                <w:highlight w:val="none"/>
              </w:rPr>
              <w:t>。</w:t>
            </w:r>
            <w:r>
              <w:rPr>
                <w:rFonts w:hint="default" w:ascii="Times New Roman" w:hAnsi="Times New Roman" w:cs="Times New Roman" w:eastAsiaTheme="minorEastAsia"/>
                <w:color w:val="auto"/>
                <w:sz w:val="24"/>
                <w:highlight w:val="none"/>
                <w:lang w:val="en-US" w:eastAsia="zh-CN"/>
              </w:rPr>
              <w:t>本项目新鲜用水总量为1178.5t/a。</w:t>
            </w:r>
          </w:p>
          <w:p w14:paraId="781D65ED">
            <w:pPr>
              <w:spacing w:line="360" w:lineRule="auto"/>
              <w:ind w:firstLine="482" w:firstLineChars="200"/>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（2）排水</w:t>
            </w:r>
          </w:p>
          <w:p w14:paraId="14D6A4D8">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rPr>
              <w:t>厂区采取雨污分流制。</w:t>
            </w:r>
            <w:r>
              <w:rPr>
                <w:rFonts w:hint="default" w:ascii="Times New Roman" w:hAnsi="Times New Roman" w:cs="Times New Roman"/>
                <w:color w:val="auto"/>
                <w:sz w:val="24"/>
                <w:szCs w:val="24"/>
                <w:highlight w:val="none"/>
              </w:rPr>
              <w:t>磨边废水进入</w:t>
            </w:r>
            <w:r>
              <w:rPr>
                <w:rFonts w:hint="default" w:ascii="Times New Roman" w:hAnsi="Times New Roman" w:cs="Times New Roman"/>
                <w:color w:val="auto"/>
                <w:sz w:val="24"/>
                <w:szCs w:val="24"/>
                <w:highlight w:val="none"/>
                <w:lang w:eastAsia="zh-CN"/>
              </w:rPr>
              <w:t>磨边废水收集池沉淀，定期捞渣，磨边废水循环使用不外排</w:t>
            </w:r>
            <w:r>
              <w:rPr>
                <w:rFonts w:hint="default" w:ascii="Times New Roman" w:hAnsi="Times New Roman" w:cs="Times New Roman" w:eastAsiaTheme="minorEastAsia"/>
                <w:color w:val="auto"/>
                <w:sz w:val="24"/>
                <w:highlight w:val="none"/>
                <w:lang w:val="en-US" w:eastAsia="zh-CN"/>
              </w:rPr>
              <w:t>。冷却塔废水产生量为1t/a，清洗废水产生量为64.860t/a，纯水设备废水产生量为39.887t/a，合计外排水量为105.747t/a。</w:t>
            </w:r>
          </w:p>
          <w:p w14:paraId="666DD34B">
            <w:pPr>
              <w:spacing w:line="360" w:lineRule="auto"/>
              <w:ind w:firstLine="480" w:firstLineChars="20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eastAsiaTheme="minorEastAsia"/>
                <w:color w:val="auto"/>
                <w:sz w:val="24"/>
                <w:highlight w:val="none"/>
                <w:lang w:val="en-US" w:eastAsia="zh-CN"/>
              </w:rPr>
              <w:t>生产废水经收集池收集达到</w:t>
            </w:r>
            <w:r>
              <w:rPr>
                <w:rFonts w:hint="default" w:ascii="Times New Roman" w:hAnsi="Times New Roman" w:cs="Times New Roman" w:eastAsiaTheme="minorEastAsia"/>
                <w:color w:val="auto"/>
                <w:sz w:val="24"/>
                <w:highlight w:val="none"/>
                <w:lang w:eastAsia="zh-CN"/>
              </w:rPr>
              <w:t>园区污水处理厂接管水质要求、广东省《水污染物排放限值》（DB44/26-2001）第二时段三级标准、《电子工业水污染物排放标准》（GB 39731-2020）</w:t>
            </w:r>
            <w:r>
              <w:rPr>
                <w:rFonts w:hint="default" w:ascii="Times New Roman" w:hAnsi="Times New Roman" w:cs="Times New Roman" w:eastAsiaTheme="minorEastAsia"/>
                <w:color w:val="auto"/>
                <w:sz w:val="24"/>
                <w:highlight w:val="none"/>
                <w:lang w:val="en-US" w:eastAsia="zh-CN"/>
              </w:rPr>
              <w:t>间接排放标准的三者</w:t>
            </w:r>
            <w:r>
              <w:rPr>
                <w:rFonts w:hint="default" w:ascii="Times New Roman" w:hAnsi="Times New Roman" w:cs="Times New Roman" w:eastAsiaTheme="minorEastAsia"/>
                <w:color w:val="auto"/>
                <w:sz w:val="24"/>
                <w:highlight w:val="none"/>
                <w:lang w:eastAsia="zh-CN"/>
              </w:rPr>
              <w:t>较严值</w:t>
            </w:r>
            <w:r>
              <w:rPr>
                <w:rFonts w:hint="default" w:ascii="Times New Roman" w:hAnsi="Times New Roman" w:cs="Times New Roman" w:eastAsiaTheme="minorEastAsia"/>
                <w:color w:val="auto"/>
                <w:sz w:val="24"/>
                <w:highlight w:val="none"/>
                <w:lang w:val="en-US" w:eastAsia="zh-CN"/>
              </w:rPr>
              <w:t>后，混合排入园区污水管网进入园区污水处理厂进行深度处理。</w:t>
            </w:r>
          </w:p>
          <w:p w14:paraId="5E1ECFA4">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本项目水平衡如下所示：</w:t>
            </w:r>
          </w:p>
          <w:bookmarkEnd w:id="8"/>
          <w:p w14:paraId="281D022F">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356860" cy="1756410"/>
                  <wp:effectExtent l="9525" t="9525" r="10795" b="20320"/>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21"/>
                          <a:stretch>
                            <a:fillRect/>
                          </a:stretch>
                        </pic:blipFill>
                        <pic:spPr>
                          <a:xfrm>
                            <a:off x="0" y="0"/>
                            <a:ext cx="5356860" cy="1756410"/>
                          </a:xfrm>
                          <a:prstGeom prst="rect">
                            <a:avLst/>
                          </a:prstGeom>
                          <a:noFill/>
                          <a:ln>
                            <a:solidFill>
                              <a:schemeClr val="tx1"/>
                            </a:solidFill>
                          </a:ln>
                        </pic:spPr>
                      </pic:pic>
                    </a:graphicData>
                  </a:graphic>
                </wp:inline>
              </w:drawing>
            </w:r>
          </w:p>
          <w:p w14:paraId="1B7EE6AF">
            <w:pPr>
              <w:pStyle w:val="22"/>
              <w:pageBreakBefore w:val="0"/>
              <w:numPr>
                <w:ilvl w:val="0"/>
                <w:numId w:val="7"/>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本项目水平衡图（t/a）</w:t>
            </w:r>
          </w:p>
          <w:p w14:paraId="2EEC4260">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7</w:t>
            </w:r>
            <w:r>
              <w:rPr>
                <w:rFonts w:hint="default" w:ascii="Times New Roman" w:hAnsi="Times New Roman" w:cs="Times New Roman" w:eastAsiaTheme="minorEastAsia"/>
                <w:b/>
                <w:color w:val="auto"/>
                <w:sz w:val="24"/>
                <w:highlight w:val="none"/>
              </w:rPr>
              <w:t>、能源消耗量</w:t>
            </w:r>
          </w:p>
          <w:p w14:paraId="3A02D219">
            <w:pPr>
              <w:spacing w:line="360" w:lineRule="auto"/>
              <w:ind w:firstLine="482"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b/>
                <w:bCs/>
                <w:color w:val="auto"/>
                <w:sz w:val="24"/>
                <w:highlight w:val="none"/>
              </w:rPr>
              <w:t>电能：</w:t>
            </w:r>
            <w:r>
              <w:rPr>
                <w:rFonts w:hint="default" w:ascii="Times New Roman" w:hAnsi="Times New Roman" w:cs="Times New Roman" w:eastAsiaTheme="minorEastAsia"/>
                <w:color w:val="auto"/>
                <w:sz w:val="24"/>
                <w:highlight w:val="none"/>
              </w:rPr>
              <w:t>本项目不设备用发电机，用电从当地供电主线路接线，主要以电为能源，每年耗电量约为</w:t>
            </w:r>
            <w:r>
              <w:rPr>
                <w:rFonts w:hint="default" w:ascii="Times New Roman" w:hAnsi="Times New Roman" w:cs="Times New Roman" w:eastAsiaTheme="minorEastAsia"/>
                <w:color w:val="auto"/>
                <w:sz w:val="24"/>
                <w:highlight w:val="none"/>
                <w:lang w:val="en-US" w:eastAsia="zh-CN"/>
              </w:rPr>
              <w:t>300</w:t>
            </w:r>
            <w:r>
              <w:rPr>
                <w:rFonts w:hint="default" w:ascii="Times New Roman" w:hAnsi="Times New Roman" w:cs="Times New Roman" w:eastAsiaTheme="minorEastAsia"/>
                <w:color w:val="auto"/>
                <w:sz w:val="24"/>
                <w:highlight w:val="none"/>
              </w:rPr>
              <w:t>万k</w:t>
            </w:r>
            <w:r>
              <w:rPr>
                <w:rFonts w:hint="default" w:ascii="Times New Roman" w:hAnsi="Times New Roman" w:cs="Times New Roman" w:eastAsiaTheme="minorEastAsia"/>
                <w:color w:val="auto"/>
                <w:sz w:val="24"/>
                <w:highlight w:val="none"/>
                <w:lang w:val="en-US" w:eastAsia="zh-CN"/>
              </w:rPr>
              <w:t>W·</w:t>
            </w:r>
            <w:r>
              <w:rPr>
                <w:rFonts w:hint="default" w:ascii="Times New Roman" w:hAnsi="Times New Roman" w:cs="Times New Roman" w:eastAsiaTheme="minorEastAsia"/>
                <w:color w:val="auto"/>
                <w:sz w:val="24"/>
                <w:highlight w:val="none"/>
              </w:rPr>
              <w:t>h。</w:t>
            </w:r>
          </w:p>
          <w:p w14:paraId="76B79EE9">
            <w:pPr>
              <w:spacing w:line="360" w:lineRule="auto"/>
              <w:ind w:firstLine="482" w:firstLineChars="200"/>
              <w:rPr>
                <w:rFonts w:hint="default" w:ascii="Times New Roman" w:hAnsi="Times New Roman" w:cs="Times New Roman" w:eastAsiaTheme="minorEastAsia"/>
                <w:b/>
                <w:color w:val="auto"/>
                <w:sz w:val="24"/>
                <w:highlight w:val="none"/>
                <w:lang w:val="en-US" w:eastAsia="zh-CN"/>
              </w:rPr>
            </w:pPr>
            <w:r>
              <w:rPr>
                <w:rFonts w:hint="default" w:ascii="Times New Roman" w:hAnsi="Times New Roman" w:cs="Times New Roman" w:eastAsiaTheme="minorEastAsia"/>
                <w:b/>
                <w:color w:val="auto"/>
                <w:sz w:val="24"/>
                <w:highlight w:val="none"/>
                <w:lang w:val="en-US" w:eastAsia="zh-CN"/>
              </w:rPr>
              <w:t>8、总平面布局合理性分析</w:t>
            </w:r>
          </w:p>
          <w:p w14:paraId="68FEE533">
            <w:pPr>
              <w:spacing w:line="360" w:lineRule="auto"/>
              <w:ind w:firstLine="480" w:firstLineChars="200"/>
              <w:rPr>
                <w:rFonts w:hint="default" w:ascii="Times New Roman" w:hAnsi="Times New Roman" w:cs="Times New Roman" w:eastAsiaTheme="minorEastAsia"/>
                <w:b w:val="0"/>
                <w:bCs w:val="0"/>
                <w:color w:val="auto"/>
                <w:sz w:val="24"/>
                <w:highlight w:val="none"/>
              </w:rPr>
            </w:pPr>
            <w:r>
              <w:rPr>
                <w:rFonts w:hint="default" w:ascii="Times New Roman" w:hAnsi="Times New Roman" w:cs="Times New Roman" w:eastAsiaTheme="minorEastAsia"/>
                <w:b w:val="0"/>
                <w:bCs w:val="0"/>
                <w:color w:val="auto"/>
                <w:sz w:val="24"/>
                <w:highlight w:val="none"/>
                <w:lang w:eastAsia="zh-CN"/>
              </w:rPr>
              <w:t>（</w:t>
            </w:r>
            <w:r>
              <w:rPr>
                <w:rFonts w:hint="default" w:ascii="Times New Roman" w:hAnsi="Times New Roman" w:cs="Times New Roman" w:eastAsiaTheme="minorEastAsia"/>
                <w:b w:val="0"/>
                <w:bCs w:val="0"/>
                <w:color w:val="auto"/>
                <w:sz w:val="24"/>
                <w:highlight w:val="none"/>
                <w:lang w:val="en-US" w:eastAsia="zh-CN"/>
              </w:rPr>
              <w:t>1）</w:t>
            </w:r>
            <w:r>
              <w:rPr>
                <w:rFonts w:hint="default" w:ascii="Times New Roman" w:hAnsi="Times New Roman" w:cs="Times New Roman" w:eastAsiaTheme="minorEastAsia"/>
                <w:b w:val="0"/>
                <w:bCs w:val="0"/>
                <w:color w:val="auto"/>
                <w:sz w:val="24"/>
                <w:highlight w:val="none"/>
              </w:rPr>
              <w:t>用地合理、合法性分析</w:t>
            </w:r>
          </w:p>
          <w:p w14:paraId="3966CC11">
            <w:pPr>
              <w:spacing w:line="360" w:lineRule="auto"/>
              <w:ind w:firstLine="480" w:firstLineChars="200"/>
              <w:rPr>
                <w:rFonts w:hint="default" w:ascii="Times New Roman" w:hAnsi="Times New Roman" w:cs="Times New Roman" w:eastAsiaTheme="minorEastAsia"/>
                <w:b w:val="0"/>
                <w:bCs w:val="0"/>
                <w:color w:val="auto"/>
                <w:sz w:val="24"/>
                <w:highlight w:val="none"/>
              </w:rPr>
            </w:pPr>
            <w:r>
              <w:rPr>
                <w:rFonts w:hint="default" w:ascii="Times New Roman" w:hAnsi="Times New Roman" w:cs="Times New Roman" w:eastAsiaTheme="minorEastAsia"/>
                <w:b w:val="0"/>
                <w:bCs w:val="0"/>
                <w:color w:val="auto"/>
                <w:sz w:val="24"/>
                <w:highlight w:val="none"/>
              </w:rPr>
              <w:t>建设单位拟于</w:t>
            </w:r>
            <w:r>
              <w:rPr>
                <w:rFonts w:hint="default" w:ascii="Times New Roman" w:hAnsi="Times New Roman" w:cs="Times New Roman" w:eastAsiaTheme="minorEastAsia"/>
                <w:b w:val="0"/>
                <w:bCs w:val="0"/>
                <w:color w:val="auto"/>
                <w:sz w:val="24"/>
                <w:highlight w:val="none"/>
                <w:lang w:eastAsia="zh-CN"/>
              </w:rPr>
              <w:t>乐昌市乐昌产业转移工业园乐园大道2A号C幢厂房</w:t>
            </w:r>
            <w:r>
              <w:rPr>
                <w:rFonts w:hint="default" w:ascii="Times New Roman" w:hAnsi="Times New Roman" w:cs="Times New Roman" w:eastAsiaTheme="minorEastAsia"/>
                <w:b w:val="0"/>
                <w:bCs w:val="0"/>
                <w:color w:val="auto"/>
                <w:sz w:val="24"/>
                <w:highlight w:val="none"/>
              </w:rPr>
              <w:t>进行生产，根据</w:t>
            </w:r>
            <w:r>
              <w:rPr>
                <w:rFonts w:hint="default" w:ascii="Times New Roman" w:hAnsi="Times New Roman" w:cs="Times New Roman" w:eastAsiaTheme="minorEastAsia"/>
                <w:b w:val="0"/>
                <w:bCs w:val="0"/>
                <w:color w:val="auto"/>
                <w:sz w:val="24"/>
                <w:highlight w:val="none"/>
                <w:lang w:eastAsia="zh-CN"/>
              </w:rPr>
              <w:t>产权证</w:t>
            </w:r>
            <w:r>
              <w:rPr>
                <w:rFonts w:hint="default" w:ascii="Times New Roman" w:hAnsi="Times New Roman" w:cs="Times New Roman" w:eastAsiaTheme="minorEastAsia"/>
                <w:b w:val="0"/>
                <w:bCs w:val="0"/>
                <w:color w:val="auto"/>
                <w:sz w:val="24"/>
                <w:highlight w:val="none"/>
              </w:rPr>
              <w:t>（详见附件</w:t>
            </w:r>
            <w:r>
              <w:rPr>
                <w:rFonts w:hint="default" w:ascii="Times New Roman" w:hAnsi="Times New Roman" w:cs="Times New Roman" w:eastAsiaTheme="minorEastAsia"/>
                <w:b w:val="0"/>
                <w:bCs w:val="0"/>
                <w:color w:val="auto"/>
                <w:sz w:val="24"/>
                <w:highlight w:val="none"/>
                <w:lang w:val="en-US" w:eastAsia="zh-CN"/>
              </w:rPr>
              <w:t>4</w:t>
            </w:r>
            <w:r>
              <w:rPr>
                <w:rFonts w:hint="default" w:ascii="Times New Roman" w:hAnsi="Times New Roman" w:cs="Times New Roman" w:eastAsiaTheme="minorEastAsia"/>
                <w:b w:val="0"/>
                <w:bCs w:val="0"/>
                <w:color w:val="auto"/>
                <w:sz w:val="24"/>
                <w:highlight w:val="none"/>
              </w:rPr>
              <w:t>）可知，项目用地用途为工业用地。</w:t>
            </w:r>
          </w:p>
          <w:p w14:paraId="5468E639">
            <w:pPr>
              <w:spacing w:line="360" w:lineRule="auto"/>
              <w:ind w:firstLine="480" w:firstLineChars="200"/>
              <w:rPr>
                <w:rFonts w:hint="default" w:ascii="Times New Roman" w:hAnsi="Times New Roman" w:cs="Times New Roman" w:eastAsiaTheme="minorEastAsia"/>
                <w:b w:val="0"/>
                <w:bCs w:val="0"/>
                <w:color w:val="auto"/>
                <w:sz w:val="24"/>
                <w:highlight w:val="none"/>
              </w:rPr>
            </w:pPr>
            <w:r>
              <w:rPr>
                <w:rFonts w:hint="default" w:ascii="Times New Roman" w:hAnsi="Times New Roman" w:cs="Times New Roman" w:eastAsiaTheme="minorEastAsia"/>
                <w:b w:val="0"/>
                <w:bCs w:val="0"/>
                <w:color w:val="auto"/>
                <w:sz w:val="24"/>
                <w:highlight w:val="none"/>
                <w:lang w:eastAsia="zh-CN"/>
              </w:rPr>
              <w:t>（</w:t>
            </w:r>
            <w:r>
              <w:rPr>
                <w:rFonts w:hint="default" w:ascii="Times New Roman" w:hAnsi="Times New Roman" w:cs="Times New Roman" w:eastAsiaTheme="minorEastAsia"/>
                <w:b w:val="0"/>
                <w:bCs w:val="0"/>
                <w:color w:val="auto"/>
                <w:sz w:val="24"/>
                <w:highlight w:val="none"/>
                <w:lang w:val="en-US" w:eastAsia="zh-CN"/>
              </w:rPr>
              <w:t>2）</w:t>
            </w:r>
            <w:r>
              <w:rPr>
                <w:rFonts w:hint="default" w:ascii="Times New Roman" w:hAnsi="Times New Roman" w:cs="Times New Roman" w:eastAsiaTheme="minorEastAsia"/>
                <w:b w:val="0"/>
                <w:bCs w:val="0"/>
                <w:color w:val="auto"/>
                <w:sz w:val="24"/>
                <w:highlight w:val="none"/>
              </w:rPr>
              <w:t>四至分析</w:t>
            </w:r>
          </w:p>
          <w:p w14:paraId="51F22CDE">
            <w:pPr>
              <w:spacing w:line="360" w:lineRule="auto"/>
              <w:ind w:firstLine="480" w:firstLineChars="200"/>
              <w:rPr>
                <w:rFonts w:hint="default" w:ascii="Times New Roman" w:hAnsi="Times New Roman" w:cs="Times New Roman" w:eastAsiaTheme="minorEastAsia"/>
                <w:b w:val="0"/>
                <w:bCs w:val="0"/>
                <w:color w:val="auto"/>
                <w:sz w:val="24"/>
                <w:highlight w:val="none"/>
              </w:rPr>
            </w:pPr>
            <w:bookmarkStart w:id="9" w:name="_Toc21623"/>
            <w:bookmarkStart w:id="10" w:name="_Toc15878"/>
            <w:r>
              <w:rPr>
                <w:rFonts w:hint="default" w:ascii="Times New Roman" w:hAnsi="Times New Roman" w:cs="Times New Roman" w:eastAsiaTheme="minorEastAsia"/>
                <w:b w:val="0"/>
                <w:bCs w:val="0"/>
                <w:color w:val="auto"/>
                <w:sz w:val="24"/>
                <w:highlight w:val="none"/>
              </w:rPr>
              <w:t>本项目</w:t>
            </w:r>
            <w:r>
              <w:rPr>
                <w:rFonts w:hint="default" w:ascii="Times New Roman" w:hAnsi="Times New Roman" w:cs="Times New Roman" w:eastAsiaTheme="minorEastAsia"/>
                <w:b w:val="0"/>
                <w:bCs w:val="0"/>
                <w:color w:val="auto"/>
                <w:sz w:val="24"/>
                <w:highlight w:val="none"/>
                <w:lang w:val="en-US" w:eastAsia="zh-CN"/>
              </w:rPr>
              <w:t>东面隔园区道路为广东熙诚环保科技有限公司、空置厂房；南面为园区综合楼，综合楼南侧为林地、池塘；西面为乐园大道；北</w:t>
            </w:r>
            <w:r>
              <w:rPr>
                <w:rFonts w:hint="default" w:ascii="Times New Roman" w:hAnsi="Times New Roman" w:cs="Times New Roman" w:eastAsiaTheme="minorEastAsia"/>
                <w:b w:val="0"/>
                <w:bCs w:val="0"/>
                <w:color w:val="auto"/>
                <w:sz w:val="24"/>
                <w:highlight w:val="none"/>
              </w:rPr>
              <w:t>面</w:t>
            </w:r>
            <w:r>
              <w:rPr>
                <w:rFonts w:hint="default" w:ascii="Times New Roman" w:hAnsi="Times New Roman" w:cs="Times New Roman" w:eastAsiaTheme="minorEastAsia"/>
                <w:b w:val="0"/>
                <w:bCs w:val="0"/>
                <w:color w:val="auto"/>
                <w:sz w:val="24"/>
                <w:highlight w:val="none"/>
                <w:lang w:eastAsia="zh-CN"/>
              </w:rPr>
              <w:t>为</w:t>
            </w:r>
            <w:r>
              <w:rPr>
                <w:rFonts w:hint="default" w:ascii="Times New Roman" w:hAnsi="Times New Roman" w:cs="Times New Roman" w:eastAsiaTheme="minorEastAsia"/>
                <w:b w:val="0"/>
                <w:bCs w:val="0"/>
                <w:color w:val="auto"/>
                <w:sz w:val="24"/>
                <w:highlight w:val="none"/>
                <w:lang w:val="en-US" w:eastAsia="zh-CN"/>
              </w:rPr>
              <w:t>粤湘光电产业园的AB栋，AB栋北面为广东金之地新材料科技有限公司、广东邦嘉科技有限公司等其他厂房。</w:t>
            </w:r>
            <w:bookmarkEnd w:id="9"/>
            <w:bookmarkEnd w:id="10"/>
          </w:p>
          <w:p w14:paraId="29BDE5D3">
            <w:pPr>
              <w:spacing w:line="360" w:lineRule="auto"/>
              <w:ind w:firstLine="480" w:firstLineChars="200"/>
              <w:rPr>
                <w:rFonts w:hint="default" w:ascii="Times New Roman" w:hAnsi="Times New Roman" w:cs="Times New Roman" w:eastAsiaTheme="minorEastAsia"/>
                <w:b w:val="0"/>
                <w:bCs w:val="0"/>
                <w:color w:val="auto"/>
                <w:sz w:val="24"/>
                <w:highlight w:val="none"/>
              </w:rPr>
            </w:pPr>
            <w:r>
              <w:rPr>
                <w:rFonts w:hint="default" w:ascii="Times New Roman" w:hAnsi="Times New Roman" w:cs="Times New Roman" w:eastAsiaTheme="minorEastAsia"/>
                <w:b w:val="0"/>
                <w:bCs w:val="0"/>
                <w:color w:val="auto"/>
                <w:sz w:val="24"/>
                <w:highlight w:val="none"/>
                <w:lang w:eastAsia="zh-CN"/>
              </w:rPr>
              <w:t>（</w:t>
            </w:r>
            <w:r>
              <w:rPr>
                <w:rFonts w:hint="default" w:ascii="Times New Roman" w:hAnsi="Times New Roman" w:cs="Times New Roman" w:eastAsiaTheme="minorEastAsia"/>
                <w:b w:val="0"/>
                <w:bCs w:val="0"/>
                <w:color w:val="auto"/>
                <w:sz w:val="24"/>
                <w:highlight w:val="none"/>
                <w:lang w:val="en-US" w:eastAsia="zh-CN"/>
              </w:rPr>
              <w:t>3）</w:t>
            </w:r>
            <w:r>
              <w:rPr>
                <w:rFonts w:hint="default" w:ascii="Times New Roman" w:hAnsi="Times New Roman" w:cs="Times New Roman" w:eastAsiaTheme="minorEastAsia"/>
                <w:b w:val="0"/>
                <w:bCs w:val="0"/>
                <w:color w:val="auto"/>
                <w:sz w:val="24"/>
                <w:highlight w:val="none"/>
              </w:rPr>
              <w:t>总平面布局</w:t>
            </w:r>
          </w:p>
          <w:p w14:paraId="3AE7251D">
            <w:pPr>
              <w:spacing w:line="360" w:lineRule="auto"/>
              <w:ind w:firstLine="480" w:firstLineChars="200"/>
              <w:rPr>
                <w:rFonts w:hint="default" w:ascii="Times New Roman" w:hAnsi="Times New Roman" w:cs="Times New Roman" w:eastAsiaTheme="minorEastAsia"/>
                <w:b w:val="0"/>
                <w:bCs w:val="0"/>
                <w:color w:val="auto"/>
                <w:sz w:val="24"/>
                <w:highlight w:val="none"/>
              </w:rPr>
            </w:pPr>
            <w:r>
              <w:rPr>
                <w:rFonts w:hint="default" w:ascii="Times New Roman" w:hAnsi="Times New Roman" w:cs="Times New Roman" w:eastAsiaTheme="minorEastAsia"/>
                <w:b w:val="0"/>
                <w:bCs w:val="0"/>
                <w:color w:val="auto"/>
                <w:sz w:val="24"/>
                <w:highlight w:val="none"/>
              </w:rPr>
              <w:t>本</w:t>
            </w:r>
            <w:r>
              <w:rPr>
                <w:rFonts w:hint="default" w:ascii="Times New Roman" w:hAnsi="Times New Roman" w:cs="Times New Roman" w:eastAsiaTheme="minorEastAsia"/>
                <w:b w:val="0"/>
                <w:bCs w:val="0"/>
                <w:color w:val="auto"/>
                <w:sz w:val="24"/>
                <w:highlight w:val="none"/>
                <w:lang w:val="en-US" w:eastAsia="zh-CN"/>
              </w:rPr>
              <w:t>项目</w:t>
            </w:r>
            <w:r>
              <w:rPr>
                <w:rFonts w:hint="default" w:ascii="Times New Roman" w:hAnsi="Times New Roman" w:cs="Times New Roman" w:eastAsiaTheme="minorEastAsia"/>
                <w:b w:val="0"/>
                <w:bCs w:val="0"/>
                <w:color w:val="auto"/>
                <w:sz w:val="24"/>
                <w:highlight w:val="none"/>
              </w:rPr>
              <w:t>由</w:t>
            </w:r>
            <w:r>
              <w:rPr>
                <w:rFonts w:hint="default" w:ascii="Times New Roman" w:hAnsi="Times New Roman" w:cs="Times New Roman" w:eastAsiaTheme="minorEastAsia"/>
                <w:b w:val="0"/>
                <w:bCs w:val="0"/>
                <w:color w:val="auto"/>
                <w:sz w:val="24"/>
                <w:highlight w:val="none"/>
                <w:lang w:val="en-US" w:eastAsia="zh-CN"/>
              </w:rPr>
              <w:t>注塑、背光源、显示屏车间等</w:t>
            </w:r>
            <w:r>
              <w:rPr>
                <w:rFonts w:hint="default" w:ascii="Times New Roman" w:hAnsi="Times New Roman" w:cs="Times New Roman" w:eastAsiaTheme="minorEastAsia"/>
                <w:b w:val="0"/>
                <w:bCs w:val="0"/>
                <w:color w:val="auto"/>
                <w:sz w:val="24"/>
                <w:highlight w:val="none"/>
              </w:rPr>
              <w:t>组成，各区用途分明，布局紧凑，原料</w:t>
            </w:r>
            <w:r>
              <w:rPr>
                <w:rFonts w:hint="default" w:ascii="Times New Roman" w:hAnsi="Times New Roman" w:cs="Times New Roman" w:eastAsiaTheme="minorEastAsia"/>
                <w:b w:val="0"/>
                <w:bCs w:val="0"/>
                <w:color w:val="auto"/>
                <w:sz w:val="24"/>
                <w:highlight w:val="none"/>
                <w:lang w:eastAsia="zh-CN"/>
              </w:rPr>
              <w:t>分类</w:t>
            </w:r>
            <w:r>
              <w:rPr>
                <w:rFonts w:hint="default" w:ascii="Times New Roman" w:hAnsi="Times New Roman" w:cs="Times New Roman" w:eastAsiaTheme="minorEastAsia"/>
                <w:b w:val="0"/>
                <w:bCs w:val="0"/>
                <w:color w:val="auto"/>
                <w:sz w:val="24"/>
                <w:highlight w:val="none"/>
              </w:rPr>
              <w:t>存放，便于物料的管理和风险控制，该区域地面设置防渗层，防止泄漏时下渗，防止污染土壤和地下水</w:t>
            </w:r>
            <w:r>
              <w:rPr>
                <w:rFonts w:hint="default" w:ascii="Times New Roman" w:hAnsi="Times New Roman" w:cs="Times New Roman" w:eastAsiaTheme="minorEastAsia"/>
                <w:b w:val="0"/>
                <w:bCs w:val="0"/>
                <w:color w:val="auto"/>
                <w:sz w:val="24"/>
                <w:highlight w:val="none"/>
                <w:lang w:eastAsia="zh-CN"/>
              </w:rPr>
              <w:t>。</w:t>
            </w:r>
            <w:r>
              <w:rPr>
                <w:rFonts w:hint="default" w:ascii="Times New Roman" w:hAnsi="Times New Roman" w:cs="Times New Roman" w:eastAsiaTheme="minorEastAsia"/>
                <w:b w:val="0"/>
                <w:bCs w:val="0"/>
                <w:color w:val="auto"/>
                <w:sz w:val="24"/>
                <w:highlight w:val="none"/>
              </w:rPr>
              <w:t>本项目四周以工业性质企业、建设用地为主，因此本项目建设能与周边环境协调一致，项目四至情况卫星图见附图2。</w:t>
            </w:r>
          </w:p>
          <w:p w14:paraId="4E552378">
            <w:pPr>
              <w:pStyle w:val="2"/>
              <w:rPr>
                <w:rFonts w:hint="default" w:ascii="Times New Roman" w:hAnsi="Times New Roman" w:cs="Times New Roman" w:eastAsiaTheme="minorEastAsia"/>
                <w:b w:val="0"/>
                <w:bCs w:val="0"/>
                <w:color w:val="auto"/>
                <w:sz w:val="24"/>
                <w:highlight w:val="none"/>
              </w:rPr>
            </w:pPr>
          </w:p>
          <w:p w14:paraId="175F16DF">
            <w:pPr>
              <w:pStyle w:val="4"/>
              <w:ind w:left="0"/>
              <w:rPr>
                <w:rFonts w:hint="default" w:ascii="Times New Roman" w:hAnsi="Times New Roman" w:cs="Times New Roman" w:eastAsiaTheme="minorEastAsia"/>
                <w:b w:val="0"/>
                <w:bCs w:val="0"/>
                <w:color w:val="auto"/>
                <w:sz w:val="24"/>
                <w:highlight w:val="none"/>
              </w:rPr>
            </w:pPr>
          </w:p>
          <w:p w14:paraId="66862DCA">
            <w:pPr>
              <w:rPr>
                <w:rFonts w:hint="default" w:ascii="Times New Roman" w:hAnsi="Times New Roman" w:cs="Times New Roman" w:eastAsiaTheme="minorEastAsia"/>
                <w:b w:val="0"/>
                <w:bCs w:val="0"/>
                <w:color w:val="auto"/>
                <w:sz w:val="24"/>
                <w:highlight w:val="none"/>
              </w:rPr>
            </w:pPr>
          </w:p>
          <w:p w14:paraId="13E78195">
            <w:pPr>
              <w:pStyle w:val="2"/>
              <w:rPr>
                <w:rFonts w:hint="default" w:ascii="Times New Roman" w:hAnsi="Times New Roman" w:cs="Times New Roman" w:eastAsiaTheme="minorEastAsia"/>
                <w:b w:val="0"/>
                <w:bCs w:val="0"/>
                <w:color w:val="auto"/>
                <w:sz w:val="24"/>
                <w:highlight w:val="none"/>
              </w:rPr>
            </w:pPr>
          </w:p>
          <w:p w14:paraId="64494F38">
            <w:pPr>
              <w:pStyle w:val="4"/>
              <w:ind w:left="0"/>
              <w:rPr>
                <w:rFonts w:hint="default" w:ascii="Times New Roman" w:hAnsi="Times New Roman" w:cs="Times New Roman" w:eastAsiaTheme="minorEastAsia"/>
                <w:b w:val="0"/>
                <w:bCs w:val="0"/>
                <w:color w:val="auto"/>
                <w:sz w:val="24"/>
                <w:highlight w:val="none"/>
              </w:rPr>
            </w:pPr>
          </w:p>
          <w:p w14:paraId="5529DBFB">
            <w:pPr>
              <w:rPr>
                <w:rFonts w:hint="default" w:ascii="Times New Roman" w:hAnsi="Times New Roman" w:cs="Times New Roman" w:eastAsiaTheme="minorEastAsia"/>
                <w:b w:val="0"/>
                <w:bCs w:val="0"/>
                <w:color w:val="auto"/>
                <w:sz w:val="24"/>
                <w:highlight w:val="none"/>
              </w:rPr>
            </w:pPr>
          </w:p>
          <w:p w14:paraId="15F97793">
            <w:pPr>
              <w:pStyle w:val="2"/>
              <w:rPr>
                <w:rFonts w:hint="default" w:ascii="Times New Roman" w:hAnsi="Times New Roman" w:cs="Times New Roman" w:eastAsiaTheme="minorEastAsia"/>
                <w:b w:val="0"/>
                <w:bCs w:val="0"/>
                <w:color w:val="auto"/>
                <w:sz w:val="24"/>
                <w:highlight w:val="none"/>
              </w:rPr>
            </w:pPr>
          </w:p>
          <w:p w14:paraId="0C8E3466">
            <w:pPr>
              <w:pStyle w:val="4"/>
              <w:ind w:left="0"/>
              <w:rPr>
                <w:rFonts w:hint="default" w:ascii="Times New Roman" w:hAnsi="Times New Roman" w:cs="Times New Roman" w:eastAsiaTheme="minorEastAsia"/>
                <w:b w:val="0"/>
                <w:bCs w:val="0"/>
                <w:color w:val="auto"/>
                <w:sz w:val="24"/>
                <w:highlight w:val="none"/>
              </w:rPr>
            </w:pPr>
          </w:p>
          <w:p w14:paraId="21046D6D">
            <w:pPr>
              <w:rPr>
                <w:rFonts w:hint="default" w:ascii="Times New Roman" w:hAnsi="Times New Roman" w:cs="Times New Roman" w:eastAsiaTheme="minorEastAsia"/>
                <w:b w:val="0"/>
                <w:bCs w:val="0"/>
                <w:color w:val="auto"/>
                <w:sz w:val="24"/>
                <w:highlight w:val="none"/>
              </w:rPr>
            </w:pPr>
          </w:p>
          <w:p w14:paraId="46216043">
            <w:pPr>
              <w:pStyle w:val="2"/>
              <w:rPr>
                <w:rFonts w:hint="default" w:ascii="Times New Roman" w:hAnsi="Times New Roman" w:cs="Times New Roman" w:eastAsiaTheme="minorEastAsia"/>
                <w:b w:val="0"/>
                <w:bCs w:val="0"/>
                <w:color w:val="auto"/>
                <w:sz w:val="24"/>
                <w:highlight w:val="none"/>
              </w:rPr>
            </w:pPr>
          </w:p>
          <w:p w14:paraId="235CE73F">
            <w:pPr>
              <w:pStyle w:val="4"/>
              <w:ind w:left="0"/>
              <w:rPr>
                <w:rFonts w:hint="default" w:ascii="Times New Roman" w:hAnsi="Times New Roman" w:cs="Times New Roman" w:eastAsiaTheme="minorEastAsia"/>
                <w:b w:val="0"/>
                <w:bCs w:val="0"/>
                <w:color w:val="auto"/>
                <w:sz w:val="24"/>
                <w:highlight w:val="none"/>
              </w:rPr>
            </w:pPr>
          </w:p>
          <w:p w14:paraId="3EEF8474">
            <w:pPr>
              <w:rPr>
                <w:rFonts w:hint="default" w:ascii="Times New Roman" w:hAnsi="Times New Roman" w:cs="Times New Roman" w:eastAsiaTheme="minorEastAsia"/>
                <w:b w:val="0"/>
                <w:bCs w:val="0"/>
                <w:color w:val="auto"/>
                <w:sz w:val="24"/>
                <w:highlight w:val="none"/>
              </w:rPr>
            </w:pPr>
          </w:p>
          <w:p w14:paraId="6134F7AD">
            <w:pPr>
              <w:pStyle w:val="2"/>
              <w:rPr>
                <w:rFonts w:hint="default" w:ascii="Times New Roman" w:hAnsi="Times New Roman" w:cs="Times New Roman" w:eastAsiaTheme="minorEastAsia"/>
                <w:b w:val="0"/>
                <w:bCs w:val="0"/>
                <w:color w:val="auto"/>
                <w:sz w:val="24"/>
                <w:highlight w:val="none"/>
              </w:rPr>
            </w:pPr>
          </w:p>
          <w:p w14:paraId="16763B71">
            <w:pPr>
              <w:pStyle w:val="4"/>
              <w:ind w:left="0"/>
              <w:rPr>
                <w:rFonts w:hint="default" w:ascii="Times New Roman" w:hAnsi="Times New Roman" w:cs="Times New Roman" w:eastAsiaTheme="minorEastAsia"/>
                <w:b w:val="0"/>
                <w:bCs w:val="0"/>
                <w:color w:val="auto"/>
                <w:sz w:val="24"/>
                <w:highlight w:val="none"/>
              </w:rPr>
            </w:pPr>
          </w:p>
          <w:p w14:paraId="3BB665B5">
            <w:pPr>
              <w:rPr>
                <w:rFonts w:hint="default" w:ascii="Times New Roman" w:hAnsi="Times New Roman" w:cs="Times New Roman" w:eastAsiaTheme="minorEastAsia"/>
                <w:b w:val="0"/>
                <w:bCs w:val="0"/>
                <w:color w:val="auto"/>
                <w:sz w:val="24"/>
                <w:highlight w:val="none"/>
              </w:rPr>
            </w:pPr>
          </w:p>
          <w:p w14:paraId="37263E4B">
            <w:pPr>
              <w:pStyle w:val="2"/>
              <w:rPr>
                <w:rFonts w:hint="default" w:ascii="Times New Roman" w:hAnsi="Times New Roman" w:cs="Times New Roman" w:eastAsiaTheme="minorEastAsia"/>
                <w:b w:val="0"/>
                <w:bCs w:val="0"/>
                <w:color w:val="auto"/>
                <w:sz w:val="24"/>
                <w:highlight w:val="none"/>
              </w:rPr>
            </w:pPr>
          </w:p>
          <w:p w14:paraId="202C6439">
            <w:pPr>
              <w:pStyle w:val="4"/>
              <w:ind w:left="0"/>
              <w:rPr>
                <w:rFonts w:hint="default" w:ascii="Times New Roman" w:hAnsi="Times New Roman" w:cs="Times New Roman" w:eastAsiaTheme="minorEastAsia"/>
                <w:b w:val="0"/>
                <w:bCs w:val="0"/>
                <w:color w:val="auto"/>
                <w:sz w:val="24"/>
                <w:highlight w:val="none"/>
              </w:rPr>
            </w:pPr>
          </w:p>
          <w:p w14:paraId="744E359F">
            <w:pPr>
              <w:rPr>
                <w:rFonts w:hint="default" w:ascii="Times New Roman" w:hAnsi="Times New Roman" w:cs="Times New Roman" w:eastAsiaTheme="minorEastAsia"/>
                <w:b w:val="0"/>
                <w:bCs w:val="0"/>
                <w:color w:val="auto"/>
                <w:sz w:val="24"/>
                <w:highlight w:val="none"/>
              </w:rPr>
            </w:pPr>
          </w:p>
          <w:p w14:paraId="078A08C2">
            <w:pPr>
              <w:pStyle w:val="2"/>
              <w:rPr>
                <w:rFonts w:hint="default" w:ascii="Times New Roman" w:hAnsi="Times New Roman" w:cs="Times New Roman" w:eastAsiaTheme="minorEastAsia"/>
                <w:b w:val="0"/>
                <w:bCs w:val="0"/>
                <w:color w:val="auto"/>
                <w:sz w:val="24"/>
                <w:highlight w:val="none"/>
              </w:rPr>
            </w:pPr>
          </w:p>
          <w:p w14:paraId="5B0F6555">
            <w:pPr>
              <w:pStyle w:val="4"/>
              <w:ind w:left="0"/>
              <w:rPr>
                <w:rFonts w:hint="default" w:ascii="Times New Roman" w:hAnsi="Times New Roman" w:cs="Times New Roman" w:eastAsiaTheme="minorEastAsia"/>
                <w:b w:val="0"/>
                <w:bCs w:val="0"/>
                <w:color w:val="auto"/>
                <w:sz w:val="24"/>
                <w:highlight w:val="none"/>
              </w:rPr>
            </w:pPr>
          </w:p>
          <w:p w14:paraId="7254EAD5">
            <w:pPr>
              <w:rPr>
                <w:rFonts w:hint="default" w:ascii="Times New Roman" w:hAnsi="Times New Roman" w:cs="Times New Roman" w:eastAsiaTheme="minorEastAsia"/>
                <w:b w:val="0"/>
                <w:bCs w:val="0"/>
                <w:color w:val="auto"/>
                <w:sz w:val="24"/>
                <w:highlight w:val="none"/>
              </w:rPr>
            </w:pPr>
          </w:p>
          <w:p w14:paraId="332FC0D5">
            <w:pPr>
              <w:pStyle w:val="2"/>
              <w:rPr>
                <w:rFonts w:hint="default" w:ascii="Times New Roman" w:hAnsi="Times New Roman" w:cs="Times New Roman" w:eastAsiaTheme="minorEastAsia"/>
                <w:b w:val="0"/>
                <w:bCs w:val="0"/>
                <w:color w:val="auto"/>
                <w:sz w:val="24"/>
                <w:highlight w:val="none"/>
              </w:rPr>
            </w:pPr>
          </w:p>
          <w:p w14:paraId="145A28CF">
            <w:pPr>
              <w:pStyle w:val="4"/>
              <w:ind w:left="0"/>
              <w:rPr>
                <w:rFonts w:hint="default" w:ascii="Times New Roman" w:hAnsi="Times New Roman" w:cs="Times New Roman" w:eastAsiaTheme="minorEastAsia"/>
                <w:b w:val="0"/>
                <w:bCs w:val="0"/>
                <w:color w:val="auto"/>
                <w:sz w:val="24"/>
                <w:highlight w:val="none"/>
              </w:rPr>
            </w:pPr>
          </w:p>
          <w:p w14:paraId="2F0D1035">
            <w:pPr>
              <w:rPr>
                <w:rFonts w:hint="default" w:ascii="Times New Roman" w:hAnsi="Times New Roman" w:cs="Times New Roman" w:eastAsiaTheme="minorEastAsia"/>
                <w:b w:val="0"/>
                <w:bCs w:val="0"/>
                <w:color w:val="auto"/>
                <w:sz w:val="24"/>
                <w:highlight w:val="none"/>
              </w:rPr>
            </w:pPr>
          </w:p>
          <w:p w14:paraId="56F3B059">
            <w:pPr>
              <w:pStyle w:val="2"/>
              <w:rPr>
                <w:rFonts w:hint="default" w:ascii="Times New Roman" w:hAnsi="Times New Roman" w:cs="Times New Roman" w:eastAsiaTheme="minorEastAsia"/>
                <w:b w:val="0"/>
                <w:bCs w:val="0"/>
                <w:color w:val="auto"/>
                <w:sz w:val="24"/>
                <w:highlight w:val="none"/>
              </w:rPr>
            </w:pPr>
          </w:p>
          <w:p w14:paraId="5160190D">
            <w:pPr>
              <w:pStyle w:val="4"/>
              <w:ind w:left="0"/>
              <w:rPr>
                <w:rFonts w:hint="default" w:ascii="Times New Roman" w:hAnsi="Times New Roman" w:cs="Times New Roman" w:eastAsiaTheme="minorEastAsia"/>
                <w:b w:val="0"/>
                <w:bCs w:val="0"/>
                <w:color w:val="auto"/>
                <w:sz w:val="24"/>
                <w:highlight w:val="none"/>
              </w:rPr>
            </w:pPr>
          </w:p>
          <w:p w14:paraId="27674C9D">
            <w:pPr>
              <w:rPr>
                <w:rFonts w:hint="default" w:ascii="Times New Roman" w:hAnsi="Times New Roman" w:cs="Times New Roman" w:eastAsiaTheme="minorEastAsia"/>
                <w:b w:val="0"/>
                <w:bCs w:val="0"/>
                <w:color w:val="auto"/>
                <w:sz w:val="24"/>
                <w:highlight w:val="none"/>
              </w:rPr>
            </w:pPr>
          </w:p>
          <w:p w14:paraId="00ECFC00">
            <w:pPr>
              <w:pStyle w:val="2"/>
              <w:rPr>
                <w:rFonts w:hint="default" w:ascii="Times New Roman" w:hAnsi="Times New Roman" w:cs="Times New Roman" w:eastAsiaTheme="minorEastAsia"/>
                <w:b w:val="0"/>
                <w:bCs w:val="0"/>
                <w:color w:val="auto"/>
                <w:sz w:val="24"/>
                <w:highlight w:val="none"/>
              </w:rPr>
            </w:pPr>
          </w:p>
          <w:p w14:paraId="5647A6F6">
            <w:pPr>
              <w:pStyle w:val="4"/>
              <w:ind w:left="0"/>
              <w:rPr>
                <w:rFonts w:hint="default" w:ascii="Times New Roman" w:hAnsi="Times New Roman" w:cs="Times New Roman" w:eastAsiaTheme="minorEastAsia"/>
                <w:b w:val="0"/>
                <w:bCs w:val="0"/>
                <w:color w:val="auto"/>
                <w:sz w:val="24"/>
                <w:highlight w:val="none"/>
              </w:rPr>
            </w:pPr>
          </w:p>
          <w:p w14:paraId="480FFE07">
            <w:pPr>
              <w:rPr>
                <w:rFonts w:hint="default" w:ascii="Times New Roman" w:hAnsi="Times New Roman" w:cs="Times New Roman" w:eastAsiaTheme="minorEastAsia"/>
                <w:b w:val="0"/>
                <w:bCs w:val="0"/>
                <w:color w:val="auto"/>
                <w:sz w:val="24"/>
                <w:highlight w:val="none"/>
              </w:rPr>
            </w:pPr>
          </w:p>
          <w:p w14:paraId="4B6DCCEA">
            <w:pPr>
              <w:pStyle w:val="2"/>
              <w:rPr>
                <w:rFonts w:hint="default" w:ascii="Times New Roman" w:hAnsi="Times New Roman" w:cs="Times New Roman" w:eastAsiaTheme="minorEastAsia"/>
                <w:b w:val="0"/>
                <w:bCs w:val="0"/>
                <w:color w:val="auto"/>
                <w:sz w:val="24"/>
                <w:highlight w:val="none"/>
              </w:rPr>
            </w:pPr>
          </w:p>
          <w:p w14:paraId="7A4FCE0B">
            <w:pPr>
              <w:pStyle w:val="4"/>
              <w:ind w:left="0"/>
              <w:rPr>
                <w:rFonts w:hint="default" w:ascii="Times New Roman" w:hAnsi="Times New Roman" w:cs="Times New Roman" w:eastAsiaTheme="minorEastAsia"/>
                <w:b w:val="0"/>
                <w:bCs w:val="0"/>
                <w:color w:val="auto"/>
                <w:sz w:val="24"/>
                <w:highlight w:val="none"/>
              </w:rPr>
            </w:pPr>
          </w:p>
          <w:p w14:paraId="5E906C91">
            <w:pPr>
              <w:rPr>
                <w:rFonts w:hint="default" w:ascii="Times New Roman" w:hAnsi="Times New Roman" w:cs="Times New Roman" w:eastAsiaTheme="minorEastAsia"/>
                <w:b w:val="0"/>
                <w:bCs w:val="0"/>
                <w:color w:val="auto"/>
                <w:sz w:val="24"/>
                <w:highlight w:val="none"/>
              </w:rPr>
            </w:pPr>
          </w:p>
          <w:p w14:paraId="4A1E1B97">
            <w:pPr>
              <w:pStyle w:val="2"/>
              <w:rPr>
                <w:rFonts w:hint="default" w:ascii="Times New Roman" w:hAnsi="Times New Roman" w:cs="Times New Roman" w:eastAsiaTheme="minorEastAsia"/>
                <w:b w:val="0"/>
                <w:bCs w:val="0"/>
                <w:color w:val="auto"/>
                <w:sz w:val="24"/>
                <w:highlight w:val="none"/>
              </w:rPr>
            </w:pPr>
          </w:p>
          <w:p w14:paraId="71539E45">
            <w:pPr>
              <w:pStyle w:val="4"/>
              <w:ind w:left="0"/>
              <w:rPr>
                <w:rFonts w:hint="default" w:ascii="Times New Roman" w:hAnsi="Times New Roman" w:cs="Times New Roman" w:eastAsiaTheme="minorEastAsia"/>
                <w:b w:val="0"/>
                <w:bCs w:val="0"/>
                <w:color w:val="auto"/>
                <w:sz w:val="24"/>
                <w:highlight w:val="none"/>
              </w:rPr>
            </w:pPr>
          </w:p>
          <w:p w14:paraId="798309F5">
            <w:pPr>
              <w:rPr>
                <w:rFonts w:hint="default" w:ascii="Times New Roman" w:hAnsi="Times New Roman" w:cs="Times New Roman" w:eastAsiaTheme="minorEastAsia"/>
                <w:b w:val="0"/>
                <w:bCs w:val="0"/>
                <w:color w:val="auto"/>
                <w:sz w:val="24"/>
                <w:highlight w:val="none"/>
              </w:rPr>
            </w:pPr>
          </w:p>
          <w:p w14:paraId="25EC20DF">
            <w:pPr>
              <w:pStyle w:val="2"/>
              <w:rPr>
                <w:rFonts w:hint="default" w:ascii="Times New Roman" w:hAnsi="Times New Roman" w:cs="Times New Roman" w:eastAsiaTheme="minorEastAsia"/>
                <w:b w:val="0"/>
                <w:bCs w:val="0"/>
                <w:color w:val="auto"/>
                <w:sz w:val="24"/>
                <w:highlight w:val="none"/>
              </w:rPr>
            </w:pPr>
          </w:p>
          <w:p w14:paraId="286D0AC8">
            <w:pPr>
              <w:pStyle w:val="4"/>
              <w:ind w:left="0"/>
              <w:rPr>
                <w:rFonts w:hint="default"/>
                <w:color w:val="auto"/>
              </w:rPr>
            </w:pPr>
          </w:p>
        </w:tc>
      </w:tr>
    </w:tbl>
    <w:p w14:paraId="79888917">
      <w:pPr>
        <w:pStyle w:val="35"/>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br w:type="page"/>
      </w:r>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1"/>
        <w:gridCol w:w="8895"/>
      </w:tblGrid>
      <w:tr w14:paraId="248A27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2" w:hRule="atLeast"/>
          <w:jc w:val="center"/>
        </w:trPr>
        <w:tc>
          <w:tcPr>
            <w:tcW w:w="210" w:type="pct"/>
            <w:vAlign w:val="center"/>
          </w:tcPr>
          <w:p w14:paraId="2B74ED3E">
            <w:pPr>
              <w:pStyle w:val="35"/>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rPr>
              <w:t>工艺流程和产排污环节</w:t>
            </w:r>
          </w:p>
        </w:tc>
        <w:tc>
          <w:tcPr>
            <w:tcW w:w="4789" w:type="pct"/>
          </w:tcPr>
          <w:p w14:paraId="3EBA6AFB">
            <w:pPr>
              <w:spacing w:line="360" w:lineRule="auto"/>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lang w:eastAsia="zh-CN"/>
              </w:rPr>
              <w:t>一</w:t>
            </w:r>
            <w:r>
              <w:rPr>
                <w:rFonts w:hint="default" w:ascii="Times New Roman" w:hAnsi="Times New Roman" w:cs="Times New Roman" w:eastAsiaTheme="minorEastAsia"/>
                <w:b/>
                <w:bCs/>
                <w:color w:val="auto"/>
                <w:sz w:val="24"/>
                <w:highlight w:val="none"/>
              </w:rPr>
              <w:t>、运营期工艺流程简述</w:t>
            </w:r>
          </w:p>
          <w:p w14:paraId="2D872F87">
            <w:pPr>
              <w:spacing w:line="360" w:lineRule="auto"/>
              <w:ind w:firstLine="482" w:firstLineChars="200"/>
              <w:rPr>
                <w:rFonts w:hint="default" w:ascii="Times New Roman" w:hAnsi="Times New Roman" w:cs="Times New Roman" w:eastAsiaTheme="minorEastAsia"/>
                <w:b/>
                <w:color w:val="auto"/>
                <w:sz w:val="24"/>
                <w:highlight w:val="none"/>
                <w:lang w:eastAsia="zh-CN"/>
              </w:rPr>
            </w:pPr>
            <w:r>
              <w:rPr>
                <w:rFonts w:hint="default" w:ascii="Times New Roman" w:hAnsi="Times New Roman" w:cs="Times New Roman" w:eastAsiaTheme="minorEastAsia"/>
                <w:b/>
                <w:color w:val="auto"/>
                <w:sz w:val="24"/>
                <w:highlight w:val="none"/>
              </w:rPr>
              <w:t>（1）</w:t>
            </w:r>
            <w:r>
              <w:rPr>
                <w:rFonts w:hint="default" w:ascii="Times New Roman" w:hAnsi="Times New Roman" w:cs="Times New Roman" w:eastAsiaTheme="minorEastAsia"/>
                <w:b/>
                <w:color w:val="auto"/>
                <w:sz w:val="24"/>
                <w:highlight w:val="none"/>
                <w:lang w:eastAsia="zh-CN"/>
              </w:rPr>
              <w:t>背光源</w:t>
            </w:r>
            <w:r>
              <w:rPr>
                <w:rFonts w:hint="default" w:ascii="Times New Roman" w:hAnsi="Times New Roman" w:cs="Times New Roman" w:eastAsiaTheme="minorEastAsia"/>
                <w:b/>
                <w:color w:val="auto"/>
                <w:sz w:val="24"/>
                <w:highlight w:val="none"/>
              </w:rPr>
              <w:t>生产工艺流程</w:t>
            </w:r>
            <w:r>
              <w:rPr>
                <w:rFonts w:hint="default" w:ascii="Times New Roman" w:hAnsi="Times New Roman" w:cs="Times New Roman" w:eastAsiaTheme="minorEastAsia"/>
                <w:b/>
                <w:color w:val="auto"/>
                <w:sz w:val="24"/>
                <w:highlight w:val="none"/>
                <w:lang w:eastAsia="zh-CN"/>
              </w:rPr>
              <w:t>及工艺说明</w:t>
            </w:r>
          </w:p>
          <w:p w14:paraId="0364250E">
            <w:pPr>
              <w:spacing w:line="360" w:lineRule="auto"/>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object>
                <v:shape id="_x0000_i1025" o:spt="75" type="#_x0000_t75" style="height:313.05pt;width:423.6pt;" o:ole="t" filled="f" o:preferrelative="t" stroked="f" coordsize="21600,21600">
                  <v:path/>
                  <v:fill on="f" focussize="0,0"/>
                  <v:stroke on="f"/>
                  <v:imagedata r:id="rId23" cropleft="310f" cropright="1134f" o:title=""/>
                  <o:lock v:ext="edit" aspectratio="f"/>
                  <w10:wrap type="none"/>
                  <w10:anchorlock/>
                </v:shape>
                <o:OLEObject Type="Embed" ProgID="Visio.Drawing.15" ShapeID="_x0000_i1025" DrawAspect="Content" ObjectID="_1468075725" r:id="rId22">
                  <o:LockedField>false</o:LockedField>
                </o:OLEObject>
              </w:object>
            </w:r>
          </w:p>
          <w:p w14:paraId="0B2E3E7F">
            <w:pPr>
              <w:pStyle w:val="22"/>
              <w:pageBreakBefore w:val="0"/>
              <w:numPr>
                <w:ilvl w:val="0"/>
                <w:numId w:val="7"/>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背光源生产工艺流程及产污节点图</w:t>
            </w:r>
          </w:p>
          <w:p w14:paraId="63C83A9A">
            <w:pPr>
              <w:rPr>
                <w:rFonts w:hint="default" w:ascii="Times New Roman" w:hAnsi="Times New Roman" w:cs="Times New Roman"/>
                <w:color w:val="auto"/>
                <w:highlight w:val="none"/>
                <w:lang w:val="en-US" w:eastAsia="zh-CN"/>
              </w:rPr>
            </w:pPr>
          </w:p>
          <w:p w14:paraId="0A1FBA9D">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上料、烘烤</w:t>
            </w:r>
            <w:r>
              <w:rPr>
                <w:rFonts w:hint="default" w:ascii="Times New Roman" w:hAnsi="Times New Roman" w:cs="Times New Roman" w:eastAsiaTheme="minorEastAsia"/>
                <w:b/>
                <w:bCs/>
                <w:color w:val="auto"/>
                <w:spacing w:val="-6"/>
                <w:sz w:val="24"/>
                <w:highlight w:val="none"/>
                <w:lang w:eastAsia="zh-CN"/>
              </w:rPr>
              <w:t>：</w:t>
            </w:r>
            <w:r>
              <w:rPr>
                <w:rFonts w:hint="default" w:ascii="Times New Roman" w:hAnsi="Times New Roman" w:cs="Times New Roman" w:eastAsiaTheme="minorEastAsia"/>
                <w:color w:val="auto"/>
                <w:spacing w:val="-6"/>
                <w:sz w:val="24"/>
                <w:highlight w:val="none"/>
                <w:lang w:val="en-US" w:eastAsia="zh-CN"/>
              </w:rPr>
              <w:t>把需要进行注塑的原材料（PS、ABS塑料粒）人工投入</w:t>
            </w:r>
            <w:r>
              <w:rPr>
                <w:rFonts w:hint="default" w:ascii="Times New Roman" w:hAnsi="Times New Roman" w:cs="Times New Roman" w:eastAsiaTheme="minorEastAsia"/>
                <w:color w:val="auto"/>
                <w:spacing w:val="-6"/>
                <w:sz w:val="24"/>
                <w:highlight w:val="none"/>
                <w:lang w:eastAsia="zh-CN"/>
              </w:rPr>
              <w:t>上料机，传送至上料烘烤机中进行烘烤</w:t>
            </w:r>
            <w:r>
              <w:rPr>
                <w:rFonts w:hint="default" w:ascii="Times New Roman" w:hAnsi="Times New Roman" w:cs="Times New Roman" w:eastAsiaTheme="minorEastAsia"/>
                <w:color w:val="auto"/>
                <w:spacing w:val="-6"/>
                <w:sz w:val="24"/>
                <w:highlight w:val="none"/>
                <w:lang w:val="en-US" w:eastAsia="zh-CN"/>
              </w:rPr>
              <w:t>（烘干原料中的水汽），烘干温度约为75~80℃，烘干时长约为25min。由于塑料粒均为固态颗粒料，粒径较大，投料时基本无粉尘产生。</w:t>
            </w:r>
            <w:r>
              <w:rPr>
                <w:rFonts w:hint="default" w:ascii="Times New Roman" w:hAnsi="Times New Roman" w:cs="Times New Roman" w:eastAsiaTheme="minorEastAsia"/>
                <w:color w:val="auto"/>
                <w:spacing w:val="-6"/>
                <w:sz w:val="24"/>
                <w:highlight w:val="none"/>
                <w:lang w:eastAsia="zh-CN"/>
              </w:rPr>
              <w:t>产生少量</w:t>
            </w:r>
            <w:r>
              <w:rPr>
                <w:rFonts w:hint="default" w:ascii="Times New Roman" w:hAnsi="Times New Roman" w:cs="Times New Roman" w:eastAsiaTheme="minorEastAsia"/>
                <w:color w:val="auto"/>
                <w:spacing w:val="-6"/>
                <w:sz w:val="24"/>
                <w:highlight w:val="none"/>
                <w:lang w:val="en-US" w:eastAsia="zh-CN"/>
              </w:rPr>
              <w:t>臭气</w:t>
            </w:r>
            <w:r>
              <w:rPr>
                <w:rFonts w:hint="default" w:ascii="Times New Roman" w:hAnsi="Times New Roman" w:cs="Times New Roman" w:eastAsiaTheme="minorEastAsia"/>
                <w:color w:val="auto"/>
                <w:spacing w:val="-6"/>
                <w:sz w:val="24"/>
                <w:highlight w:val="none"/>
                <w:lang w:eastAsia="zh-CN"/>
              </w:rPr>
              <w:t>、一般废原料包装、噪声。</w:t>
            </w:r>
          </w:p>
          <w:p w14:paraId="5FCF983A">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上模具、注塑、裁切：</w:t>
            </w:r>
            <w:r>
              <w:rPr>
                <w:rFonts w:hint="default" w:ascii="Times New Roman" w:hAnsi="Times New Roman" w:cs="Times New Roman" w:eastAsiaTheme="minorEastAsia"/>
                <w:color w:val="auto"/>
                <w:spacing w:val="-6"/>
                <w:sz w:val="24"/>
                <w:highlight w:val="none"/>
                <w:lang w:val="en-US" w:eastAsia="zh-CN"/>
              </w:rPr>
              <w:t>将采购的模具放置注塑机上，将烘干好的塑料粒加入注塑机内，注塑PS件时注塑机电加热升温至160~200℃（未达到塑料粒的热分解温度PS＞250℃），注塑ABS件时注塑机电加热升温至180~200℃（未达到塑料粒的热分解温度ABS＞270℃），使得原材料熔融，由机组牵引将塑料挤出、冷却，塑料初步成型。再对工件边缘、毛刺进行裁切。边角料、不合格塑料品经收集后破碎回用生产。上述工序会产生破碎粉尘、有机废气、臭气、冷却塔废水、噪声等。</w:t>
            </w:r>
          </w:p>
          <w:p w14:paraId="76932227">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覆膜：</w:t>
            </w:r>
            <w:r>
              <w:rPr>
                <w:rFonts w:hint="default" w:ascii="Times New Roman" w:hAnsi="Times New Roman" w:cs="Times New Roman" w:eastAsiaTheme="minorEastAsia"/>
                <w:color w:val="auto"/>
                <w:spacing w:val="-6"/>
                <w:sz w:val="24"/>
                <w:highlight w:val="none"/>
                <w:lang w:val="en-US" w:eastAsia="zh-CN"/>
              </w:rPr>
              <w:t>在导光板的出光面或非功能面，使用高精度覆膜设备，紧密、无气泡地贴合一层PET光学膜。此工序在千级及以上无尘环境中进行，膜材张力、贴合滚轮压力、速度需精确控制，防止产生褶皱、划伤或杂质压入。</w:t>
            </w:r>
            <w:r>
              <w:rPr>
                <w:rFonts w:hint="eastAsia"/>
                <w:color w:val="auto"/>
                <w:sz w:val="24"/>
                <w:lang w:val="en-US" w:eastAsia="zh-CN"/>
              </w:rPr>
              <w:t>PET光学膜</w:t>
            </w:r>
            <w:r>
              <w:rPr>
                <w:rFonts w:hint="default"/>
                <w:color w:val="auto"/>
                <w:sz w:val="24"/>
                <w:lang w:val="en-US" w:eastAsia="zh-CN"/>
              </w:rPr>
              <w:t>常温</w:t>
            </w:r>
            <w:r>
              <w:rPr>
                <w:rFonts w:hint="eastAsia"/>
                <w:color w:val="auto"/>
                <w:sz w:val="24"/>
                <w:lang w:val="en-US" w:eastAsia="zh-CN"/>
              </w:rPr>
              <w:t>使用，不涉及</w:t>
            </w:r>
            <w:r>
              <w:rPr>
                <w:rFonts w:ascii="宋体" w:hAnsi="宋体" w:eastAsia="宋体" w:cs="宋体"/>
                <w:color w:val="auto"/>
                <w:sz w:val="24"/>
                <w:szCs w:val="24"/>
              </w:rPr>
              <w:t>高温烘烤、加热</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为</w:t>
            </w:r>
            <w:r>
              <w:rPr>
                <w:rFonts w:hint="eastAsia"/>
                <w:color w:val="auto"/>
                <w:sz w:val="24"/>
                <w:lang w:val="en-US" w:eastAsia="zh-CN"/>
              </w:rPr>
              <w:t>常温贴合、物理粘贴，无化学反应、无溶剂挥发，只有极微量微弱气味，</w:t>
            </w:r>
            <w:r>
              <w:rPr>
                <w:rFonts w:hint="default"/>
                <w:color w:val="auto"/>
                <w:sz w:val="24"/>
                <w:lang w:val="en-US" w:eastAsia="zh-CN"/>
              </w:rPr>
              <w:t>基本无有机废气</w:t>
            </w:r>
            <w:r>
              <w:rPr>
                <w:rFonts w:hint="eastAsia"/>
                <w:color w:val="auto"/>
                <w:sz w:val="24"/>
                <w:lang w:val="en-US" w:eastAsia="zh-CN"/>
              </w:rPr>
              <w:t>。</w:t>
            </w:r>
            <w:r>
              <w:rPr>
                <w:rFonts w:hint="default" w:ascii="Times New Roman" w:hAnsi="Times New Roman" w:cs="Times New Roman" w:eastAsiaTheme="minorEastAsia"/>
                <w:color w:val="auto"/>
                <w:spacing w:val="-6"/>
                <w:sz w:val="24"/>
                <w:highlight w:val="none"/>
                <w:lang w:val="en-US" w:eastAsia="zh-CN"/>
              </w:rPr>
              <w:t>该过程</w:t>
            </w:r>
            <w:r>
              <w:rPr>
                <w:rFonts w:hint="eastAsia" w:cs="Times New Roman" w:eastAsiaTheme="minorEastAsia"/>
                <w:color w:val="auto"/>
                <w:spacing w:val="-6"/>
                <w:sz w:val="24"/>
                <w:highlight w:val="none"/>
                <w:lang w:val="en-US" w:eastAsia="zh-CN"/>
              </w:rPr>
              <w:t>主要</w:t>
            </w:r>
            <w:r>
              <w:rPr>
                <w:rFonts w:hint="default" w:ascii="Times New Roman" w:hAnsi="Times New Roman" w:cs="Times New Roman" w:eastAsiaTheme="minorEastAsia"/>
                <w:color w:val="auto"/>
                <w:spacing w:val="-6"/>
                <w:sz w:val="24"/>
                <w:highlight w:val="none"/>
                <w:lang w:val="en-US" w:eastAsia="zh-CN"/>
              </w:rPr>
              <w:t>产生噪声。</w:t>
            </w:r>
          </w:p>
          <w:p w14:paraId="50A9200E">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套板：</w:t>
            </w:r>
            <w:r>
              <w:rPr>
                <w:rFonts w:hint="default" w:ascii="Times New Roman" w:hAnsi="Times New Roman" w:cs="Times New Roman" w:eastAsiaTheme="minorEastAsia"/>
                <w:color w:val="auto"/>
                <w:spacing w:val="-6"/>
                <w:sz w:val="24"/>
                <w:highlight w:val="none"/>
                <w:lang w:val="en-US" w:eastAsia="zh-CN"/>
              </w:rPr>
              <w:t>将PCB灯条、LED发光膜精确装配至导光板侧端的入光面卡槽内，确保LED发光面与导光板端面紧密、平行接触。随后依次将导光板、光学膜套等入金属或塑料外框中，各层间严格对位。该过程会产生噪声。</w:t>
            </w:r>
          </w:p>
          <w:p w14:paraId="41053805">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模切成型、贴膜：</w:t>
            </w:r>
            <w:r>
              <w:rPr>
                <w:rFonts w:hint="default" w:ascii="Times New Roman" w:hAnsi="Times New Roman" w:cs="Times New Roman" w:eastAsiaTheme="minorEastAsia"/>
                <w:color w:val="auto"/>
                <w:spacing w:val="-6"/>
                <w:sz w:val="24"/>
                <w:highlight w:val="none"/>
                <w:lang w:val="en-US" w:eastAsia="zh-CN"/>
              </w:rPr>
              <w:t>在组装好的背光源模组表面，最后贴附成品保护膜。在无尘环境下，通过膜切机、贴膜机，以恒定压力、无尘布辅助，将PET保护膜平整贴附于产品可视面，确保无气泡、无灰尘、无褶皱。PET保护膜</w:t>
            </w:r>
            <w:r>
              <w:rPr>
                <w:rFonts w:hint="default"/>
                <w:color w:val="auto"/>
                <w:sz w:val="24"/>
                <w:lang w:val="en-US" w:eastAsia="zh-CN"/>
              </w:rPr>
              <w:t>常温</w:t>
            </w:r>
            <w:r>
              <w:rPr>
                <w:rFonts w:hint="eastAsia"/>
                <w:color w:val="auto"/>
                <w:sz w:val="24"/>
                <w:lang w:val="en-US" w:eastAsia="zh-CN"/>
              </w:rPr>
              <w:t>使用，不涉及</w:t>
            </w:r>
            <w:r>
              <w:rPr>
                <w:rFonts w:ascii="宋体" w:hAnsi="宋体" w:eastAsia="宋体" w:cs="宋体"/>
                <w:color w:val="auto"/>
                <w:sz w:val="24"/>
                <w:szCs w:val="24"/>
              </w:rPr>
              <w:t>高温烘烤、加热</w:t>
            </w:r>
            <w:r>
              <w:rPr>
                <w:rFonts w:hint="eastAsia"/>
                <w:color w:val="auto"/>
                <w:sz w:val="24"/>
                <w:lang w:val="en-US" w:eastAsia="zh-CN"/>
              </w:rPr>
              <w:t>，</w:t>
            </w:r>
            <w:r>
              <w:rPr>
                <w:rFonts w:hint="default"/>
                <w:color w:val="auto"/>
                <w:sz w:val="24"/>
                <w:lang w:val="en-US" w:eastAsia="zh-CN"/>
              </w:rPr>
              <w:t>基本无有机废气</w:t>
            </w:r>
            <w:r>
              <w:rPr>
                <w:rFonts w:hint="eastAsia"/>
                <w:color w:val="auto"/>
                <w:sz w:val="24"/>
                <w:lang w:val="en-US" w:eastAsia="zh-CN"/>
              </w:rPr>
              <w:t>。</w:t>
            </w:r>
            <w:r>
              <w:rPr>
                <w:rFonts w:hint="default" w:ascii="Times New Roman" w:hAnsi="Times New Roman" w:cs="Times New Roman" w:eastAsiaTheme="minorEastAsia"/>
                <w:color w:val="auto"/>
                <w:spacing w:val="-6"/>
                <w:sz w:val="24"/>
                <w:highlight w:val="none"/>
                <w:lang w:val="en-US" w:eastAsia="zh-CN"/>
              </w:rPr>
              <w:t>该过程</w:t>
            </w:r>
            <w:r>
              <w:rPr>
                <w:rFonts w:hint="eastAsia" w:cs="Times New Roman" w:eastAsiaTheme="minorEastAsia"/>
                <w:color w:val="auto"/>
                <w:spacing w:val="-6"/>
                <w:sz w:val="24"/>
                <w:highlight w:val="none"/>
                <w:lang w:val="en-US" w:eastAsia="zh-CN"/>
              </w:rPr>
              <w:t>主要</w:t>
            </w:r>
            <w:r>
              <w:rPr>
                <w:rFonts w:hint="default" w:ascii="Times New Roman" w:hAnsi="Times New Roman" w:cs="Times New Roman" w:eastAsiaTheme="minorEastAsia"/>
                <w:color w:val="auto"/>
                <w:spacing w:val="-6"/>
                <w:sz w:val="24"/>
                <w:highlight w:val="none"/>
                <w:lang w:val="en-US" w:eastAsia="zh-CN"/>
              </w:rPr>
              <w:t>产生噪声。</w:t>
            </w:r>
          </w:p>
          <w:p w14:paraId="337F40C9">
            <w:pPr>
              <w:tabs>
                <w:tab w:val="left" w:pos="2040"/>
                <w:tab w:val="left" w:pos="3435"/>
                <w:tab w:val="left" w:pos="4830"/>
              </w:tabs>
              <w:spacing w:line="360" w:lineRule="auto"/>
              <w:ind w:firstLine="458" w:firstLineChars="200"/>
              <w:rPr>
                <w:rFonts w:hint="default" w:ascii="Times New Roman" w:hAnsi="Times New Roman" w:cs="Times New Roman" w:eastAsiaTheme="minorEastAsia"/>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测试电源、收料：</w:t>
            </w:r>
            <w:r>
              <w:rPr>
                <w:rFonts w:hint="default" w:ascii="Times New Roman" w:hAnsi="Times New Roman" w:cs="Times New Roman" w:eastAsiaTheme="minorEastAsia"/>
                <w:color w:val="auto"/>
                <w:spacing w:val="-6"/>
                <w:sz w:val="24"/>
                <w:highlight w:val="none"/>
                <w:lang w:val="en-US" w:eastAsia="zh-CN"/>
              </w:rPr>
              <w:t>将组装完毕的背光源模组连接至标准电源驱动。在暗室中，使用测试仪器，测试其工作电流、电压、亮度、均匀性、色温、色坐标等光电参数，确保全部符合产品规格书要求。同时进行老化测试，排查早期失效。合格产品通过收料机收取，打包存入仓库。该过程会产生不合格品、噪声。</w:t>
            </w:r>
          </w:p>
          <w:p w14:paraId="7B2C33AD">
            <w:pPr>
              <w:pStyle w:val="2"/>
              <w:rPr>
                <w:rFonts w:hint="default"/>
                <w:color w:val="auto"/>
                <w:lang w:val="en-US" w:eastAsia="zh-CN"/>
              </w:rPr>
            </w:pPr>
          </w:p>
          <w:p w14:paraId="1D75288E">
            <w:pPr>
              <w:pStyle w:val="4"/>
              <w:rPr>
                <w:rFonts w:hint="default"/>
                <w:color w:val="auto"/>
                <w:lang w:val="en-US" w:eastAsia="zh-CN"/>
              </w:rPr>
            </w:pPr>
          </w:p>
          <w:p w14:paraId="5CCE0EBD">
            <w:pPr>
              <w:rPr>
                <w:rFonts w:hint="default"/>
                <w:color w:val="auto"/>
                <w:lang w:val="en-US" w:eastAsia="zh-CN"/>
              </w:rPr>
            </w:pPr>
          </w:p>
          <w:p w14:paraId="06D83F85">
            <w:pPr>
              <w:pStyle w:val="2"/>
              <w:rPr>
                <w:rFonts w:hint="default"/>
                <w:color w:val="auto"/>
                <w:lang w:val="en-US" w:eastAsia="zh-CN"/>
              </w:rPr>
            </w:pPr>
          </w:p>
          <w:p w14:paraId="6EB5BD71">
            <w:pPr>
              <w:pStyle w:val="4"/>
              <w:rPr>
                <w:rFonts w:hint="default"/>
                <w:color w:val="auto"/>
                <w:lang w:val="en-US" w:eastAsia="zh-CN"/>
              </w:rPr>
            </w:pPr>
          </w:p>
          <w:p w14:paraId="20AB18A2">
            <w:pPr>
              <w:rPr>
                <w:rFonts w:hint="default"/>
                <w:color w:val="auto"/>
                <w:lang w:val="en-US" w:eastAsia="zh-CN"/>
              </w:rPr>
            </w:pPr>
          </w:p>
          <w:p w14:paraId="439242E0">
            <w:pPr>
              <w:pStyle w:val="2"/>
              <w:rPr>
                <w:rFonts w:hint="default"/>
                <w:color w:val="auto"/>
                <w:lang w:val="en-US" w:eastAsia="zh-CN"/>
              </w:rPr>
            </w:pPr>
          </w:p>
          <w:p w14:paraId="32A26048">
            <w:pPr>
              <w:pStyle w:val="4"/>
              <w:rPr>
                <w:rFonts w:hint="default"/>
                <w:color w:val="auto"/>
                <w:lang w:val="en-US" w:eastAsia="zh-CN"/>
              </w:rPr>
            </w:pPr>
          </w:p>
          <w:p w14:paraId="35EFB08C">
            <w:pPr>
              <w:rPr>
                <w:rFonts w:hint="default"/>
                <w:color w:val="auto"/>
                <w:lang w:val="en-US" w:eastAsia="zh-CN"/>
              </w:rPr>
            </w:pPr>
          </w:p>
          <w:p w14:paraId="1CA61B71">
            <w:pPr>
              <w:pStyle w:val="2"/>
              <w:rPr>
                <w:rFonts w:hint="default"/>
                <w:color w:val="auto"/>
                <w:lang w:val="en-US" w:eastAsia="zh-CN"/>
              </w:rPr>
            </w:pPr>
          </w:p>
          <w:p w14:paraId="6241838C">
            <w:pPr>
              <w:pStyle w:val="4"/>
              <w:rPr>
                <w:rFonts w:hint="default"/>
                <w:color w:val="auto"/>
                <w:lang w:val="en-US" w:eastAsia="zh-CN"/>
              </w:rPr>
            </w:pPr>
          </w:p>
          <w:p w14:paraId="5E0C6710">
            <w:pPr>
              <w:rPr>
                <w:rFonts w:hint="default"/>
                <w:color w:val="auto"/>
                <w:lang w:val="en-US" w:eastAsia="zh-CN"/>
              </w:rPr>
            </w:pPr>
          </w:p>
          <w:p w14:paraId="108852BB">
            <w:pPr>
              <w:pStyle w:val="2"/>
              <w:rPr>
                <w:rFonts w:hint="default"/>
                <w:color w:val="auto"/>
                <w:lang w:val="en-US" w:eastAsia="zh-CN"/>
              </w:rPr>
            </w:pPr>
          </w:p>
          <w:p w14:paraId="4AC2BD97">
            <w:pPr>
              <w:pStyle w:val="4"/>
              <w:rPr>
                <w:rFonts w:hint="default"/>
                <w:color w:val="auto"/>
                <w:lang w:val="en-US" w:eastAsia="zh-CN"/>
              </w:rPr>
            </w:pPr>
          </w:p>
          <w:p w14:paraId="59EEF213">
            <w:pPr>
              <w:rPr>
                <w:rFonts w:hint="default"/>
                <w:color w:val="auto"/>
                <w:lang w:val="en-US" w:eastAsia="zh-CN"/>
              </w:rPr>
            </w:pPr>
          </w:p>
          <w:p w14:paraId="21A340A2">
            <w:pPr>
              <w:pStyle w:val="2"/>
              <w:rPr>
                <w:rFonts w:hint="default"/>
                <w:color w:val="auto"/>
                <w:lang w:val="en-US" w:eastAsia="zh-CN"/>
              </w:rPr>
            </w:pPr>
          </w:p>
          <w:p w14:paraId="48140186">
            <w:pPr>
              <w:pStyle w:val="4"/>
              <w:rPr>
                <w:rFonts w:hint="default"/>
                <w:color w:val="auto"/>
                <w:lang w:val="en-US" w:eastAsia="zh-CN"/>
              </w:rPr>
            </w:pPr>
          </w:p>
          <w:p w14:paraId="1CE01F29">
            <w:pPr>
              <w:rPr>
                <w:rFonts w:hint="default"/>
                <w:color w:val="auto"/>
                <w:lang w:val="en-US" w:eastAsia="zh-CN"/>
              </w:rPr>
            </w:pPr>
          </w:p>
          <w:p w14:paraId="554CC1C2">
            <w:pPr>
              <w:pStyle w:val="2"/>
              <w:rPr>
                <w:rFonts w:hint="default"/>
                <w:color w:val="auto"/>
                <w:lang w:val="en-US" w:eastAsia="zh-CN"/>
              </w:rPr>
            </w:pPr>
          </w:p>
          <w:p w14:paraId="6022536F">
            <w:pPr>
              <w:pStyle w:val="4"/>
              <w:rPr>
                <w:rFonts w:hint="default"/>
                <w:color w:val="auto"/>
                <w:lang w:val="en-US" w:eastAsia="zh-CN"/>
              </w:rPr>
            </w:pPr>
          </w:p>
          <w:p w14:paraId="538F3A0F">
            <w:pPr>
              <w:rPr>
                <w:rFonts w:hint="default"/>
                <w:color w:val="auto"/>
                <w:lang w:val="en-US" w:eastAsia="zh-CN"/>
              </w:rPr>
            </w:pPr>
          </w:p>
          <w:p w14:paraId="7F31C935">
            <w:pPr>
              <w:pStyle w:val="2"/>
              <w:rPr>
                <w:rFonts w:hint="default"/>
                <w:color w:val="auto"/>
                <w:lang w:val="en-US" w:eastAsia="zh-CN"/>
              </w:rPr>
            </w:pPr>
          </w:p>
          <w:p w14:paraId="6AEE56F2">
            <w:pPr>
              <w:pStyle w:val="4"/>
              <w:rPr>
                <w:rFonts w:hint="default"/>
                <w:color w:val="auto"/>
                <w:lang w:val="en-US" w:eastAsia="zh-CN"/>
              </w:rPr>
            </w:pPr>
          </w:p>
          <w:p w14:paraId="5F3F88BB">
            <w:pPr>
              <w:rPr>
                <w:rFonts w:hint="default"/>
                <w:color w:val="auto"/>
                <w:lang w:val="en-US" w:eastAsia="zh-CN"/>
              </w:rPr>
            </w:pPr>
          </w:p>
          <w:p w14:paraId="07B2017B">
            <w:pPr>
              <w:numPr>
                <w:ilvl w:val="0"/>
                <w:numId w:val="8"/>
              </w:numPr>
              <w:spacing w:line="360" w:lineRule="auto"/>
              <w:ind w:firstLine="482" w:firstLineChars="200"/>
              <w:rPr>
                <w:rFonts w:hint="default" w:ascii="Times New Roman" w:hAnsi="Times New Roman" w:cs="Times New Roman" w:eastAsiaTheme="minorEastAsia"/>
                <w:b/>
                <w:color w:val="auto"/>
                <w:sz w:val="24"/>
                <w:highlight w:val="none"/>
                <w:lang w:eastAsia="zh-CN"/>
              </w:rPr>
            </w:pPr>
            <w:r>
              <w:rPr>
                <w:rFonts w:hint="default" w:ascii="Times New Roman" w:hAnsi="Times New Roman" w:cs="Times New Roman" w:eastAsiaTheme="minorEastAsia"/>
                <w:b/>
                <w:color w:val="auto"/>
                <w:sz w:val="24"/>
                <w:highlight w:val="none"/>
                <w:lang w:eastAsia="zh-CN"/>
              </w:rPr>
              <w:t>液晶屏</w:t>
            </w:r>
            <w:r>
              <w:rPr>
                <w:rFonts w:hint="default" w:ascii="Times New Roman" w:hAnsi="Times New Roman" w:cs="Times New Roman" w:eastAsiaTheme="minorEastAsia"/>
                <w:b/>
                <w:color w:val="auto"/>
                <w:sz w:val="24"/>
                <w:highlight w:val="none"/>
              </w:rPr>
              <w:t>生产工艺流程</w:t>
            </w:r>
            <w:r>
              <w:rPr>
                <w:rFonts w:hint="default" w:ascii="Times New Roman" w:hAnsi="Times New Roman" w:cs="Times New Roman" w:eastAsiaTheme="minorEastAsia"/>
                <w:b/>
                <w:color w:val="auto"/>
                <w:sz w:val="24"/>
                <w:highlight w:val="none"/>
                <w:lang w:eastAsia="zh-CN"/>
              </w:rPr>
              <w:t>及工艺说明</w:t>
            </w:r>
          </w:p>
          <w:p w14:paraId="1ABEDE4F">
            <w:pPr>
              <w:spacing w:line="360" w:lineRule="auto"/>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object>
                <v:shape id="_x0000_i1026" o:spt="75" type="#_x0000_t75" style="height:411.75pt;width:433.65pt;" o:ole="t" filled="f" o:preferrelative="t" stroked="f" coordsize="21600,21600">
                  <v:path/>
                  <v:fill on="f" focussize="0,0"/>
                  <v:stroke on="f"/>
                  <v:imagedata r:id="rId25" cropbottom="3921f" o:title=""/>
                  <o:lock v:ext="edit" aspectratio="f"/>
                  <w10:wrap type="none"/>
                  <w10:anchorlock/>
                </v:shape>
                <o:OLEObject Type="Embed" ProgID="Visio.Drawing.15" ShapeID="_x0000_i1026" DrawAspect="Content" ObjectID="_1468075726" r:id="rId24">
                  <o:LockedField>false</o:LockedField>
                </o:OLEObject>
              </w:object>
            </w:r>
          </w:p>
          <w:p w14:paraId="0A65FA94">
            <w:pPr>
              <w:pStyle w:val="22"/>
              <w:pageBreakBefore w:val="0"/>
              <w:numPr>
                <w:ilvl w:val="0"/>
                <w:numId w:val="7"/>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液晶屏生产工艺流程及产污节点图</w:t>
            </w:r>
          </w:p>
          <w:p w14:paraId="16980857">
            <w:pPr>
              <w:tabs>
                <w:tab w:val="left" w:pos="2040"/>
                <w:tab w:val="left" w:pos="3435"/>
                <w:tab w:val="left" w:pos="4830"/>
              </w:tabs>
              <w:spacing w:line="360" w:lineRule="auto"/>
              <w:ind w:firstLine="458" w:firstLineChars="200"/>
              <w:rPr>
                <w:rFonts w:hint="default" w:ascii="Times New Roman" w:hAnsi="Times New Roman" w:cs="Times New Roman" w:eastAsiaTheme="minorEastAsia"/>
                <w:b/>
                <w:bCs/>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切割：</w:t>
            </w:r>
            <w:r>
              <w:rPr>
                <w:rFonts w:hint="default" w:ascii="Times New Roman" w:hAnsi="Times New Roman" w:cs="Times New Roman" w:eastAsiaTheme="minorEastAsia"/>
                <w:b w:val="0"/>
                <w:bCs w:val="0"/>
                <w:color w:val="auto"/>
                <w:spacing w:val="-6"/>
                <w:sz w:val="24"/>
                <w:highlight w:val="none"/>
                <w:lang w:val="en-US" w:eastAsia="zh-CN"/>
              </w:rPr>
              <w:t>将大尺寸的ITO玻璃通过切割机进行切割出纹路，通过人工掰断分割成单个液晶盒的尺寸。该过程会产生少量的切割粉尘、边角料、噪声。</w:t>
            </w:r>
          </w:p>
          <w:p w14:paraId="509F9DD5">
            <w:pPr>
              <w:tabs>
                <w:tab w:val="left" w:pos="2040"/>
                <w:tab w:val="left" w:pos="3435"/>
                <w:tab w:val="left" w:pos="4830"/>
              </w:tabs>
              <w:spacing w:line="360" w:lineRule="auto"/>
              <w:ind w:firstLine="458"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灌晶：</w:t>
            </w:r>
            <w:r>
              <w:rPr>
                <w:rFonts w:hint="default" w:ascii="Times New Roman" w:hAnsi="Times New Roman" w:cs="Times New Roman" w:eastAsiaTheme="minorEastAsia"/>
                <w:b w:val="0"/>
                <w:bCs w:val="0"/>
                <w:color w:val="auto"/>
                <w:spacing w:val="-6"/>
                <w:sz w:val="24"/>
                <w:highlight w:val="none"/>
                <w:lang w:val="en-US" w:eastAsia="zh-CN"/>
              </w:rPr>
              <w:t>将切割好的工件内部抽为真空，然后由玻璃上的灌注口灌液晶，项目使用液晶灌注机在真空状态下利用毛细现象和压力差将液晶注入面板的间隙中。液晶属于一种规则性排列的有机复合物质，由长棒状的分子构成，介于固体和液体之间的物质，材料沸点较高（&gt;400℃），</w:t>
            </w:r>
            <w:r>
              <w:rPr>
                <w:rFonts w:hint="default" w:ascii="Times New Roman" w:hAnsi="Times New Roman" w:eastAsia="宋体" w:cs="Times New Roman"/>
                <w:color w:val="auto"/>
                <w:kern w:val="0"/>
                <w:sz w:val="24"/>
                <w:szCs w:val="24"/>
                <w:highlight w:val="none"/>
                <w:lang w:val="en-US" w:eastAsia="zh-CN" w:bidi="ar"/>
              </w:rPr>
              <w:t>常温下不易挥发</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cs="Times New Roman" w:eastAsiaTheme="minorEastAsia"/>
                <w:b w:val="0"/>
                <w:bCs w:val="0"/>
                <w:color w:val="auto"/>
                <w:spacing w:val="-6"/>
                <w:sz w:val="24"/>
                <w:highlight w:val="none"/>
                <w:lang w:val="en-US" w:eastAsia="zh-CN"/>
              </w:rPr>
              <w:t>灌装在真空密闭设备内进行，真空泵运行及设备启停、换料等过程可能产生微量无组织排放，但排放量较少。灌晶主要产生少量有机废气、噪声和危险性废原料包装。</w:t>
            </w:r>
          </w:p>
          <w:p w14:paraId="51812EC4">
            <w:pPr>
              <w:tabs>
                <w:tab w:val="left" w:pos="2040"/>
                <w:tab w:val="left" w:pos="3435"/>
                <w:tab w:val="left" w:pos="4830"/>
              </w:tabs>
              <w:spacing w:line="360" w:lineRule="auto"/>
              <w:ind w:firstLine="458"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封口、平整、UV固化：</w:t>
            </w:r>
            <w:r>
              <w:rPr>
                <w:rFonts w:hint="default" w:ascii="Times New Roman" w:hAnsi="Times New Roman" w:cs="Times New Roman" w:eastAsiaTheme="minorEastAsia"/>
                <w:b w:val="0"/>
                <w:bCs w:val="0"/>
                <w:color w:val="auto"/>
                <w:spacing w:val="-6"/>
                <w:sz w:val="24"/>
                <w:highlight w:val="none"/>
                <w:lang w:val="en-US" w:eastAsia="zh-CN"/>
              </w:rPr>
              <w:t>完成压合后将封口胶将灌注口封住，对贴合后的液晶盒施加均匀压力，确保两片玻璃间的盒厚达到设计要求（通常4-5μm），同时使封口胶充分填充。再放入UV固化机内，经曝光机的紫外线光照固化。此过程产生有机废气、臭气、危险性废原料包装、废UV灯管、噪声。</w:t>
            </w:r>
          </w:p>
          <w:p w14:paraId="0C517080">
            <w:pPr>
              <w:tabs>
                <w:tab w:val="left" w:pos="2040"/>
                <w:tab w:val="left" w:pos="3435"/>
                <w:tab w:val="left" w:pos="4830"/>
              </w:tabs>
              <w:spacing w:line="360" w:lineRule="auto"/>
              <w:ind w:firstLine="458"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打粒、磨边：</w:t>
            </w:r>
            <w:r>
              <w:rPr>
                <w:rFonts w:hint="default" w:ascii="Times New Roman" w:hAnsi="Times New Roman" w:cs="Times New Roman" w:eastAsiaTheme="minorEastAsia"/>
                <w:b w:val="0"/>
                <w:bCs w:val="0"/>
                <w:color w:val="auto"/>
                <w:spacing w:val="-6"/>
                <w:sz w:val="24"/>
                <w:highlight w:val="none"/>
                <w:lang w:val="en-US" w:eastAsia="zh-CN"/>
              </w:rPr>
              <w:t>将条状的ITO组合片通过打粒机的机械作用切断成粒状的组合片，使用磨边机对粒状的ITO组合片边缘进行修整，目的是打磨ITO组合片边缘的毛刺。</w:t>
            </w:r>
            <w:r>
              <w:rPr>
                <w:rFonts w:hint="default" w:ascii="Times New Roman" w:hAnsi="Times New Roman" w:cs="Times New Roman"/>
                <w:color w:val="auto"/>
                <w:kern w:val="0"/>
                <w:sz w:val="24"/>
                <w:szCs w:val="24"/>
                <w:highlight w:val="none"/>
                <w:lang w:val="en-US" w:eastAsia="zh-CN" w:bidi="ar"/>
              </w:rPr>
              <w:t>磨边工序为湿法打磨，磨边粉尘均被水捕捉，因此不产生逸散粉尘，对磨边废水定期捞渣，磨边废水循环使用不外排</w:t>
            </w:r>
            <w:r>
              <w:rPr>
                <w:rFonts w:hint="default" w:ascii="Times New Roman" w:hAnsi="Times New Roman" w:cs="Times New Roman" w:eastAsiaTheme="minorEastAsia"/>
                <w:b w:val="0"/>
                <w:bCs w:val="0"/>
                <w:color w:val="auto"/>
                <w:spacing w:val="-6"/>
                <w:sz w:val="24"/>
                <w:highlight w:val="none"/>
                <w:lang w:val="en-US" w:eastAsia="zh-CN"/>
              </w:rPr>
              <w:t>。此过程会产生少量打粒粉尘、磨边废水、废渣、噪声。</w:t>
            </w:r>
          </w:p>
          <w:p w14:paraId="2AEED020">
            <w:pPr>
              <w:pageBreakBefore w:val="0"/>
              <w:wordWrap w:val="0"/>
              <w:overflowPunct/>
              <w:bidi w:val="0"/>
              <w:spacing w:line="360" w:lineRule="auto"/>
              <w:ind w:firstLine="458" w:firstLineChars="200"/>
              <w:rPr>
                <w:rFonts w:hint="default" w:ascii="Times New Roman" w:hAnsi="Times New Roman" w:cs="Times New Roman"/>
                <w:color w:val="auto"/>
                <w:sz w:val="24"/>
                <w:highlight w:val="none"/>
                <w:lang w:eastAsia="zh-CN"/>
              </w:rPr>
            </w:pPr>
            <w:r>
              <w:rPr>
                <w:rFonts w:hint="default" w:ascii="Times New Roman" w:hAnsi="Times New Roman" w:cs="Times New Roman" w:eastAsiaTheme="minorEastAsia"/>
                <w:b/>
                <w:bCs/>
                <w:color w:val="auto"/>
                <w:spacing w:val="-6"/>
                <w:sz w:val="24"/>
                <w:highlight w:val="none"/>
                <w:lang w:val="en-US" w:eastAsia="zh-CN"/>
              </w:rPr>
              <w:t>水洗、烘烤、电检：</w:t>
            </w:r>
            <w:r>
              <w:rPr>
                <w:rFonts w:hint="default" w:ascii="Times New Roman" w:hAnsi="Times New Roman" w:cs="Times New Roman" w:eastAsiaTheme="minorEastAsia"/>
                <w:b w:val="0"/>
                <w:bCs w:val="0"/>
                <w:color w:val="auto"/>
                <w:spacing w:val="-6"/>
                <w:sz w:val="24"/>
                <w:highlight w:val="none"/>
                <w:lang w:val="en-US" w:eastAsia="zh-CN"/>
              </w:rPr>
              <w:t>使用纯水和环保清洗剂（START-3380A液晶清洗剂、START-3380B液晶清洗剂）对ITO组合片进行清洗，去除污迹。</w:t>
            </w:r>
            <w:r>
              <w:rPr>
                <w:rFonts w:hint="default" w:ascii="Times New Roman" w:hAnsi="Times New Roman" w:cs="Times New Roman"/>
                <w:color w:val="auto"/>
                <w:sz w:val="24"/>
                <w:highlight w:val="none"/>
                <w:lang w:eastAsia="zh-CN"/>
              </w:rPr>
              <w:t>本项目设置一台清洗机（水洗机），共设</w:t>
            </w:r>
            <w:r>
              <w:rPr>
                <w:rFonts w:hint="default" w:ascii="Times New Roman" w:hAnsi="Times New Roman" w:cs="Times New Roman"/>
                <w:color w:val="auto"/>
                <w:sz w:val="24"/>
                <w:highlight w:val="none"/>
                <w:lang w:val="en-US" w:eastAsia="zh-CN"/>
              </w:rPr>
              <w:t>8个槽，</w:t>
            </w:r>
            <w:r>
              <w:rPr>
                <w:rFonts w:hint="default" w:ascii="Times New Roman" w:hAnsi="Times New Roman" w:cs="Times New Roman"/>
                <w:color w:val="auto"/>
                <w:sz w:val="24"/>
                <w:highlight w:val="none"/>
                <w:lang w:eastAsia="zh-CN"/>
              </w:rPr>
              <w:t>每个槽体规格为4</w:t>
            </w:r>
            <w:r>
              <w:rPr>
                <w:rFonts w:hint="default" w:ascii="Times New Roman" w:hAnsi="Times New Roman" w:cs="Times New Roman"/>
                <w:color w:val="auto"/>
                <w:sz w:val="24"/>
                <w:highlight w:val="none"/>
                <w:lang w:val="en-US" w:eastAsia="zh-CN"/>
              </w:rPr>
              <w:t>00m</w:t>
            </w:r>
            <w:r>
              <w:rPr>
                <w:rFonts w:hint="default" w:ascii="Times New Roman" w:hAnsi="Times New Roman" w:cs="Times New Roman"/>
                <w:color w:val="auto"/>
                <w:sz w:val="24"/>
                <w:highlight w:val="none"/>
                <w:lang w:eastAsia="zh-CN"/>
              </w:rPr>
              <w:t>m×6</w:t>
            </w:r>
            <w:r>
              <w:rPr>
                <w:rFonts w:hint="default" w:ascii="Times New Roman" w:hAnsi="Times New Roman" w:cs="Times New Roman"/>
                <w:color w:val="auto"/>
                <w:sz w:val="24"/>
                <w:highlight w:val="none"/>
                <w:lang w:val="en-US" w:eastAsia="zh-CN"/>
              </w:rPr>
              <w:t>00m</w:t>
            </w:r>
            <w:r>
              <w:rPr>
                <w:rFonts w:hint="default" w:ascii="Times New Roman" w:hAnsi="Times New Roman" w:cs="Times New Roman"/>
                <w:color w:val="auto"/>
                <w:sz w:val="24"/>
                <w:highlight w:val="none"/>
                <w:lang w:eastAsia="zh-CN"/>
              </w:rPr>
              <w:t>m×4</w:t>
            </w:r>
            <w:r>
              <w:rPr>
                <w:rFonts w:hint="default" w:ascii="Times New Roman" w:hAnsi="Times New Roman" w:cs="Times New Roman"/>
                <w:color w:val="auto"/>
                <w:sz w:val="24"/>
                <w:highlight w:val="none"/>
                <w:lang w:val="en-US" w:eastAsia="zh-CN"/>
              </w:rPr>
              <w:t>80m</w:t>
            </w:r>
            <w:r>
              <w:rPr>
                <w:rFonts w:hint="default" w:ascii="Times New Roman" w:hAnsi="Times New Roman" w:cs="Times New Roman"/>
                <w:color w:val="auto"/>
                <w:sz w:val="24"/>
                <w:highlight w:val="none"/>
                <w:lang w:eastAsia="zh-CN"/>
              </w:rPr>
              <w:t>m，其中第一槽为液晶清洗剂</w:t>
            </w:r>
            <w:r>
              <w:rPr>
                <w:rFonts w:hint="default" w:ascii="Times New Roman" w:hAnsi="Times New Roman" w:cs="Times New Roman"/>
                <w:color w:val="auto"/>
                <w:sz w:val="24"/>
                <w:highlight w:val="none"/>
                <w:lang w:val="en-US" w:eastAsia="zh-CN"/>
              </w:rPr>
              <w:t>A液和纯水</w:t>
            </w:r>
            <w:r>
              <w:rPr>
                <w:rFonts w:hint="default" w:ascii="Times New Roman" w:hAnsi="Times New Roman" w:cs="Times New Roman"/>
                <w:color w:val="auto"/>
                <w:sz w:val="24"/>
                <w:highlight w:val="none"/>
                <w:lang w:eastAsia="zh-CN"/>
              </w:rPr>
              <w:t>，第二槽为液晶清洗剂B液和纯水，第三槽至第八槽为纯水。</w:t>
            </w:r>
          </w:p>
          <w:p w14:paraId="14CDB231">
            <w:pPr>
              <w:tabs>
                <w:tab w:val="left" w:pos="2040"/>
                <w:tab w:val="left" w:pos="3435"/>
                <w:tab w:val="left" w:pos="4830"/>
              </w:tabs>
              <w:spacing w:line="360" w:lineRule="auto"/>
              <w:ind w:firstLine="480"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color w:val="auto"/>
                <w:sz w:val="24"/>
                <w:highlight w:val="none"/>
                <w:lang w:eastAsia="zh-CN"/>
              </w:rPr>
              <w:t>工件经过第一槽进行清洗后再放入第二槽进行清洗，以此类推，最后由第八槽进行清洗。清洗后的清洗水每天仅需要更换</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个槽的水，即第一槽、第二槽（含清洗剂）和第三槽中的清洗废水。然后将第四槽的水移至第一槽的位置，第五槽的水移至第二槽的位置，第六槽的水移至第三槽的位置，第七槽的水移至第四槽，第八槽的水移至第五槽，第六</w:t>
            </w:r>
            <w:r>
              <w:rPr>
                <w:rFonts w:hint="default" w:ascii="Times New Roman" w:hAnsi="Times New Roman" w:cs="Times New Roman"/>
                <w:color w:val="auto"/>
                <w:sz w:val="24"/>
                <w:highlight w:val="none"/>
                <w:lang w:val="en-US" w:eastAsia="zh-CN"/>
              </w:rPr>
              <w:t>~八槽重新放入纯水，槽水转移后补充相应的清洗剂或纯水。</w:t>
            </w:r>
          </w:p>
          <w:p w14:paraId="24694BDB">
            <w:pPr>
              <w:tabs>
                <w:tab w:val="left" w:pos="2040"/>
                <w:tab w:val="left" w:pos="3435"/>
                <w:tab w:val="left" w:pos="4830"/>
              </w:tabs>
              <w:spacing w:line="360" w:lineRule="auto"/>
              <w:ind w:firstLine="456"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eastAsiaTheme="minorEastAsia"/>
                <w:b w:val="0"/>
                <w:bCs w:val="0"/>
                <w:color w:val="auto"/>
                <w:spacing w:val="-6"/>
                <w:sz w:val="24"/>
                <w:highlight w:val="none"/>
                <w:lang w:val="en-US" w:eastAsia="zh-CN"/>
              </w:rPr>
              <w:t>清洗后通过烤箱（用电）对粒状ITO组合片表面进行除湿（约80度，持续30分钟），方便后续的贴片。透过偏光片人眼检测液晶中是否有污点，颜色是否有差异。在加电的情况下检测液晶屏的显示图形是否达到设计要求。该工序主要产生清洗废水、不合格品、一般废原料包装。</w:t>
            </w:r>
          </w:p>
          <w:p w14:paraId="750FC114">
            <w:pPr>
              <w:pStyle w:val="23"/>
              <w:rPr>
                <w:rFonts w:hint="default"/>
                <w:color w:val="auto"/>
                <w:lang w:val="en-US" w:eastAsia="zh-CN"/>
              </w:rPr>
            </w:pPr>
            <w:r>
              <w:rPr>
                <w:rFonts w:hint="default" w:ascii="Times New Roman" w:hAnsi="Times New Roman" w:cs="Times New Roman" w:eastAsiaTheme="minorEastAsia"/>
                <w:b/>
                <w:bCs/>
                <w:color w:val="auto"/>
                <w:spacing w:val="-6"/>
                <w:sz w:val="24"/>
                <w:highlight w:val="none"/>
                <w:lang w:val="en-US" w:eastAsia="zh-CN"/>
              </w:rPr>
              <w:t>分色、贴片、消泡：</w:t>
            </w:r>
            <w:r>
              <w:rPr>
                <w:rFonts w:hint="default" w:ascii="Times New Roman" w:hAnsi="Times New Roman" w:cs="Times New Roman" w:eastAsiaTheme="minorEastAsia"/>
                <w:b w:val="0"/>
                <w:bCs w:val="0"/>
                <w:color w:val="auto"/>
                <w:spacing w:val="-6"/>
                <w:sz w:val="24"/>
                <w:highlight w:val="none"/>
                <w:lang w:val="en-US" w:eastAsia="zh-CN"/>
              </w:rPr>
              <w:t>偏光镜通过切片机裁切核实尺寸，将裁切好的偏光片通过全自动贴片机贴在玻璃表面，其中偏光片为带胶贴，贴片过程不使用其他胶粘剂。</w:t>
            </w:r>
            <w:r>
              <w:rPr>
                <w:rFonts w:hint="eastAsia"/>
                <w:color w:val="auto"/>
                <w:lang w:val="en-US" w:eastAsia="zh-CN"/>
              </w:rPr>
              <w:t>胶带为压敏胶（不干胶），</w:t>
            </w:r>
            <w:r>
              <w:rPr>
                <w:rFonts w:hint="default"/>
                <w:color w:val="auto"/>
                <w:lang w:val="en-US" w:eastAsia="zh-CN"/>
              </w:rPr>
              <w:t>常温</w:t>
            </w:r>
            <w:r>
              <w:rPr>
                <w:rFonts w:hint="eastAsia"/>
                <w:color w:val="auto"/>
                <w:lang w:val="en-US" w:eastAsia="zh-CN"/>
              </w:rPr>
              <w:t>使用，不涉及</w:t>
            </w:r>
            <w:r>
              <w:rPr>
                <w:rFonts w:ascii="宋体" w:hAnsi="宋体" w:eastAsia="宋体" w:cs="宋体"/>
                <w:color w:val="auto"/>
                <w:sz w:val="24"/>
                <w:szCs w:val="24"/>
              </w:rPr>
              <w:t>高温烘烤、加热固化胶带</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为</w:t>
            </w:r>
            <w:r>
              <w:rPr>
                <w:rFonts w:hint="eastAsia"/>
                <w:color w:val="auto"/>
                <w:lang w:val="en-US" w:eastAsia="zh-CN"/>
              </w:rPr>
              <w:t>常温贴合、物理粘贴，无化学反应、无溶剂挥发，只有极微量微弱气味，</w:t>
            </w:r>
            <w:r>
              <w:rPr>
                <w:rFonts w:hint="default"/>
                <w:color w:val="auto"/>
                <w:lang w:val="en-US" w:eastAsia="zh-CN"/>
              </w:rPr>
              <w:t>基本无有机废气</w:t>
            </w:r>
            <w:r>
              <w:rPr>
                <w:rFonts w:hint="eastAsia"/>
                <w:color w:val="auto"/>
                <w:lang w:val="en-US" w:eastAsia="zh-CN"/>
              </w:rPr>
              <w:t>。</w:t>
            </w:r>
          </w:p>
          <w:p w14:paraId="0A5C5C50">
            <w:pPr>
              <w:tabs>
                <w:tab w:val="left" w:pos="2040"/>
                <w:tab w:val="left" w:pos="3435"/>
                <w:tab w:val="left" w:pos="4830"/>
              </w:tabs>
              <w:spacing w:line="360" w:lineRule="auto"/>
              <w:ind w:firstLine="456" w:firstLineChars="200"/>
              <w:rPr>
                <w:rFonts w:hint="default" w:ascii="Times New Roman" w:hAnsi="Times New Roman" w:cs="Times New Roman" w:eastAsiaTheme="minorEastAsia"/>
                <w:b/>
                <w:bCs/>
                <w:color w:val="auto"/>
                <w:spacing w:val="-6"/>
                <w:sz w:val="24"/>
                <w:highlight w:val="none"/>
                <w:lang w:val="en-US" w:eastAsia="zh-CN"/>
              </w:rPr>
            </w:pPr>
            <w:r>
              <w:rPr>
                <w:rFonts w:hint="default" w:ascii="Times New Roman" w:hAnsi="Times New Roman" w:cs="Times New Roman" w:eastAsiaTheme="minorEastAsia"/>
                <w:b w:val="0"/>
                <w:bCs w:val="0"/>
                <w:color w:val="auto"/>
                <w:spacing w:val="-6"/>
                <w:sz w:val="24"/>
                <w:highlight w:val="none"/>
                <w:lang w:val="en-US" w:eastAsia="zh-CN"/>
              </w:rPr>
              <w:t>将贴好偏光片的工件放进消泡机，利用压力和温度（约60℃）将片与玻璃之间气泡消除。该过程产生偏光镜边角料、噪声。</w:t>
            </w:r>
          </w:p>
          <w:p w14:paraId="10184DF9">
            <w:pPr>
              <w:tabs>
                <w:tab w:val="left" w:pos="2040"/>
                <w:tab w:val="left" w:pos="3435"/>
                <w:tab w:val="left" w:pos="4830"/>
              </w:tabs>
              <w:spacing w:line="360" w:lineRule="auto"/>
              <w:ind w:firstLine="458" w:firstLineChars="200"/>
              <w:rPr>
                <w:rFonts w:hint="default" w:ascii="Times New Roman" w:hAnsi="Times New Roman" w:cs="Times New Roman" w:eastAsiaTheme="minorEastAsia"/>
                <w:b/>
                <w:bCs/>
                <w:color w:val="auto"/>
                <w:spacing w:val="-6"/>
                <w:sz w:val="24"/>
                <w:highlight w:val="none"/>
                <w:lang w:val="en-US" w:eastAsia="zh-CN"/>
              </w:rPr>
            </w:pPr>
            <w:r>
              <w:rPr>
                <w:rFonts w:hint="default" w:ascii="Times New Roman" w:hAnsi="Times New Roman" w:cs="Times New Roman" w:eastAsiaTheme="minorEastAsia"/>
                <w:b/>
                <w:bCs/>
                <w:color w:val="auto"/>
                <w:spacing w:val="-6"/>
                <w:sz w:val="24"/>
                <w:highlight w:val="none"/>
                <w:lang w:val="en-US" w:eastAsia="zh-CN"/>
              </w:rPr>
              <w:t>装PIN、点胶固化、测试、包装：</w:t>
            </w:r>
            <w:r>
              <w:rPr>
                <w:rFonts w:hint="default" w:ascii="Times New Roman" w:hAnsi="Times New Roman" w:cs="Times New Roman" w:eastAsiaTheme="minorEastAsia"/>
                <w:b w:val="0"/>
                <w:bCs w:val="0"/>
                <w:color w:val="auto"/>
                <w:spacing w:val="-6"/>
                <w:sz w:val="24"/>
                <w:highlight w:val="none"/>
                <w:lang w:val="en-US" w:eastAsia="zh-CN"/>
              </w:rPr>
              <w:t>在液晶模组的连接器上安装排针（PIN）或柔性连接器，用于与主板或外部设备进行电气连接，连接后使用电测机测试产品，组装过程中使用少量点胶剂辅助密闭。将合格的液晶模组放入防静电包装袋，再装入防震泡沫和纸箱中，贴好标签，准备出货。该过程会产生有机废气、危险性废原料包装、不合格品、噪声。</w:t>
            </w:r>
          </w:p>
          <w:p w14:paraId="24BBE51F">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w:t>
            </w:r>
            <w:r>
              <w:rPr>
                <w:rFonts w:hint="default" w:ascii="Times New Roman" w:hAnsi="Times New Roman" w:cs="Times New Roman" w:eastAsiaTheme="minorEastAsia"/>
                <w:b/>
                <w:color w:val="auto"/>
                <w:sz w:val="24"/>
                <w:highlight w:val="none"/>
                <w:lang w:val="en-US" w:eastAsia="zh-CN"/>
              </w:rPr>
              <w:t>3</w:t>
            </w:r>
            <w:r>
              <w:rPr>
                <w:rFonts w:hint="default" w:ascii="Times New Roman" w:hAnsi="Times New Roman" w:cs="Times New Roman" w:eastAsiaTheme="minorEastAsia"/>
                <w:b/>
                <w:color w:val="auto"/>
                <w:sz w:val="24"/>
                <w:highlight w:val="none"/>
              </w:rPr>
              <w:t>）</w:t>
            </w:r>
            <w:r>
              <w:rPr>
                <w:rFonts w:hint="default" w:ascii="Times New Roman" w:hAnsi="Times New Roman" w:cs="Times New Roman" w:eastAsiaTheme="minorEastAsia"/>
                <w:b/>
                <w:color w:val="auto"/>
                <w:sz w:val="24"/>
                <w:highlight w:val="none"/>
                <w:lang w:eastAsia="zh-CN"/>
              </w:rPr>
              <w:t>纯水制备</w:t>
            </w:r>
            <w:r>
              <w:rPr>
                <w:rFonts w:hint="default" w:ascii="Times New Roman" w:hAnsi="Times New Roman" w:cs="Times New Roman" w:eastAsiaTheme="minorEastAsia"/>
                <w:b/>
                <w:color w:val="auto"/>
                <w:sz w:val="24"/>
                <w:highlight w:val="none"/>
              </w:rPr>
              <w:t>工艺流程</w:t>
            </w:r>
            <w:r>
              <w:rPr>
                <w:rFonts w:hint="default" w:ascii="Times New Roman" w:hAnsi="Times New Roman" w:cs="Times New Roman" w:eastAsiaTheme="minorEastAsia"/>
                <w:b/>
                <w:color w:val="auto"/>
                <w:sz w:val="24"/>
                <w:highlight w:val="none"/>
                <w:lang w:eastAsia="zh-CN"/>
              </w:rPr>
              <w:t>及工艺说明</w:t>
            </w:r>
          </w:p>
          <w:p w14:paraId="042CCC2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7" o:spt="75" type="#_x0000_t75" style="height:74.25pt;width:278.25pt;" o:ole="t" filled="f" o:preferrelative="t" stroked="f" coordsize="21600,21600">
                  <v:path/>
                  <v:fill on="f" focussize="0,0"/>
                  <v:stroke on="f"/>
                  <v:imagedata r:id="rId27" o:title=""/>
                  <o:lock v:ext="edit" aspectratio="f"/>
                  <w10:wrap type="none"/>
                  <w10:anchorlock/>
                </v:shape>
                <o:OLEObject Type="Embed" ProgID="Visio.Drawing.15" ShapeID="_x0000_i1027" DrawAspect="Content" ObjectID="_1468075727" r:id="rId26">
                  <o:LockedField>false</o:LockedField>
                </o:OLEObject>
              </w:object>
            </w:r>
          </w:p>
          <w:p w14:paraId="02A53DBB">
            <w:pPr>
              <w:pStyle w:val="22"/>
              <w:pageBreakBefore w:val="0"/>
              <w:numPr>
                <w:ilvl w:val="0"/>
                <w:numId w:val="7"/>
              </w:numPr>
              <w:wordWrap w:val="0"/>
              <w:overflowPunct/>
              <w:bidi w:val="0"/>
              <w:spacing w:line="36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纯水生产工艺流程图</w:t>
            </w:r>
          </w:p>
          <w:p w14:paraId="40E9974C">
            <w:pPr>
              <w:tabs>
                <w:tab w:val="left" w:pos="2040"/>
                <w:tab w:val="left" w:pos="3435"/>
                <w:tab w:val="left" w:pos="4830"/>
              </w:tabs>
              <w:spacing w:line="360" w:lineRule="auto"/>
              <w:ind w:firstLine="456" w:firstLineChars="200"/>
              <w:rPr>
                <w:rFonts w:hint="default" w:ascii="Times New Roman" w:hAnsi="Times New Roman" w:cs="Times New Roman" w:eastAsiaTheme="minorEastAsia"/>
                <w:b w:val="0"/>
                <w:bCs w:val="0"/>
                <w:color w:val="auto"/>
                <w:spacing w:val="-6"/>
                <w:sz w:val="24"/>
                <w:highlight w:val="none"/>
                <w:lang w:val="en-US" w:eastAsia="zh-CN"/>
              </w:rPr>
            </w:pPr>
            <w:r>
              <w:rPr>
                <w:rFonts w:hint="default" w:ascii="Times New Roman" w:hAnsi="Times New Roman" w:cs="Times New Roman" w:eastAsiaTheme="minorEastAsia"/>
                <w:b w:val="0"/>
                <w:bCs w:val="0"/>
                <w:color w:val="auto"/>
                <w:spacing w:val="-6"/>
                <w:sz w:val="24"/>
                <w:highlight w:val="none"/>
                <w:lang w:val="en-US" w:eastAsia="zh-CN"/>
              </w:rPr>
              <w:t>项目净水器的反渗透设备提取原理是一种以压力差为推动力，从溶液中分离出溶剂的膜分离操作。对膜一侧的料液施加压力，当压力超过它的渗透压时，溶剂会逆着自然渗透的方向作反向渗透。从而在膜的低压侧得到透过的溶剂，即渗透液；高压侧得到浓缩的溶液，即浓缩液。纯水所用水均为自来水，制备的纯水全部用于液晶屏生产流程中的水洗工序。</w:t>
            </w:r>
          </w:p>
          <w:p w14:paraId="4257299E">
            <w:pPr>
              <w:spacing w:line="360" w:lineRule="auto"/>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lang w:val="en-US" w:eastAsia="zh-CN"/>
              </w:rPr>
              <w:t>二</w:t>
            </w:r>
            <w:r>
              <w:rPr>
                <w:rFonts w:hint="default" w:ascii="Times New Roman" w:hAnsi="Times New Roman" w:cs="Times New Roman" w:eastAsiaTheme="minorEastAsia"/>
                <w:b/>
                <w:bCs/>
                <w:color w:val="auto"/>
                <w:sz w:val="24"/>
                <w:highlight w:val="none"/>
              </w:rPr>
              <w:t>、污染源产污环节分析</w:t>
            </w:r>
          </w:p>
          <w:p w14:paraId="51FE10B2">
            <w:pPr>
              <w:pStyle w:val="22"/>
              <w:pageBreakBefore w:val="0"/>
              <w:numPr>
                <w:ilvl w:val="0"/>
                <w:numId w:val="6"/>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本项目生产过程产污明细一览表</w:t>
            </w:r>
          </w:p>
          <w:tbl>
            <w:tblPr>
              <w:tblStyle w:val="39"/>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
              <w:gridCol w:w="1445"/>
              <w:gridCol w:w="1323"/>
              <w:gridCol w:w="1971"/>
              <w:gridCol w:w="3576"/>
            </w:tblGrid>
            <w:tr w14:paraId="542F2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Align w:val="center"/>
                </w:tcPr>
                <w:p w14:paraId="1B18A634">
                  <w:pPr>
                    <w:tabs>
                      <w:tab w:val="left" w:pos="2040"/>
                      <w:tab w:val="left" w:pos="3435"/>
                      <w:tab w:val="left" w:pos="4830"/>
                    </w:tabs>
                    <w:spacing w:line="240" w:lineRule="auto"/>
                    <w:jc w:val="center"/>
                    <w:rPr>
                      <w:rFonts w:hint="default" w:ascii="Times New Roman" w:hAnsi="Times New Roman" w:cs="Times New Roman" w:eastAsiaTheme="minorEastAsia"/>
                      <w:b/>
                      <w:bCs/>
                      <w:color w:val="auto"/>
                      <w:spacing w:val="-6"/>
                      <w:sz w:val="21"/>
                      <w:szCs w:val="21"/>
                      <w:highlight w:val="none"/>
                      <w:vertAlign w:val="baseline"/>
                      <w:lang w:eastAsia="zh-CN"/>
                    </w:rPr>
                  </w:pPr>
                  <w:r>
                    <w:rPr>
                      <w:rFonts w:hint="default" w:ascii="Times New Roman" w:hAnsi="Times New Roman" w:cs="Times New Roman" w:eastAsiaTheme="minorEastAsia"/>
                      <w:b/>
                      <w:bCs/>
                      <w:color w:val="auto"/>
                      <w:spacing w:val="-6"/>
                      <w:sz w:val="21"/>
                      <w:szCs w:val="21"/>
                      <w:highlight w:val="none"/>
                      <w:vertAlign w:val="baseline"/>
                      <w:lang w:eastAsia="zh-CN"/>
                    </w:rPr>
                    <w:t>类别</w:t>
                  </w:r>
                </w:p>
              </w:tc>
              <w:tc>
                <w:tcPr>
                  <w:tcW w:w="1445" w:type="dxa"/>
                  <w:vAlign w:val="center"/>
                </w:tcPr>
                <w:p w14:paraId="6A0F3C84">
                  <w:pPr>
                    <w:tabs>
                      <w:tab w:val="left" w:pos="2040"/>
                      <w:tab w:val="left" w:pos="3435"/>
                      <w:tab w:val="left" w:pos="4830"/>
                    </w:tabs>
                    <w:spacing w:line="240" w:lineRule="auto"/>
                    <w:jc w:val="center"/>
                    <w:rPr>
                      <w:rFonts w:hint="default" w:ascii="Times New Roman" w:hAnsi="Times New Roman" w:cs="Times New Roman" w:eastAsiaTheme="minorEastAsia"/>
                      <w:b/>
                      <w:bCs/>
                      <w:color w:val="auto"/>
                      <w:spacing w:val="-6"/>
                      <w:sz w:val="21"/>
                      <w:szCs w:val="21"/>
                      <w:highlight w:val="none"/>
                      <w:vertAlign w:val="baseline"/>
                      <w:lang w:eastAsia="zh-CN"/>
                    </w:rPr>
                  </w:pPr>
                  <w:r>
                    <w:rPr>
                      <w:rFonts w:hint="default" w:ascii="Times New Roman" w:hAnsi="Times New Roman" w:cs="Times New Roman" w:eastAsiaTheme="minorEastAsia"/>
                      <w:b/>
                      <w:bCs/>
                      <w:color w:val="auto"/>
                      <w:spacing w:val="-6"/>
                      <w:sz w:val="21"/>
                      <w:szCs w:val="21"/>
                      <w:highlight w:val="none"/>
                      <w:vertAlign w:val="baseline"/>
                      <w:lang w:eastAsia="zh-CN"/>
                    </w:rPr>
                    <w:t>污染源</w:t>
                  </w:r>
                </w:p>
              </w:tc>
              <w:tc>
                <w:tcPr>
                  <w:tcW w:w="3294" w:type="dxa"/>
                  <w:gridSpan w:val="2"/>
                  <w:vAlign w:val="center"/>
                </w:tcPr>
                <w:p w14:paraId="25197E64">
                  <w:pPr>
                    <w:tabs>
                      <w:tab w:val="left" w:pos="2040"/>
                      <w:tab w:val="left" w:pos="3435"/>
                      <w:tab w:val="left" w:pos="4830"/>
                    </w:tabs>
                    <w:spacing w:line="240" w:lineRule="auto"/>
                    <w:jc w:val="center"/>
                    <w:rPr>
                      <w:rFonts w:hint="default" w:ascii="Times New Roman" w:hAnsi="Times New Roman" w:cs="Times New Roman" w:eastAsiaTheme="minorEastAsia"/>
                      <w:b/>
                      <w:bCs/>
                      <w:color w:val="auto"/>
                      <w:spacing w:val="-6"/>
                      <w:sz w:val="21"/>
                      <w:szCs w:val="21"/>
                      <w:highlight w:val="none"/>
                      <w:vertAlign w:val="baseline"/>
                      <w:lang w:eastAsia="zh-CN"/>
                    </w:rPr>
                  </w:pPr>
                  <w:r>
                    <w:rPr>
                      <w:rFonts w:hint="default" w:ascii="Times New Roman" w:hAnsi="Times New Roman" w:cs="Times New Roman" w:eastAsiaTheme="minorEastAsia"/>
                      <w:b/>
                      <w:bCs/>
                      <w:color w:val="auto"/>
                      <w:spacing w:val="-6"/>
                      <w:sz w:val="21"/>
                      <w:szCs w:val="21"/>
                      <w:highlight w:val="none"/>
                      <w:vertAlign w:val="baseline"/>
                      <w:lang w:eastAsia="zh-CN"/>
                    </w:rPr>
                    <w:t>主要污染物</w:t>
                  </w:r>
                </w:p>
              </w:tc>
              <w:tc>
                <w:tcPr>
                  <w:tcW w:w="3576" w:type="dxa"/>
                  <w:vAlign w:val="center"/>
                </w:tcPr>
                <w:p w14:paraId="4A9FA61E">
                  <w:pPr>
                    <w:tabs>
                      <w:tab w:val="left" w:pos="2040"/>
                      <w:tab w:val="left" w:pos="3435"/>
                      <w:tab w:val="left" w:pos="4830"/>
                    </w:tabs>
                    <w:spacing w:line="240" w:lineRule="auto"/>
                    <w:jc w:val="center"/>
                    <w:rPr>
                      <w:rFonts w:hint="default" w:ascii="Times New Roman" w:hAnsi="Times New Roman" w:cs="Times New Roman" w:eastAsiaTheme="minorEastAsia"/>
                      <w:b/>
                      <w:bCs/>
                      <w:color w:val="auto"/>
                      <w:spacing w:val="-6"/>
                      <w:sz w:val="21"/>
                      <w:szCs w:val="21"/>
                      <w:highlight w:val="none"/>
                      <w:vertAlign w:val="baseline"/>
                      <w:lang w:eastAsia="zh-CN"/>
                    </w:rPr>
                  </w:pPr>
                  <w:r>
                    <w:rPr>
                      <w:rFonts w:hint="default" w:ascii="Times New Roman" w:hAnsi="Times New Roman" w:cs="Times New Roman" w:eastAsiaTheme="minorEastAsia"/>
                      <w:b/>
                      <w:bCs/>
                      <w:color w:val="auto"/>
                      <w:spacing w:val="-6"/>
                      <w:sz w:val="21"/>
                      <w:szCs w:val="21"/>
                      <w:highlight w:val="none"/>
                      <w:vertAlign w:val="baseline"/>
                      <w:lang w:eastAsia="zh-CN"/>
                    </w:rPr>
                    <w:t>处理方式及排放去向</w:t>
                  </w:r>
                </w:p>
              </w:tc>
            </w:tr>
            <w:tr w14:paraId="31C53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restart"/>
                  <w:vAlign w:val="center"/>
                </w:tcPr>
                <w:p w14:paraId="293D71A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废水</w:t>
                  </w:r>
                </w:p>
              </w:tc>
              <w:tc>
                <w:tcPr>
                  <w:tcW w:w="1445" w:type="dxa"/>
                  <w:vAlign w:val="center"/>
                </w:tcPr>
                <w:p w14:paraId="5B677DD2">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注塑、制纯水</w:t>
                  </w:r>
                </w:p>
              </w:tc>
              <w:tc>
                <w:tcPr>
                  <w:tcW w:w="1323" w:type="dxa"/>
                  <w:tcBorders>
                    <w:right w:val="single" w:color="000000" w:sz="2" w:space="0"/>
                  </w:tcBorders>
                  <w:vAlign w:val="center"/>
                </w:tcPr>
                <w:p w14:paraId="4E89D77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纯水设备废水（浓水、反冲洗废水）、冷却塔废水</w:t>
                  </w:r>
                </w:p>
              </w:tc>
              <w:tc>
                <w:tcPr>
                  <w:tcW w:w="1971" w:type="dxa"/>
                  <w:tcBorders>
                    <w:left w:val="single" w:color="000000" w:sz="2" w:space="0"/>
                  </w:tcBorders>
                  <w:vAlign w:val="center"/>
                </w:tcPr>
                <w:p w14:paraId="3357058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COD</w:t>
                  </w:r>
                  <w:r>
                    <w:rPr>
                      <w:rFonts w:hint="default" w:ascii="Times New Roman" w:hAnsi="Times New Roman" w:cs="Times New Roman" w:eastAsiaTheme="minorEastAsia"/>
                      <w:color w:val="auto"/>
                      <w:spacing w:val="-6"/>
                      <w:sz w:val="21"/>
                      <w:szCs w:val="21"/>
                      <w:highlight w:val="none"/>
                      <w:vertAlign w:val="subscript"/>
                      <w:lang w:val="en-US" w:eastAsia="zh-CN"/>
                    </w:rPr>
                    <w:t>Cr</w:t>
                  </w:r>
                  <w:r>
                    <w:rPr>
                      <w:rFonts w:hint="default" w:ascii="Times New Roman" w:hAnsi="Times New Roman" w:cs="Times New Roman" w:eastAsiaTheme="minorEastAsia"/>
                      <w:color w:val="auto"/>
                      <w:spacing w:val="-6"/>
                      <w:sz w:val="21"/>
                      <w:szCs w:val="21"/>
                      <w:highlight w:val="none"/>
                      <w:vertAlign w:val="baseline"/>
                      <w:lang w:val="en-US" w:eastAsia="zh-CN"/>
                    </w:rPr>
                    <w:t>、</w:t>
                  </w:r>
                  <w:r>
                    <w:rPr>
                      <w:rFonts w:hint="default" w:ascii="Times New Roman" w:hAnsi="Times New Roman" w:cs="Times New Roman" w:eastAsiaTheme="minorEastAsia"/>
                      <w:color w:val="auto"/>
                      <w:spacing w:val="-6"/>
                      <w:sz w:val="21"/>
                      <w:szCs w:val="21"/>
                      <w:highlight w:val="none"/>
                      <w:vertAlign w:val="baseline"/>
                      <w:lang w:eastAsia="zh-CN"/>
                    </w:rPr>
                    <w:t>盐分</w:t>
                  </w:r>
                </w:p>
              </w:tc>
              <w:tc>
                <w:tcPr>
                  <w:tcW w:w="3576" w:type="dxa"/>
                  <w:vMerge w:val="restart"/>
                  <w:vAlign w:val="center"/>
                </w:tcPr>
                <w:p w14:paraId="566DC3C6">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收集池收集后排入</w:t>
                  </w:r>
                  <w:r>
                    <w:rPr>
                      <w:rFonts w:hint="default" w:ascii="Times New Roman" w:hAnsi="Times New Roman" w:cs="Times New Roman" w:eastAsiaTheme="minorEastAsia"/>
                      <w:color w:val="auto"/>
                      <w:spacing w:val="-6"/>
                      <w:sz w:val="21"/>
                      <w:szCs w:val="21"/>
                      <w:highlight w:val="none"/>
                      <w:vertAlign w:val="baseline"/>
                      <w:lang w:val="en-US" w:eastAsia="zh-CN"/>
                    </w:rPr>
                    <w:t>园区污水处理厂进行深度处理</w:t>
                  </w:r>
                </w:p>
              </w:tc>
            </w:tr>
            <w:tr w14:paraId="32461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40732E10">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6077DB44">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水洗</w:t>
                  </w:r>
                </w:p>
              </w:tc>
              <w:tc>
                <w:tcPr>
                  <w:tcW w:w="1323" w:type="dxa"/>
                  <w:tcBorders>
                    <w:right w:val="single" w:color="000000" w:sz="2" w:space="0"/>
                  </w:tcBorders>
                  <w:vAlign w:val="center"/>
                </w:tcPr>
                <w:p w14:paraId="223934A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清洗废水</w:t>
                  </w:r>
                </w:p>
              </w:tc>
              <w:tc>
                <w:tcPr>
                  <w:tcW w:w="1971" w:type="dxa"/>
                  <w:tcBorders>
                    <w:left w:val="single" w:color="000000" w:sz="2" w:space="0"/>
                  </w:tcBorders>
                  <w:vAlign w:val="center"/>
                </w:tcPr>
                <w:p w14:paraId="05A47C4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COD</w:t>
                  </w:r>
                  <w:r>
                    <w:rPr>
                      <w:rFonts w:hint="default" w:ascii="Times New Roman" w:hAnsi="Times New Roman" w:cs="Times New Roman" w:eastAsiaTheme="minorEastAsia"/>
                      <w:color w:val="auto"/>
                      <w:spacing w:val="-6"/>
                      <w:sz w:val="21"/>
                      <w:szCs w:val="21"/>
                      <w:highlight w:val="none"/>
                      <w:vertAlign w:val="subscript"/>
                      <w:lang w:eastAsia="zh-CN"/>
                    </w:rPr>
                    <w:t>Cr</w:t>
                  </w:r>
                  <w:r>
                    <w:rPr>
                      <w:rFonts w:hint="default" w:ascii="Times New Roman" w:hAnsi="Times New Roman" w:cs="Times New Roman" w:eastAsiaTheme="minorEastAsia"/>
                      <w:color w:val="auto"/>
                      <w:spacing w:val="-6"/>
                      <w:sz w:val="21"/>
                      <w:szCs w:val="21"/>
                      <w:highlight w:val="none"/>
                      <w:vertAlign w:val="baseline"/>
                      <w:lang w:eastAsia="zh-CN"/>
                    </w:rPr>
                    <w:t>、BOD</w:t>
                  </w:r>
                  <w:r>
                    <w:rPr>
                      <w:rFonts w:hint="default" w:ascii="Times New Roman" w:hAnsi="Times New Roman" w:cs="Times New Roman" w:eastAsiaTheme="minorEastAsia"/>
                      <w:color w:val="auto"/>
                      <w:spacing w:val="-6"/>
                      <w:sz w:val="21"/>
                      <w:szCs w:val="21"/>
                      <w:highlight w:val="none"/>
                      <w:vertAlign w:val="subscript"/>
                      <w:lang w:eastAsia="zh-CN"/>
                    </w:rPr>
                    <w:t>5</w:t>
                  </w:r>
                  <w:r>
                    <w:rPr>
                      <w:rFonts w:hint="default" w:ascii="Times New Roman" w:hAnsi="Times New Roman" w:cs="Times New Roman" w:eastAsiaTheme="minorEastAsia"/>
                      <w:color w:val="auto"/>
                      <w:spacing w:val="-6"/>
                      <w:sz w:val="21"/>
                      <w:szCs w:val="21"/>
                      <w:highlight w:val="none"/>
                      <w:vertAlign w:val="baseline"/>
                      <w:lang w:eastAsia="zh-CN"/>
                    </w:rPr>
                    <w:t>、SS、NH</w:t>
                  </w:r>
                  <w:r>
                    <w:rPr>
                      <w:rFonts w:hint="default" w:ascii="Times New Roman" w:hAnsi="Times New Roman" w:cs="Times New Roman" w:eastAsiaTheme="minorEastAsia"/>
                      <w:color w:val="auto"/>
                      <w:spacing w:val="-6"/>
                      <w:sz w:val="21"/>
                      <w:szCs w:val="21"/>
                      <w:highlight w:val="none"/>
                      <w:vertAlign w:val="subscript"/>
                      <w:lang w:eastAsia="zh-CN"/>
                    </w:rPr>
                    <w:t>3</w:t>
                  </w:r>
                  <w:r>
                    <w:rPr>
                      <w:rFonts w:hint="default" w:ascii="Times New Roman" w:hAnsi="Times New Roman" w:cs="Times New Roman" w:eastAsiaTheme="minorEastAsia"/>
                      <w:color w:val="auto"/>
                      <w:spacing w:val="-6"/>
                      <w:sz w:val="21"/>
                      <w:szCs w:val="21"/>
                      <w:highlight w:val="none"/>
                      <w:vertAlign w:val="baseline"/>
                      <w:lang w:eastAsia="zh-CN"/>
                    </w:rPr>
                    <w:t>-N、石油类、LAS</w:t>
                  </w:r>
                </w:p>
              </w:tc>
              <w:tc>
                <w:tcPr>
                  <w:tcW w:w="3576" w:type="dxa"/>
                  <w:vMerge w:val="continue"/>
                  <w:vAlign w:val="center"/>
                </w:tcPr>
                <w:p w14:paraId="60B9B043">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65470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5DC37946">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1CEE4B0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磨边</w:t>
                  </w:r>
                </w:p>
              </w:tc>
              <w:tc>
                <w:tcPr>
                  <w:tcW w:w="1323" w:type="dxa"/>
                  <w:tcBorders>
                    <w:right w:val="single" w:color="000000" w:sz="2" w:space="0"/>
                  </w:tcBorders>
                  <w:vAlign w:val="center"/>
                </w:tcPr>
                <w:p w14:paraId="2313522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磨边废水</w:t>
                  </w:r>
                </w:p>
              </w:tc>
              <w:tc>
                <w:tcPr>
                  <w:tcW w:w="1971" w:type="dxa"/>
                  <w:tcBorders>
                    <w:left w:val="single" w:color="000000" w:sz="2" w:space="0"/>
                  </w:tcBorders>
                  <w:vAlign w:val="center"/>
                </w:tcPr>
                <w:p w14:paraId="68D679F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SS</w:t>
                  </w:r>
                </w:p>
              </w:tc>
              <w:tc>
                <w:tcPr>
                  <w:tcW w:w="3576" w:type="dxa"/>
                  <w:vAlign w:val="center"/>
                </w:tcPr>
                <w:p w14:paraId="6D7F354F">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收集沉淀，</w:t>
                  </w:r>
                  <w:r>
                    <w:rPr>
                      <w:rFonts w:hint="default" w:ascii="Times New Roman" w:hAnsi="Times New Roman" w:cs="Times New Roman" w:eastAsiaTheme="minorEastAsia"/>
                      <w:color w:val="auto"/>
                      <w:spacing w:val="-6"/>
                      <w:sz w:val="21"/>
                      <w:szCs w:val="21"/>
                      <w:highlight w:val="none"/>
                      <w:vertAlign w:val="baseline"/>
                      <w:lang w:eastAsia="zh-CN"/>
                    </w:rPr>
                    <w:t>定期捞渣，循环使用不外排</w:t>
                  </w:r>
                </w:p>
              </w:tc>
            </w:tr>
            <w:tr w14:paraId="608E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restart"/>
                  <w:vAlign w:val="center"/>
                </w:tcPr>
                <w:p w14:paraId="57AFD06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废气</w:t>
                  </w:r>
                </w:p>
              </w:tc>
              <w:tc>
                <w:tcPr>
                  <w:tcW w:w="1445" w:type="dxa"/>
                  <w:vAlign w:val="center"/>
                </w:tcPr>
                <w:p w14:paraId="6F4F38A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注塑成型</w:t>
                  </w:r>
                </w:p>
              </w:tc>
              <w:tc>
                <w:tcPr>
                  <w:tcW w:w="3294" w:type="dxa"/>
                  <w:gridSpan w:val="2"/>
                  <w:vAlign w:val="center"/>
                </w:tcPr>
                <w:p w14:paraId="01D22713">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有机废气、臭气</w:t>
                  </w:r>
                </w:p>
              </w:tc>
              <w:tc>
                <w:tcPr>
                  <w:tcW w:w="3576" w:type="dxa"/>
                  <w:vAlign w:val="center"/>
                </w:tcPr>
                <w:p w14:paraId="2ACF6D0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eastAsia="zh-CN"/>
                    </w:rPr>
                    <w:t>收集经二级活性炭吸附装置处理后由</w:t>
                  </w:r>
                  <w:r>
                    <w:rPr>
                      <w:rFonts w:hint="default" w:ascii="Times New Roman" w:hAnsi="Times New Roman" w:cs="Times New Roman" w:eastAsiaTheme="minorEastAsia"/>
                      <w:color w:val="auto"/>
                      <w:spacing w:val="-6"/>
                      <w:sz w:val="21"/>
                      <w:szCs w:val="21"/>
                      <w:highlight w:val="none"/>
                      <w:vertAlign w:val="baseline"/>
                      <w:lang w:val="en-US" w:eastAsia="zh-CN"/>
                    </w:rPr>
                    <w:t>30m高DA001排气筒排放</w:t>
                  </w:r>
                </w:p>
              </w:tc>
            </w:tr>
            <w:tr w14:paraId="430D7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43305287">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0F30C91D">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塑料破碎</w:t>
                  </w:r>
                </w:p>
              </w:tc>
              <w:tc>
                <w:tcPr>
                  <w:tcW w:w="3294" w:type="dxa"/>
                  <w:gridSpan w:val="2"/>
                  <w:vAlign w:val="center"/>
                </w:tcPr>
                <w:p w14:paraId="37F89B4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粉尘</w:t>
                  </w:r>
                </w:p>
              </w:tc>
              <w:tc>
                <w:tcPr>
                  <w:tcW w:w="3576" w:type="dxa"/>
                  <w:vAlign w:val="center"/>
                </w:tcPr>
                <w:p w14:paraId="2B56580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自然沉降，呈无组织排放</w:t>
                  </w:r>
                </w:p>
              </w:tc>
            </w:tr>
            <w:tr w14:paraId="43E55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0CF9C9A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1E4864B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切割、</w:t>
                  </w:r>
                  <w:r>
                    <w:rPr>
                      <w:rFonts w:hint="default" w:ascii="Times New Roman" w:hAnsi="Times New Roman" w:cs="Times New Roman" w:eastAsiaTheme="minorEastAsia"/>
                      <w:color w:val="auto"/>
                      <w:spacing w:val="-6"/>
                      <w:sz w:val="21"/>
                      <w:szCs w:val="21"/>
                      <w:highlight w:val="none"/>
                      <w:vertAlign w:val="baseline"/>
                      <w:lang w:val="en-US" w:eastAsia="zh-CN"/>
                    </w:rPr>
                    <w:t>打粒</w:t>
                  </w:r>
                </w:p>
              </w:tc>
              <w:tc>
                <w:tcPr>
                  <w:tcW w:w="3294" w:type="dxa"/>
                  <w:gridSpan w:val="2"/>
                  <w:vAlign w:val="center"/>
                </w:tcPr>
                <w:p w14:paraId="72DD087A">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少量</w:t>
                  </w:r>
                  <w:r>
                    <w:rPr>
                      <w:rFonts w:hint="default" w:ascii="Times New Roman" w:hAnsi="Times New Roman" w:cs="Times New Roman" w:eastAsiaTheme="minorEastAsia"/>
                      <w:color w:val="auto"/>
                      <w:spacing w:val="-6"/>
                      <w:sz w:val="21"/>
                      <w:szCs w:val="21"/>
                      <w:highlight w:val="none"/>
                      <w:vertAlign w:val="baseline"/>
                      <w:lang w:eastAsia="zh-CN"/>
                    </w:rPr>
                    <w:t>粉尘</w:t>
                  </w:r>
                </w:p>
              </w:tc>
              <w:tc>
                <w:tcPr>
                  <w:tcW w:w="3576" w:type="dxa"/>
                  <w:vAlign w:val="center"/>
                </w:tcPr>
                <w:p w14:paraId="1A8EDBD4">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自然沉降，呈无组织排放</w:t>
                  </w:r>
                </w:p>
              </w:tc>
            </w:tr>
            <w:tr w14:paraId="26492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052ED48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3EF7871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灌晶</w:t>
                  </w:r>
                </w:p>
              </w:tc>
              <w:tc>
                <w:tcPr>
                  <w:tcW w:w="3294" w:type="dxa"/>
                  <w:gridSpan w:val="2"/>
                  <w:vAlign w:val="center"/>
                </w:tcPr>
                <w:p w14:paraId="44BE99F4">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少量</w:t>
                  </w:r>
                  <w:r>
                    <w:rPr>
                      <w:rFonts w:hint="default" w:ascii="Times New Roman" w:hAnsi="Times New Roman" w:cs="Times New Roman" w:eastAsiaTheme="minorEastAsia"/>
                      <w:color w:val="auto"/>
                      <w:spacing w:val="-6"/>
                      <w:sz w:val="21"/>
                      <w:szCs w:val="21"/>
                      <w:highlight w:val="none"/>
                      <w:vertAlign w:val="baseline"/>
                      <w:lang w:eastAsia="zh-CN"/>
                    </w:rPr>
                    <w:t>有机废气、</w:t>
                  </w:r>
                  <w:r>
                    <w:rPr>
                      <w:rFonts w:hint="default" w:ascii="Times New Roman" w:hAnsi="Times New Roman" w:cs="Times New Roman" w:eastAsiaTheme="minorEastAsia"/>
                      <w:color w:val="auto"/>
                      <w:spacing w:val="-6"/>
                      <w:sz w:val="21"/>
                      <w:szCs w:val="21"/>
                      <w:highlight w:val="none"/>
                      <w:vertAlign w:val="baseline"/>
                      <w:lang w:val="en-US" w:eastAsia="zh-CN"/>
                    </w:rPr>
                    <w:t>臭气</w:t>
                  </w:r>
                </w:p>
              </w:tc>
              <w:tc>
                <w:tcPr>
                  <w:tcW w:w="3576" w:type="dxa"/>
                  <w:vMerge w:val="restart"/>
                  <w:vAlign w:val="center"/>
                </w:tcPr>
                <w:p w14:paraId="146EFCD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呈无组织排放，绿化吸收，大气稀释扩散</w:t>
                  </w:r>
                </w:p>
              </w:tc>
            </w:tr>
            <w:tr w14:paraId="609D9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78AB8B36">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3C9D0DC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封口、点胶</w:t>
                  </w:r>
                  <w:r>
                    <w:rPr>
                      <w:rFonts w:hint="default" w:ascii="Times New Roman" w:hAnsi="Times New Roman" w:cs="Times New Roman" w:eastAsiaTheme="minorEastAsia"/>
                      <w:color w:val="auto"/>
                      <w:spacing w:val="-6"/>
                      <w:sz w:val="21"/>
                      <w:szCs w:val="21"/>
                      <w:highlight w:val="none"/>
                      <w:vertAlign w:val="baseline"/>
                      <w:lang w:val="en-US" w:eastAsia="zh-CN"/>
                    </w:rPr>
                    <w:t>UV</w:t>
                  </w:r>
                  <w:r>
                    <w:rPr>
                      <w:rFonts w:hint="default" w:ascii="Times New Roman" w:hAnsi="Times New Roman" w:cs="Times New Roman" w:eastAsiaTheme="minorEastAsia"/>
                      <w:color w:val="auto"/>
                      <w:spacing w:val="-6"/>
                      <w:sz w:val="21"/>
                      <w:szCs w:val="21"/>
                      <w:highlight w:val="none"/>
                      <w:vertAlign w:val="baseline"/>
                      <w:lang w:eastAsia="zh-CN"/>
                    </w:rPr>
                    <w:t>固化</w:t>
                  </w:r>
                </w:p>
              </w:tc>
              <w:tc>
                <w:tcPr>
                  <w:tcW w:w="3294" w:type="dxa"/>
                  <w:gridSpan w:val="2"/>
                  <w:vAlign w:val="center"/>
                </w:tcPr>
                <w:p w14:paraId="52935EF7">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有机废气、臭气</w:t>
                  </w:r>
                </w:p>
              </w:tc>
              <w:tc>
                <w:tcPr>
                  <w:tcW w:w="3576" w:type="dxa"/>
                  <w:vMerge w:val="continue"/>
                  <w:vAlign w:val="center"/>
                </w:tcPr>
                <w:p w14:paraId="573D50F8">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2D767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4673B0D2">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4E5A1B20">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磨边</w:t>
                  </w:r>
                </w:p>
              </w:tc>
              <w:tc>
                <w:tcPr>
                  <w:tcW w:w="3294" w:type="dxa"/>
                  <w:gridSpan w:val="2"/>
                  <w:vAlign w:val="center"/>
                </w:tcPr>
                <w:p w14:paraId="54E3E76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粉尘</w:t>
                  </w:r>
                </w:p>
              </w:tc>
              <w:tc>
                <w:tcPr>
                  <w:tcW w:w="3576" w:type="dxa"/>
                  <w:vAlign w:val="center"/>
                </w:tcPr>
                <w:p w14:paraId="16800F3F">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湿法打磨，水膜捕集</w:t>
                  </w:r>
                </w:p>
              </w:tc>
            </w:tr>
            <w:tr w14:paraId="27052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restart"/>
                  <w:vAlign w:val="center"/>
                </w:tcPr>
                <w:p w14:paraId="7D3510B8">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固废</w:t>
                  </w:r>
                </w:p>
              </w:tc>
              <w:tc>
                <w:tcPr>
                  <w:tcW w:w="1445" w:type="dxa"/>
                  <w:shd w:val="clear" w:color="auto" w:fill="auto"/>
                  <w:vAlign w:val="center"/>
                </w:tcPr>
                <w:p w14:paraId="19C1CAFE">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val="en-US" w:eastAsia="zh-CN"/>
                    </w:rPr>
                    <w:t>上料、水洗</w:t>
                  </w:r>
                </w:p>
              </w:tc>
              <w:tc>
                <w:tcPr>
                  <w:tcW w:w="3294" w:type="dxa"/>
                  <w:gridSpan w:val="2"/>
                  <w:shd w:val="clear" w:color="auto" w:fill="auto"/>
                  <w:vAlign w:val="center"/>
                </w:tcPr>
                <w:p w14:paraId="0B3D6B3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一般废原料包装</w:t>
                  </w:r>
                </w:p>
              </w:tc>
              <w:tc>
                <w:tcPr>
                  <w:tcW w:w="3576" w:type="dxa"/>
                  <w:vMerge w:val="restart"/>
                  <w:vAlign w:val="center"/>
                </w:tcPr>
                <w:p w14:paraId="01B14AF6">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暂存于一般工业固体废物暂存间，定期交由物资回收单位回收处理</w:t>
                  </w:r>
                </w:p>
              </w:tc>
            </w:tr>
            <w:tr w14:paraId="31F90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22DDBD67">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shd w:val="clear" w:color="auto" w:fill="auto"/>
                  <w:vAlign w:val="center"/>
                </w:tcPr>
                <w:p w14:paraId="41DA567F">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val="en-US" w:eastAsia="zh-CN"/>
                    </w:rPr>
                    <w:t>切割、贴片</w:t>
                  </w:r>
                </w:p>
              </w:tc>
              <w:tc>
                <w:tcPr>
                  <w:tcW w:w="3294" w:type="dxa"/>
                  <w:gridSpan w:val="2"/>
                  <w:shd w:val="clear" w:color="auto" w:fill="auto"/>
                  <w:vAlign w:val="center"/>
                </w:tcPr>
                <w:p w14:paraId="524AEC83">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边角料</w:t>
                  </w:r>
                </w:p>
              </w:tc>
              <w:tc>
                <w:tcPr>
                  <w:tcW w:w="3576" w:type="dxa"/>
                  <w:vMerge w:val="continue"/>
                  <w:vAlign w:val="center"/>
                </w:tcPr>
                <w:p w14:paraId="1E88F86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5A340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43512460">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shd w:val="clear" w:color="auto" w:fill="auto"/>
                  <w:vAlign w:val="center"/>
                </w:tcPr>
                <w:p w14:paraId="228F8C03">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磨边</w:t>
                  </w:r>
                </w:p>
              </w:tc>
              <w:tc>
                <w:tcPr>
                  <w:tcW w:w="3294" w:type="dxa"/>
                  <w:gridSpan w:val="2"/>
                  <w:shd w:val="clear" w:color="auto" w:fill="auto"/>
                  <w:vAlign w:val="center"/>
                </w:tcPr>
                <w:p w14:paraId="0AAFC0C8">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废渣</w:t>
                  </w:r>
                </w:p>
              </w:tc>
              <w:tc>
                <w:tcPr>
                  <w:tcW w:w="3576" w:type="dxa"/>
                  <w:vMerge w:val="continue"/>
                  <w:vAlign w:val="center"/>
                </w:tcPr>
                <w:p w14:paraId="579553F7">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04B2B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571D61AF">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shd w:val="clear" w:color="auto" w:fill="auto"/>
                  <w:vAlign w:val="center"/>
                </w:tcPr>
                <w:p w14:paraId="4ECB4060">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制纯水</w:t>
                  </w:r>
                </w:p>
              </w:tc>
              <w:tc>
                <w:tcPr>
                  <w:tcW w:w="3294" w:type="dxa"/>
                  <w:gridSpan w:val="2"/>
                  <w:shd w:val="clear" w:color="auto" w:fill="auto"/>
                  <w:vAlign w:val="center"/>
                </w:tcPr>
                <w:p w14:paraId="1C0085B2">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纯水制备系统废弃物</w:t>
                  </w:r>
                </w:p>
              </w:tc>
              <w:tc>
                <w:tcPr>
                  <w:tcW w:w="3576" w:type="dxa"/>
                  <w:vMerge w:val="continue"/>
                  <w:vAlign w:val="center"/>
                </w:tcPr>
                <w:p w14:paraId="7960710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3F971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072AE794">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shd w:val="clear" w:color="auto" w:fill="auto"/>
                  <w:vAlign w:val="center"/>
                </w:tcPr>
                <w:p w14:paraId="41FC9B5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灌晶、封口、点胶</w:t>
                  </w:r>
                </w:p>
              </w:tc>
              <w:tc>
                <w:tcPr>
                  <w:tcW w:w="3294" w:type="dxa"/>
                  <w:gridSpan w:val="2"/>
                  <w:shd w:val="clear" w:color="auto" w:fill="auto"/>
                  <w:vAlign w:val="center"/>
                </w:tcPr>
                <w:p w14:paraId="2F6DD49B">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危险性废原料包装</w:t>
                  </w:r>
                </w:p>
              </w:tc>
              <w:tc>
                <w:tcPr>
                  <w:tcW w:w="3576" w:type="dxa"/>
                  <w:vMerge w:val="restart"/>
                  <w:vAlign w:val="center"/>
                </w:tcPr>
                <w:p w14:paraId="5753A2D5">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暂存于危险废物暂存间，定期交由有资质的危废单位处置</w:t>
                  </w:r>
                </w:p>
              </w:tc>
            </w:tr>
            <w:tr w14:paraId="6F4E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12D79B56">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0B19868F">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UV固化</w:t>
                  </w:r>
                </w:p>
              </w:tc>
              <w:tc>
                <w:tcPr>
                  <w:tcW w:w="3294" w:type="dxa"/>
                  <w:gridSpan w:val="2"/>
                  <w:vAlign w:val="center"/>
                </w:tcPr>
                <w:p w14:paraId="761DDAD5">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eastAsia="zh-CN"/>
                    </w:rPr>
                    <w:t>废</w:t>
                  </w:r>
                  <w:r>
                    <w:rPr>
                      <w:rFonts w:hint="default" w:ascii="Times New Roman" w:hAnsi="Times New Roman" w:cs="Times New Roman" w:eastAsiaTheme="minorEastAsia"/>
                      <w:color w:val="auto"/>
                      <w:spacing w:val="-6"/>
                      <w:sz w:val="21"/>
                      <w:szCs w:val="21"/>
                      <w:highlight w:val="none"/>
                      <w:vertAlign w:val="baseline"/>
                      <w:lang w:val="en-US" w:eastAsia="zh-CN"/>
                    </w:rPr>
                    <w:t>UV灯管</w:t>
                  </w:r>
                </w:p>
              </w:tc>
              <w:tc>
                <w:tcPr>
                  <w:tcW w:w="3576" w:type="dxa"/>
                  <w:vMerge w:val="continue"/>
                  <w:vAlign w:val="center"/>
                </w:tcPr>
                <w:p w14:paraId="0EC01308">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0689C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429CD55A">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02777778">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设备维修</w:t>
                  </w:r>
                </w:p>
              </w:tc>
              <w:tc>
                <w:tcPr>
                  <w:tcW w:w="3294" w:type="dxa"/>
                  <w:gridSpan w:val="2"/>
                  <w:vAlign w:val="center"/>
                </w:tcPr>
                <w:p w14:paraId="31DED4A9">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废含油抹布手套、废机油</w:t>
                  </w:r>
                </w:p>
              </w:tc>
              <w:tc>
                <w:tcPr>
                  <w:tcW w:w="3576" w:type="dxa"/>
                  <w:vMerge w:val="continue"/>
                  <w:vAlign w:val="center"/>
                </w:tcPr>
                <w:p w14:paraId="36E55B87">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0D23E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7FB6BB93">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vAlign w:val="center"/>
                </w:tcPr>
                <w:p w14:paraId="7AF8B1A0">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val="en-US" w:eastAsia="zh-CN"/>
                    </w:rPr>
                  </w:pPr>
                  <w:r>
                    <w:rPr>
                      <w:rFonts w:hint="default" w:ascii="Times New Roman" w:hAnsi="Times New Roman" w:cs="Times New Roman" w:eastAsiaTheme="minorEastAsia"/>
                      <w:color w:val="auto"/>
                      <w:spacing w:val="-6"/>
                      <w:sz w:val="21"/>
                      <w:szCs w:val="21"/>
                      <w:highlight w:val="none"/>
                      <w:vertAlign w:val="baseline"/>
                      <w:lang w:val="en-US" w:eastAsia="zh-CN"/>
                    </w:rPr>
                    <w:t>废气治理</w:t>
                  </w:r>
                </w:p>
              </w:tc>
              <w:tc>
                <w:tcPr>
                  <w:tcW w:w="3294" w:type="dxa"/>
                  <w:gridSpan w:val="2"/>
                  <w:vAlign w:val="center"/>
                </w:tcPr>
                <w:p w14:paraId="2436BD0A">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r>
                    <w:rPr>
                      <w:rFonts w:hint="default" w:ascii="Times New Roman" w:hAnsi="Times New Roman" w:cs="Times New Roman" w:eastAsiaTheme="minorEastAsia"/>
                      <w:color w:val="auto"/>
                      <w:spacing w:val="-6"/>
                      <w:sz w:val="21"/>
                      <w:szCs w:val="21"/>
                      <w:highlight w:val="none"/>
                      <w:vertAlign w:val="baseline"/>
                      <w:lang w:eastAsia="zh-CN"/>
                    </w:rPr>
                    <w:t>废活性炭</w:t>
                  </w:r>
                </w:p>
              </w:tc>
              <w:tc>
                <w:tcPr>
                  <w:tcW w:w="3576" w:type="dxa"/>
                  <w:vMerge w:val="continue"/>
                  <w:vAlign w:val="center"/>
                </w:tcPr>
                <w:p w14:paraId="227548F1">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r>
            <w:tr w14:paraId="3C925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dxa"/>
                  <w:vMerge w:val="continue"/>
                  <w:vAlign w:val="center"/>
                </w:tcPr>
                <w:p w14:paraId="7E8039B2">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sz w:val="21"/>
                      <w:szCs w:val="21"/>
                      <w:highlight w:val="none"/>
                      <w:vertAlign w:val="baseline"/>
                      <w:lang w:eastAsia="zh-CN"/>
                    </w:rPr>
                  </w:pPr>
                </w:p>
              </w:tc>
              <w:tc>
                <w:tcPr>
                  <w:tcW w:w="1445" w:type="dxa"/>
                  <w:shd w:val="clear" w:color="auto" w:fill="auto"/>
                  <w:vAlign w:val="center"/>
                </w:tcPr>
                <w:p w14:paraId="1E1D2835">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测试电源、电检、测试等</w:t>
                  </w:r>
                </w:p>
              </w:tc>
              <w:tc>
                <w:tcPr>
                  <w:tcW w:w="3294" w:type="dxa"/>
                  <w:gridSpan w:val="2"/>
                  <w:shd w:val="clear" w:color="auto" w:fill="auto"/>
                  <w:vAlign w:val="center"/>
                </w:tcPr>
                <w:p w14:paraId="680F5852">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不合格品</w:t>
                  </w:r>
                </w:p>
              </w:tc>
              <w:tc>
                <w:tcPr>
                  <w:tcW w:w="3576" w:type="dxa"/>
                  <w:shd w:val="clear" w:color="auto" w:fill="auto"/>
                  <w:vAlign w:val="center"/>
                </w:tcPr>
                <w:p w14:paraId="663C547D">
                  <w:pPr>
                    <w:tabs>
                      <w:tab w:val="left" w:pos="2040"/>
                      <w:tab w:val="left" w:pos="3435"/>
                      <w:tab w:val="left" w:pos="4830"/>
                    </w:tabs>
                    <w:spacing w:line="240" w:lineRule="auto"/>
                    <w:jc w:val="center"/>
                    <w:rPr>
                      <w:rFonts w:hint="default" w:ascii="Times New Roman" w:hAnsi="Times New Roman" w:cs="Times New Roman" w:eastAsiaTheme="minorEastAsia"/>
                      <w:color w:val="auto"/>
                      <w:spacing w:val="-6"/>
                      <w:kern w:val="2"/>
                      <w:sz w:val="21"/>
                      <w:szCs w:val="21"/>
                      <w:highlight w:val="none"/>
                      <w:vertAlign w:val="baseline"/>
                      <w:lang w:val="en-US" w:eastAsia="zh-CN" w:bidi="ar-SA"/>
                    </w:rPr>
                  </w:pPr>
                  <w:r>
                    <w:rPr>
                      <w:rFonts w:hint="default" w:ascii="Times New Roman" w:hAnsi="Times New Roman" w:cs="Times New Roman" w:eastAsiaTheme="minorEastAsia"/>
                      <w:color w:val="auto"/>
                      <w:spacing w:val="-6"/>
                      <w:sz w:val="21"/>
                      <w:szCs w:val="21"/>
                      <w:highlight w:val="none"/>
                      <w:vertAlign w:val="baseline"/>
                      <w:lang w:eastAsia="zh-CN"/>
                    </w:rPr>
                    <w:t>由专业的废背光源</w:t>
                  </w:r>
                  <w:r>
                    <w:rPr>
                      <w:rFonts w:hint="default" w:ascii="Times New Roman" w:hAnsi="Times New Roman" w:cs="Times New Roman" w:eastAsiaTheme="minorEastAsia"/>
                      <w:color w:val="auto"/>
                      <w:spacing w:val="-6"/>
                      <w:sz w:val="21"/>
                      <w:szCs w:val="21"/>
                      <w:highlight w:val="none"/>
                      <w:vertAlign w:val="baseline"/>
                      <w:lang w:val="en-US" w:eastAsia="zh-CN"/>
                    </w:rPr>
                    <w:t>/废液晶显示屏</w:t>
                  </w:r>
                  <w:r>
                    <w:rPr>
                      <w:rFonts w:hint="default" w:ascii="Times New Roman" w:hAnsi="Times New Roman" w:cs="Times New Roman" w:eastAsiaTheme="minorEastAsia"/>
                      <w:color w:val="auto"/>
                      <w:spacing w:val="-6"/>
                      <w:sz w:val="21"/>
                      <w:szCs w:val="21"/>
                      <w:highlight w:val="none"/>
                      <w:vertAlign w:val="baseline"/>
                      <w:lang w:eastAsia="zh-CN"/>
                    </w:rPr>
                    <w:t>回收公司进行回收处理</w:t>
                  </w:r>
                </w:p>
              </w:tc>
            </w:tr>
          </w:tbl>
          <w:p w14:paraId="400DC432">
            <w:pPr>
              <w:rPr>
                <w:rFonts w:hint="default"/>
                <w:color w:val="auto"/>
              </w:rPr>
            </w:pPr>
          </w:p>
        </w:tc>
      </w:tr>
      <w:tr w14:paraId="581353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45" w:hRule="atLeast"/>
          <w:jc w:val="center"/>
        </w:trPr>
        <w:tc>
          <w:tcPr>
            <w:tcW w:w="210" w:type="pct"/>
            <w:vAlign w:val="center"/>
          </w:tcPr>
          <w:p w14:paraId="55A7CFF3">
            <w:pPr>
              <w:pStyle w:val="35"/>
              <w:adjustRightInd w:val="0"/>
              <w:snapToGrid w:val="0"/>
              <w:spacing w:before="0" w:beforeAutospacing="0" w:after="0" w:afterAutospacing="0"/>
              <w:jc w:val="center"/>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与项目有关的原有环境污染问题</w:t>
            </w:r>
          </w:p>
        </w:tc>
        <w:tc>
          <w:tcPr>
            <w:tcW w:w="4789" w:type="pct"/>
            <w:vAlign w:val="center"/>
          </w:tcPr>
          <w:p w14:paraId="061A41C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无</w:t>
            </w:r>
          </w:p>
        </w:tc>
      </w:tr>
    </w:tbl>
    <w:p w14:paraId="2F6500F1">
      <w:pPr>
        <w:pStyle w:val="35"/>
        <w:jc w:val="center"/>
        <w:rPr>
          <w:rFonts w:hint="default" w:ascii="Times New Roman" w:hAnsi="Times New Roman" w:eastAsia="黑体" w:cs="Times New Roman"/>
          <w:snapToGrid w:val="0"/>
          <w:color w:val="auto"/>
          <w:sz w:val="36"/>
          <w:szCs w:val="36"/>
          <w:highlight w:val="none"/>
        </w:rPr>
        <w:sectPr>
          <w:pgSz w:w="11906" w:h="16838"/>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p w14:paraId="1EF5CC92">
      <w:pPr>
        <w:pStyle w:val="7"/>
        <w:rPr>
          <w:rFonts w:hint="default" w:ascii="Times New Roman" w:hAnsi="Times New Roman" w:cs="Times New Roman"/>
          <w:snapToGrid w:val="0"/>
          <w:color w:val="auto"/>
          <w:highlight w:val="none"/>
        </w:rPr>
      </w:pPr>
      <w:bookmarkStart w:id="11" w:name="_Toc16223"/>
      <w:r>
        <w:rPr>
          <w:rFonts w:hint="default" w:ascii="Times New Roman" w:hAnsi="Times New Roman" w:cs="Times New Roman"/>
          <w:snapToGrid w:val="0"/>
          <w:color w:val="auto"/>
          <w:highlight w:val="none"/>
        </w:rPr>
        <w:t>三、区域环境质量现状、环境保护目标及评价标准</w:t>
      </w:r>
      <w:bookmarkEnd w:id="11"/>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8"/>
        <w:gridCol w:w="8449"/>
      </w:tblGrid>
      <w:tr w14:paraId="73959F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51" w:type="pct"/>
            <w:vAlign w:val="center"/>
          </w:tcPr>
          <w:p w14:paraId="3FE2AC2E">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区域</w:t>
            </w:r>
          </w:p>
          <w:p w14:paraId="5C474799">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7B3D9969">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质量</w:t>
            </w:r>
          </w:p>
          <w:p w14:paraId="459C242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现状</w:t>
            </w:r>
          </w:p>
        </w:tc>
        <w:tc>
          <w:tcPr>
            <w:tcW w:w="4548" w:type="pct"/>
            <w:vAlign w:val="center"/>
          </w:tcPr>
          <w:p w14:paraId="6A5FE5AC">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1、地表水环境质量现状</w:t>
            </w:r>
          </w:p>
          <w:p w14:paraId="13C5C6F9">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根据《广东省地表水环境功能区划》（粤环</w:t>
            </w:r>
            <w:r>
              <w:rPr>
                <w:rFonts w:hint="default" w:ascii="Times New Roman" w:hAnsi="Times New Roman" w:cs="Times New Roman"/>
                <w:color w:val="auto"/>
                <w:sz w:val="24"/>
                <w:szCs w:val="24"/>
                <w:highlight w:val="none"/>
                <w:lang w:eastAsia="zh-CN"/>
              </w:rPr>
              <w:t>〔2011〕14号</w:t>
            </w:r>
            <w:r>
              <w:rPr>
                <w:rFonts w:hint="default" w:ascii="Times New Roman" w:hAnsi="Times New Roman" w:cs="Times New Roman"/>
                <w:color w:val="auto"/>
                <w:sz w:val="24"/>
                <w:szCs w:val="24"/>
                <w:highlight w:val="none"/>
              </w:rPr>
              <w:t>），本项目所在区域主要地表水及纳污水体为武江（乐昌城-犁市），为</w:t>
            </w:r>
            <w:r>
              <w:rPr>
                <w:rFonts w:hint="default" w:ascii="Times New Roman" w:hAnsi="Times New Roman" w:cs="Times New Roman"/>
                <w:color w:val="auto"/>
                <w:sz w:val="24"/>
                <w:szCs w:val="24"/>
                <w:highlight w:val="none"/>
                <w:lang w:eastAsia="zh-CN"/>
              </w:rPr>
              <w:t>Ⅲ</w:t>
            </w:r>
            <w:r>
              <w:rPr>
                <w:rFonts w:hint="default" w:ascii="Times New Roman" w:hAnsi="Times New Roman" w:cs="Times New Roman"/>
                <w:color w:val="auto"/>
                <w:sz w:val="24"/>
                <w:szCs w:val="24"/>
                <w:highlight w:val="none"/>
              </w:rPr>
              <w:t>类水质功能区，执行《地表水环境质量标准》（GB3838-2002）中的</w:t>
            </w:r>
            <w:r>
              <w:rPr>
                <w:rFonts w:hint="default" w:ascii="Times New Roman" w:hAnsi="Times New Roman" w:cs="Times New Roman"/>
                <w:color w:val="auto"/>
                <w:sz w:val="24"/>
                <w:szCs w:val="24"/>
                <w:highlight w:val="none"/>
                <w:lang w:eastAsia="zh-CN"/>
              </w:rPr>
              <w:t>Ⅲ</w:t>
            </w:r>
            <w:r>
              <w:rPr>
                <w:rFonts w:hint="default" w:ascii="Times New Roman" w:hAnsi="Times New Roman" w:cs="Times New Roman"/>
                <w:color w:val="auto"/>
                <w:sz w:val="24"/>
                <w:szCs w:val="24"/>
                <w:highlight w:val="none"/>
              </w:rPr>
              <w:t>类标准。</w:t>
            </w:r>
          </w:p>
          <w:p w14:paraId="11A14D72">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根据《韶关市生态环境状况公报》</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，2024年，韶关市11条主要江河（北江、武江、浈江、南水河、墨江、锦江、马坝河、滃江、新丰江、横石水和大潭河）34个市考以上手工监测断面水质优良率为100%，与2023年持平</w:t>
            </w:r>
            <w:r>
              <w:rPr>
                <w:rFonts w:hint="default" w:ascii="Times New Roman" w:hAnsi="Times New Roman" w:cs="Times New Roman"/>
                <w:color w:val="auto"/>
                <w:sz w:val="24"/>
                <w:szCs w:val="24"/>
                <w:highlight w:val="none"/>
                <w:lang w:eastAsia="zh-CN"/>
              </w:rPr>
              <w:t>，其中Ⅰ类比例为2.9%、Ⅱ类比例为88.2%、Ⅲ类比例为8.8%。</w:t>
            </w:r>
            <w:r>
              <w:rPr>
                <w:rFonts w:hint="default" w:ascii="Times New Roman" w:hAnsi="Times New Roman" w:cs="Times New Roman"/>
                <w:color w:val="auto"/>
                <w:sz w:val="24"/>
                <w:szCs w:val="24"/>
                <w:highlight w:val="none"/>
              </w:rPr>
              <w:t>故项目所在地地表水环境质量现状良好。</w:t>
            </w:r>
          </w:p>
          <w:p w14:paraId="7266A92F">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2、环境空气质量现状</w:t>
            </w:r>
          </w:p>
          <w:p w14:paraId="07790891">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（1）项目所在区域达标判定</w:t>
            </w:r>
          </w:p>
          <w:p w14:paraId="652E43CE">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根据《韶关市生态环境保护战略规划（2020-2035）》，本项目选址周围空气环境质量功能区划为二类功能区，因此项目所在区域环境空气质量执行国家《环境空气质量标准》（GB3095-20</w:t>
            </w:r>
            <w:r>
              <w:rPr>
                <w:rFonts w:hint="default" w:ascii="Times New Roman" w:hAnsi="Times New Roman"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过渡阶段浓度限值的</w:t>
            </w:r>
            <w:r>
              <w:rPr>
                <w:rFonts w:hint="default" w:ascii="Times New Roman" w:hAnsi="Times New Roman" w:eastAsia="宋体" w:cs="Times New Roman"/>
                <w:color w:val="auto"/>
                <w:sz w:val="24"/>
                <w:szCs w:val="24"/>
                <w:highlight w:val="none"/>
              </w:rPr>
              <w:t>二级标准。</w:t>
            </w:r>
          </w:p>
          <w:p w14:paraId="1BA117A5">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由《韶关市生态环境状况公报（2024年）》可知，2024年乐昌市环境空气质量各项指标均符合国家《环境空气质量标准》（GB3095-20</w:t>
            </w:r>
            <w:r>
              <w:rPr>
                <w:rFonts w:hint="default" w:ascii="Times New Roman" w:hAnsi="Times New Roman"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过渡阶段浓度限值的</w:t>
            </w:r>
            <w:r>
              <w:rPr>
                <w:rFonts w:hint="default" w:ascii="Times New Roman" w:hAnsi="Times New Roman" w:eastAsia="宋体" w:cs="Times New Roman"/>
                <w:color w:val="auto"/>
                <w:sz w:val="24"/>
                <w:szCs w:val="24"/>
                <w:highlight w:val="none"/>
              </w:rPr>
              <w:t>二级标准，故项目所在地环境空气质量现状较好。</w:t>
            </w:r>
          </w:p>
          <w:p w14:paraId="6D9290E7">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bookmarkStart w:id="12" w:name="_Toc26003"/>
            <w:bookmarkStart w:id="13" w:name="_Toc944"/>
            <w:bookmarkStart w:id="14" w:name="_Toc19677"/>
            <w:r>
              <w:rPr>
                <w:rFonts w:hint="default" w:ascii="Times New Roman" w:hAnsi="Times New Roman" w:cs="Times New Roman"/>
                <w:b/>
                <w:bCs/>
                <w:color w:val="auto"/>
                <w:sz w:val="21"/>
                <w:szCs w:val="21"/>
                <w:highlight w:val="none"/>
                <w:lang w:val="en-US" w:eastAsia="zh-CN"/>
              </w:rPr>
              <w:t xml:space="preserve"> 乐昌市2024年</w:t>
            </w:r>
            <w:r>
              <w:rPr>
                <w:rFonts w:hint="default" w:ascii="Times New Roman" w:hAnsi="Times New Roman" w:eastAsia="宋体" w:cs="Times New Roman"/>
                <w:b/>
                <w:bCs/>
                <w:color w:val="auto"/>
                <w:sz w:val="21"/>
                <w:szCs w:val="21"/>
                <w:highlight w:val="none"/>
                <w:lang w:val="en-US" w:eastAsia="zh-CN"/>
              </w:rPr>
              <w:t>环境空气质量状况</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val="0"/>
                <w:bCs w:val="0"/>
                <w:color w:val="auto"/>
                <w:sz w:val="21"/>
                <w:szCs w:val="21"/>
                <w:highlight w:val="none"/>
                <w:lang w:val="en-US" w:eastAsia="zh-CN"/>
              </w:rPr>
              <w:t>单位：</w:t>
            </w:r>
            <w:r>
              <w:rPr>
                <w:rFonts w:hint="default" w:ascii="Times New Roman" w:hAnsi="Times New Roman" w:eastAsia="宋体" w:cs="Times New Roman"/>
                <w:b w:val="0"/>
                <w:bCs w:val="0"/>
                <w:color w:val="auto"/>
                <w:sz w:val="21"/>
                <w:szCs w:val="21"/>
                <w:highlight w:val="none"/>
                <w:lang w:val="en-US" w:eastAsia="zh-CN"/>
              </w:rPr>
              <w:t>μ</w:t>
            </w:r>
            <w:r>
              <w:rPr>
                <w:rFonts w:hint="default" w:ascii="Times New Roman" w:hAnsi="Times New Roman" w:eastAsia="宋体" w:cs="Times New Roman"/>
                <w:b w:val="0"/>
                <w:bCs w:val="0"/>
                <w:color w:val="auto"/>
                <w:sz w:val="21"/>
                <w:szCs w:val="21"/>
                <w:highlight w:val="none"/>
              </w:rPr>
              <w:t>g/m</w:t>
            </w:r>
            <w:r>
              <w:rPr>
                <w:rFonts w:hint="default" w:ascii="Times New Roman" w:hAnsi="Times New Roman" w:eastAsia="宋体" w:cs="Times New Roman"/>
                <w:b w:val="0"/>
                <w:bCs w:val="0"/>
                <w:color w:val="auto"/>
                <w:sz w:val="21"/>
                <w:szCs w:val="21"/>
                <w:highlight w:val="none"/>
                <w:vertAlign w:val="superscript"/>
                <w:lang w:val="en-US" w:eastAsia="zh-CN"/>
              </w:rPr>
              <w:t>3</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1"/>
              <w:gridCol w:w="1314"/>
              <w:gridCol w:w="2335"/>
              <w:gridCol w:w="1645"/>
              <w:gridCol w:w="1645"/>
            </w:tblGrid>
            <w:tr w14:paraId="45B6E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Align w:val="center"/>
                </w:tcPr>
                <w:p w14:paraId="42B63CAE">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类别</w:t>
                  </w:r>
                </w:p>
              </w:tc>
              <w:tc>
                <w:tcPr>
                  <w:tcW w:w="799" w:type="pct"/>
                  <w:vAlign w:val="center"/>
                </w:tcPr>
                <w:p w14:paraId="40B7B47B">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监测项目</w:t>
                  </w:r>
                </w:p>
              </w:tc>
              <w:tc>
                <w:tcPr>
                  <w:tcW w:w="1420" w:type="pct"/>
                  <w:vAlign w:val="center"/>
                </w:tcPr>
                <w:p w14:paraId="16267F80">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现状浓度</w:t>
                  </w:r>
                </w:p>
              </w:tc>
              <w:tc>
                <w:tcPr>
                  <w:tcW w:w="1000" w:type="pct"/>
                  <w:vAlign w:val="center"/>
                </w:tcPr>
                <w:p w14:paraId="513982DF">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标准值</w:t>
                  </w:r>
                </w:p>
              </w:tc>
              <w:tc>
                <w:tcPr>
                  <w:tcW w:w="1000" w:type="pct"/>
                  <w:vAlign w:val="center"/>
                </w:tcPr>
                <w:p w14:paraId="321BBB1F">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是否达标</w:t>
                  </w:r>
                </w:p>
              </w:tc>
            </w:tr>
            <w:tr w14:paraId="7E1D4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restart"/>
                  <w:vAlign w:val="center"/>
                </w:tcPr>
                <w:p w14:paraId="0C87D3C4">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年均浓度</w:t>
                  </w:r>
                </w:p>
              </w:tc>
              <w:tc>
                <w:tcPr>
                  <w:tcW w:w="799" w:type="pct"/>
                  <w:vAlign w:val="center"/>
                </w:tcPr>
                <w:p w14:paraId="7AF535C0">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SO</w:t>
                  </w:r>
                  <w:r>
                    <w:rPr>
                      <w:rFonts w:hint="default" w:ascii="Times New Roman" w:hAnsi="Times New Roman" w:cs="Times New Roman"/>
                      <w:b w:val="0"/>
                      <w:bCs/>
                      <w:color w:val="auto"/>
                      <w:highlight w:val="none"/>
                      <w:vertAlign w:val="subscript"/>
                    </w:rPr>
                    <w:t>2</w:t>
                  </w:r>
                </w:p>
              </w:tc>
              <w:tc>
                <w:tcPr>
                  <w:tcW w:w="1420" w:type="pct"/>
                  <w:vAlign w:val="center"/>
                </w:tcPr>
                <w:p w14:paraId="12DAE924">
                  <w:pPr>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6</w:t>
                  </w:r>
                </w:p>
              </w:tc>
              <w:tc>
                <w:tcPr>
                  <w:tcW w:w="1000" w:type="pct"/>
                  <w:vAlign w:val="center"/>
                </w:tcPr>
                <w:p w14:paraId="202003D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000" w:type="pct"/>
                  <w:vAlign w:val="center"/>
                </w:tcPr>
                <w:p w14:paraId="03C0973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E920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continue"/>
                  <w:vAlign w:val="center"/>
                </w:tcPr>
                <w:p w14:paraId="579AD893">
                  <w:pPr>
                    <w:jc w:val="center"/>
                    <w:rPr>
                      <w:rFonts w:hint="default" w:ascii="Times New Roman" w:hAnsi="Times New Roman" w:cs="Times New Roman"/>
                      <w:b w:val="0"/>
                      <w:bCs/>
                      <w:color w:val="auto"/>
                      <w:highlight w:val="none"/>
                    </w:rPr>
                  </w:pPr>
                </w:p>
              </w:tc>
              <w:tc>
                <w:tcPr>
                  <w:tcW w:w="799" w:type="pct"/>
                  <w:vAlign w:val="center"/>
                </w:tcPr>
                <w:p w14:paraId="0CF4859D">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kern w:val="0"/>
                      <w:szCs w:val="21"/>
                      <w:highlight w:val="none"/>
                    </w:rPr>
                    <w:t>NO</w:t>
                  </w:r>
                  <w:r>
                    <w:rPr>
                      <w:rFonts w:hint="default" w:ascii="Times New Roman" w:hAnsi="Times New Roman" w:cs="Times New Roman"/>
                      <w:b w:val="0"/>
                      <w:bCs/>
                      <w:color w:val="auto"/>
                      <w:kern w:val="0"/>
                      <w:szCs w:val="21"/>
                      <w:highlight w:val="none"/>
                      <w:vertAlign w:val="subscript"/>
                    </w:rPr>
                    <w:t>2</w:t>
                  </w:r>
                </w:p>
              </w:tc>
              <w:tc>
                <w:tcPr>
                  <w:tcW w:w="1420" w:type="pct"/>
                  <w:vAlign w:val="center"/>
                </w:tcPr>
                <w:p w14:paraId="0348B424">
                  <w:pPr>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p>
              </w:tc>
              <w:tc>
                <w:tcPr>
                  <w:tcW w:w="1000" w:type="pct"/>
                  <w:vAlign w:val="center"/>
                </w:tcPr>
                <w:p w14:paraId="2AECEE4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000" w:type="pct"/>
                  <w:vAlign w:val="center"/>
                </w:tcPr>
                <w:p w14:paraId="5D154B8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8142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continue"/>
                  <w:vAlign w:val="center"/>
                </w:tcPr>
                <w:p w14:paraId="3F1E812E">
                  <w:pPr>
                    <w:jc w:val="center"/>
                    <w:rPr>
                      <w:rFonts w:hint="default" w:ascii="Times New Roman" w:hAnsi="Times New Roman" w:cs="Times New Roman"/>
                      <w:b w:val="0"/>
                      <w:bCs/>
                      <w:color w:val="auto"/>
                      <w:highlight w:val="none"/>
                    </w:rPr>
                  </w:pPr>
                </w:p>
              </w:tc>
              <w:tc>
                <w:tcPr>
                  <w:tcW w:w="799" w:type="pct"/>
                  <w:vAlign w:val="center"/>
                </w:tcPr>
                <w:p w14:paraId="77876D23">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kern w:val="0"/>
                      <w:szCs w:val="21"/>
                      <w:highlight w:val="none"/>
                    </w:rPr>
                    <w:t>PM</w:t>
                  </w:r>
                  <w:r>
                    <w:rPr>
                      <w:rFonts w:hint="default" w:ascii="Times New Roman" w:hAnsi="Times New Roman" w:cs="Times New Roman"/>
                      <w:b w:val="0"/>
                      <w:bCs/>
                      <w:color w:val="auto"/>
                      <w:kern w:val="0"/>
                      <w:szCs w:val="21"/>
                      <w:highlight w:val="none"/>
                      <w:vertAlign w:val="subscript"/>
                    </w:rPr>
                    <w:t>2.5</w:t>
                  </w:r>
                </w:p>
              </w:tc>
              <w:tc>
                <w:tcPr>
                  <w:tcW w:w="1420" w:type="pct"/>
                  <w:vAlign w:val="center"/>
                </w:tcPr>
                <w:p w14:paraId="7B80ACB4">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1000" w:type="pct"/>
                  <w:vAlign w:val="center"/>
                </w:tcPr>
                <w:p w14:paraId="7E73282E">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000" w:type="pct"/>
                  <w:vAlign w:val="center"/>
                </w:tcPr>
                <w:p w14:paraId="13DD1DC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53B4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continue"/>
                  <w:vAlign w:val="center"/>
                </w:tcPr>
                <w:p w14:paraId="12E12FA2">
                  <w:pPr>
                    <w:jc w:val="center"/>
                    <w:rPr>
                      <w:rFonts w:hint="default" w:ascii="Times New Roman" w:hAnsi="Times New Roman" w:cs="Times New Roman"/>
                      <w:b w:val="0"/>
                      <w:bCs/>
                      <w:color w:val="auto"/>
                      <w:highlight w:val="none"/>
                    </w:rPr>
                  </w:pPr>
                </w:p>
              </w:tc>
              <w:tc>
                <w:tcPr>
                  <w:tcW w:w="799" w:type="pct"/>
                  <w:vAlign w:val="center"/>
                </w:tcPr>
                <w:p w14:paraId="7EB4C50D">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kern w:val="0"/>
                      <w:szCs w:val="21"/>
                      <w:highlight w:val="none"/>
                    </w:rPr>
                    <w:t>PM</w:t>
                  </w:r>
                  <w:r>
                    <w:rPr>
                      <w:rFonts w:hint="default" w:ascii="Times New Roman" w:hAnsi="Times New Roman" w:cs="Times New Roman"/>
                      <w:b w:val="0"/>
                      <w:bCs/>
                      <w:color w:val="auto"/>
                      <w:kern w:val="0"/>
                      <w:szCs w:val="21"/>
                      <w:highlight w:val="none"/>
                      <w:vertAlign w:val="subscript"/>
                    </w:rPr>
                    <w:t>10</w:t>
                  </w:r>
                </w:p>
              </w:tc>
              <w:tc>
                <w:tcPr>
                  <w:tcW w:w="1420" w:type="pct"/>
                  <w:vAlign w:val="center"/>
                </w:tcPr>
                <w:p w14:paraId="36D4E43E">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31</w:t>
                  </w:r>
                </w:p>
              </w:tc>
              <w:tc>
                <w:tcPr>
                  <w:tcW w:w="1000" w:type="pct"/>
                  <w:vAlign w:val="center"/>
                </w:tcPr>
                <w:p w14:paraId="4219EC88">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1000" w:type="pct"/>
                  <w:vAlign w:val="center"/>
                </w:tcPr>
                <w:p w14:paraId="56B4275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B2B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restart"/>
                  <w:vAlign w:val="center"/>
                </w:tcPr>
                <w:p w14:paraId="3DAFB185">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日均浓度</w:t>
                  </w:r>
                </w:p>
              </w:tc>
              <w:tc>
                <w:tcPr>
                  <w:tcW w:w="799" w:type="pct"/>
                  <w:vAlign w:val="center"/>
                </w:tcPr>
                <w:p w14:paraId="0B294EDD">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kern w:val="0"/>
                      <w:szCs w:val="21"/>
                      <w:highlight w:val="none"/>
                    </w:rPr>
                    <w:t>CO</w:t>
                  </w:r>
                </w:p>
              </w:tc>
              <w:tc>
                <w:tcPr>
                  <w:tcW w:w="1420" w:type="pct"/>
                  <w:vAlign w:val="center"/>
                </w:tcPr>
                <w:p w14:paraId="132C8E8B">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lang w:val="en-US" w:eastAsia="zh-CN"/>
                    </w:rPr>
                    <w:t>1.0</w:t>
                  </w: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（日均值第95百分位数）</w:t>
                  </w:r>
                </w:p>
              </w:tc>
              <w:tc>
                <w:tcPr>
                  <w:tcW w:w="1000" w:type="pct"/>
                  <w:vAlign w:val="center"/>
                </w:tcPr>
                <w:p w14:paraId="38A42084">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4mg/m</w:t>
                  </w:r>
                  <w:r>
                    <w:rPr>
                      <w:rFonts w:hint="default" w:ascii="Times New Roman" w:hAnsi="Times New Roman" w:cs="Times New Roman"/>
                      <w:color w:val="auto"/>
                      <w:kern w:val="0"/>
                      <w:szCs w:val="21"/>
                      <w:highlight w:val="none"/>
                      <w:vertAlign w:val="superscript"/>
                    </w:rPr>
                    <w:t>3</w:t>
                  </w:r>
                </w:p>
              </w:tc>
              <w:tc>
                <w:tcPr>
                  <w:tcW w:w="1000" w:type="pct"/>
                  <w:vAlign w:val="center"/>
                </w:tcPr>
                <w:p w14:paraId="0AE9F74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BB18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Merge w:val="continue"/>
                  <w:vAlign w:val="center"/>
                </w:tcPr>
                <w:p w14:paraId="58B3738C">
                  <w:pPr>
                    <w:jc w:val="center"/>
                    <w:rPr>
                      <w:rFonts w:hint="default" w:ascii="Times New Roman" w:hAnsi="Times New Roman" w:cs="Times New Roman"/>
                      <w:b w:val="0"/>
                      <w:bCs/>
                      <w:color w:val="auto"/>
                      <w:highlight w:val="none"/>
                    </w:rPr>
                  </w:pPr>
                </w:p>
              </w:tc>
              <w:tc>
                <w:tcPr>
                  <w:tcW w:w="799" w:type="pct"/>
                  <w:vAlign w:val="center"/>
                </w:tcPr>
                <w:p w14:paraId="6780F9AC">
                  <w:pPr>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kern w:val="0"/>
                      <w:szCs w:val="21"/>
                      <w:highlight w:val="none"/>
                    </w:rPr>
                    <w:t>O</w:t>
                  </w:r>
                  <w:r>
                    <w:rPr>
                      <w:rFonts w:hint="default" w:ascii="Times New Roman" w:hAnsi="Times New Roman" w:cs="Times New Roman"/>
                      <w:b w:val="0"/>
                      <w:bCs/>
                      <w:color w:val="auto"/>
                      <w:kern w:val="0"/>
                      <w:szCs w:val="21"/>
                      <w:highlight w:val="none"/>
                      <w:vertAlign w:val="subscript"/>
                    </w:rPr>
                    <w:t>3</w:t>
                  </w:r>
                </w:p>
              </w:tc>
              <w:tc>
                <w:tcPr>
                  <w:tcW w:w="1420" w:type="pct"/>
                  <w:vAlign w:val="center"/>
                </w:tcPr>
                <w:p w14:paraId="0274C954">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lang w:val="en-US" w:eastAsia="zh-CN"/>
                    </w:rPr>
                    <w:t>108</w:t>
                  </w:r>
                  <w:r>
                    <w:rPr>
                      <w:rFonts w:hint="default" w:ascii="Times New Roman" w:hAnsi="Times New Roman" w:cs="Times New Roman"/>
                      <w:color w:val="auto"/>
                      <w:kern w:val="0"/>
                      <w:szCs w:val="21"/>
                      <w:highlight w:val="none"/>
                    </w:rPr>
                    <w:t>最大8小时平均第90百分位数）</w:t>
                  </w:r>
                </w:p>
              </w:tc>
              <w:tc>
                <w:tcPr>
                  <w:tcW w:w="1000" w:type="pct"/>
                  <w:vAlign w:val="center"/>
                </w:tcPr>
                <w:p w14:paraId="188320B8">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160</w:t>
                  </w:r>
                </w:p>
              </w:tc>
              <w:tc>
                <w:tcPr>
                  <w:tcW w:w="1000" w:type="pct"/>
                  <w:vAlign w:val="center"/>
                </w:tcPr>
                <w:p w14:paraId="3412943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09412D65">
            <w:pPr>
              <w:keepNext w:val="0"/>
              <w:keepLines w:val="0"/>
              <w:pageBreakBefore w:val="0"/>
              <w:widowControl w:val="0"/>
              <w:numPr>
                <w:ilvl w:val="0"/>
                <w:numId w:val="0"/>
              </w:numPr>
              <w:tabs>
                <w:tab w:val="left" w:pos="0"/>
              </w:tabs>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p>
          <w:bookmarkEnd w:id="12"/>
          <w:bookmarkEnd w:id="13"/>
          <w:bookmarkEnd w:id="14"/>
          <w:p w14:paraId="14B5FAFF">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（2）特征因子补充监测</w:t>
            </w:r>
          </w:p>
          <w:p w14:paraId="7AC75AA7">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根据《建设项目环境影响报告表编制技术指南（污染影响类）</w:t>
            </w:r>
            <w:r>
              <w:rPr>
                <w:rFonts w:hint="default" w:ascii="Times New Roman" w:hAnsi="Times New Roman" w:cs="Times New Roman"/>
                <w:color w:val="auto"/>
                <w:sz w:val="24"/>
                <w:szCs w:val="24"/>
                <w:highlight w:val="none"/>
                <w:lang w:eastAsia="zh-CN"/>
              </w:rPr>
              <w:t>（试行）》</w:t>
            </w:r>
            <w:r>
              <w:rPr>
                <w:rFonts w:hint="default" w:ascii="Times New Roman" w:hAnsi="Times New Roman" w:eastAsia="宋体" w:cs="Times New Roman"/>
                <w:color w:val="auto"/>
                <w:sz w:val="24"/>
                <w:szCs w:val="24"/>
                <w:highlight w:val="none"/>
              </w:rPr>
              <w:t>：排放国家、地方环境空气质量标准中有标准限值要求的特征污染物时，引用建设项目周边5千米范围内近3年的现有监测数据。</w:t>
            </w:r>
          </w:p>
          <w:p w14:paraId="6E4E7E8B">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为了进一步了解本项目所在区域的环境空气质量，本项目引用《乐昌产业转移工业园202</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年度环境管理状况评估监测》（报告编号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QHT-202312271026）用于评价TSP</w:t>
            </w:r>
            <w:r>
              <w:rPr>
                <w:rFonts w:hint="default" w:ascii="Times New Roman" w:hAnsi="Times New Roman" w:eastAsia="宋体" w:cs="Times New Roman"/>
                <w:color w:val="auto"/>
                <w:sz w:val="24"/>
                <w:szCs w:val="24"/>
                <w:highlight w:val="none"/>
                <w:lang w:eastAsia="zh-CN"/>
              </w:rPr>
              <w:t>、非甲烷总烃、</w:t>
            </w:r>
            <w:r>
              <w:rPr>
                <w:rFonts w:hint="default" w:ascii="Times New Roman" w:hAnsi="Times New Roman" w:eastAsia="宋体" w:cs="Times New Roman"/>
                <w:color w:val="auto"/>
                <w:sz w:val="24"/>
                <w:szCs w:val="24"/>
                <w:highlight w:val="none"/>
                <w:lang w:val="en-US" w:eastAsia="zh-CN"/>
              </w:rPr>
              <w:t>TVOC、</w:t>
            </w:r>
            <w:r>
              <w:rPr>
                <w:rFonts w:hint="default" w:ascii="Times New Roman" w:hAnsi="Times New Roman" w:eastAsia="宋体" w:cs="Times New Roman"/>
                <w:color w:val="auto"/>
                <w:sz w:val="24"/>
                <w:szCs w:val="24"/>
                <w:highlight w:val="none"/>
                <w:lang w:eastAsia="zh-CN"/>
              </w:rPr>
              <w:t>臭气浓度</w:t>
            </w:r>
            <w:r>
              <w:rPr>
                <w:rFonts w:hint="default" w:ascii="Times New Roman" w:hAnsi="Times New Roman" w:eastAsia="宋体" w:cs="Times New Roman"/>
                <w:color w:val="auto"/>
                <w:sz w:val="24"/>
                <w:szCs w:val="24"/>
                <w:highlight w:val="none"/>
              </w:rPr>
              <w:t>现状。</w:t>
            </w:r>
            <w:r>
              <w:rPr>
                <w:rFonts w:hint="default" w:ascii="Times New Roman" w:hAnsi="Times New Roman" w:eastAsia="宋体" w:cs="Times New Roman"/>
                <w:color w:val="auto"/>
                <w:sz w:val="24"/>
                <w:szCs w:val="24"/>
                <w:highlight w:val="none"/>
                <w:lang w:val="en-US" w:eastAsia="zh-CN"/>
              </w:rPr>
              <w:t>深圳市清华环科检测技术有限公司</w:t>
            </w:r>
            <w:r>
              <w:rPr>
                <w:rFonts w:hint="default" w:ascii="Times New Roman" w:hAnsi="Times New Roman" w:eastAsia="宋体" w:cs="Times New Roman"/>
                <w:color w:val="auto"/>
                <w:sz w:val="24"/>
                <w:szCs w:val="24"/>
                <w:highlight w:val="none"/>
                <w:lang w:eastAsia="zh-CN"/>
              </w:rPr>
              <w:t>于</w:t>
            </w:r>
            <w:r>
              <w:rPr>
                <w:rFonts w:hint="default" w:ascii="Times New Roman" w:hAnsi="Times New Roman" w:eastAsia="宋体" w:cs="Times New Roman"/>
                <w:color w:val="auto"/>
                <w:sz w:val="24"/>
                <w:szCs w:val="24"/>
                <w:highlight w:val="none"/>
              </w:rPr>
              <w:t>202</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年12月</w:t>
            </w:r>
            <w:r>
              <w:rPr>
                <w:rFonts w:hint="default" w:ascii="Times New Roman" w:hAnsi="Times New Roman" w:eastAsia="宋体"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rPr>
              <w:t>日-202</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年12月</w:t>
            </w:r>
            <w:r>
              <w:rPr>
                <w:rFonts w:hint="default" w:ascii="Times New Roman" w:hAnsi="Times New Roman" w:eastAsia="宋体" w:cs="Times New Roman"/>
                <w:color w:val="auto"/>
                <w:sz w:val="24"/>
                <w:szCs w:val="24"/>
                <w:highlight w:val="none"/>
                <w:lang w:val="en-US" w:eastAsia="zh-CN"/>
              </w:rPr>
              <w:t>25日</w:t>
            </w:r>
            <w:r>
              <w:rPr>
                <w:rFonts w:hint="default" w:ascii="Times New Roman" w:hAnsi="Times New Roman" w:eastAsia="宋体" w:cs="Times New Roman"/>
                <w:color w:val="auto"/>
                <w:sz w:val="24"/>
                <w:szCs w:val="24"/>
                <w:highlight w:val="none"/>
              </w:rPr>
              <w:t>在G1</w:t>
            </w:r>
            <w:r>
              <w:rPr>
                <w:rFonts w:hint="default" w:ascii="Times New Roman" w:hAnsi="Times New Roman" w:eastAsia="宋体" w:cs="Times New Roman"/>
                <w:color w:val="auto"/>
                <w:sz w:val="24"/>
                <w:szCs w:val="24"/>
                <w:highlight w:val="none"/>
                <w:lang w:eastAsia="zh-CN"/>
              </w:rPr>
              <w:t>和</w:t>
            </w:r>
            <w:r>
              <w:rPr>
                <w:rFonts w:hint="default" w:ascii="Times New Roman" w:hAnsi="Times New Roman" w:eastAsia="宋体" w:cs="Times New Roman"/>
                <w:color w:val="auto"/>
                <w:sz w:val="24"/>
                <w:szCs w:val="24"/>
                <w:highlight w:val="none"/>
              </w:rPr>
              <w:t>村进行采样监测的监测数据，连续监测7天。</w:t>
            </w:r>
          </w:p>
          <w:p w14:paraId="12F1E146">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本项目其他污染物补充监测点位基本信息见表3-2，其他污染物环境质量现状（监测结果）表3-3。</w:t>
            </w:r>
          </w:p>
          <w:p w14:paraId="5FB93C53">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bookmarkStart w:id="15" w:name="_Toc20439"/>
            <w:bookmarkStart w:id="16" w:name="_Toc6616"/>
            <w:bookmarkStart w:id="17" w:name="_Toc8230"/>
            <w:bookmarkStart w:id="18" w:name="_Toc8763"/>
            <w:bookmarkStart w:id="19" w:name="_Toc17582"/>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其他污染物补充监测点位基本信息</w:t>
            </w:r>
            <w:bookmarkEnd w:id="15"/>
            <w:bookmarkEnd w:id="16"/>
            <w:bookmarkEnd w:id="17"/>
            <w:bookmarkEnd w:id="18"/>
            <w:bookmarkEnd w:id="19"/>
          </w:p>
          <w:tbl>
            <w:tblPr>
              <w:tblStyle w:val="39"/>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0"/>
              <w:gridCol w:w="1210"/>
              <w:gridCol w:w="1223"/>
              <w:gridCol w:w="1177"/>
              <w:gridCol w:w="1294"/>
              <w:gridCol w:w="1023"/>
              <w:gridCol w:w="1098"/>
            </w:tblGrid>
            <w:tr w14:paraId="23B6E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restart"/>
                  <w:shd w:val="clear" w:color="auto" w:fill="auto"/>
                  <w:vAlign w:val="center"/>
                </w:tcPr>
                <w:p w14:paraId="173B1E13">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监测点名称</w:t>
                  </w:r>
                </w:p>
              </w:tc>
              <w:tc>
                <w:tcPr>
                  <w:tcW w:w="1480" w:type="pct"/>
                  <w:gridSpan w:val="2"/>
                  <w:shd w:val="clear" w:color="auto" w:fill="auto"/>
                  <w:vAlign w:val="center"/>
                </w:tcPr>
                <w:p w14:paraId="09742438">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716" w:type="pct"/>
                  <w:vMerge w:val="restart"/>
                  <w:shd w:val="clear" w:color="auto" w:fill="auto"/>
                  <w:vAlign w:val="center"/>
                </w:tcPr>
                <w:p w14:paraId="04DE63B2">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787" w:type="pct"/>
                  <w:vMerge w:val="restart"/>
                  <w:shd w:val="clear" w:color="auto" w:fill="auto"/>
                  <w:vAlign w:val="center"/>
                </w:tcPr>
                <w:p w14:paraId="72180146">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622" w:type="pct"/>
                  <w:vMerge w:val="restart"/>
                  <w:shd w:val="clear" w:color="auto" w:fill="auto"/>
                  <w:vAlign w:val="center"/>
                </w:tcPr>
                <w:p w14:paraId="12629648">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6FF3DD50">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588F6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2EBF7808">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736" w:type="pct"/>
                  <w:shd w:val="clear" w:color="auto" w:fill="auto"/>
                  <w:vAlign w:val="center"/>
                </w:tcPr>
                <w:p w14:paraId="63267871">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744" w:type="pct"/>
                  <w:shd w:val="clear" w:color="auto" w:fill="auto"/>
                  <w:vAlign w:val="center"/>
                </w:tcPr>
                <w:p w14:paraId="2B277A17">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716" w:type="pct"/>
                  <w:vMerge w:val="continue"/>
                  <w:shd w:val="clear" w:color="auto" w:fill="auto"/>
                  <w:vAlign w:val="center"/>
                </w:tcPr>
                <w:p w14:paraId="3601A00D">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787" w:type="pct"/>
                  <w:vMerge w:val="continue"/>
                  <w:shd w:val="clear" w:color="auto" w:fill="auto"/>
                  <w:vAlign w:val="center"/>
                </w:tcPr>
                <w:p w14:paraId="779438A7">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622" w:type="pct"/>
                  <w:vMerge w:val="continue"/>
                  <w:shd w:val="clear" w:color="auto" w:fill="auto"/>
                  <w:vAlign w:val="center"/>
                </w:tcPr>
                <w:p w14:paraId="585D1CEE">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668" w:type="pct"/>
                  <w:vMerge w:val="continue"/>
                  <w:shd w:val="clear" w:color="auto" w:fill="auto"/>
                  <w:vAlign w:val="center"/>
                </w:tcPr>
                <w:p w14:paraId="74208DE6">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r>
            <w:tr w14:paraId="36076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shd w:val="clear" w:color="auto" w:fill="auto"/>
                  <w:vAlign w:val="center"/>
                </w:tcPr>
                <w:p w14:paraId="2EE8E07B">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r>
                    <w:rPr>
                      <w:rFonts w:hint="default" w:ascii="Times New Roman" w:hAnsi="Times New Roman" w:cs="Times New Roman"/>
                      <w:color w:val="auto"/>
                      <w:sz w:val="21"/>
                      <w:szCs w:val="21"/>
                      <w:highlight w:val="none"/>
                      <w:lang w:eastAsia="zh-CN"/>
                    </w:rPr>
                    <w:t>和</w:t>
                  </w:r>
                  <w:r>
                    <w:rPr>
                      <w:rFonts w:hint="default" w:ascii="Times New Roman" w:hAnsi="Times New Roman" w:cs="Times New Roman"/>
                      <w:color w:val="auto"/>
                      <w:sz w:val="21"/>
                      <w:szCs w:val="21"/>
                      <w:highlight w:val="none"/>
                    </w:rPr>
                    <w:t>村</w:t>
                  </w:r>
                </w:p>
              </w:tc>
              <w:tc>
                <w:tcPr>
                  <w:tcW w:w="736" w:type="pct"/>
                  <w:shd w:val="clear" w:color="auto" w:fill="auto"/>
                  <w:vAlign w:val="center"/>
                </w:tcPr>
                <w:p w14:paraId="23CF7595">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-403</w:t>
                  </w:r>
                </w:p>
              </w:tc>
              <w:tc>
                <w:tcPr>
                  <w:tcW w:w="744" w:type="pct"/>
                  <w:shd w:val="clear" w:color="auto" w:fill="auto"/>
                  <w:vAlign w:val="center"/>
                </w:tcPr>
                <w:p w14:paraId="57EF5A3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-1058</w:t>
                  </w:r>
                </w:p>
              </w:tc>
              <w:tc>
                <w:tcPr>
                  <w:tcW w:w="716" w:type="pct"/>
                  <w:shd w:val="clear" w:color="auto" w:fill="auto"/>
                  <w:vAlign w:val="center"/>
                </w:tcPr>
                <w:p w14:paraId="77DF6B5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臭气浓度</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非甲烷总烃</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TVOC</w:t>
                  </w:r>
                </w:p>
              </w:tc>
              <w:tc>
                <w:tcPr>
                  <w:tcW w:w="787" w:type="pct"/>
                  <w:shd w:val="clear" w:color="auto" w:fill="auto"/>
                  <w:vAlign w:val="center"/>
                </w:tcPr>
                <w:p w14:paraId="311DB55D">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25</w:t>
                  </w:r>
                  <w:r>
                    <w:rPr>
                      <w:rFonts w:hint="default" w:ascii="Times New Roman" w:hAnsi="Times New Roman" w:cs="Times New Roman"/>
                      <w:bCs/>
                      <w:color w:val="auto"/>
                      <w:sz w:val="21"/>
                      <w:szCs w:val="21"/>
                      <w:highlight w:val="none"/>
                    </w:rPr>
                    <w:t>日</w:t>
                  </w:r>
                </w:p>
              </w:tc>
              <w:tc>
                <w:tcPr>
                  <w:tcW w:w="622" w:type="pct"/>
                  <w:shd w:val="clear" w:color="auto" w:fill="auto"/>
                  <w:vAlign w:val="center"/>
                </w:tcPr>
                <w:p w14:paraId="5F659F81">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西南</w:t>
                  </w:r>
                </w:p>
              </w:tc>
              <w:tc>
                <w:tcPr>
                  <w:tcW w:w="668" w:type="pct"/>
                  <w:shd w:val="clear" w:color="auto" w:fill="auto"/>
                  <w:vAlign w:val="center"/>
                </w:tcPr>
                <w:p w14:paraId="59DC8B45">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1060</w:t>
                  </w:r>
                </w:p>
              </w:tc>
            </w:tr>
          </w:tbl>
          <w:p w14:paraId="3DF6EA94">
            <w:pPr>
              <w:pageBreakBefore w:val="0"/>
              <w:widowControl w:val="0"/>
              <w:kinsoku/>
              <w:wordWrap w:val="0"/>
              <w:overflowPunct/>
              <w:topLinePunct w:val="0"/>
              <w:bidi w:val="0"/>
              <w:jc w:val="left"/>
              <w:textAlignment w:val="auto"/>
              <w:outlineLvl w:val="9"/>
              <w:rPr>
                <w:rFonts w:hint="default" w:ascii="Times New Roman" w:hAnsi="Times New Roman" w:cs="Times New Roman"/>
                <w:b w:val="0"/>
                <w:bCs w:val="0"/>
                <w:color w:val="auto"/>
                <w:sz w:val="21"/>
                <w:szCs w:val="21"/>
                <w:highlight w:val="none"/>
              </w:rPr>
            </w:pPr>
            <w:bookmarkStart w:id="20" w:name="_Toc21557"/>
            <w:bookmarkStart w:id="21" w:name="_Toc14154"/>
            <w:bookmarkStart w:id="22" w:name="_Toc4447"/>
            <w:bookmarkStart w:id="23" w:name="_Toc21186"/>
            <w:bookmarkStart w:id="24" w:name="_Toc698"/>
            <w:r>
              <w:rPr>
                <w:rFonts w:hint="default" w:ascii="Times New Roman" w:hAnsi="Times New Roman" w:cs="Times New Roman"/>
                <w:b w:val="0"/>
                <w:bCs w:val="0"/>
                <w:color w:val="auto"/>
                <w:sz w:val="21"/>
                <w:szCs w:val="21"/>
                <w:highlight w:val="none"/>
                <w:lang w:val="en-GB"/>
              </w:rPr>
              <w:t>注：设本</w:t>
            </w:r>
            <w:r>
              <w:rPr>
                <w:rFonts w:hint="default" w:ascii="Times New Roman" w:hAnsi="Times New Roman" w:cs="Times New Roman"/>
                <w:b w:val="0"/>
                <w:bCs w:val="0"/>
                <w:color w:val="auto"/>
                <w:sz w:val="21"/>
                <w:szCs w:val="21"/>
                <w:highlight w:val="none"/>
              </w:rPr>
              <w:t>项目中心坐标（X，Y）为（0，0）</w:t>
            </w:r>
            <w:bookmarkEnd w:id="20"/>
            <w:bookmarkEnd w:id="21"/>
            <w:bookmarkEnd w:id="22"/>
            <w:bookmarkEnd w:id="23"/>
            <w:bookmarkEnd w:id="24"/>
          </w:p>
          <w:p w14:paraId="56465B5A">
            <w:pPr>
              <w:pageBreakBefore w:val="0"/>
              <w:widowControl w:val="0"/>
              <w:kinsoku/>
              <w:wordWrap w:val="0"/>
              <w:overflowPunct/>
              <w:topLinePunct w:val="0"/>
              <w:bidi w:val="0"/>
              <w:jc w:val="left"/>
              <w:textAlignment w:val="auto"/>
              <w:outlineLvl w:val="9"/>
              <w:rPr>
                <w:rFonts w:hint="default" w:ascii="Times New Roman" w:hAnsi="Times New Roman" w:cs="Times New Roman"/>
                <w:b/>
                <w:bCs/>
                <w:color w:val="auto"/>
                <w:sz w:val="21"/>
                <w:szCs w:val="21"/>
                <w:highlight w:val="none"/>
                <w:lang w:val="en-GB"/>
              </w:rPr>
            </w:pPr>
          </w:p>
          <w:p w14:paraId="5DBFC7EB">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GB"/>
              </w:rPr>
            </w:pPr>
            <w:bookmarkStart w:id="25" w:name="_Toc13955"/>
            <w:bookmarkStart w:id="26" w:name="_Toc24683"/>
            <w:bookmarkStart w:id="27" w:name="_Toc8233"/>
            <w:bookmarkStart w:id="28" w:name="_Toc14846"/>
            <w:bookmarkStart w:id="29" w:name="_Toc24731"/>
            <w:r>
              <w:rPr>
                <w:rFonts w:hint="default" w:ascii="Times New Roman" w:hAnsi="Times New Roman" w:eastAsia="宋体" w:cs="Times New Roman"/>
                <w:b/>
                <w:bCs/>
                <w:color w:val="auto"/>
                <w:sz w:val="21"/>
                <w:szCs w:val="21"/>
                <w:highlight w:val="none"/>
                <w:lang w:val="en-GB"/>
              </w:rPr>
              <w:t>其他污染物环境质量现状监测结果</w:t>
            </w:r>
            <w:bookmarkEnd w:id="25"/>
            <w:bookmarkEnd w:id="26"/>
            <w:bookmarkEnd w:id="27"/>
            <w:bookmarkEnd w:id="28"/>
            <w:bookmarkEnd w:id="29"/>
            <w:r>
              <w:rPr>
                <w:rFonts w:hint="default" w:ascii="Times New Roman" w:hAnsi="Times New Roman" w:cs="Times New Roman"/>
                <w:b/>
                <w:bCs/>
                <w:color w:val="auto"/>
                <w:sz w:val="21"/>
                <w:szCs w:val="21"/>
                <w:highlight w:val="none"/>
                <w:lang w:val="en-GB" w:eastAsia="zh-CN"/>
              </w:rPr>
              <w:t>一览表</w:t>
            </w:r>
          </w:p>
          <w:tbl>
            <w:tblPr>
              <w:tblStyle w:val="3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1"/>
              <w:gridCol w:w="1233"/>
              <w:gridCol w:w="1176"/>
              <w:gridCol w:w="1159"/>
              <w:gridCol w:w="1378"/>
              <w:gridCol w:w="1131"/>
              <w:gridCol w:w="732"/>
              <w:gridCol w:w="775"/>
            </w:tblGrid>
            <w:tr w14:paraId="090BE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restart"/>
                  <w:shd w:val="clear" w:color="auto" w:fill="auto"/>
                  <w:vAlign w:val="center"/>
                </w:tcPr>
                <w:p w14:paraId="66C222E1">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750" w:type="pct"/>
                  <w:vMerge w:val="restart"/>
                  <w:shd w:val="clear" w:color="auto" w:fill="auto"/>
                  <w:vAlign w:val="center"/>
                </w:tcPr>
                <w:p w14:paraId="1E9310A1">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715" w:type="pct"/>
                  <w:vMerge w:val="restart"/>
                  <w:shd w:val="clear" w:color="auto" w:fill="auto"/>
                  <w:vAlign w:val="center"/>
                </w:tcPr>
                <w:p w14:paraId="6A85FCB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平均时间</w:t>
                  </w:r>
                </w:p>
              </w:tc>
              <w:tc>
                <w:tcPr>
                  <w:tcW w:w="705" w:type="pct"/>
                  <w:vMerge w:val="restart"/>
                  <w:shd w:val="clear" w:color="auto" w:fill="auto"/>
                  <w:vAlign w:val="center"/>
                </w:tcPr>
                <w:p w14:paraId="420E9871">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评价标准/（</w:t>
                  </w:r>
                  <w:r>
                    <w:rPr>
                      <w:rFonts w:hint="default" w:ascii="Times New Roman" w:hAnsi="Times New Roman" w:eastAsia="宋体"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838" w:type="pct"/>
                  <w:vMerge w:val="restart"/>
                  <w:shd w:val="clear" w:color="auto" w:fill="auto"/>
                  <w:vAlign w:val="center"/>
                </w:tcPr>
                <w:p w14:paraId="68A6EC3B">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监测浓度范围/（mg/m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688" w:type="pct"/>
                  <w:vMerge w:val="restart"/>
                  <w:shd w:val="clear" w:color="auto" w:fill="auto"/>
                  <w:vAlign w:val="center"/>
                </w:tcPr>
                <w:p w14:paraId="19387B68">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最大浓度占标率</w:t>
                  </w:r>
                  <w:r>
                    <w:rPr>
                      <w:rFonts w:hint="default" w:ascii="Times New Roman" w:hAnsi="Times New Roman" w:eastAsia="宋体" w:cs="Times New Roman"/>
                      <w:b/>
                      <w:bCs/>
                      <w:color w:val="auto"/>
                      <w:sz w:val="21"/>
                      <w:szCs w:val="21"/>
                      <w:highlight w:val="none"/>
                      <w:lang w:val="en-US" w:eastAsia="zh-CN"/>
                    </w:rPr>
                    <w:t>%</w:t>
                  </w:r>
                </w:p>
              </w:tc>
              <w:tc>
                <w:tcPr>
                  <w:tcW w:w="445" w:type="pct"/>
                  <w:vMerge w:val="restart"/>
                  <w:shd w:val="clear" w:color="auto" w:fill="auto"/>
                  <w:vAlign w:val="center"/>
                </w:tcPr>
                <w:p w14:paraId="466301B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超标频率/%</w:t>
                  </w:r>
                </w:p>
              </w:tc>
              <w:tc>
                <w:tcPr>
                  <w:tcW w:w="471" w:type="pct"/>
                  <w:vMerge w:val="restart"/>
                  <w:shd w:val="clear" w:color="auto" w:fill="auto"/>
                  <w:vAlign w:val="center"/>
                </w:tcPr>
                <w:p w14:paraId="1E2D1CF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14:paraId="1A643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continue"/>
                  <w:shd w:val="clear" w:color="auto" w:fill="auto"/>
                  <w:vAlign w:val="center"/>
                </w:tcPr>
                <w:p w14:paraId="79DCBFB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50" w:type="pct"/>
                  <w:vMerge w:val="continue"/>
                  <w:shd w:val="clear" w:color="auto" w:fill="auto"/>
                  <w:vAlign w:val="center"/>
                </w:tcPr>
                <w:p w14:paraId="7DAFF8A7">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15" w:type="pct"/>
                  <w:vMerge w:val="continue"/>
                  <w:shd w:val="clear" w:color="auto" w:fill="auto"/>
                  <w:vAlign w:val="center"/>
                </w:tcPr>
                <w:p w14:paraId="2C595C9A">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05" w:type="pct"/>
                  <w:vMerge w:val="continue"/>
                  <w:shd w:val="clear" w:color="auto" w:fill="auto"/>
                  <w:vAlign w:val="center"/>
                </w:tcPr>
                <w:p w14:paraId="769058F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838" w:type="pct"/>
                  <w:vMerge w:val="continue"/>
                  <w:shd w:val="clear" w:color="auto" w:fill="auto"/>
                  <w:vAlign w:val="center"/>
                </w:tcPr>
                <w:p w14:paraId="48C80C66">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688" w:type="pct"/>
                  <w:vMerge w:val="continue"/>
                  <w:shd w:val="clear" w:color="auto" w:fill="auto"/>
                  <w:vAlign w:val="center"/>
                </w:tcPr>
                <w:p w14:paraId="46A7067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445" w:type="pct"/>
                  <w:vMerge w:val="continue"/>
                  <w:shd w:val="clear" w:color="auto" w:fill="auto"/>
                  <w:vAlign w:val="center"/>
                </w:tcPr>
                <w:p w14:paraId="7B87529D">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471" w:type="pct"/>
                  <w:vMerge w:val="continue"/>
                  <w:shd w:val="clear" w:color="auto" w:fill="auto"/>
                  <w:vAlign w:val="center"/>
                </w:tcPr>
                <w:p w14:paraId="7D56A5B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r>
            <w:tr w14:paraId="2224D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restart"/>
                  <w:shd w:val="clear" w:color="auto" w:fill="auto"/>
                  <w:vAlign w:val="center"/>
                </w:tcPr>
                <w:p w14:paraId="4A3ED2FA">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G1</w:t>
                  </w:r>
                  <w:r>
                    <w:rPr>
                      <w:rFonts w:hint="default" w:ascii="Times New Roman" w:hAnsi="Times New Roman" w:eastAsia="宋体" w:cs="Times New Roman"/>
                      <w:color w:val="auto"/>
                      <w:sz w:val="21"/>
                      <w:szCs w:val="21"/>
                      <w:highlight w:val="none"/>
                      <w:lang w:eastAsia="zh-CN"/>
                    </w:rPr>
                    <w:t>和</w:t>
                  </w:r>
                  <w:r>
                    <w:rPr>
                      <w:rFonts w:hint="default" w:ascii="Times New Roman" w:hAnsi="Times New Roman" w:eastAsia="宋体" w:cs="Times New Roman"/>
                      <w:color w:val="auto"/>
                      <w:sz w:val="21"/>
                      <w:szCs w:val="21"/>
                      <w:highlight w:val="none"/>
                    </w:rPr>
                    <w:t>村</w:t>
                  </w:r>
                </w:p>
              </w:tc>
              <w:tc>
                <w:tcPr>
                  <w:tcW w:w="750" w:type="pct"/>
                  <w:shd w:val="clear" w:color="auto" w:fill="auto"/>
                  <w:vAlign w:val="center"/>
                </w:tcPr>
                <w:p w14:paraId="514BD2C1">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715" w:type="pct"/>
                  <w:shd w:val="clear" w:color="auto" w:fill="auto"/>
                  <w:vAlign w:val="center"/>
                </w:tcPr>
                <w:p w14:paraId="6CFD3188">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日均值</w:t>
                  </w:r>
                </w:p>
              </w:tc>
              <w:tc>
                <w:tcPr>
                  <w:tcW w:w="705" w:type="pct"/>
                  <w:shd w:val="clear" w:color="auto" w:fill="auto"/>
                  <w:vAlign w:val="center"/>
                </w:tcPr>
                <w:p w14:paraId="343DA538">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w:t>
                  </w:r>
                </w:p>
              </w:tc>
              <w:tc>
                <w:tcPr>
                  <w:tcW w:w="838" w:type="pct"/>
                  <w:shd w:val="clear" w:color="auto" w:fill="auto"/>
                  <w:vAlign w:val="center"/>
                </w:tcPr>
                <w:p w14:paraId="29A3115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~0.1</w:t>
                  </w:r>
                  <w:r>
                    <w:rPr>
                      <w:rFonts w:hint="default" w:ascii="Times New Roman" w:hAnsi="Times New Roman" w:eastAsia="宋体" w:cs="Times New Roman"/>
                      <w:color w:val="auto"/>
                      <w:sz w:val="21"/>
                      <w:szCs w:val="21"/>
                      <w:highlight w:val="none"/>
                      <w:lang w:val="en-US" w:eastAsia="zh-CN"/>
                    </w:rPr>
                    <w:t>11</w:t>
                  </w:r>
                </w:p>
              </w:tc>
              <w:tc>
                <w:tcPr>
                  <w:tcW w:w="1131" w:type="dxa"/>
                  <w:shd w:val="clear" w:color="auto" w:fill="auto"/>
                  <w:vAlign w:val="center"/>
                </w:tcPr>
                <w:p w14:paraId="5308001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55.5</w:t>
                  </w:r>
                </w:p>
              </w:tc>
              <w:tc>
                <w:tcPr>
                  <w:tcW w:w="445" w:type="pct"/>
                  <w:shd w:val="clear" w:color="auto" w:fill="auto"/>
                  <w:vAlign w:val="center"/>
                </w:tcPr>
                <w:p w14:paraId="45E505FD">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471" w:type="pct"/>
                  <w:shd w:val="clear" w:color="auto" w:fill="auto"/>
                  <w:vAlign w:val="center"/>
                </w:tcPr>
                <w:p w14:paraId="3AD1D07D">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1B1B7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continue"/>
                  <w:shd w:val="clear" w:color="auto" w:fill="auto"/>
                  <w:vAlign w:val="center"/>
                </w:tcPr>
                <w:p w14:paraId="1266A959">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50" w:type="pct"/>
                  <w:shd w:val="clear" w:color="auto" w:fill="auto"/>
                  <w:vAlign w:val="center"/>
                </w:tcPr>
                <w:p w14:paraId="249A0F7F">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臭气浓度</w:t>
                  </w:r>
                </w:p>
              </w:tc>
              <w:tc>
                <w:tcPr>
                  <w:tcW w:w="715" w:type="pct"/>
                  <w:shd w:val="clear" w:color="auto" w:fill="auto"/>
                  <w:vAlign w:val="center"/>
                </w:tcPr>
                <w:p w14:paraId="7E05CDA8">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小时值</w:t>
                  </w:r>
                </w:p>
              </w:tc>
              <w:tc>
                <w:tcPr>
                  <w:tcW w:w="705" w:type="pct"/>
                  <w:shd w:val="clear" w:color="auto" w:fill="auto"/>
                  <w:vAlign w:val="center"/>
                </w:tcPr>
                <w:p w14:paraId="5C5D2E58">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20（无量纲）</w:t>
                  </w:r>
                </w:p>
              </w:tc>
              <w:tc>
                <w:tcPr>
                  <w:tcW w:w="838" w:type="pct"/>
                  <w:shd w:val="clear" w:color="auto" w:fill="auto"/>
                  <w:vAlign w:val="center"/>
                </w:tcPr>
                <w:p w14:paraId="4EC8070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val="en-US" w:eastAsia="zh-CN"/>
                    </w:rPr>
                    <w:t>（无量纲）</w:t>
                  </w:r>
                </w:p>
              </w:tc>
              <w:tc>
                <w:tcPr>
                  <w:tcW w:w="1131" w:type="dxa"/>
                  <w:shd w:val="clear" w:color="auto" w:fill="auto"/>
                  <w:vAlign w:val="center"/>
                </w:tcPr>
                <w:p w14:paraId="1E75C6B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45" w:type="pct"/>
                  <w:shd w:val="clear" w:color="auto" w:fill="auto"/>
                  <w:vAlign w:val="center"/>
                </w:tcPr>
                <w:p w14:paraId="6E467290">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471" w:type="pct"/>
                  <w:shd w:val="clear" w:color="auto" w:fill="auto"/>
                  <w:vAlign w:val="center"/>
                </w:tcPr>
                <w:p w14:paraId="3EB76012">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D4B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continue"/>
                  <w:shd w:val="clear" w:color="auto" w:fill="auto"/>
                  <w:vAlign w:val="center"/>
                </w:tcPr>
                <w:p w14:paraId="773077A5">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50" w:type="pct"/>
                  <w:shd w:val="clear" w:color="auto" w:fill="auto"/>
                  <w:vAlign w:val="center"/>
                </w:tcPr>
                <w:p w14:paraId="3D3237F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非甲烷总烃</w:t>
                  </w:r>
                </w:p>
              </w:tc>
              <w:tc>
                <w:tcPr>
                  <w:tcW w:w="715" w:type="pct"/>
                  <w:shd w:val="clear" w:color="auto" w:fill="auto"/>
                  <w:vAlign w:val="center"/>
                </w:tcPr>
                <w:p w14:paraId="14E1064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小时值</w:t>
                  </w:r>
                </w:p>
              </w:tc>
              <w:tc>
                <w:tcPr>
                  <w:tcW w:w="705" w:type="pct"/>
                  <w:shd w:val="clear" w:color="auto" w:fill="auto"/>
                  <w:vAlign w:val="center"/>
                </w:tcPr>
                <w:p w14:paraId="089AE6AB">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838" w:type="pct"/>
                  <w:shd w:val="clear" w:color="auto" w:fill="auto"/>
                  <w:vAlign w:val="center"/>
                </w:tcPr>
                <w:p w14:paraId="5390570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0.812~0.983</w:t>
                  </w:r>
                </w:p>
              </w:tc>
              <w:tc>
                <w:tcPr>
                  <w:tcW w:w="1131" w:type="dxa"/>
                  <w:shd w:val="clear" w:color="auto" w:fill="auto"/>
                  <w:vAlign w:val="center"/>
                </w:tcPr>
                <w:p w14:paraId="49E3B87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49.15</w:t>
                  </w:r>
                </w:p>
              </w:tc>
              <w:tc>
                <w:tcPr>
                  <w:tcW w:w="445" w:type="pct"/>
                  <w:shd w:val="clear" w:color="auto" w:fill="auto"/>
                  <w:vAlign w:val="center"/>
                </w:tcPr>
                <w:p w14:paraId="37873D9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471" w:type="pct"/>
                  <w:shd w:val="clear" w:color="auto" w:fill="auto"/>
                  <w:vAlign w:val="center"/>
                </w:tcPr>
                <w:p w14:paraId="4C31D1F5">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7CEC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pct"/>
                  <w:vMerge w:val="continue"/>
                  <w:shd w:val="clear" w:color="auto" w:fill="auto"/>
                  <w:vAlign w:val="center"/>
                </w:tcPr>
                <w:p w14:paraId="5CFFD71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p>
              </w:tc>
              <w:tc>
                <w:tcPr>
                  <w:tcW w:w="750" w:type="pct"/>
                  <w:shd w:val="clear" w:color="auto" w:fill="auto"/>
                  <w:vAlign w:val="center"/>
                </w:tcPr>
                <w:p w14:paraId="4883F427">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TVOC</w:t>
                  </w:r>
                </w:p>
              </w:tc>
              <w:tc>
                <w:tcPr>
                  <w:tcW w:w="715" w:type="pct"/>
                  <w:shd w:val="clear" w:color="auto" w:fill="auto"/>
                  <w:vAlign w:val="center"/>
                </w:tcPr>
                <w:p w14:paraId="06C104F4">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8小时均值</w:t>
                  </w:r>
                </w:p>
              </w:tc>
              <w:tc>
                <w:tcPr>
                  <w:tcW w:w="705" w:type="pct"/>
                  <w:shd w:val="clear" w:color="auto" w:fill="auto"/>
                  <w:vAlign w:val="center"/>
                </w:tcPr>
                <w:p w14:paraId="72139B8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c>
                <w:tcPr>
                  <w:tcW w:w="838" w:type="pct"/>
                  <w:shd w:val="clear" w:color="auto" w:fill="auto"/>
                  <w:vAlign w:val="center"/>
                </w:tcPr>
                <w:p w14:paraId="3FF3E5C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0.3754~0.4213</w:t>
                  </w:r>
                </w:p>
              </w:tc>
              <w:tc>
                <w:tcPr>
                  <w:tcW w:w="1131" w:type="dxa"/>
                  <w:shd w:val="clear" w:color="auto" w:fill="auto"/>
                  <w:vAlign w:val="center"/>
                </w:tcPr>
                <w:p w14:paraId="332EAD8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70.22</w:t>
                  </w:r>
                </w:p>
              </w:tc>
              <w:tc>
                <w:tcPr>
                  <w:tcW w:w="445" w:type="pct"/>
                  <w:shd w:val="clear" w:color="auto" w:fill="auto"/>
                  <w:vAlign w:val="center"/>
                </w:tcPr>
                <w:p w14:paraId="129CD66C">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471" w:type="pct"/>
                  <w:shd w:val="clear" w:color="auto" w:fill="auto"/>
                  <w:vAlign w:val="center"/>
                </w:tcPr>
                <w:p w14:paraId="39FEA283">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14:paraId="14B4488B">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rPr>
            </w:pPr>
          </w:p>
          <w:p w14:paraId="73D32FD8">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根据补充监测结果及引用监测结果，TSP满足</w:t>
            </w:r>
            <w:r>
              <w:rPr>
                <w:rFonts w:hint="default" w:ascii="Times New Roman" w:hAnsi="Times New Roman" w:eastAsia="宋体" w:cs="Times New Roman"/>
                <w:color w:val="auto"/>
                <w:sz w:val="24"/>
                <w:szCs w:val="24"/>
                <w:highlight w:val="none"/>
              </w:rPr>
              <w:t>《环境空气质量标准》（GB3095-20</w:t>
            </w:r>
            <w:r>
              <w:rPr>
                <w:rFonts w:hint="default" w:ascii="Times New Roman" w:hAnsi="Times New Roman"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过渡阶段浓度限值的</w:t>
            </w:r>
            <w:r>
              <w:rPr>
                <w:rFonts w:hint="default" w:ascii="Times New Roman" w:hAnsi="Times New Roman" w:eastAsia="宋体" w:cs="Times New Roman"/>
                <w:color w:val="auto"/>
                <w:sz w:val="24"/>
                <w:szCs w:val="24"/>
                <w:highlight w:val="none"/>
              </w:rPr>
              <w:t>二级标准</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TVOC</w:t>
            </w:r>
            <w:r>
              <w:rPr>
                <w:rFonts w:hint="default" w:ascii="Times New Roman" w:hAnsi="Times New Roman" w:eastAsia="宋体" w:cs="Times New Roman"/>
                <w:color w:val="auto"/>
                <w:sz w:val="24"/>
                <w:szCs w:val="24"/>
                <w:highlight w:val="none"/>
                <w:lang w:val="en-US" w:eastAsia="zh-CN"/>
              </w:rPr>
              <w:t>参照满足《环境影响评价技术导则大气环境》（HJ2.2-2018）附录D其他污染物空气质量浓度参考限值；非甲烷总烃满足《大气污染物综合排放详解》中的标准取值；臭气浓度可满足</w:t>
            </w:r>
            <w:r>
              <w:rPr>
                <w:rFonts w:hint="default" w:ascii="Times New Roman" w:hAnsi="Times New Roman" w:eastAsia="宋体" w:cs="Times New Roman"/>
                <w:color w:val="auto"/>
                <w:sz w:val="24"/>
                <w:szCs w:val="24"/>
                <w:highlight w:val="none"/>
              </w:rPr>
              <w:t>《恶臭污染物排放标准》（GB14554-93）新扩改建厂界二级标准</w:t>
            </w:r>
            <w:r>
              <w:rPr>
                <w:rFonts w:hint="default" w:ascii="Times New Roman" w:hAnsi="Times New Roman" w:eastAsia="宋体" w:cs="Times New Roman"/>
                <w:color w:val="auto"/>
                <w:sz w:val="24"/>
                <w:szCs w:val="24"/>
                <w:highlight w:val="none"/>
                <w:lang w:val="en-US" w:eastAsia="zh-CN"/>
              </w:rPr>
              <w:t>。</w:t>
            </w:r>
          </w:p>
          <w:p w14:paraId="268B56F0">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3、声环境质量现状评价</w:t>
            </w:r>
          </w:p>
          <w:p w14:paraId="39C390D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根据《建设项目环境影响报告表编制技术指南（污染影响类）（试行）》要求，本项目厂界外周边50米范围内不存在声环境保护目标，本评价不作声环境质量现状监测及评价。</w:t>
            </w:r>
          </w:p>
          <w:p w14:paraId="7D93A9F1">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4、土壤</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地下水</w:t>
            </w:r>
            <w:r>
              <w:rPr>
                <w:rFonts w:hint="default" w:ascii="Times New Roman" w:hAnsi="Times New Roman" w:cs="Times New Roman"/>
                <w:b/>
                <w:color w:val="auto"/>
                <w:sz w:val="24"/>
                <w:highlight w:val="none"/>
              </w:rPr>
              <w:t>环境质量现状评价</w:t>
            </w:r>
          </w:p>
          <w:p w14:paraId="7048CB7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highlight w:val="none"/>
              </w:rPr>
              <w:t>根据《建设项目环境影响报告表编制技术指南（污染影响类）</w:t>
            </w:r>
            <w:r>
              <w:rPr>
                <w:rFonts w:hint="default" w:ascii="Times New Roman" w:hAnsi="Times New Roman" w:cs="Times New Roman"/>
                <w:color w:val="auto"/>
                <w:kern w:val="0"/>
                <w:sz w:val="24"/>
                <w:highlight w:val="none"/>
                <w:lang w:eastAsia="zh-CN"/>
              </w:rPr>
              <w:t>（试行）》</w:t>
            </w:r>
            <w:r>
              <w:rPr>
                <w:rFonts w:hint="default" w:ascii="Times New Roman" w:hAnsi="Times New Roman" w:eastAsia="宋体" w:cs="Times New Roman"/>
                <w:color w:val="auto"/>
                <w:kern w:val="0"/>
                <w:sz w:val="24"/>
                <w:highlight w:val="none"/>
              </w:rPr>
              <w:t>，原则上不开展地下水、土壤环境质量现状调查。本项目不涉及重金属、持久性有机污染物的</w:t>
            </w:r>
            <w:r>
              <w:rPr>
                <w:rFonts w:hint="default" w:ascii="Times New Roman" w:hAnsi="Times New Roman" w:cs="Times New Roman"/>
                <w:color w:val="auto"/>
                <w:kern w:val="0"/>
                <w:sz w:val="24"/>
                <w:highlight w:val="none"/>
                <w:lang w:val="en-US" w:eastAsia="zh-CN"/>
              </w:rPr>
              <w:t>废水</w:t>
            </w:r>
            <w:r>
              <w:rPr>
                <w:rFonts w:hint="default" w:ascii="Times New Roman" w:hAnsi="Times New Roman" w:eastAsia="宋体" w:cs="Times New Roman"/>
                <w:color w:val="auto"/>
                <w:kern w:val="0"/>
                <w:sz w:val="24"/>
                <w:highlight w:val="none"/>
              </w:rPr>
              <w:t>排放，在对</w:t>
            </w:r>
            <w:r>
              <w:rPr>
                <w:rFonts w:hint="default" w:ascii="Times New Roman" w:hAnsi="Times New Roman" w:cs="Times New Roman"/>
                <w:color w:val="auto"/>
                <w:kern w:val="0"/>
                <w:sz w:val="24"/>
                <w:highlight w:val="none"/>
                <w:lang w:val="en-US" w:eastAsia="zh-CN"/>
              </w:rPr>
              <w:t>污泥等固体废物</w:t>
            </w:r>
            <w:r>
              <w:rPr>
                <w:rFonts w:hint="default" w:ascii="Times New Roman" w:hAnsi="Times New Roman" w:eastAsia="宋体" w:cs="Times New Roman"/>
                <w:color w:val="auto"/>
                <w:kern w:val="0"/>
                <w:sz w:val="24"/>
                <w:highlight w:val="none"/>
              </w:rPr>
              <w:t>做好重点防渗措施</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废气做好收集治理</w:t>
            </w:r>
            <w:r>
              <w:rPr>
                <w:rFonts w:hint="default" w:ascii="Times New Roman" w:hAnsi="Times New Roman" w:eastAsia="宋体" w:cs="Times New Roman"/>
                <w:color w:val="auto"/>
                <w:kern w:val="0"/>
                <w:sz w:val="24"/>
                <w:highlight w:val="none"/>
              </w:rPr>
              <w:t>后，正常情况下，本项目不存在明显的地下水、土壤环境污染途径，因此项目无需开展地下水、土壤环境质量现状调查。</w:t>
            </w:r>
          </w:p>
        </w:tc>
      </w:tr>
      <w:tr w14:paraId="3065C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51" w:type="pct"/>
            <w:vAlign w:val="center"/>
          </w:tcPr>
          <w:p w14:paraId="113B96E3">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3FDB7C6D">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保护</w:t>
            </w:r>
          </w:p>
          <w:p w14:paraId="765E1F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目标</w:t>
            </w:r>
          </w:p>
        </w:tc>
        <w:tc>
          <w:tcPr>
            <w:tcW w:w="4548" w:type="pct"/>
          </w:tcPr>
          <w:p w14:paraId="2E798803">
            <w:pPr>
              <w:pStyle w:val="9"/>
              <w:pageBreakBefore w:val="0"/>
              <w:widowControl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1</w:t>
            </w:r>
            <w:r>
              <w:rPr>
                <w:rFonts w:hint="default" w:ascii="Times New Roman" w:hAnsi="Times New Roman" w:cs="Times New Roman" w:eastAsiaTheme="minorEastAsia"/>
                <w:color w:val="auto"/>
                <w:sz w:val="24"/>
                <w:szCs w:val="24"/>
                <w:highlight w:val="none"/>
              </w:rPr>
              <w:t>、环境空气保护目标</w:t>
            </w:r>
          </w:p>
          <w:p w14:paraId="25305592">
            <w:pPr>
              <w:pStyle w:val="136"/>
              <w:keepNext w:val="0"/>
              <w:keepLines w:val="0"/>
              <w:suppressLineNumbers w:val="0"/>
              <w:topLinePunct w:val="0"/>
              <w:autoSpaceDE/>
              <w:autoSpaceDN/>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本项目厂界外500m范围内主要大气环境保护目标</w:t>
            </w:r>
            <w:r>
              <w:rPr>
                <w:rFonts w:hint="default" w:ascii="Times New Roman" w:hAnsi="Times New Roman" w:cs="Times New Roman"/>
                <w:color w:val="auto"/>
                <w:highlight w:val="none"/>
                <w:lang w:val="en-US" w:eastAsia="zh-CN"/>
              </w:rPr>
              <w:t>主要</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一栋</w:t>
            </w:r>
            <w:r>
              <w:rPr>
                <w:rFonts w:hint="default" w:ascii="Times New Roman" w:hAnsi="Times New Roman" w:cs="Times New Roman"/>
                <w:color w:val="auto"/>
                <w:highlight w:val="none"/>
                <w:lang w:eastAsia="zh-CN"/>
              </w:rPr>
              <w:t>住宅楼，</w:t>
            </w:r>
            <w:r>
              <w:rPr>
                <w:rFonts w:hint="default" w:ascii="Times New Roman" w:hAnsi="Times New Roman" w:cs="Times New Roman"/>
                <w:color w:val="auto"/>
                <w:highlight w:val="none"/>
                <w:lang w:val="en-US" w:eastAsia="zh-CN"/>
              </w:rPr>
              <w:t>无规划环境保护目标</w:t>
            </w:r>
            <w:r>
              <w:rPr>
                <w:rFonts w:hint="default" w:ascii="Times New Roman" w:hAnsi="Times New Roman" w:cs="Times New Roman"/>
                <w:color w:val="auto"/>
                <w:highlight w:val="none"/>
              </w:rPr>
              <w:t>。具体情况详见下表，大气环境保护</w:t>
            </w:r>
            <w:r>
              <w:rPr>
                <w:rFonts w:hint="default" w:ascii="Times New Roman" w:hAnsi="Times New Roman" w:cs="Times New Roman"/>
                <w:color w:val="auto"/>
                <w:highlight w:val="none"/>
                <w:lang w:val="en-US" w:eastAsia="zh-CN"/>
              </w:rPr>
              <w:t>目标</w:t>
            </w:r>
            <w:r>
              <w:rPr>
                <w:rFonts w:hint="default" w:ascii="Times New Roman" w:hAnsi="Times New Roman" w:cs="Times New Roman"/>
                <w:color w:val="auto"/>
                <w:highlight w:val="none"/>
              </w:rPr>
              <w:t>分布情况详见附图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p>
          <w:p w14:paraId="3F11E524">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大气环境保护目标一览表</w:t>
            </w:r>
          </w:p>
          <w:tbl>
            <w:tblPr>
              <w:tblStyle w:val="38"/>
              <w:tblW w:w="499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1"/>
              <w:gridCol w:w="936"/>
              <w:gridCol w:w="762"/>
              <w:gridCol w:w="826"/>
              <w:gridCol w:w="1086"/>
              <w:gridCol w:w="837"/>
              <w:gridCol w:w="1111"/>
              <w:gridCol w:w="849"/>
              <w:gridCol w:w="1138"/>
            </w:tblGrid>
            <w:tr w14:paraId="75AC3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41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8674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5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9BFC1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96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2124C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坐标/m</w:t>
                  </w:r>
                </w:p>
              </w:tc>
              <w:tc>
                <w:tcPr>
                  <w:tcW w:w="66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E8EC9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保护对象</w:t>
                  </w:r>
                </w:p>
              </w:tc>
              <w:tc>
                <w:tcPr>
                  <w:tcW w:w="50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32595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6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C258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w:t>
                  </w: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54AD9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6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67380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相对厂址距离/m</w:t>
                  </w:r>
                </w:p>
              </w:tc>
            </w:tr>
            <w:tr w14:paraId="5140DD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1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B941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C558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B481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5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7763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66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5076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0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6D328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4EA2F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0FF66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86454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4E515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660F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9E05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住宅1</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BC95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150</w:t>
                  </w:r>
                </w:p>
              </w:tc>
              <w:tc>
                <w:tcPr>
                  <w:tcW w:w="5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71CF3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-320</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0DC9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居民区</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F7D7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约5人</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F9AA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F244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东南</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E9BD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300</w:t>
                  </w:r>
                </w:p>
              </w:tc>
            </w:tr>
            <w:tr w14:paraId="502A4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5E8F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9051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宿舍1</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C8F1F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-360</w:t>
                  </w:r>
                </w:p>
              </w:tc>
              <w:tc>
                <w:tcPr>
                  <w:tcW w:w="5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1FFE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250</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806AF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社会关注点</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EDF6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约200人</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F4DD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F6B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西北</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4E16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440</w:t>
                  </w:r>
                </w:p>
              </w:tc>
            </w:tr>
            <w:tr w14:paraId="1801FF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DBF3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3B35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宿舍2</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88D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190</w:t>
                  </w:r>
                </w:p>
              </w:tc>
              <w:tc>
                <w:tcPr>
                  <w:tcW w:w="5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109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90</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D24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社会关注点</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B65E0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约50人</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9D57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564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东北</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B40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275</w:t>
                  </w:r>
                </w:p>
              </w:tc>
            </w:tr>
            <w:tr w14:paraId="0AC42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65BC1DCF">
                  <w:pPr>
                    <w:pStyle w:val="2"/>
                    <w:keepNext w:val="0"/>
                    <w:keepLines w:val="0"/>
                    <w:pageBreakBefore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备注：以</w:t>
                  </w:r>
                  <w:r>
                    <w:rPr>
                      <w:rFonts w:hint="default" w:ascii="Times New Roman" w:hAnsi="Times New Roman" w:cs="Times New Roman"/>
                      <w:i w:val="0"/>
                      <w:iCs w:val="0"/>
                      <w:color w:val="auto"/>
                      <w:kern w:val="0"/>
                      <w:sz w:val="21"/>
                      <w:szCs w:val="21"/>
                      <w:highlight w:val="none"/>
                      <w:u w:val="none"/>
                      <w:lang w:val="en-US" w:eastAsia="zh-CN" w:bidi="ar"/>
                    </w:rPr>
                    <w:t>项目中心</w:t>
                  </w:r>
                  <w:r>
                    <w:rPr>
                      <w:rFonts w:hint="default" w:ascii="Times New Roman" w:hAnsi="Times New Roman" w:eastAsia="宋体" w:cs="Times New Roman"/>
                      <w:i w:val="0"/>
                      <w:iCs w:val="0"/>
                      <w:color w:val="auto"/>
                      <w:kern w:val="0"/>
                      <w:sz w:val="21"/>
                      <w:szCs w:val="21"/>
                      <w:highlight w:val="none"/>
                      <w:u w:val="none"/>
                      <w:lang w:val="en-US" w:eastAsia="zh-CN" w:bidi="ar"/>
                    </w:rPr>
                    <w:t>为坐标原点（</w:t>
                  </w:r>
                  <w:r>
                    <w:rPr>
                      <w:rFonts w:hint="default" w:ascii="Times New Roman" w:hAnsi="Times New Roman"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），正东为X轴正向，正北为Y轴正向，建立直角坐标系。</w:t>
                  </w:r>
                </w:p>
              </w:tc>
            </w:tr>
          </w:tbl>
          <w:p w14:paraId="51C8511D">
            <w:pPr>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kern w:val="0"/>
                <w:sz w:val="24"/>
                <w:szCs w:val="24"/>
                <w:highlight w:val="none"/>
                <w:lang w:eastAsia="zh-CN"/>
              </w:rPr>
            </w:pPr>
          </w:p>
          <w:p w14:paraId="0375B557">
            <w:pPr>
              <w:pStyle w:val="9"/>
              <w:pageBreakBefore w:val="0"/>
              <w:widowControl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rPr>
              <w:t>、声环境保护目标</w:t>
            </w:r>
          </w:p>
          <w:p w14:paraId="35AA852C">
            <w:pPr>
              <w:pageBreakBefore w:val="0"/>
              <w:widowControl w:val="0"/>
              <w:kinsoku/>
              <w:wordWrap w:val="0"/>
              <w:overflowPunct/>
              <w:topLinePunct w:val="0"/>
              <w:autoSpaceDE/>
              <w:autoSpaceDN/>
              <w:bidi w:val="0"/>
              <w:spacing w:line="360" w:lineRule="auto"/>
              <w:ind w:firstLine="48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本项目厂界外50米范围内无声环境保护目标。</w:t>
            </w:r>
          </w:p>
          <w:p w14:paraId="239F0C66">
            <w:pPr>
              <w:pStyle w:val="9"/>
              <w:pageBreakBefore w:val="0"/>
              <w:widowControl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rPr>
              <w:t>、地下水环境保护目标</w:t>
            </w:r>
          </w:p>
          <w:p w14:paraId="717C185F">
            <w:pPr>
              <w:pageBreakBefore w:val="0"/>
              <w:widowControl w:val="0"/>
              <w:kinsoku/>
              <w:wordWrap w:val="0"/>
              <w:overflowPunct/>
              <w:topLinePunct w:val="0"/>
              <w:autoSpaceDE/>
              <w:autoSpaceDN/>
              <w:bidi w:val="0"/>
              <w:spacing w:line="360" w:lineRule="auto"/>
              <w:ind w:firstLine="48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本项目厂界外500米范围内无地下水集中式饮用水水源和热水、矿泉水、温泉等特殊地下水资源。</w:t>
            </w:r>
          </w:p>
          <w:p w14:paraId="1E1E8B1E">
            <w:pPr>
              <w:pStyle w:val="9"/>
              <w:pageBreakBefore w:val="0"/>
              <w:widowControl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4</w:t>
            </w:r>
            <w:r>
              <w:rPr>
                <w:rFonts w:hint="default" w:ascii="Times New Roman" w:hAnsi="Times New Roman" w:cs="Times New Roman" w:eastAsiaTheme="minorEastAsia"/>
                <w:color w:val="auto"/>
                <w:sz w:val="24"/>
                <w:szCs w:val="24"/>
                <w:highlight w:val="none"/>
              </w:rPr>
              <w:t>、生态环境保护目标</w:t>
            </w:r>
          </w:p>
          <w:p w14:paraId="51D987A0">
            <w:pPr>
              <w:pageBreakBefore w:val="0"/>
              <w:widowControl w:val="0"/>
              <w:kinsoku/>
              <w:overflowPunct/>
              <w:topLinePunct w:val="0"/>
              <w:autoSpaceDE/>
              <w:autoSpaceDN/>
              <w:bidi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eastAsiaTheme="minorEastAsia"/>
                <w:color w:val="auto"/>
                <w:sz w:val="24"/>
                <w:szCs w:val="24"/>
                <w:highlight w:val="none"/>
              </w:rPr>
              <w:t>保护本项目建设地块的生态环境，防止水土流失，使其能实现生态环境的良性循环，不对现有的生态环境造成大面积的破坏。本项目所在区域无生态环境保护目标。</w:t>
            </w:r>
          </w:p>
        </w:tc>
      </w:tr>
      <w:tr w14:paraId="470DA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51" w:type="pct"/>
            <w:tcMar>
              <w:left w:w="28" w:type="dxa"/>
              <w:right w:w="28" w:type="dxa"/>
            </w:tcMar>
            <w:vAlign w:val="center"/>
          </w:tcPr>
          <w:p w14:paraId="4AD8145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14:paraId="58C835C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14:paraId="56E138B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14:paraId="47F153F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14:paraId="5010785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4548" w:type="pct"/>
            <w:vAlign w:val="center"/>
          </w:tcPr>
          <w:p w14:paraId="2DD248F9">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1、水污染物排放标准</w:t>
            </w:r>
          </w:p>
          <w:p w14:paraId="209EF3D4">
            <w:pPr>
              <w:spacing w:line="360" w:lineRule="auto"/>
              <w:ind w:firstLine="480" w:firstLineChars="20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eastAsiaTheme="minorEastAsia"/>
                <w:color w:val="auto"/>
                <w:sz w:val="24"/>
                <w:highlight w:val="none"/>
                <w:lang w:eastAsia="zh-CN"/>
              </w:rPr>
              <w:t>本项目运营期废水主要为生产废水，包括磨边废水、冷却塔废水、清洗废水、纯水设备</w:t>
            </w:r>
            <w:r>
              <w:rPr>
                <w:rFonts w:hint="default" w:ascii="Times New Roman" w:hAnsi="Times New Roman" w:cs="Times New Roman" w:eastAsiaTheme="minorEastAsia"/>
                <w:color w:val="auto"/>
                <w:sz w:val="24"/>
                <w:highlight w:val="none"/>
                <w:lang w:val="en-US" w:eastAsia="zh-CN"/>
              </w:rPr>
              <w:t>废水（</w:t>
            </w:r>
            <w:r>
              <w:rPr>
                <w:rFonts w:hint="default" w:ascii="Times New Roman" w:hAnsi="Times New Roman" w:cs="Times New Roman" w:eastAsiaTheme="minorEastAsia"/>
                <w:color w:val="auto"/>
                <w:sz w:val="24"/>
                <w:highlight w:val="none"/>
                <w:lang w:eastAsia="zh-CN"/>
              </w:rPr>
              <w:t>产生浓水和反冲洗废水）。</w:t>
            </w:r>
          </w:p>
          <w:p w14:paraId="3C70760B">
            <w:pPr>
              <w:spacing w:line="360" w:lineRule="auto"/>
              <w:ind w:firstLine="480" w:firstLineChars="20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color w:val="auto"/>
                <w:sz w:val="24"/>
                <w:szCs w:val="24"/>
                <w:highlight w:val="none"/>
              </w:rPr>
              <w:t>磨边废水进入</w:t>
            </w:r>
            <w:r>
              <w:rPr>
                <w:rFonts w:hint="default" w:ascii="Times New Roman" w:hAnsi="Times New Roman" w:cs="Times New Roman"/>
                <w:color w:val="auto"/>
                <w:sz w:val="24"/>
                <w:szCs w:val="24"/>
                <w:highlight w:val="none"/>
                <w:lang w:eastAsia="zh-CN"/>
              </w:rPr>
              <w:t>磨边废水收集池沉淀，</w:t>
            </w:r>
            <w:r>
              <w:rPr>
                <w:rFonts w:hint="default" w:ascii="Times New Roman" w:hAnsi="Times New Roman" w:cs="Times New Roman" w:eastAsiaTheme="minorEastAsia"/>
                <w:color w:val="auto"/>
                <w:sz w:val="24"/>
                <w:highlight w:val="none"/>
                <w:lang w:eastAsia="zh-CN"/>
              </w:rPr>
              <w:t>定期捞渣，循环使用不外排。其余生产废水排入园区污水处理厂，出厂水质达到园区污水处理厂接管水质要求、广东省《水污染物排放限值》（DB44/26-2001）第二时段三级标准、《电子工业水污染物排放标准》（GB 39731-2020）</w:t>
            </w:r>
            <w:r>
              <w:rPr>
                <w:rFonts w:hint="default" w:ascii="Times New Roman" w:hAnsi="Times New Roman" w:cs="Times New Roman" w:eastAsiaTheme="minorEastAsia"/>
                <w:color w:val="auto"/>
                <w:sz w:val="24"/>
                <w:highlight w:val="none"/>
                <w:lang w:val="en-US" w:eastAsia="zh-CN"/>
              </w:rPr>
              <w:t>间接排放标准的三者</w:t>
            </w:r>
            <w:r>
              <w:rPr>
                <w:rFonts w:hint="default" w:ascii="Times New Roman" w:hAnsi="Times New Roman" w:cs="Times New Roman" w:eastAsiaTheme="minorEastAsia"/>
                <w:color w:val="auto"/>
                <w:sz w:val="24"/>
                <w:highlight w:val="none"/>
                <w:lang w:eastAsia="zh-CN"/>
              </w:rPr>
              <w:t>较严值后，排入园区污水处理厂处理。</w:t>
            </w:r>
          </w:p>
          <w:p w14:paraId="7516E014">
            <w:pPr>
              <w:spacing w:line="360" w:lineRule="auto"/>
              <w:ind w:firstLine="480" w:firstLineChars="200"/>
              <w:rPr>
                <w:rFonts w:hint="default" w:ascii="Times New Roman" w:hAnsi="Times New Roman" w:cs="Times New Roman" w:eastAsiaTheme="minorEastAsia"/>
                <w:color w:val="auto"/>
                <w:sz w:val="24"/>
                <w:highlight w:val="none"/>
                <w:lang w:eastAsia="zh-CN"/>
              </w:rPr>
            </w:pPr>
            <w:r>
              <w:rPr>
                <w:rFonts w:hint="default" w:ascii="Times New Roman" w:hAnsi="Times New Roman" w:cs="Times New Roman" w:eastAsiaTheme="minorEastAsia"/>
                <w:color w:val="auto"/>
                <w:sz w:val="24"/>
                <w:highlight w:val="none"/>
                <w:lang w:eastAsia="zh-CN"/>
              </w:rPr>
              <w:t>园区污水处理厂出水水质标准执行广东省《水污染物排放限值》（DB44/26-2001）第二时段一级标准和《城镇污水处理厂污染物排放标准》（GB18919-2002）一级B标准中严者。</w:t>
            </w:r>
            <w:r>
              <w:rPr>
                <w:rFonts w:hint="default" w:ascii="Times New Roman" w:hAnsi="Times New Roman" w:cs="Times New Roman" w:eastAsiaTheme="minorEastAsia"/>
                <w:color w:val="auto"/>
                <w:sz w:val="24"/>
                <w:highlight w:val="none"/>
                <w:lang w:val="zh-CN" w:eastAsia="zh-CN"/>
              </w:rPr>
              <w:t>相关排放标准情况</w:t>
            </w:r>
            <w:r>
              <w:rPr>
                <w:rFonts w:hint="default" w:ascii="Times New Roman" w:hAnsi="Times New Roman" w:cs="Times New Roman" w:eastAsiaTheme="minorEastAsia"/>
                <w:color w:val="auto"/>
                <w:sz w:val="24"/>
                <w:highlight w:val="none"/>
                <w:lang w:eastAsia="zh-CN"/>
              </w:rPr>
              <w:t>见下表：</w:t>
            </w:r>
          </w:p>
          <w:p w14:paraId="4EE47538">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本项目水污染物排放标准  单位：mg/L，pH为无量纲</w:t>
            </w:r>
          </w:p>
          <w:tbl>
            <w:tblPr>
              <w:tblStyle w:val="3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26"/>
              <w:gridCol w:w="1906"/>
              <w:gridCol w:w="1889"/>
              <w:gridCol w:w="1591"/>
              <w:gridCol w:w="1018"/>
            </w:tblGrid>
            <w:tr w14:paraId="3DF4F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66DD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34450">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园区污水处理厂接管水质要求</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CE19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DB44/26-2001第二时段三级标准</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53D3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GB 39731-2020间接排放标准</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61F7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三者较严值</w:t>
                  </w:r>
                </w:p>
              </w:tc>
            </w:tr>
            <w:tr w14:paraId="1E813C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19B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768E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C91A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91B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AB0B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r>
            <w:tr w14:paraId="0260B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F7DB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17C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E8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D46B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9F72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r>
            <w:tr w14:paraId="2E063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449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501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84F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4CB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F48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r>
            <w:tr w14:paraId="2CB88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5E7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3FD4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729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E03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0E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r>
            <w:tr w14:paraId="7C006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B2C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482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FF3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C3B1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29C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r>
            <w:tr w14:paraId="2C220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609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LAS</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96F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EF0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AED6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00A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r>
            <w:tr w14:paraId="512FA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58B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0D6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154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CF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6BD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r>
            <w:tr w14:paraId="38C92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9C5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总磷</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8B8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11C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EE2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102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r>
            <w:tr w14:paraId="01C73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A26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总氮</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BAD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E2263">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8DA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8F5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r>
            <w:tr w14:paraId="7B3B6F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264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总有机碳（TOC</w:t>
                  </w:r>
                  <w:r>
                    <w:rPr>
                      <w:rFonts w:hint="default" w:ascii="Times New Roman" w:hAnsi="Times New Roman" w:cs="Times New Roman"/>
                      <w:i w:val="0"/>
                      <w:iCs w:val="0"/>
                      <w:color w:val="auto"/>
                      <w:kern w:val="0"/>
                      <w:sz w:val="21"/>
                      <w:szCs w:val="21"/>
                      <w:highlight w:val="none"/>
                      <w:u w:val="none"/>
                      <w:lang w:val="en-US" w:eastAsia="zh-CN" w:bidi="ar"/>
                    </w:rPr>
                    <w:t>）</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577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751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0EBD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8C7C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r>
            <w:tr w14:paraId="5AD33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B4B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总氰化物</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84A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379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4A8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115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4A0A3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5DF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硫化物</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9E8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81E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9DA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240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CFDD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A29D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557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9D01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7BA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C5A0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r>
            <w:tr w14:paraId="690ED3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6A9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总铜</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ED5D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B71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7590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27A0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r w14:paraId="1CC78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E75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总锌</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C59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059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7D8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9B2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r>
            <w:tr w14:paraId="7E1BA2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CA9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总铅</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BA67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86C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D226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B4E7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r>
            <w:tr w14:paraId="47577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E120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总镉</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542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EC3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626E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813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r>
            <w:tr w14:paraId="65995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93C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总铬</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4B3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DF0D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9B9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269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r>
            <w:tr w14:paraId="1E313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8E6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六价铬</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5CF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DB8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C68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632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1CD8A7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99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总砷</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0B7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6BB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044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170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2FA9F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313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总镍</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12AB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723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 </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15B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5582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20C0A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42F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总银</w:t>
                  </w:r>
                </w:p>
              </w:tc>
              <w:tc>
                <w:tcPr>
                  <w:tcW w:w="11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0D5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45D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9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643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6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A56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r>
          </w:tbl>
          <w:p w14:paraId="16F68593">
            <w:pPr>
              <w:keepNext w:val="0"/>
              <w:keepLines w:val="0"/>
              <w:pageBreakBefore w:val="0"/>
              <w:widowControl w:val="0"/>
              <w:numPr>
                <w:ilvl w:val="0"/>
                <w:numId w:val="0"/>
              </w:numPr>
              <w:tabs>
                <w:tab w:val="left" w:pos="0"/>
              </w:tabs>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p>
          <w:p w14:paraId="5774F38E">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园区污水处理厂水污染物排放限值（摘录）单位：mg/L，pH为无量纲</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5"/>
              <w:gridCol w:w="553"/>
              <w:gridCol w:w="659"/>
              <w:gridCol w:w="616"/>
              <w:gridCol w:w="900"/>
              <w:gridCol w:w="1222"/>
              <w:gridCol w:w="1298"/>
            </w:tblGrid>
            <w:tr w14:paraId="12A2C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FC55F94">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1C6131D4">
                  <w:pPr>
                    <w:spacing w:beforeLines="0" w:afterLines="0" w:line="276" w:lineRule="auto"/>
                    <w:jc w:val="center"/>
                    <w:rPr>
                      <w:rFonts w:hint="default" w:ascii="Times New Roman" w:hAnsi="Times New Roman" w:cs="Times New Roman"/>
                      <w:b/>
                      <w:color w:val="auto"/>
                      <w:sz w:val="21"/>
                      <w:szCs w:val="21"/>
                      <w:highlight w:val="none"/>
                      <w:vertAlign w:val="subscript"/>
                    </w:rPr>
                  </w:pPr>
                  <w:r>
                    <w:rPr>
                      <w:rFonts w:hint="default" w:ascii="Times New Roman" w:hAnsi="Times New Roman" w:cs="Times New Roman"/>
                      <w:b/>
                      <w:color w:val="auto"/>
                      <w:sz w:val="21"/>
                      <w:szCs w:val="21"/>
                      <w:highlight w:val="none"/>
                    </w:rPr>
                    <w:t>COD</w:t>
                  </w:r>
                  <w:r>
                    <w:rPr>
                      <w:rFonts w:hint="default" w:ascii="Times New Roman" w:hAnsi="Times New Roman" w:cs="Times New Roman"/>
                      <w:b/>
                      <w:color w:val="auto"/>
                      <w:sz w:val="21"/>
                      <w:szCs w:val="21"/>
                      <w:highlight w:val="none"/>
                      <w:vertAlign w:val="subscript"/>
                    </w:rPr>
                    <w:t>Cr</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3C783C3A">
                  <w:pPr>
                    <w:spacing w:beforeLines="0" w:afterLines="0" w:line="276" w:lineRule="auto"/>
                    <w:jc w:val="center"/>
                    <w:rPr>
                      <w:rFonts w:hint="default" w:ascii="Times New Roman" w:hAnsi="Times New Roman" w:cs="Times New Roman"/>
                      <w:b/>
                      <w:color w:val="auto"/>
                      <w:sz w:val="21"/>
                      <w:szCs w:val="21"/>
                      <w:highlight w:val="none"/>
                      <w:vertAlign w:val="subscript"/>
                    </w:rPr>
                  </w:pPr>
                  <w:r>
                    <w:rPr>
                      <w:rFonts w:hint="default" w:ascii="Times New Roman" w:hAnsi="Times New Roman" w:cs="Times New Roman"/>
                      <w:b/>
                      <w:color w:val="auto"/>
                      <w:sz w:val="21"/>
                      <w:szCs w:val="21"/>
                      <w:highlight w:val="none"/>
                    </w:rPr>
                    <w:t>BOD</w:t>
                  </w:r>
                  <w:r>
                    <w:rPr>
                      <w:rFonts w:hint="default" w:ascii="Times New Roman" w:hAnsi="Times New Roman" w:cs="Times New Roman"/>
                      <w:b/>
                      <w:color w:val="auto"/>
                      <w:sz w:val="21"/>
                      <w:szCs w:val="21"/>
                      <w:highlight w:val="none"/>
                      <w:vertAlign w:val="subscript"/>
                    </w:rPr>
                    <w:t>5</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30CDCB07">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SS</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7A1E39AE">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氨氮</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3792E5B6">
                  <w:pPr>
                    <w:spacing w:beforeLines="0" w:afterLines="0" w:line="276"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LAS</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5B5B6CAD">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动植物油</w:t>
                  </w:r>
                </w:p>
              </w:tc>
            </w:tr>
            <w:tr w14:paraId="6A865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9FEF2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w:t>
                  </w:r>
                  <w:r>
                    <w:rPr>
                      <w:rFonts w:hint="default" w:ascii="Times New Roman" w:hAnsi="Times New Roman" w:eastAsia="宋体" w:cs="Times New Roman"/>
                      <w:color w:val="auto"/>
                      <w:sz w:val="21"/>
                      <w:szCs w:val="21"/>
                      <w:highlight w:val="none"/>
                    </w:rPr>
                    <w:t>第二时段一级排放标准</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28917DD">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415F3322">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18E60522">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46CD950C">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51434AE4">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0B900E93">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26927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BAA2A61">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w:t>
                  </w:r>
                  <w:r>
                    <w:rPr>
                      <w:rFonts w:hint="default" w:ascii="Times New Roman" w:hAnsi="Times New Roman" w:eastAsia="宋体" w:cs="Times New Roman"/>
                      <w:color w:val="auto"/>
                      <w:sz w:val="21"/>
                      <w:szCs w:val="21"/>
                      <w:highlight w:val="none"/>
                    </w:rPr>
                    <w:t>一级B标准</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20AD396">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31CBDB40">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25917F3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4256EF5A">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8(15</w:t>
                  </w:r>
                  <w:r>
                    <w:rPr>
                      <w:rFonts w:hint="default" w:ascii="Times New Roman" w:hAnsi="Times New Roman" w:cs="Times New Roman"/>
                      <w:color w:val="auto"/>
                      <w:sz w:val="21"/>
                      <w:szCs w:val="21"/>
                      <w:highlight w:val="none"/>
                      <w:vertAlign w:val="superscript"/>
                    </w:rPr>
                    <w:t>①</w:t>
                  </w:r>
                  <w:r>
                    <w:rPr>
                      <w:rFonts w:hint="default" w:ascii="Times New Roman" w:hAnsi="Times New Roman" w:cs="Times New Roman"/>
                      <w:color w:val="auto"/>
                      <w:sz w:val="21"/>
                      <w:szCs w:val="21"/>
                      <w:highlight w:val="none"/>
                    </w:rPr>
                    <w:t>)</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2EBD2FF0">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2CA1E55E">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6EAD7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AB8D2C1">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9051C28">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761E14A2">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06DCEE5D">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7CB9382D">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2D773EF1">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73382480">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2651B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70C2832">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6F1B4FE">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总氮</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3B1F67C3">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总磷</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3E19268B">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pH</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11FED5EC">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石油类</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0CFC09E3">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色度（稀释倍数）</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2C31212F">
                  <w:pPr>
                    <w:spacing w:beforeLines="0" w:afterLines="0" w:line="276"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粪大肠菌群</w:t>
                  </w:r>
                </w:p>
              </w:tc>
            </w:tr>
            <w:tr w14:paraId="244C2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6F2E99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w:t>
                  </w:r>
                  <w:r>
                    <w:rPr>
                      <w:rFonts w:hint="default" w:ascii="Times New Roman" w:hAnsi="Times New Roman" w:eastAsia="宋体" w:cs="Times New Roman"/>
                      <w:color w:val="auto"/>
                      <w:sz w:val="21"/>
                      <w:szCs w:val="21"/>
                      <w:highlight w:val="none"/>
                    </w:rPr>
                    <w:t>第二时段一级排放标准</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BF2A411">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4B36124A">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6FD85840">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03D2F638">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4371D37A">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211BEE7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0C585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170E0287">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w:t>
                  </w:r>
                  <w:r>
                    <w:rPr>
                      <w:rFonts w:hint="default" w:ascii="Times New Roman" w:hAnsi="Times New Roman" w:eastAsia="宋体" w:cs="Times New Roman"/>
                      <w:color w:val="auto"/>
                      <w:sz w:val="21"/>
                      <w:szCs w:val="21"/>
                      <w:highlight w:val="none"/>
                    </w:rPr>
                    <w:t>一级B标准</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123F59">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263C1FD1">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178E1724">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6E16F919">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56EB831C">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18E0497F">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w:t>
                  </w:r>
                  <w:r>
                    <w:rPr>
                      <w:rFonts w:hint="default" w:ascii="Times New Roman" w:hAnsi="Times New Roman" w:eastAsia="宋体" w:cs="Times New Roman"/>
                      <w:color w:val="auto"/>
                      <w:sz w:val="21"/>
                      <w:szCs w:val="21"/>
                      <w:highlight w:val="none"/>
                    </w:rPr>
                    <w:t>个/L</w:t>
                  </w:r>
                </w:p>
              </w:tc>
            </w:tr>
            <w:tr w14:paraId="1B958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80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4FFE57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336"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3AAE586">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00" w:type="pct"/>
                  <w:tcBorders>
                    <w:top w:val="single" w:color="auto" w:sz="4" w:space="0"/>
                    <w:left w:val="single" w:color="auto" w:sz="4" w:space="0"/>
                    <w:bottom w:val="single" w:color="auto" w:sz="4" w:space="0"/>
                    <w:right w:val="single" w:color="auto" w:sz="4" w:space="0"/>
                    <w:tl2br w:val="nil"/>
                    <w:tr2bl w:val="nil"/>
                  </w:tcBorders>
                  <w:noWrap/>
                  <w:vAlign w:val="center"/>
                </w:tcPr>
                <w:p w14:paraId="5116A7F9">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374" w:type="pct"/>
                  <w:tcBorders>
                    <w:top w:val="single" w:color="auto" w:sz="4" w:space="0"/>
                    <w:left w:val="single" w:color="auto" w:sz="4" w:space="0"/>
                    <w:bottom w:val="single" w:color="auto" w:sz="4" w:space="0"/>
                    <w:right w:val="single" w:color="auto" w:sz="4" w:space="0"/>
                    <w:tl2br w:val="nil"/>
                    <w:tr2bl w:val="nil"/>
                  </w:tcBorders>
                  <w:noWrap/>
                  <w:vAlign w:val="center"/>
                </w:tcPr>
                <w:p w14:paraId="46520B06">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47" w:type="pct"/>
                  <w:tcBorders>
                    <w:top w:val="single" w:color="auto" w:sz="4" w:space="0"/>
                    <w:left w:val="single" w:color="auto" w:sz="4" w:space="0"/>
                    <w:bottom w:val="single" w:color="auto" w:sz="4" w:space="0"/>
                    <w:right w:val="single" w:color="auto" w:sz="4" w:space="0"/>
                    <w:tl2br w:val="nil"/>
                    <w:tr2bl w:val="nil"/>
                  </w:tcBorders>
                  <w:noWrap/>
                  <w:vAlign w:val="center"/>
                </w:tcPr>
                <w:p w14:paraId="78B519AF">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43" w:type="pct"/>
                  <w:tcBorders>
                    <w:top w:val="single" w:color="auto" w:sz="4" w:space="0"/>
                    <w:left w:val="single" w:color="auto" w:sz="4" w:space="0"/>
                    <w:bottom w:val="single" w:color="auto" w:sz="4" w:space="0"/>
                    <w:right w:val="single" w:color="auto" w:sz="4" w:space="0"/>
                    <w:tl2br w:val="nil"/>
                    <w:tr2bl w:val="nil"/>
                  </w:tcBorders>
                  <w:noWrap/>
                  <w:vAlign w:val="center"/>
                </w:tcPr>
                <w:p w14:paraId="5CE7A5C5">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89" w:type="pct"/>
                  <w:tcBorders>
                    <w:top w:val="single" w:color="auto" w:sz="4" w:space="0"/>
                    <w:left w:val="single" w:color="auto" w:sz="4" w:space="0"/>
                    <w:bottom w:val="single" w:color="auto" w:sz="4" w:space="0"/>
                    <w:right w:val="single" w:color="auto" w:sz="4" w:space="0"/>
                    <w:tl2br w:val="nil"/>
                    <w:tr2bl w:val="nil"/>
                  </w:tcBorders>
                  <w:noWrap/>
                  <w:vAlign w:val="center"/>
                </w:tcPr>
                <w:p w14:paraId="0DB13912">
                  <w:pPr>
                    <w:spacing w:beforeLines="0" w:afterLines="0"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w:t>
                  </w:r>
                  <w:r>
                    <w:rPr>
                      <w:rFonts w:hint="default" w:ascii="Times New Roman" w:hAnsi="Times New Roman" w:eastAsia="宋体" w:cs="Times New Roman"/>
                      <w:color w:val="auto"/>
                      <w:sz w:val="21"/>
                      <w:szCs w:val="21"/>
                      <w:highlight w:val="none"/>
                    </w:rPr>
                    <w:t>个/L</w:t>
                  </w:r>
                </w:p>
              </w:tc>
            </w:tr>
            <w:tr w14:paraId="517F2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00" w:type="pct"/>
                  <w:gridSpan w:val="7"/>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9FDE1D8">
                  <w:pPr>
                    <w:spacing w:beforeLines="0" w:afterLines="0" w:line="276" w:lineRule="auto"/>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备注</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ja-JP"/>
                    </w:rPr>
                    <w:t>①</w:t>
                  </w:r>
                  <w:r>
                    <w:rPr>
                      <w:rFonts w:hint="default" w:ascii="Times New Roman" w:hAnsi="Times New Roman" w:eastAsia="宋体" w:cs="Times New Roman"/>
                      <w:color w:val="auto"/>
                      <w:sz w:val="21"/>
                      <w:szCs w:val="21"/>
                      <w:highlight w:val="none"/>
                    </w:rPr>
                    <w:t>括号内为水温&lt;12℃时的限值，括号外为水温在12℃以上的限值</w:t>
                  </w:r>
                  <w:r>
                    <w:rPr>
                      <w:rFonts w:hint="default" w:ascii="Times New Roman" w:hAnsi="Times New Roman" w:eastAsia="宋体" w:cs="Times New Roman"/>
                      <w:color w:val="auto"/>
                      <w:sz w:val="21"/>
                      <w:szCs w:val="21"/>
                      <w:highlight w:val="none"/>
                      <w:lang w:eastAsia="zh-CN"/>
                    </w:rPr>
                    <w:t>。</w:t>
                  </w:r>
                </w:p>
              </w:tc>
            </w:tr>
          </w:tbl>
          <w:p w14:paraId="085C77EB">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p>
          <w:p w14:paraId="2DA17437">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2、大气污染物排放标准</w:t>
            </w:r>
          </w:p>
          <w:p w14:paraId="7F1357D7">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lang w:val="en-US" w:eastAsia="zh-CN"/>
              </w:rPr>
            </w:pPr>
            <w:bookmarkStart w:id="30" w:name="_Hlk152480742"/>
            <w:r>
              <w:rPr>
                <w:rFonts w:hint="default" w:ascii="Times New Roman" w:hAnsi="Times New Roman" w:eastAsia="宋体" w:cs="Times New Roman"/>
                <w:b/>
                <w:bCs/>
                <w:color w:val="auto"/>
                <w:sz w:val="24"/>
                <w:highlight w:val="none"/>
                <w:lang w:val="en-US" w:eastAsia="zh-CN"/>
              </w:rPr>
              <w:t>（1）生产废气</w:t>
            </w:r>
          </w:p>
          <w:p w14:paraId="2D2E54A1">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2"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有机废气：</w:t>
            </w:r>
            <w:r>
              <w:rPr>
                <w:rFonts w:hint="default" w:ascii="Times New Roman" w:hAnsi="Times New Roman" w:cs="Times New Roman"/>
                <w:color w:val="auto"/>
                <w:sz w:val="24"/>
                <w:highlight w:val="none"/>
                <w:lang w:val="en-US" w:eastAsia="zh-CN"/>
              </w:rPr>
              <w:t>注塑产生的有机废气有组织排放执行《合成树脂工业污染物排放标准》（GB31572-2015，含2024年修改单）表5污染物特别排放限值；无组织执行表9企业边界大气污染物浓度限值。</w:t>
            </w:r>
          </w:p>
          <w:p w14:paraId="255A55A6">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封口</w:t>
            </w:r>
            <w:r>
              <w:rPr>
                <w:rFonts w:hint="default" w:ascii="Times New Roman" w:hAnsi="Times New Roman" w:cs="Times New Roman"/>
                <w:color w:val="auto"/>
                <w:sz w:val="24"/>
                <w:highlight w:val="none"/>
                <w:lang w:eastAsia="zh-CN"/>
              </w:rPr>
              <w:t>胶</w:t>
            </w:r>
            <w:r>
              <w:rPr>
                <w:rFonts w:hint="default" w:ascii="Times New Roman" w:hAnsi="Times New Roman" w:eastAsia="宋体" w:cs="Times New Roman"/>
                <w:color w:val="auto"/>
                <w:sz w:val="24"/>
                <w:highlight w:val="none"/>
                <w:lang w:eastAsia="zh-CN"/>
              </w:rPr>
              <w:t>、点胶固化产生的</w:t>
            </w:r>
            <w:r>
              <w:rPr>
                <w:rFonts w:hint="default" w:ascii="Times New Roman" w:hAnsi="Times New Roman" w:cs="Times New Roman"/>
                <w:color w:val="auto"/>
                <w:sz w:val="24"/>
                <w:highlight w:val="none"/>
                <w:lang w:eastAsia="zh-CN"/>
              </w:rPr>
              <w:t>有机废气（以</w:t>
            </w:r>
            <w:r>
              <w:rPr>
                <w:rFonts w:hint="default" w:ascii="Times New Roman" w:hAnsi="Times New Roman" w:eastAsia="宋体" w:cs="Times New Roman"/>
                <w:color w:val="auto"/>
                <w:sz w:val="24"/>
                <w:highlight w:val="none"/>
                <w:lang w:val="en-US" w:eastAsia="zh-CN"/>
              </w:rPr>
              <w:t>VOCs</w:t>
            </w:r>
            <w:r>
              <w:rPr>
                <w:rFonts w:hint="default" w:ascii="Times New Roman" w:hAnsi="Times New Roman" w:cs="Times New Roman"/>
                <w:color w:val="auto"/>
                <w:sz w:val="24"/>
                <w:highlight w:val="none"/>
                <w:lang w:val="en-US" w:eastAsia="zh-CN"/>
              </w:rPr>
              <w:t>表征）</w:t>
            </w:r>
            <w:r>
              <w:rPr>
                <w:rFonts w:hint="eastAsia" w:cs="Times New Roman"/>
                <w:color w:val="auto"/>
                <w:sz w:val="24"/>
                <w:highlight w:val="none"/>
                <w:lang w:val="en-US" w:eastAsia="zh-CN"/>
              </w:rPr>
              <w:t>在车间内</w:t>
            </w:r>
            <w:r>
              <w:rPr>
                <w:rFonts w:hint="default" w:ascii="Times New Roman" w:hAnsi="Times New Roman" w:cs="Times New Roman"/>
                <w:color w:val="auto"/>
                <w:sz w:val="24"/>
                <w:highlight w:val="none"/>
                <w:lang w:val="en-US" w:eastAsia="zh-CN"/>
              </w:rPr>
              <w:t>呈无组织排放，</w:t>
            </w:r>
            <w:r>
              <w:rPr>
                <w:rFonts w:hint="default" w:ascii="Times New Roman" w:hAnsi="Times New Roman" w:eastAsia="宋体" w:cs="Times New Roman"/>
                <w:color w:val="auto"/>
                <w:sz w:val="24"/>
                <w:highlight w:val="none"/>
              </w:rPr>
              <w:t>厂区内VOCs无组织排放</w:t>
            </w:r>
            <w:r>
              <w:rPr>
                <w:rFonts w:hint="default" w:ascii="Times New Roman" w:hAnsi="Times New Roman" w:cs="Times New Roman"/>
                <w:color w:val="auto"/>
                <w:sz w:val="24"/>
                <w:highlight w:val="none"/>
                <w:lang w:eastAsia="zh-CN"/>
              </w:rPr>
              <w:t>执行</w:t>
            </w:r>
            <w:r>
              <w:rPr>
                <w:rFonts w:hint="default" w:ascii="Times New Roman" w:hAnsi="Times New Roman" w:eastAsia="宋体" w:cs="Times New Roman"/>
                <w:color w:val="auto"/>
                <w:sz w:val="24"/>
                <w:highlight w:val="none"/>
              </w:rPr>
              <w:t>广东省《固定污染源挥发性有机物综合排放标准》</w:t>
            </w:r>
            <w:r>
              <w:rPr>
                <w:rFonts w:hint="eastAsia" w:cs="Times New Roman"/>
                <w:color w:val="auto"/>
                <w:sz w:val="24"/>
                <w:highlight w:val="none"/>
                <w:lang w:eastAsia="zh-CN"/>
              </w:rPr>
              <w:t>（DB44/2367—2022）</w:t>
            </w:r>
            <w:r>
              <w:rPr>
                <w:rFonts w:hint="eastAsia" w:cs="Times New Roman"/>
                <w:color w:val="auto"/>
                <w:sz w:val="24"/>
                <w:highlight w:val="none"/>
                <w:lang w:val="en-US" w:eastAsia="zh-CN"/>
              </w:rPr>
              <w:t>表3厂区内</w:t>
            </w:r>
            <w:r>
              <w:rPr>
                <w:rFonts w:hint="default" w:ascii="Times New Roman" w:hAnsi="Times New Roman" w:cs="Times New Roman"/>
                <w:color w:val="auto"/>
                <w:sz w:val="24"/>
                <w:highlight w:val="none"/>
                <w:lang w:val="en-US" w:eastAsia="zh-CN"/>
              </w:rPr>
              <w:t>VOCs无组织排放</w:t>
            </w:r>
            <w:r>
              <w:rPr>
                <w:rFonts w:hint="default" w:ascii="Times New Roman" w:hAnsi="Times New Roman" w:eastAsia="宋体" w:cs="Times New Roman"/>
                <w:color w:val="auto"/>
                <w:sz w:val="24"/>
                <w:highlight w:val="none"/>
              </w:rPr>
              <w:t>限值</w:t>
            </w:r>
            <w:r>
              <w:rPr>
                <w:rFonts w:hint="default" w:ascii="Times New Roman" w:hAnsi="Times New Roman" w:cs="Times New Roman"/>
                <w:color w:val="auto"/>
                <w:sz w:val="24"/>
                <w:highlight w:val="none"/>
                <w:lang w:eastAsia="zh-CN"/>
              </w:rPr>
              <w:t>。</w:t>
            </w:r>
          </w:p>
          <w:p w14:paraId="4E0BBC39">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2"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颗粒物：</w:t>
            </w:r>
            <w:r>
              <w:rPr>
                <w:rFonts w:hint="default" w:ascii="Times New Roman" w:hAnsi="Times New Roman" w:cs="Times New Roman"/>
                <w:color w:val="auto"/>
                <w:sz w:val="24"/>
                <w:highlight w:val="none"/>
                <w:lang w:val="en-US" w:eastAsia="zh-CN"/>
              </w:rPr>
              <w:t>破碎粉尘（颗粒物）无组织执行《合成树脂工业污染物排放标准》（GB31572-2015，含2024年修改单）表9企业边界大气污染物浓度限值。</w:t>
            </w:r>
          </w:p>
          <w:p w14:paraId="3F2B5EB5">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切割、</w:t>
            </w:r>
            <w:r>
              <w:rPr>
                <w:rFonts w:hint="eastAsia" w:cs="Times New Roman"/>
                <w:b w:val="0"/>
                <w:bCs w:val="0"/>
                <w:color w:val="auto"/>
                <w:sz w:val="24"/>
                <w:highlight w:val="none"/>
                <w:lang w:val="en-US" w:eastAsia="zh-CN"/>
              </w:rPr>
              <w:t>打粒、</w:t>
            </w:r>
            <w:r>
              <w:rPr>
                <w:rFonts w:hint="default" w:ascii="Times New Roman" w:hAnsi="Times New Roman" w:eastAsia="宋体" w:cs="Times New Roman"/>
                <w:b w:val="0"/>
                <w:bCs w:val="0"/>
                <w:color w:val="auto"/>
                <w:sz w:val="24"/>
                <w:highlight w:val="none"/>
                <w:lang w:val="en-US" w:eastAsia="zh-CN"/>
              </w:rPr>
              <w:t>磨边工序产生的</w:t>
            </w:r>
            <w:r>
              <w:rPr>
                <w:rFonts w:hint="default" w:ascii="Times New Roman" w:hAnsi="Times New Roman" w:cs="Times New Roman"/>
                <w:b w:val="0"/>
                <w:bCs w:val="0"/>
                <w:color w:val="auto"/>
                <w:sz w:val="24"/>
                <w:highlight w:val="none"/>
                <w:lang w:val="en-US" w:eastAsia="zh-CN"/>
              </w:rPr>
              <w:t>少量</w:t>
            </w:r>
            <w:r>
              <w:rPr>
                <w:rFonts w:hint="default" w:ascii="Times New Roman" w:hAnsi="Times New Roman" w:eastAsia="宋体" w:cs="Times New Roman"/>
                <w:b w:val="0"/>
                <w:bCs w:val="0"/>
                <w:color w:val="auto"/>
                <w:sz w:val="24"/>
                <w:highlight w:val="none"/>
                <w:lang w:val="en-US" w:eastAsia="zh-CN"/>
              </w:rPr>
              <w:t>粉尘（颗粒物）无组织排放执行广东省《大气污染物排放限值》（DB44/27-2001）第二时段无组织排放浓度限值的要求。</w:t>
            </w:r>
          </w:p>
          <w:p w14:paraId="453B31BE">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因此，厂界颗粒物无组织排放执行</w:t>
            </w:r>
            <w:r>
              <w:rPr>
                <w:rFonts w:hint="default" w:ascii="Times New Roman" w:hAnsi="Times New Roman" w:cs="Times New Roman"/>
                <w:color w:val="auto"/>
                <w:sz w:val="24"/>
                <w:highlight w:val="none"/>
                <w:lang w:val="en-US" w:eastAsia="zh-CN"/>
              </w:rPr>
              <w:t>《合成树脂工业污染物排放标准》（GB31572-2015，含2024年修改单）表9企业边界大气污染物浓度限值和</w:t>
            </w:r>
            <w:r>
              <w:rPr>
                <w:rFonts w:hint="default" w:ascii="Times New Roman" w:hAnsi="Times New Roman" w:eastAsia="宋体" w:cs="Times New Roman"/>
                <w:b w:val="0"/>
                <w:bCs w:val="0"/>
                <w:color w:val="auto"/>
                <w:sz w:val="24"/>
                <w:highlight w:val="none"/>
                <w:lang w:val="en-US" w:eastAsia="zh-CN"/>
              </w:rPr>
              <w:t>广东省《大气污染物排放限值》（DB44/27-2001）第二时段无组织排放浓度限值的较严者。</w:t>
            </w:r>
          </w:p>
          <w:p w14:paraId="570A32CC">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2"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b/>
                <w:bCs/>
                <w:color w:val="auto"/>
                <w:sz w:val="24"/>
                <w:highlight w:val="none"/>
                <w:lang w:val="en-US" w:eastAsia="zh-CN"/>
              </w:rPr>
              <w:t>臭气浓度：</w:t>
            </w:r>
            <w:r>
              <w:rPr>
                <w:rFonts w:hint="default" w:ascii="Times New Roman" w:hAnsi="Times New Roman" w:cs="Times New Roman"/>
                <w:color w:val="auto"/>
                <w:sz w:val="24"/>
                <w:highlight w:val="none"/>
                <w:lang w:val="en-US" w:eastAsia="zh-CN"/>
              </w:rPr>
              <w:t>臭气浓度</w:t>
            </w:r>
            <w:r>
              <w:rPr>
                <w:rFonts w:hint="default" w:ascii="Times New Roman" w:hAnsi="Times New Roman" w:eastAsia="宋体" w:cs="Times New Roman"/>
                <w:color w:val="auto"/>
                <w:sz w:val="24"/>
                <w:highlight w:val="none"/>
                <w:lang w:val="en-US" w:eastAsia="zh-CN"/>
              </w:rPr>
              <w:t>有组织排放</w:t>
            </w:r>
            <w:r>
              <w:rPr>
                <w:rFonts w:hint="default" w:ascii="Times New Roman" w:hAnsi="Times New Roman" w:eastAsia="宋体" w:cs="Times New Roman"/>
                <w:color w:val="auto"/>
                <w:sz w:val="24"/>
                <w:highlight w:val="none"/>
              </w:rPr>
              <w:t>执行《恶臭污染物排放标准》（GB14554-93）中</w:t>
            </w:r>
            <w:r>
              <w:rPr>
                <w:rFonts w:hint="default" w:ascii="Times New Roman" w:hAnsi="Times New Roman" w:eastAsia="宋体" w:cs="Times New Roman"/>
                <w:color w:val="auto"/>
                <w:sz w:val="24"/>
                <w:highlight w:val="none"/>
                <w:lang w:val="en-US" w:eastAsia="zh-CN"/>
              </w:rPr>
              <w:t>表2</w:t>
            </w:r>
            <w:r>
              <w:rPr>
                <w:rFonts w:hint="default" w:ascii="Times New Roman" w:hAnsi="Times New Roman" w:eastAsia="宋体" w:cs="Times New Roman"/>
                <w:color w:val="auto"/>
                <w:sz w:val="24"/>
                <w:highlight w:val="none"/>
              </w:rPr>
              <w:t>恶臭污染物排放标准值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无组织排放</w:t>
            </w:r>
            <w:r>
              <w:rPr>
                <w:rFonts w:hint="default" w:ascii="Times New Roman" w:hAnsi="Times New Roman" w:eastAsia="宋体" w:cs="Times New Roman"/>
                <w:color w:val="auto"/>
                <w:sz w:val="24"/>
                <w:highlight w:val="none"/>
              </w:rPr>
              <w:t>执行</w:t>
            </w:r>
            <w:r>
              <w:rPr>
                <w:rFonts w:hint="default" w:ascii="Times New Roman" w:hAnsi="Times New Roman" w:eastAsia="宋体" w:cs="Times New Roman"/>
                <w:color w:val="auto"/>
                <w:sz w:val="24"/>
                <w:highlight w:val="none"/>
                <w:lang w:val="en-US" w:eastAsia="zh-CN"/>
              </w:rPr>
              <w:t>表1恶臭污染物厂界标准值二级新扩改建标准。</w:t>
            </w:r>
          </w:p>
          <w:p w14:paraId="51A391D6">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《合成树脂工业污染物排放标准》（GB31572-2015，含2024年修改单）摘录</w:t>
            </w:r>
          </w:p>
          <w:tbl>
            <w:tblPr>
              <w:tblStyle w:val="38"/>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1815"/>
              <w:gridCol w:w="1605"/>
              <w:gridCol w:w="1575"/>
              <w:gridCol w:w="1005"/>
              <w:gridCol w:w="945"/>
            </w:tblGrid>
            <w:tr w14:paraId="75C13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restart"/>
                  <w:noWrap w:val="0"/>
                  <w:vAlign w:val="center"/>
                </w:tcPr>
                <w:p w14:paraId="0872AA36">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标准</w:t>
                  </w:r>
                </w:p>
              </w:tc>
              <w:tc>
                <w:tcPr>
                  <w:tcW w:w="1104" w:type="pct"/>
                  <w:vMerge w:val="restart"/>
                  <w:noWrap w:val="0"/>
                  <w:vAlign w:val="center"/>
                </w:tcPr>
                <w:p w14:paraId="2417B04D">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项目</w:t>
                  </w:r>
                </w:p>
              </w:tc>
              <w:tc>
                <w:tcPr>
                  <w:tcW w:w="1934" w:type="pct"/>
                  <w:gridSpan w:val="2"/>
                  <w:noWrap w:val="0"/>
                  <w:vAlign w:val="center"/>
                </w:tcPr>
                <w:p w14:paraId="5227A884">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有组织排放</w:t>
                  </w:r>
                </w:p>
              </w:tc>
              <w:tc>
                <w:tcPr>
                  <w:tcW w:w="1186" w:type="pct"/>
                  <w:gridSpan w:val="2"/>
                  <w:noWrap w:val="0"/>
                  <w:vAlign w:val="center"/>
                </w:tcPr>
                <w:p w14:paraId="534AE271">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无组织排放</w:t>
                  </w:r>
                </w:p>
              </w:tc>
            </w:tr>
            <w:tr w14:paraId="19970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3003F5A5">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p>
              </w:tc>
              <w:tc>
                <w:tcPr>
                  <w:tcW w:w="1104" w:type="pct"/>
                  <w:vMerge w:val="continue"/>
                  <w:noWrap w:val="0"/>
                  <w:vAlign w:val="center"/>
                </w:tcPr>
                <w:p w14:paraId="0C17CCE8">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p>
              </w:tc>
              <w:tc>
                <w:tcPr>
                  <w:tcW w:w="976" w:type="pct"/>
                  <w:noWrap w:val="0"/>
                  <w:vAlign w:val="center"/>
                </w:tcPr>
                <w:p w14:paraId="57176874">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最高允许排放浓度mg/m</w:t>
                  </w:r>
                  <w:r>
                    <w:rPr>
                      <w:rFonts w:hint="default" w:ascii="Times New Roman" w:hAnsi="Times New Roman" w:cs="Times New Roman"/>
                      <w:b/>
                      <w:bCs/>
                      <w:color w:val="auto"/>
                      <w:sz w:val="21"/>
                      <w:szCs w:val="21"/>
                      <w:highlight w:val="none"/>
                      <w:vertAlign w:val="superscript"/>
                      <w:lang w:val="en-US" w:eastAsia="zh-CN"/>
                    </w:rPr>
                    <w:t>3</w:t>
                  </w:r>
                </w:p>
              </w:tc>
              <w:tc>
                <w:tcPr>
                  <w:tcW w:w="958" w:type="pct"/>
                  <w:noWrap w:val="0"/>
                  <w:vAlign w:val="center"/>
                </w:tcPr>
                <w:p w14:paraId="3071B76C">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最高允许排放速率（kg/h）</w:t>
                  </w:r>
                </w:p>
              </w:tc>
              <w:tc>
                <w:tcPr>
                  <w:tcW w:w="611" w:type="pct"/>
                  <w:noWrap w:val="0"/>
                  <w:vAlign w:val="center"/>
                </w:tcPr>
                <w:p w14:paraId="3BF62B5D">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浓度限值mg/m</w:t>
                  </w:r>
                  <w:r>
                    <w:rPr>
                      <w:rFonts w:hint="default" w:ascii="Times New Roman" w:hAnsi="Times New Roman" w:cs="Times New Roman"/>
                      <w:b/>
                      <w:bCs/>
                      <w:color w:val="auto"/>
                      <w:sz w:val="21"/>
                      <w:szCs w:val="21"/>
                      <w:highlight w:val="none"/>
                      <w:vertAlign w:val="superscript"/>
                      <w:lang w:val="en-US" w:eastAsia="zh-CN"/>
                    </w:rPr>
                    <w:t>3</w:t>
                  </w:r>
                </w:p>
              </w:tc>
              <w:tc>
                <w:tcPr>
                  <w:tcW w:w="574" w:type="pct"/>
                  <w:noWrap w:val="0"/>
                  <w:vAlign w:val="center"/>
                </w:tcPr>
                <w:p w14:paraId="7D469574">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监控点</w:t>
                  </w:r>
                </w:p>
              </w:tc>
            </w:tr>
            <w:tr w14:paraId="74B78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restart"/>
                  <w:noWrap w:val="0"/>
                  <w:vAlign w:val="center"/>
                </w:tcPr>
                <w:p w14:paraId="67BEF1E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《合成树脂工业污染物排放标准》（GB31572-2015，含2024年修改单）</w:t>
                  </w:r>
                </w:p>
              </w:tc>
              <w:tc>
                <w:tcPr>
                  <w:tcW w:w="1104" w:type="pct"/>
                  <w:noWrap w:val="0"/>
                  <w:vAlign w:val="center"/>
                </w:tcPr>
                <w:p w14:paraId="53AC812D">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976" w:type="pct"/>
                  <w:noWrap w:val="0"/>
                  <w:vAlign w:val="center"/>
                </w:tcPr>
                <w:p w14:paraId="037AE70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958" w:type="pct"/>
                  <w:noWrap w:val="0"/>
                  <w:vAlign w:val="center"/>
                </w:tcPr>
                <w:p w14:paraId="4D83E20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554C97C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574" w:type="pct"/>
                  <w:vMerge w:val="restart"/>
                  <w:noWrap w:val="0"/>
                  <w:vAlign w:val="center"/>
                </w:tcPr>
                <w:p w14:paraId="265C6C6C">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周界外浓度最高点</w:t>
                  </w:r>
                </w:p>
              </w:tc>
            </w:tr>
            <w:tr w14:paraId="786F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02CAAB0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noWrap w:val="0"/>
                  <w:vAlign w:val="center"/>
                </w:tcPr>
                <w:p w14:paraId="6C8FE17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976" w:type="pct"/>
                  <w:noWrap w:val="0"/>
                  <w:vAlign w:val="center"/>
                </w:tcPr>
                <w:p w14:paraId="3C90471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958" w:type="pct"/>
                  <w:noWrap w:val="0"/>
                  <w:vAlign w:val="center"/>
                </w:tcPr>
                <w:p w14:paraId="3973FCD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34B9321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c>
                <w:tcPr>
                  <w:tcW w:w="574" w:type="pct"/>
                  <w:vMerge w:val="continue"/>
                  <w:noWrap w:val="0"/>
                  <w:vAlign w:val="center"/>
                </w:tcPr>
                <w:p w14:paraId="39E6F58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r w14:paraId="17E1F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3075F0C0">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shd w:val="clear" w:color="auto" w:fill="auto"/>
                  <w:noWrap w:val="0"/>
                  <w:vAlign w:val="center"/>
                </w:tcPr>
                <w:p w14:paraId="2CC6B4D7">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苯乙烯</w:t>
                  </w:r>
                </w:p>
              </w:tc>
              <w:tc>
                <w:tcPr>
                  <w:tcW w:w="976" w:type="pct"/>
                  <w:shd w:val="clear" w:color="auto" w:fill="auto"/>
                  <w:noWrap w:val="0"/>
                  <w:vAlign w:val="center"/>
                </w:tcPr>
                <w:p w14:paraId="7D6F109B">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w:t>
                  </w:r>
                </w:p>
              </w:tc>
              <w:tc>
                <w:tcPr>
                  <w:tcW w:w="958" w:type="pct"/>
                  <w:shd w:val="clear" w:color="auto" w:fill="auto"/>
                  <w:noWrap w:val="0"/>
                  <w:vAlign w:val="center"/>
                </w:tcPr>
                <w:p w14:paraId="3810A278">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18A9E9E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74" w:type="pct"/>
                  <w:vMerge w:val="continue"/>
                  <w:noWrap w:val="0"/>
                  <w:vAlign w:val="center"/>
                </w:tcPr>
                <w:p w14:paraId="2F5DA65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r w14:paraId="783AC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7BC1475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shd w:val="clear" w:color="auto" w:fill="auto"/>
                  <w:noWrap w:val="0"/>
                  <w:vAlign w:val="center"/>
                </w:tcPr>
                <w:p w14:paraId="1DA6AFED">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丙烯腈</w:t>
                  </w:r>
                </w:p>
              </w:tc>
              <w:tc>
                <w:tcPr>
                  <w:tcW w:w="976" w:type="pct"/>
                  <w:shd w:val="clear" w:color="auto" w:fill="auto"/>
                  <w:noWrap w:val="0"/>
                  <w:vAlign w:val="center"/>
                </w:tcPr>
                <w:p w14:paraId="451908A7">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0.5</w:t>
                  </w:r>
                </w:p>
              </w:tc>
              <w:tc>
                <w:tcPr>
                  <w:tcW w:w="958" w:type="pct"/>
                  <w:shd w:val="clear" w:color="auto" w:fill="auto"/>
                  <w:noWrap w:val="0"/>
                  <w:vAlign w:val="center"/>
                </w:tcPr>
                <w:p w14:paraId="213AA309">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7D72F15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74" w:type="pct"/>
                  <w:vMerge w:val="continue"/>
                  <w:noWrap w:val="0"/>
                  <w:vAlign w:val="center"/>
                </w:tcPr>
                <w:p w14:paraId="76A4FB5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r w14:paraId="46EF0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7B9DADD3">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shd w:val="clear" w:color="auto" w:fill="auto"/>
                  <w:noWrap w:val="0"/>
                  <w:vAlign w:val="center"/>
                </w:tcPr>
                <w:p w14:paraId="69CB6EC3">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1，3一丁二烯</w:t>
                  </w:r>
                </w:p>
              </w:tc>
              <w:tc>
                <w:tcPr>
                  <w:tcW w:w="976" w:type="pct"/>
                  <w:shd w:val="clear" w:color="auto" w:fill="auto"/>
                  <w:noWrap w:val="0"/>
                  <w:vAlign w:val="center"/>
                </w:tcPr>
                <w:p w14:paraId="5CB0F25D">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p>
              </w:tc>
              <w:tc>
                <w:tcPr>
                  <w:tcW w:w="958" w:type="pct"/>
                  <w:shd w:val="clear" w:color="auto" w:fill="auto"/>
                  <w:noWrap w:val="0"/>
                  <w:vAlign w:val="center"/>
                </w:tcPr>
                <w:p w14:paraId="3BB3CC09">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51800DB2">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74" w:type="pct"/>
                  <w:vMerge w:val="continue"/>
                  <w:noWrap w:val="0"/>
                  <w:vAlign w:val="center"/>
                </w:tcPr>
                <w:p w14:paraId="5C1B790C">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r w14:paraId="2D398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0A46E6ED">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shd w:val="clear" w:color="auto" w:fill="auto"/>
                  <w:noWrap w:val="0"/>
                  <w:vAlign w:val="center"/>
                </w:tcPr>
                <w:p w14:paraId="793DCD56">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甲苯</w:t>
                  </w:r>
                </w:p>
              </w:tc>
              <w:tc>
                <w:tcPr>
                  <w:tcW w:w="976" w:type="pct"/>
                  <w:shd w:val="clear" w:color="auto" w:fill="auto"/>
                  <w:noWrap w:val="0"/>
                  <w:vAlign w:val="center"/>
                </w:tcPr>
                <w:p w14:paraId="2F8457F3">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w:t>
                  </w:r>
                </w:p>
              </w:tc>
              <w:tc>
                <w:tcPr>
                  <w:tcW w:w="958" w:type="pct"/>
                  <w:shd w:val="clear" w:color="auto" w:fill="auto"/>
                  <w:noWrap w:val="0"/>
                  <w:vAlign w:val="center"/>
                </w:tcPr>
                <w:p w14:paraId="48934AD0">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455C775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0.8</w:t>
                  </w:r>
                </w:p>
              </w:tc>
              <w:tc>
                <w:tcPr>
                  <w:tcW w:w="574" w:type="pct"/>
                  <w:vMerge w:val="continue"/>
                  <w:noWrap w:val="0"/>
                  <w:vAlign w:val="center"/>
                </w:tcPr>
                <w:p w14:paraId="1773D96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r w14:paraId="29274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5" w:type="pct"/>
                  <w:vMerge w:val="continue"/>
                  <w:noWrap w:val="0"/>
                  <w:vAlign w:val="center"/>
                </w:tcPr>
                <w:p w14:paraId="163AD85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104" w:type="pct"/>
                  <w:shd w:val="clear" w:color="auto" w:fill="auto"/>
                  <w:noWrap w:val="0"/>
                  <w:vAlign w:val="center"/>
                </w:tcPr>
                <w:p w14:paraId="2EDC9857">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乙苯</w:t>
                  </w:r>
                </w:p>
              </w:tc>
              <w:tc>
                <w:tcPr>
                  <w:tcW w:w="976" w:type="pct"/>
                  <w:shd w:val="clear" w:color="auto" w:fill="auto"/>
                  <w:noWrap w:val="0"/>
                  <w:vAlign w:val="center"/>
                </w:tcPr>
                <w:p w14:paraId="5588E525">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50</w:t>
                  </w:r>
                </w:p>
              </w:tc>
              <w:tc>
                <w:tcPr>
                  <w:tcW w:w="958" w:type="pct"/>
                  <w:shd w:val="clear" w:color="auto" w:fill="auto"/>
                  <w:noWrap w:val="0"/>
                  <w:vAlign w:val="center"/>
                </w:tcPr>
                <w:p w14:paraId="6FD0F673">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11" w:type="pct"/>
                  <w:noWrap w:val="0"/>
                  <w:vAlign w:val="center"/>
                </w:tcPr>
                <w:p w14:paraId="04EB5526">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74" w:type="pct"/>
                  <w:vMerge w:val="continue"/>
                  <w:noWrap w:val="0"/>
                  <w:vAlign w:val="center"/>
                </w:tcPr>
                <w:p w14:paraId="625B620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bl>
          <w:p w14:paraId="4DAC6C4F">
            <w:pPr>
              <w:keepNext w:val="0"/>
              <w:keepLines w:val="0"/>
              <w:pageBreakBefore w:val="0"/>
              <w:widowControl w:val="0"/>
              <w:numPr>
                <w:ilvl w:val="0"/>
                <w:numId w:val="9"/>
              </w:numPr>
              <w:kinsoku/>
              <w:wordWrap w:val="0"/>
              <w:overflowPunct/>
              <w:topLinePunct w:val="0"/>
              <w:autoSpaceDE/>
              <w:autoSpaceDN/>
              <w:bidi w:val="0"/>
              <w:adjustRightInd/>
              <w:snapToGrid/>
              <w:spacing w:before="157" w:beforeLines="5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广东省《固定污染源挥发性有机物综合排放标准》（DB44/2367-2022）摘录</w:t>
            </w:r>
          </w:p>
          <w:tbl>
            <w:tblPr>
              <w:tblStyle w:val="3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054"/>
              <w:gridCol w:w="1460"/>
              <w:gridCol w:w="2648"/>
            </w:tblGrid>
            <w:tr w14:paraId="144F7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trPr>
              <w:tc>
                <w:tcPr>
                  <w:tcW w:w="1249" w:type="pct"/>
                  <w:tcBorders>
                    <w:tl2br w:val="nil"/>
                    <w:tr2bl w:val="nil"/>
                  </w:tcBorders>
                  <w:noWrap/>
                  <w:vAlign w:val="center"/>
                </w:tcPr>
                <w:p w14:paraId="4DCA064E">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污染物</w:t>
                  </w:r>
                </w:p>
              </w:tc>
              <w:tc>
                <w:tcPr>
                  <w:tcW w:w="3750" w:type="pct"/>
                  <w:gridSpan w:val="3"/>
                  <w:tcBorders>
                    <w:right w:val="single" w:color="000000" w:sz="2" w:space="0"/>
                    <w:tl2br w:val="nil"/>
                    <w:tr2bl w:val="nil"/>
                  </w:tcBorders>
                  <w:noWrap/>
                  <w:vAlign w:val="center"/>
                </w:tcPr>
                <w:p w14:paraId="1D26A55B">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厂区内无组织排放限值</w:t>
                  </w:r>
                  <w:r>
                    <w:rPr>
                      <w:rFonts w:hint="default" w:ascii="Times New Roman" w:hAnsi="Times New Roman" w:eastAsia="宋体"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lang w:val="en-US" w:eastAsia="zh-CN"/>
                    </w:rPr>
                    <w:t>3</w:t>
                  </w:r>
                </w:p>
              </w:tc>
            </w:tr>
            <w:tr w14:paraId="0C271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249" w:type="pct"/>
                  <w:tcBorders>
                    <w:tl2br w:val="nil"/>
                    <w:tr2bl w:val="nil"/>
                  </w:tcBorders>
                  <w:noWrap/>
                  <w:vAlign w:val="center"/>
                </w:tcPr>
                <w:p w14:paraId="13C862D4">
                  <w:pPr>
                    <w:pageBreakBefore w:val="0"/>
                    <w:wordWrap w:val="0"/>
                    <w:overflowPunct/>
                    <w:bidi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TVOC</w:t>
                  </w:r>
                </w:p>
              </w:tc>
              <w:tc>
                <w:tcPr>
                  <w:tcW w:w="1249" w:type="pct"/>
                  <w:tcBorders>
                    <w:tl2br w:val="nil"/>
                    <w:tr2bl w:val="nil"/>
                  </w:tcBorders>
                  <w:shd w:val="clear" w:color="auto" w:fill="auto"/>
                  <w:noWrap/>
                  <w:vAlign w:val="center"/>
                </w:tcPr>
                <w:p w14:paraId="53740084">
                  <w:pPr>
                    <w:pageBreakBefore w:val="0"/>
                    <w:wordWrap w:val="0"/>
                    <w:overflowPunct/>
                    <w:bidi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2500" w:type="pct"/>
                  <w:gridSpan w:val="2"/>
                  <w:tcBorders>
                    <w:tl2br w:val="nil"/>
                    <w:tr2bl w:val="nil"/>
                  </w:tcBorders>
                  <w:shd w:val="clear" w:color="auto" w:fill="auto"/>
                  <w:noWrap/>
                  <w:vAlign w:val="center"/>
                </w:tcPr>
                <w:p w14:paraId="5DA63E4D">
                  <w:pPr>
                    <w:pageBreakBefore w:val="0"/>
                    <w:wordWrap w:val="0"/>
                    <w:overflowPunct/>
                    <w:bidi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r>
            <w:tr w14:paraId="0221F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249" w:type="pct"/>
                  <w:vMerge w:val="restart"/>
                  <w:tcBorders>
                    <w:tl2br w:val="nil"/>
                    <w:tr2bl w:val="nil"/>
                  </w:tcBorders>
                  <w:noWrap/>
                  <w:vAlign w:val="center"/>
                </w:tcPr>
                <w:p w14:paraId="09CBC1E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NMHC</w:t>
                  </w:r>
                </w:p>
              </w:tc>
              <w:tc>
                <w:tcPr>
                  <w:tcW w:w="1249" w:type="pct"/>
                  <w:tcBorders>
                    <w:tl2br w:val="nil"/>
                    <w:tr2bl w:val="nil"/>
                  </w:tcBorders>
                  <w:noWrap/>
                  <w:vAlign w:val="center"/>
                </w:tcPr>
                <w:p w14:paraId="0A79A33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888" w:type="pct"/>
                  <w:vMerge w:val="restart"/>
                  <w:tcBorders>
                    <w:right w:val="single" w:color="000000" w:sz="2" w:space="0"/>
                    <w:tl2br w:val="nil"/>
                    <w:tr2bl w:val="nil"/>
                  </w:tcBorders>
                  <w:noWrap/>
                  <w:vAlign w:val="center"/>
                </w:tcPr>
                <w:p w14:paraId="69F6A39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在厂房外设置监控点</w:t>
                  </w:r>
                </w:p>
              </w:tc>
              <w:tc>
                <w:tcPr>
                  <w:tcW w:w="1611" w:type="pct"/>
                  <w:tcBorders>
                    <w:left w:val="single" w:color="000000" w:sz="2" w:space="0"/>
                    <w:tl2br w:val="nil"/>
                    <w:tr2bl w:val="nil"/>
                  </w:tcBorders>
                  <w:noWrap/>
                  <w:vAlign w:val="center"/>
                </w:tcPr>
                <w:p w14:paraId="1E02FDF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监控点处1h平均浓度值</w:t>
                  </w:r>
                </w:p>
              </w:tc>
            </w:tr>
            <w:tr w14:paraId="07D86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249" w:type="pct"/>
                  <w:vMerge w:val="continue"/>
                  <w:tcBorders>
                    <w:tl2br w:val="nil"/>
                    <w:tr2bl w:val="nil"/>
                  </w:tcBorders>
                  <w:noWrap/>
                  <w:vAlign w:val="center"/>
                </w:tcPr>
                <w:p w14:paraId="62A1937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249" w:type="pct"/>
                  <w:tcBorders>
                    <w:tl2br w:val="nil"/>
                    <w:tr2bl w:val="nil"/>
                  </w:tcBorders>
                  <w:noWrap/>
                  <w:vAlign w:val="center"/>
                </w:tcPr>
                <w:p w14:paraId="3C3965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888" w:type="pct"/>
                  <w:vMerge w:val="continue"/>
                  <w:tcBorders>
                    <w:right w:val="single" w:color="000000" w:sz="2" w:space="0"/>
                    <w:tl2br w:val="nil"/>
                    <w:tr2bl w:val="nil"/>
                  </w:tcBorders>
                  <w:noWrap/>
                  <w:vAlign w:val="center"/>
                </w:tcPr>
                <w:p w14:paraId="3724021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611" w:type="pct"/>
                  <w:tcBorders>
                    <w:left w:val="single" w:color="000000" w:sz="2" w:space="0"/>
                    <w:tl2br w:val="nil"/>
                    <w:tr2bl w:val="nil"/>
                  </w:tcBorders>
                  <w:noWrap/>
                  <w:vAlign w:val="center"/>
                </w:tcPr>
                <w:p w14:paraId="38D22A7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r>
          </w:tbl>
          <w:p w14:paraId="60E3107F">
            <w:pPr>
              <w:rPr>
                <w:rFonts w:hint="default" w:ascii="Times New Roman" w:hAnsi="Times New Roman" w:cs="Times New Roman"/>
                <w:color w:val="auto"/>
                <w:highlight w:val="none"/>
                <w:lang w:val="en-US" w:eastAsia="zh-CN"/>
              </w:rPr>
            </w:pPr>
          </w:p>
          <w:p w14:paraId="702973EA">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广东省《大气污染物排放限值》（DB44/27-2001）摘录</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5"/>
              <w:gridCol w:w="5896"/>
            </w:tblGrid>
            <w:tr w14:paraId="1E59D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trPr>
              <w:tc>
                <w:tcPr>
                  <w:tcW w:w="1414" w:type="pct"/>
                  <w:vMerge w:val="restart"/>
                  <w:tcBorders>
                    <w:tl2br w:val="nil"/>
                    <w:tr2bl w:val="nil"/>
                  </w:tcBorders>
                  <w:noWrap/>
                  <w:vAlign w:val="center"/>
                </w:tcPr>
                <w:p w14:paraId="2104D877">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污染物</w:t>
                  </w:r>
                </w:p>
              </w:tc>
              <w:tc>
                <w:tcPr>
                  <w:tcW w:w="3585" w:type="pct"/>
                  <w:tcBorders>
                    <w:tl2br w:val="nil"/>
                    <w:tr2bl w:val="nil"/>
                  </w:tcBorders>
                  <w:noWrap/>
                  <w:vAlign w:val="center"/>
                </w:tcPr>
                <w:p w14:paraId="36AC0AED">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无组织周界外浓度最高点</w:t>
                  </w:r>
                </w:p>
              </w:tc>
            </w:tr>
            <w:tr w14:paraId="7BF7A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4" w:type="pct"/>
                  <w:vMerge w:val="continue"/>
                  <w:tcBorders>
                    <w:tl2br w:val="nil"/>
                    <w:tr2bl w:val="nil"/>
                  </w:tcBorders>
                  <w:noWrap/>
                  <w:vAlign w:val="center"/>
                </w:tcPr>
                <w:p w14:paraId="723A5F9A">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p>
              </w:tc>
              <w:tc>
                <w:tcPr>
                  <w:tcW w:w="3585" w:type="pct"/>
                  <w:tcBorders>
                    <w:tl2br w:val="nil"/>
                    <w:tr2bl w:val="nil"/>
                  </w:tcBorders>
                  <w:noWrap/>
                  <w:vAlign w:val="center"/>
                </w:tcPr>
                <w:p w14:paraId="08F185F7">
                  <w:pPr>
                    <w:pageBreakBefore w:val="0"/>
                    <w:wordWrap w:val="0"/>
                    <w:overflowPunct/>
                    <w:bidi w:val="0"/>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排放浓度</w:t>
                  </w:r>
                  <w:r>
                    <w:rPr>
                      <w:rFonts w:hint="default" w:ascii="Times New Roman" w:hAnsi="Times New Roman" w:eastAsia="宋体"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lang w:val="en-US" w:eastAsia="zh-CN"/>
                    </w:rPr>
                    <w:t>3</w:t>
                  </w:r>
                </w:p>
              </w:tc>
            </w:tr>
            <w:tr w14:paraId="0602D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4" w:type="pct"/>
                  <w:tcBorders>
                    <w:tl2br w:val="nil"/>
                    <w:tr2bl w:val="nil"/>
                  </w:tcBorders>
                  <w:noWrap/>
                  <w:vAlign w:val="center"/>
                </w:tcPr>
                <w:p w14:paraId="2101B9A3">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3585" w:type="pct"/>
                  <w:tcBorders>
                    <w:tl2br w:val="nil"/>
                    <w:tr2bl w:val="nil"/>
                  </w:tcBorders>
                  <w:noWrap/>
                  <w:vAlign w:val="center"/>
                </w:tcPr>
                <w:p w14:paraId="137ED7B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bl>
          <w:p w14:paraId="0CE19D9E">
            <w:pPr>
              <w:rPr>
                <w:rFonts w:hint="default" w:ascii="Times New Roman" w:hAnsi="Times New Roman" w:cs="Times New Roman"/>
                <w:color w:val="auto"/>
                <w:highlight w:val="none"/>
                <w:lang w:val="en-US" w:eastAsia="zh-CN"/>
              </w:rPr>
            </w:pPr>
          </w:p>
          <w:p w14:paraId="55230460">
            <w:pPr>
              <w:keepNext w:val="0"/>
              <w:keepLines w:val="0"/>
              <w:pageBreakBefore w:val="0"/>
              <w:widowControl w:val="0"/>
              <w:numPr>
                <w:ilvl w:val="0"/>
                <w:numId w:val="9"/>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《恶臭污染物排放标准》（GB14554-93）摘录</w:t>
            </w:r>
          </w:p>
          <w:tbl>
            <w:tblPr>
              <w:tblStyle w:val="38"/>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2973"/>
              <w:gridCol w:w="3855"/>
            </w:tblGrid>
            <w:tr w14:paraId="0C981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trPr>
              <w:tc>
                <w:tcPr>
                  <w:tcW w:w="848" w:type="pct"/>
                  <w:tcBorders>
                    <w:tl2br w:val="nil"/>
                    <w:tr2bl w:val="nil"/>
                  </w:tcBorders>
                  <w:noWrap/>
                  <w:vAlign w:val="center"/>
                </w:tcPr>
                <w:p w14:paraId="0BE4AD62">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污染物</w:t>
                  </w:r>
                </w:p>
              </w:tc>
              <w:tc>
                <w:tcPr>
                  <w:tcW w:w="1807" w:type="pct"/>
                  <w:tcBorders>
                    <w:tl2br w:val="nil"/>
                    <w:tr2bl w:val="nil"/>
                  </w:tcBorders>
                  <w:noWrap/>
                  <w:vAlign w:val="center"/>
                </w:tcPr>
                <w:p w14:paraId="3722608F">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有组织</w:t>
                  </w:r>
                </w:p>
              </w:tc>
              <w:tc>
                <w:tcPr>
                  <w:tcW w:w="2343" w:type="pct"/>
                  <w:tcBorders>
                    <w:tl2br w:val="nil"/>
                    <w:tr2bl w:val="nil"/>
                  </w:tcBorders>
                  <w:noWrap/>
                  <w:vAlign w:val="center"/>
                </w:tcPr>
                <w:p w14:paraId="3D5EEE85">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无组织</w:t>
                  </w:r>
                </w:p>
              </w:tc>
            </w:tr>
            <w:tr w14:paraId="54FAF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3332059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臭气浓度</w:t>
                  </w:r>
                </w:p>
              </w:tc>
              <w:tc>
                <w:tcPr>
                  <w:tcW w:w="1807" w:type="pct"/>
                  <w:tcBorders>
                    <w:tl2br w:val="nil"/>
                    <w:tr2bl w:val="nil"/>
                  </w:tcBorders>
                  <w:noWrap/>
                  <w:vAlign w:val="center"/>
                </w:tcPr>
                <w:p w14:paraId="40FB15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15000（无量纲）</w:t>
                  </w:r>
                </w:p>
              </w:tc>
              <w:tc>
                <w:tcPr>
                  <w:tcW w:w="2343" w:type="pct"/>
                  <w:tcBorders>
                    <w:tl2br w:val="nil"/>
                    <w:tr2bl w:val="nil"/>
                  </w:tcBorders>
                  <w:noWrap/>
                  <w:vAlign w:val="center"/>
                </w:tcPr>
                <w:p w14:paraId="25F396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20（无量纲）</w:t>
                  </w:r>
                </w:p>
              </w:tc>
            </w:tr>
            <w:bookmarkEnd w:id="30"/>
          </w:tbl>
          <w:p w14:paraId="2129AAA0">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3、噪声排放标准</w:t>
            </w:r>
          </w:p>
          <w:p w14:paraId="72B799E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项目厂界噪声执行《工业企业厂界环境噪声排放标准》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GB12348-2008</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类标准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昼间≤6</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、夜间≤5</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p>
          <w:p w14:paraId="692285FC">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4、固体废物排放标准</w:t>
            </w:r>
          </w:p>
          <w:p w14:paraId="44622D9C">
            <w:pPr>
              <w:widowControl/>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固体废物中一般固体废物在厂内贮存过程应满足相应防渗漏、防雨淋、防扬尘等环境保护要求；危险废物执行《危险废物贮存污染控制标准》（GB18597-2023）的要求。</w:t>
            </w:r>
          </w:p>
        </w:tc>
      </w:tr>
      <w:tr w14:paraId="0B7B5D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6" w:hRule="atLeast"/>
          <w:jc w:val="center"/>
        </w:trPr>
        <w:tc>
          <w:tcPr>
            <w:tcW w:w="451" w:type="pct"/>
            <w:vAlign w:val="center"/>
          </w:tcPr>
          <w:p w14:paraId="1939CAF2">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w:t>
            </w:r>
          </w:p>
          <w:p w14:paraId="5C44BF3D">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控制</w:t>
            </w:r>
          </w:p>
          <w:p w14:paraId="71E8FA2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指标</w:t>
            </w:r>
          </w:p>
        </w:tc>
        <w:tc>
          <w:tcPr>
            <w:tcW w:w="4548" w:type="pct"/>
            <w:vAlign w:val="center"/>
          </w:tcPr>
          <w:p w14:paraId="07ECFC18">
            <w:pPr>
              <w:pStyle w:val="9"/>
              <w:pageBreakBefore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一、水污染物排放总量控制指标</w:t>
            </w:r>
          </w:p>
          <w:p w14:paraId="5B748A3D">
            <w:pPr>
              <w:pageBreakBefore w:val="0"/>
              <w:kinsoku/>
              <w:wordWrap w:val="0"/>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建设单位应根据本项目的废水和废气等污染物的排放量，向上级主管部门和环保部门申请各项目污染物排放总量控制指标。</w:t>
            </w:r>
          </w:p>
          <w:p w14:paraId="7285B9D5">
            <w:pPr>
              <w:pStyle w:val="93"/>
              <w:pageBreakBefore w:val="0"/>
              <w:widowControl/>
              <w:kinsoku/>
              <w:wordWrap w:val="0"/>
              <w:overflowPunct/>
              <w:topLinePunct w:val="0"/>
              <w:autoSpaceDE/>
              <w:autoSpaceDN/>
              <w:bidi w:val="0"/>
              <w:spacing w:line="360" w:lineRule="auto"/>
              <w:textAlignment w:val="auto"/>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（1）废水总量控制指标</w:t>
            </w:r>
          </w:p>
          <w:p w14:paraId="0E56064A">
            <w:pPr>
              <w:pageBreakBefore w:val="0"/>
              <w:widowControl/>
              <w:kinsoku/>
              <w:wordWrap w:val="0"/>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本</w:t>
            </w: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eastAsia="zh-CN"/>
              </w:rPr>
              <w:t>生产废水均</w:t>
            </w:r>
            <w:r>
              <w:rPr>
                <w:rFonts w:hint="default" w:ascii="Times New Roman" w:hAnsi="Times New Roman" w:cs="Times New Roman"/>
                <w:color w:val="auto"/>
                <w:kern w:val="0"/>
                <w:sz w:val="24"/>
                <w:szCs w:val="24"/>
                <w:highlight w:val="none"/>
                <w:lang w:bidi="ar"/>
              </w:rPr>
              <w:t>纳入园区污水处理厂的总量控制指标，不需再增加新的总量分配指标</w:t>
            </w:r>
            <w:r>
              <w:rPr>
                <w:rFonts w:hint="default" w:ascii="Times New Roman" w:hAnsi="Times New Roman" w:cs="Times New Roman"/>
                <w:color w:val="auto"/>
                <w:sz w:val="24"/>
                <w:szCs w:val="24"/>
                <w:highlight w:val="none"/>
                <w:lang w:eastAsia="zh-CN"/>
              </w:rPr>
              <w:t>。</w:t>
            </w:r>
          </w:p>
          <w:p w14:paraId="41BED0A5">
            <w:pPr>
              <w:pStyle w:val="93"/>
              <w:pageBreakBefore w:val="0"/>
              <w:widowControl/>
              <w:kinsoku/>
              <w:wordWrap w:val="0"/>
              <w:overflowPunct/>
              <w:topLinePunct w:val="0"/>
              <w:autoSpaceDE/>
              <w:autoSpaceDN/>
              <w:bidi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（2）废气总量控制指标</w:t>
            </w:r>
          </w:p>
          <w:p w14:paraId="24F80F6A">
            <w:pPr>
              <w:pageBreakBefore w:val="0"/>
              <w:widowControl/>
              <w:kinsoku/>
              <w:wordWrap w:val="0"/>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val="en-US" w:eastAsia="zh-CN" w:bidi="ar"/>
              </w:rPr>
              <w:t>本项目建成后有机废气排放量为0.09</w:t>
            </w:r>
            <w:r>
              <w:rPr>
                <w:rFonts w:hint="eastAsia" w:cs="Times New Roman"/>
                <w:color w:val="auto"/>
                <w:kern w:val="0"/>
                <w:sz w:val="24"/>
                <w:szCs w:val="24"/>
                <w:highlight w:val="none"/>
                <w:lang w:val="en-US" w:eastAsia="zh-CN" w:bidi="ar"/>
              </w:rPr>
              <w:t>52</w:t>
            </w:r>
            <w:r>
              <w:rPr>
                <w:rFonts w:hint="default" w:ascii="Times New Roman" w:hAnsi="Times New Roman" w:cs="Times New Roman"/>
                <w:color w:val="auto"/>
                <w:kern w:val="0"/>
                <w:sz w:val="24"/>
                <w:szCs w:val="24"/>
                <w:highlight w:val="none"/>
                <w:lang w:val="en-US" w:eastAsia="zh-CN" w:bidi="ar"/>
              </w:rPr>
              <w:t>t/a（其中有组织0.04</w:t>
            </w:r>
            <w:r>
              <w:rPr>
                <w:rFonts w:hint="eastAsia" w:cs="Times New Roman"/>
                <w:color w:val="auto"/>
                <w:kern w:val="0"/>
                <w:sz w:val="24"/>
                <w:szCs w:val="24"/>
                <w:highlight w:val="none"/>
                <w:lang w:val="en-US" w:eastAsia="zh-CN" w:bidi="ar"/>
              </w:rPr>
              <w:t>5</w:t>
            </w:r>
            <w:r>
              <w:rPr>
                <w:rFonts w:hint="default" w:ascii="Times New Roman" w:hAnsi="Times New Roman" w:cs="Times New Roman"/>
                <w:color w:val="auto"/>
                <w:kern w:val="0"/>
                <w:sz w:val="24"/>
                <w:szCs w:val="24"/>
                <w:highlight w:val="none"/>
                <w:lang w:val="en-US" w:eastAsia="zh-CN" w:bidi="ar"/>
              </w:rPr>
              <w:t>0t/a，无组织0.05</w:t>
            </w:r>
            <w:r>
              <w:rPr>
                <w:rFonts w:hint="eastAsia" w:cs="Times New Roman"/>
                <w:color w:val="auto"/>
                <w:kern w:val="0"/>
                <w:sz w:val="24"/>
                <w:szCs w:val="24"/>
                <w:highlight w:val="none"/>
                <w:lang w:val="en-US" w:eastAsia="zh-CN" w:bidi="ar"/>
              </w:rPr>
              <w:t>0</w:t>
            </w:r>
            <w:r>
              <w:rPr>
                <w:rFonts w:hint="default" w:ascii="Times New Roman" w:hAnsi="Times New Roman" w:cs="Times New Roman"/>
                <w:color w:val="auto"/>
                <w:kern w:val="0"/>
                <w:sz w:val="24"/>
                <w:szCs w:val="24"/>
                <w:highlight w:val="none"/>
                <w:lang w:val="en-US" w:eastAsia="zh-CN" w:bidi="ar"/>
              </w:rPr>
              <w:t>2t/a），有机废气等量替代需向韶关市生态环境局乐昌分局申请分配。</w:t>
            </w:r>
          </w:p>
          <w:p w14:paraId="47B90DE3">
            <w:pPr>
              <w:pStyle w:val="9"/>
              <w:pageBreakBefore w:val="0"/>
              <w:numPr>
                <w:ilvl w:val="2"/>
                <w:numId w:val="0"/>
              </w:numPr>
              <w:tabs>
                <w:tab w:val="left" w:pos="420"/>
              </w:tabs>
              <w:kinsoku/>
              <w:wordWrap w:val="0"/>
              <w:overflowPunct/>
              <w:topLinePunct w:val="0"/>
              <w:autoSpaceDE/>
              <w:autoSpaceDN/>
              <w:bidi w:val="0"/>
              <w:spacing w:before="0" w:beforeLines="0" w:after="0" w:afterLines="0" w:line="360" w:lineRule="auto"/>
              <w:ind w:firstLine="482"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三、固体废物排放总量控制指标</w:t>
            </w:r>
          </w:p>
          <w:p w14:paraId="134CB5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z w:val="24"/>
                <w:szCs w:val="24"/>
                <w:highlight w:val="none"/>
              </w:rPr>
              <w:t>本项目固体废物不自行处理排放，不设置固体废物总量控制指标。</w:t>
            </w:r>
          </w:p>
        </w:tc>
      </w:tr>
    </w:tbl>
    <w:p w14:paraId="536B3C29">
      <w:pPr>
        <w:pStyle w:val="7"/>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 w:val="36"/>
          <w:szCs w:val="36"/>
          <w:highlight w:val="none"/>
        </w:rPr>
        <w:br w:type="page"/>
      </w:r>
      <w:bookmarkStart w:id="31" w:name="_Toc15343"/>
      <w:r>
        <w:rPr>
          <w:rFonts w:hint="default" w:ascii="Times New Roman" w:hAnsi="Times New Roman" w:cs="Times New Roman"/>
          <w:snapToGrid w:val="0"/>
          <w:color w:val="auto"/>
          <w:highlight w:val="none"/>
        </w:rPr>
        <w:t>四、主要环境影响和保护措施</w:t>
      </w:r>
      <w:bookmarkEnd w:id="31"/>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2"/>
        <w:gridCol w:w="8435"/>
      </w:tblGrid>
      <w:tr w14:paraId="2316D9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3" w:hRule="atLeast"/>
          <w:jc w:val="center"/>
        </w:trPr>
        <w:tc>
          <w:tcPr>
            <w:tcW w:w="419" w:type="pct"/>
            <w:tcMar>
              <w:left w:w="28" w:type="dxa"/>
              <w:right w:w="28" w:type="dxa"/>
            </w:tcMar>
            <w:vAlign w:val="center"/>
          </w:tcPr>
          <w:p w14:paraId="683E0A5C">
            <w:pPr>
              <w:pStyle w:val="35"/>
              <w:adjustRightInd w:val="0"/>
              <w:snapToGrid w:val="0"/>
              <w:spacing w:before="0" w:beforeAutospacing="0" w:after="0" w:afterAutospacing="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w:t>
            </w:r>
          </w:p>
          <w:p w14:paraId="37F96C5E">
            <w:pPr>
              <w:pStyle w:val="35"/>
              <w:adjustRightInd w:val="0"/>
              <w:snapToGrid w:val="0"/>
              <w:spacing w:before="0" w:beforeAutospacing="0" w:after="0" w:afterAutospacing="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期环</w:t>
            </w:r>
          </w:p>
          <w:p w14:paraId="757C29E9">
            <w:pPr>
              <w:pStyle w:val="35"/>
              <w:adjustRightInd w:val="0"/>
              <w:snapToGrid w:val="0"/>
              <w:spacing w:before="0" w:beforeAutospacing="0" w:after="0" w:afterAutospacing="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境保</w:t>
            </w:r>
          </w:p>
          <w:p w14:paraId="43EC8048">
            <w:pPr>
              <w:pStyle w:val="35"/>
              <w:adjustRightInd w:val="0"/>
              <w:snapToGrid w:val="0"/>
              <w:spacing w:before="0" w:beforeAutospacing="0" w:after="0" w:afterAutospacing="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护措</w:t>
            </w:r>
          </w:p>
          <w:p w14:paraId="37E1F572">
            <w:pPr>
              <w:pStyle w:val="35"/>
              <w:adjustRightInd w:val="0"/>
              <w:snapToGrid w:val="0"/>
              <w:spacing w:before="0" w:beforeAutospacing="0" w:after="0" w:afterAutospacing="0"/>
              <w:jc w:val="center"/>
              <w:rPr>
                <w:rFonts w:hint="default" w:ascii="Times New Roman" w:hAnsi="Times New Roman" w:cs="Times New Roman"/>
                <w:bCs/>
                <w:color w:val="auto"/>
                <w:sz w:val="24"/>
                <w:szCs w:val="24"/>
                <w:highlight w:val="none"/>
              </w:rPr>
            </w:pPr>
            <w:r>
              <w:rPr>
                <w:rFonts w:hint="default" w:ascii="Times New Roman" w:hAnsi="Times New Roman" w:cs="Times New Roman"/>
                <w:color w:val="auto"/>
                <w:sz w:val="24"/>
                <w:szCs w:val="24"/>
                <w:highlight w:val="none"/>
              </w:rPr>
              <w:t>施</w:t>
            </w:r>
          </w:p>
        </w:tc>
        <w:tc>
          <w:tcPr>
            <w:tcW w:w="4581" w:type="pct"/>
            <w:vAlign w:val="center"/>
          </w:tcPr>
          <w:p w14:paraId="2844E9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本项目使用已建成厂房</w:t>
            </w:r>
            <w:r>
              <w:rPr>
                <w:rFonts w:hint="default" w:ascii="Times New Roman" w:hAnsi="Times New Roman" w:cs="Times New Roman"/>
                <w:color w:val="auto"/>
                <w:sz w:val="24"/>
                <w:szCs w:val="24"/>
                <w:highlight w:val="none"/>
                <w:lang w:val="en-US" w:eastAsia="zh-CN"/>
              </w:rPr>
              <w:t>进行生产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不涉及</w:t>
            </w:r>
            <w:r>
              <w:rPr>
                <w:rFonts w:hint="default" w:ascii="Times New Roman" w:hAnsi="Times New Roman" w:eastAsia="宋体" w:cs="Times New Roman"/>
                <w:color w:val="auto"/>
                <w:sz w:val="24"/>
                <w:szCs w:val="24"/>
                <w:highlight w:val="none"/>
                <w:lang w:eastAsia="zh-CN"/>
              </w:rPr>
              <w:t>土建工程，仅在原有厂房内进行简单的设备安装，施工期间污染轻微不会对周围环境产生影响。</w:t>
            </w:r>
          </w:p>
        </w:tc>
      </w:tr>
      <w:tr w14:paraId="2B410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19" w:type="pct"/>
            <w:tcMar>
              <w:left w:w="28" w:type="dxa"/>
              <w:right w:w="28" w:type="dxa"/>
            </w:tcMar>
            <w:vAlign w:val="center"/>
          </w:tcPr>
          <w:p w14:paraId="241FE610">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w:t>
            </w:r>
          </w:p>
          <w:p w14:paraId="39D0FE6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14:paraId="3720C32C">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14:paraId="58C8296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14:paraId="4F02D73B">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保护</w:t>
            </w:r>
          </w:p>
          <w:p w14:paraId="5C33FD17">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c>
          <w:tcPr>
            <w:tcW w:w="4581" w:type="pct"/>
          </w:tcPr>
          <w:p w14:paraId="656B3B2E">
            <w:p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一、废水</w:t>
            </w:r>
          </w:p>
          <w:p w14:paraId="363266CC">
            <w:pPr>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rPr>
              <w:t>1、废水源强</w:t>
            </w:r>
            <w:r>
              <w:rPr>
                <w:rFonts w:hint="default" w:ascii="Times New Roman" w:hAnsi="Times New Roman" w:cs="Times New Roman"/>
                <w:b/>
                <w:bCs/>
                <w:color w:val="auto"/>
                <w:sz w:val="24"/>
                <w:highlight w:val="none"/>
                <w:lang w:val="en-US" w:eastAsia="zh-CN"/>
              </w:rPr>
              <w:t>核算</w:t>
            </w:r>
          </w:p>
          <w:p w14:paraId="553FAEE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本项目用水主要有生产用水。</w:t>
            </w:r>
          </w:p>
          <w:p w14:paraId="7216781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（1）生产废水</w:t>
            </w:r>
          </w:p>
          <w:p w14:paraId="1DBFF8C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产生废水</w:t>
            </w:r>
            <w:r>
              <w:rPr>
                <w:rFonts w:hint="default" w:ascii="Times New Roman" w:hAnsi="Times New Roman" w:cs="Times New Roman"/>
                <w:color w:val="auto"/>
                <w:sz w:val="24"/>
                <w:highlight w:val="none"/>
              </w:rPr>
              <w:t>主要是</w:t>
            </w:r>
            <w:r>
              <w:rPr>
                <w:rFonts w:hint="default" w:ascii="Times New Roman" w:hAnsi="Times New Roman" w:cs="Times New Roman" w:eastAsiaTheme="minorEastAsia"/>
                <w:color w:val="auto"/>
                <w:sz w:val="24"/>
                <w:highlight w:val="none"/>
                <w:lang w:eastAsia="zh-CN"/>
              </w:rPr>
              <w:t>磨边废水、</w:t>
            </w:r>
            <w:r>
              <w:rPr>
                <w:rFonts w:hint="default" w:ascii="Times New Roman" w:hAnsi="Times New Roman" w:cs="Times New Roman"/>
                <w:color w:val="auto"/>
                <w:sz w:val="24"/>
                <w:highlight w:val="none"/>
                <w:lang w:eastAsia="zh-CN"/>
              </w:rPr>
              <w:t>冷却塔</w:t>
            </w:r>
            <w:r>
              <w:rPr>
                <w:rFonts w:hint="default" w:ascii="Times New Roman" w:hAnsi="Times New Roman" w:cs="Times New Roman"/>
                <w:color w:val="auto"/>
                <w:sz w:val="24"/>
                <w:highlight w:val="none"/>
                <w:lang w:val="en-US" w:eastAsia="zh-CN"/>
              </w:rPr>
              <w:t>废水、清洗废水、纯水设备废水</w:t>
            </w:r>
            <w:r>
              <w:rPr>
                <w:rFonts w:hint="default" w:ascii="Times New Roman" w:hAnsi="Times New Roman" w:cs="Times New Roman"/>
                <w:color w:val="auto"/>
                <w:sz w:val="24"/>
                <w:highlight w:val="none"/>
              </w:rPr>
              <w:t>。</w:t>
            </w:r>
          </w:p>
          <w:p w14:paraId="1ECB9D3B">
            <w:pPr>
              <w:pStyle w:val="76"/>
              <w:numPr>
                <w:ilvl w:val="0"/>
                <w:numId w:val="10"/>
              </w:numPr>
              <w:spacing w:line="360" w:lineRule="auto"/>
              <w:ind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磨边废水</w:t>
            </w:r>
          </w:p>
          <w:p w14:paraId="2EFDB820">
            <w:pPr>
              <w:pStyle w:val="7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项目需利用磨边机对工件边缘</w:t>
            </w:r>
            <w:r>
              <w:rPr>
                <w:rFonts w:hint="default" w:ascii="Times New Roman" w:hAnsi="Times New Roman" w:cs="Times New Roman"/>
                <w:color w:val="auto"/>
                <w:sz w:val="24"/>
                <w:szCs w:val="24"/>
                <w:highlight w:val="none"/>
                <w:lang w:eastAsia="zh-CN"/>
              </w:rPr>
              <w:t>进行打磨</w:t>
            </w:r>
            <w:r>
              <w:rPr>
                <w:rFonts w:hint="default" w:ascii="Times New Roman" w:hAnsi="Times New Roman" w:cs="Times New Roman"/>
                <w:color w:val="auto"/>
                <w:sz w:val="24"/>
                <w:szCs w:val="24"/>
                <w:highlight w:val="none"/>
              </w:rPr>
              <w:t>，期间需要在打磨工位冲水，用以冷却及控制加工过程产生的玻璃粉尘，项目设有</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台磨边机，磨边机的水流速度约0.05L/秒，</w:t>
            </w:r>
            <w:r>
              <w:rPr>
                <w:rFonts w:hint="default" w:ascii="Times New Roman" w:hAnsi="Times New Roman" w:cs="Times New Roman"/>
                <w:color w:val="auto"/>
                <w:sz w:val="24"/>
                <w:szCs w:val="24"/>
                <w:highlight w:val="none"/>
                <w:lang w:eastAsia="zh-CN"/>
              </w:rPr>
              <w:t>年工作</w:t>
            </w:r>
            <w:r>
              <w:rPr>
                <w:rFonts w:hint="default" w:ascii="Times New Roman" w:hAnsi="Times New Roman" w:cs="Times New Roman"/>
                <w:color w:val="auto"/>
                <w:sz w:val="24"/>
                <w:szCs w:val="24"/>
                <w:highlight w:val="none"/>
                <w:lang w:val="en-US" w:eastAsia="zh-CN"/>
              </w:rPr>
              <w:t>1840h，</w:t>
            </w:r>
            <w:r>
              <w:rPr>
                <w:rFonts w:hint="default" w:ascii="Times New Roman" w:hAnsi="Times New Roman" w:cs="Times New Roman"/>
                <w:color w:val="auto"/>
                <w:sz w:val="24"/>
                <w:szCs w:val="24"/>
                <w:highlight w:val="none"/>
              </w:rPr>
              <w:t>磨边用</w:t>
            </w:r>
            <w:r>
              <w:rPr>
                <w:rFonts w:hint="default" w:ascii="Times New Roman" w:hAnsi="Times New Roman" w:cs="Times New Roman"/>
                <w:color w:val="auto"/>
                <w:sz w:val="24"/>
                <w:szCs w:val="24"/>
                <w:highlight w:val="none"/>
                <w:lang w:eastAsia="zh-CN"/>
              </w:rPr>
              <w:t>水循环水量</w:t>
            </w:r>
            <w:r>
              <w:rPr>
                <w:rFonts w:hint="default" w:ascii="Times New Roman" w:hAnsi="Times New Roman" w:cs="Times New Roman"/>
                <w:color w:val="auto"/>
                <w:sz w:val="24"/>
                <w:szCs w:val="24"/>
                <w:highlight w:val="none"/>
                <w:lang w:val="en-US" w:eastAsia="zh-CN"/>
              </w:rPr>
              <w:t>331.2t/a，</w:t>
            </w:r>
            <w:r>
              <w:rPr>
                <w:rFonts w:hint="default" w:ascii="Times New Roman" w:hAnsi="Times New Roman" w:cs="Times New Roman"/>
                <w:color w:val="auto"/>
                <w:sz w:val="24"/>
                <w:szCs w:val="24"/>
                <w:highlight w:val="none"/>
              </w:rPr>
              <w:t>考虑蒸发损耗量（按</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计算），磨边废水</w:t>
            </w:r>
            <w:r>
              <w:rPr>
                <w:rFonts w:hint="default" w:ascii="Times New Roman" w:hAnsi="Times New Roman" w:cs="Times New Roman"/>
                <w:color w:val="auto"/>
                <w:sz w:val="24"/>
                <w:szCs w:val="24"/>
                <w:highlight w:val="none"/>
                <w:lang w:eastAsia="zh-CN"/>
              </w:rPr>
              <w:t>蒸发量为</w:t>
            </w:r>
            <w:r>
              <w:rPr>
                <w:rFonts w:hint="default" w:ascii="Times New Roman" w:hAnsi="Times New Roman" w:cs="Times New Roman"/>
                <w:color w:val="auto"/>
                <w:sz w:val="24"/>
                <w:szCs w:val="24"/>
                <w:highlight w:val="none"/>
                <w:lang w:val="en-US" w:eastAsia="zh-CN"/>
              </w:rPr>
              <w:t>33.12t/a（即补充用水量）。</w:t>
            </w:r>
            <w:r>
              <w:rPr>
                <w:rFonts w:hint="default" w:ascii="Times New Roman" w:hAnsi="Times New Roman" w:cs="Times New Roman"/>
                <w:color w:val="auto"/>
                <w:sz w:val="24"/>
                <w:szCs w:val="24"/>
                <w:highlight w:val="none"/>
              </w:rPr>
              <w:t>磨边废水仅用于冷却及控制玻璃粉尘的扬起，此过程不添加任何洗涤剂，水质简单，主要污染物为SS，产生的磨边废水进入</w:t>
            </w:r>
            <w:r>
              <w:rPr>
                <w:rFonts w:hint="default" w:ascii="Times New Roman" w:hAnsi="Times New Roman" w:cs="Times New Roman"/>
                <w:color w:val="auto"/>
                <w:sz w:val="24"/>
                <w:szCs w:val="24"/>
                <w:highlight w:val="none"/>
                <w:lang w:eastAsia="zh-CN"/>
              </w:rPr>
              <w:t>磨边废水收集池沉淀，定期捞渣，磨边废水循环使用不外排。</w:t>
            </w:r>
          </w:p>
          <w:p w14:paraId="68B500A4">
            <w:pPr>
              <w:pStyle w:val="76"/>
              <w:numPr>
                <w:ilvl w:val="0"/>
                <w:numId w:val="10"/>
              </w:numPr>
              <w:spacing w:line="360" w:lineRule="auto"/>
              <w:ind w:firstLineChars="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冷却塔废水</w:t>
            </w:r>
          </w:p>
          <w:p w14:paraId="329AEC5D">
            <w:pPr>
              <w:pageBreakBefore w:val="0"/>
              <w:wordWrap w:val="0"/>
              <w:overflowPunct/>
              <w:bidi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本项目设有</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台冷却塔，水泵循环水量为</w:t>
            </w:r>
            <w:r>
              <w:rPr>
                <w:rFonts w:hint="default" w:ascii="Times New Roman" w:hAnsi="Times New Roman"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/h，项目冷却方式为间接冷却（金属模具经冷却水进行间接冷却），冷却用水为普通的自来水，无需添加杀菌剂、阻垢剂、杀藻剂。冷却水经冷却塔冷却后循环使用，</w:t>
            </w:r>
            <w:r>
              <w:rPr>
                <w:rFonts w:hint="default" w:ascii="Times New Roman" w:hAnsi="Times New Roman" w:cs="Times New Roman"/>
                <w:color w:val="auto"/>
                <w:sz w:val="24"/>
                <w:szCs w:val="24"/>
                <w:highlight w:val="none"/>
                <w:lang w:val="en-US" w:eastAsia="zh-CN"/>
              </w:rPr>
              <w:t>循环期间</w:t>
            </w:r>
            <w:r>
              <w:rPr>
                <w:rFonts w:hint="default" w:ascii="Times New Roman" w:hAnsi="Times New Roman" w:cs="Times New Roman"/>
                <w:color w:val="auto"/>
                <w:sz w:val="24"/>
                <w:szCs w:val="24"/>
                <w:highlight w:val="none"/>
              </w:rPr>
              <w:t>定期补充损耗水量</w:t>
            </w:r>
            <w:r>
              <w:rPr>
                <w:rFonts w:hint="default" w:ascii="Times New Roman" w:hAnsi="Times New Roman" w:cs="Times New Roman"/>
                <w:color w:val="auto"/>
                <w:sz w:val="24"/>
                <w:szCs w:val="24"/>
                <w:highlight w:val="none"/>
                <w:lang w:val="en-US" w:eastAsia="zh-CN"/>
              </w:rPr>
              <w:t>的新鲜水即可</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冷却塔总储水量为1m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eastAsia="zh-CN"/>
              </w:rPr>
              <w:t>，为避免盐分累积，</w:t>
            </w:r>
            <w:r>
              <w:rPr>
                <w:rFonts w:hint="default" w:ascii="Times New Roman" w:hAnsi="Times New Roman" w:cs="Times New Roman"/>
                <w:color w:val="auto"/>
                <w:sz w:val="24"/>
                <w:szCs w:val="24"/>
                <w:highlight w:val="none"/>
                <w:lang w:val="en-US" w:eastAsia="zh-CN"/>
              </w:rPr>
              <w:t>每年更换一次</w:t>
            </w:r>
            <w:r>
              <w:rPr>
                <w:rFonts w:hint="default" w:ascii="Times New Roman" w:hAnsi="Times New Roman" w:cs="Times New Roman"/>
                <w:color w:val="auto"/>
                <w:sz w:val="24"/>
                <w:szCs w:val="24"/>
                <w:highlight w:val="none"/>
                <w:lang w:eastAsia="zh-CN"/>
              </w:rPr>
              <w:t>，更换废水排入</w:t>
            </w:r>
            <w:r>
              <w:rPr>
                <w:rFonts w:hint="default" w:ascii="Times New Roman" w:hAnsi="Times New Roman" w:cs="Times New Roman"/>
                <w:color w:val="auto"/>
                <w:sz w:val="24"/>
                <w:szCs w:val="24"/>
                <w:highlight w:val="none"/>
                <w:lang w:val="en-US" w:eastAsia="zh-CN"/>
              </w:rPr>
              <w:t>园区污水处理厂</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本项目冷却塔补充水量参考《工业循环冷却水处理设计规范》（GB50050-2017）计算，具体计算过程如下：</w:t>
            </w:r>
          </w:p>
          <w:p w14:paraId="47FF6645">
            <w:pPr>
              <w:pStyle w:val="2"/>
              <w:pageBreakBefore w:val="0"/>
              <w:wordWrap w:val="0"/>
              <w:overflowPunct/>
              <w:bidi w:val="0"/>
              <w:spacing w:before="24" w:after="24" w:line="360" w:lineRule="auto"/>
              <w:ind w:firstLine="480" w:firstLineChars="20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Qe=k•△t•Qr</w:t>
            </w:r>
          </w:p>
          <w:p w14:paraId="5C4DDA4F">
            <w:pPr>
              <w:pStyle w:val="2"/>
              <w:pageBreakBefore w:val="0"/>
              <w:wordWrap w:val="0"/>
              <w:overflowPunct/>
              <w:bidi w:val="0"/>
              <w:spacing w:before="24" w:after="24"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式中：Qe——蒸发损失量（m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w:t>
            </w:r>
          </w:p>
          <w:p w14:paraId="6F08E962">
            <w:pPr>
              <w:pStyle w:val="11"/>
              <w:pageBreakBefore w:val="0"/>
              <w:wordWrap w:val="0"/>
              <w:overflowPunct/>
              <w:autoSpaceDN/>
              <w:bidi w:val="0"/>
              <w:spacing w:line="360" w:lineRule="auto"/>
              <w:ind w:left="0" w:firstLine="480" w:firstLineChars="200"/>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k——蒸发损失系数</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rPr>
              <w:t>1/℃</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rPr>
              <w:t>，气温为中间值时采用内插法计算，根据查表本项目自来水入塔温度约20℃，K值为0.0014；</w:t>
            </w:r>
          </w:p>
          <w:p w14:paraId="1B1F5ED6">
            <w:pPr>
              <w:pStyle w:val="11"/>
              <w:pageBreakBefore w:val="0"/>
              <w:wordWrap w:val="0"/>
              <w:overflowPunct/>
              <w:autoSpaceDN/>
              <w:bidi w:val="0"/>
              <w:spacing w:line="360" w:lineRule="auto"/>
              <w:ind w:left="0" w:firstLine="480" w:firstLineChars="200"/>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△t——循环冷却水进、出冷却塔温差</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rPr>
              <w:t>，本项目冷却水进、出冷却塔温差为8℃；</w:t>
            </w:r>
          </w:p>
          <w:p w14:paraId="2600A23A">
            <w:pPr>
              <w:pStyle w:val="11"/>
              <w:pageBreakBefore w:val="0"/>
              <w:wordWrap w:val="0"/>
              <w:overflowPunct/>
              <w:autoSpaceDN/>
              <w:bidi w:val="0"/>
              <w:spacing w:line="360" w:lineRule="auto"/>
              <w:ind w:left="210" w:leftChars="100" w:firstLine="240" w:firstLineChars="100"/>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Qr——循环冷却水量</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w:t>
            </w:r>
            <w:r>
              <w:rPr>
                <w:rFonts w:hint="default" w:ascii="Times New Roman" w:hAnsi="Times New Roman" w:cs="Times New Roman"/>
                <w:color w:val="auto"/>
                <w:kern w:val="2"/>
                <w:sz w:val="24"/>
                <w:szCs w:val="24"/>
                <w:highlight w:val="none"/>
              </w:rPr>
              <w:t>。</w:t>
            </w:r>
          </w:p>
          <w:p w14:paraId="21AF540A">
            <w:pPr>
              <w:pageBreakBefore w:val="0"/>
              <w:wordWrap w:val="0"/>
              <w:overflowPunct/>
              <w:bidi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szCs w:val="24"/>
                <w:highlight w:val="none"/>
              </w:rPr>
              <w:t>本项目循环水量Q＝</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/h，经计算冷却塔补水量为</w:t>
            </w:r>
            <w:r>
              <w:rPr>
                <w:rFonts w:hint="default" w:ascii="Times New Roman" w:hAnsi="Times New Roman" w:cs="Times New Roman"/>
                <w:color w:val="auto"/>
                <w:kern w:val="0"/>
                <w:sz w:val="24"/>
                <w:szCs w:val="24"/>
                <w:highlight w:val="none"/>
                <w:lang w:val="en-US" w:eastAsia="zh-CN"/>
              </w:rPr>
              <w:t>0.56</w:t>
            </w:r>
            <w:r>
              <w:rPr>
                <w:rFonts w:hint="default" w:ascii="Times New Roman" w:hAnsi="Times New Roman" w:cs="Times New Roman"/>
                <w:color w:val="auto"/>
                <w:kern w:val="0"/>
                <w:sz w:val="24"/>
                <w:szCs w:val="24"/>
                <w:highlight w:val="none"/>
              </w:rPr>
              <w:t>m</w:t>
            </w:r>
            <w:r>
              <w:rPr>
                <w:rFonts w:hint="default" w:ascii="Times New Roman" w:hAnsi="Times New Roman" w:cs="Times New Roman"/>
                <w:color w:val="auto"/>
                <w:kern w:val="0"/>
                <w:sz w:val="24"/>
                <w:szCs w:val="24"/>
                <w:highlight w:val="none"/>
                <w:vertAlign w:val="superscript"/>
              </w:rPr>
              <w:t>3</w:t>
            </w:r>
            <w:r>
              <w:rPr>
                <w:rFonts w:hint="default" w:ascii="Times New Roman" w:hAnsi="Times New Roman" w:cs="Times New Roman"/>
                <w:color w:val="auto"/>
                <w:kern w:val="0"/>
                <w:sz w:val="24"/>
                <w:szCs w:val="24"/>
                <w:highlight w:val="none"/>
              </w:rPr>
              <w:t>/h，</w:t>
            </w:r>
            <w:r>
              <w:rPr>
                <w:rFonts w:hint="default" w:ascii="Times New Roman" w:hAnsi="Times New Roman" w:cs="Times New Roman"/>
                <w:color w:val="auto"/>
                <w:kern w:val="0"/>
                <w:sz w:val="24"/>
                <w:szCs w:val="24"/>
                <w:highlight w:val="none"/>
                <w:lang w:val="en-US" w:eastAsia="zh-CN"/>
              </w:rPr>
              <w:t>注塑工序</w:t>
            </w:r>
            <w:r>
              <w:rPr>
                <w:rFonts w:hint="default" w:ascii="Times New Roman" w:hAnsi="Times New Roman" w:cs="Times New Roman"/>
                <w:color w:val="auto"/>
                <w:sz w:val="24"/>
                <w:szCs w:val="24"/>
                <w:highlight w:val="none"/>
              </w:rPr>
              <w:t>冷却年工作</w:t>
            </w:r>
            <w:r>
              <w:rPr>
                <w:rFonts w:hint="default" w:ascii="Times New Roman" w:hAnsi="Times New Roman" w:cs="Times New Roman"/>
                <w:color w:val="auto"/>
                <w:sz w:val="24"/>
                <w:szCs w:val="24"/>
                <w:highlight w:val="none"/>
                <w:lang w:val="en-US" w:eastAsia="zh-CN"/>
              </w:rPr>
              <w:t>1840</w:t>
            </w:r>
            <w:r>
              <w:rPr>
                <w:rFonts w:hint="default" w:ascii="Times New Roman" w:hAnsi="Times New Roman" w:cs="Times New Roman"/>
                <w:color w:val="auto"/>
                <w:sz w:val="24"/>
                <w:szCs w:val="24"/>
                <w:highlight w:val="none"/>
              </w:rPr>
              <w:t>h</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sz w:val="24"/>
                <w:szCs w:val="24"/>
                <w:highlight w:val="none"/>
              </w:rPr>
              <w:t>因此，项目冷却补水量</w:t>
            </w:r>
            <w:r>
              <w:rPr>
                <w:rFonts w:hint="default" w:ascii="Times New Roman" w:hAnsi="Times New Roman" w:cs="Times New Roman"/>
                <w:color w:val="auto"/>
                <w:kern w:val="0"/>
                <w:sz w:val="24"/>
                <w:szCs w:val="24"/>
                <w:highlight w:val="none"/>
              </w:rPr>
              <w:t>为</w:t>
            </w:r>
            <w:r>
              <w:rPr>
                <w:rFonts w:hint="default" w:ascii="Times New Roman" w:hAnsi="Times New Roman" w:cs="Times New Roman"/>
                <w:color w:val="auto"/>
                <w:kern w:val="0"/>
                <w:sz w:val="24"/>
                <w:szCs w:val="24"/>
                <w:highlight w:val="none"/>
                <w:lang w:val="en-US" w:eastAsia="zh-CN"/>
              </w:rPr>
              <w:t>1030.4</w:t>
            </w:r>
            <w:r>
              <w:rPr>
                <w:rFonts w:hint="default" w:ascii="Times New Roman" w:hAnsi="Times New Roman" w:cs="Times New Roman"/>
                <w:color w:val="auto"/>
                <w:kern w:val="0"/>
                <w:sz w:val="24"/>
                <w:szCs w:val="24"/>
                <w:highlight w:val="none"/>
              </w:rPr>
              <w:t>m</w:t>
            </w:r>
            <w:r>
              <w:rPr>
                <w:rFonts w:hint="default" w:ascii="Times New Roman" w:hAnsi="Times New Roman" w:cs="Times New Roman"/>
                <w:color w:val="auto"/>
                <w:kern w:val="0"/>
                <w:sz w:val="24"/>
                <w:szCs w:val="24"/>
                <w:highlight w:val="none"/>
                <w:vertAlign w:val="superscript"/>
              </w:rPr>
              <w:t>3</w:t>
            </w:r>
            <w:r>
              <w:rPr>
                <w:rFonts w:hint="default" w:ascii="Times New Roman" w:hAnsi="Times New Roman" w:cs="Times New Roman"/>
                <w:color w:val="auto"/>
                <w:kern w:val="0"/>
                <w:sz w:val="24"/>
                <w:szCs w:val="24"/>
                <w:highlight w:val="none"/>
              </w:rPr>
              <w:t>/a</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再加上换水时的用水量1m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lang w:val="en-US" w:eastAsia="zh-CN"/>
              </w:rPr>
              <w:t>，总计补水量为1031.4m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lang w:val="en-US" w:eastAsia="zh-CN"/>
              </w:rPr>
              <w:t>/a</w:t>
            </w:r>
            <w:r>
              <w:rPr>
                <w:rFonts w:hint="default" w:ascii="Times New Roman" w:hAnsi="Times New Roman" w:cs="Times New Roman"/>
                <w:color w:val="auto"/>
                <w:kern w:val="0"/>
                <w:sz w:val="24"/>
                <w:szCs w:val="24"/>
                <w:highlight w:val="none"/>
              </w:rPr>
              <w:t>。</w:t>
            </w:r>
          </w:p>
          <w:p w14:paraId="0E7DC935">
            <w:pPr>
              <w:pStyle w:val="76"/>
              <w:numPr>
                <w:ilvl w:val="0"/>
                <w:numId w:val="10"/>
              </w:numPr>
              <w:spacing w:line="360" w:lineRule="auto"/>
              <w:ind w:firstLineChars="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清洗废水</w:t>
            </w:r>
          </w:p>
          <w:p w14:paraId="000E6B79">
            <w:pPr>
              <w:pageBreakBefore w:val="0"/>
              <w:wordWrap w:val="0"/>
              <w:overflowPunct/>
              <w:bidi w:val="0"/>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工件磨边后需对其进行清洗，本项目设置一台清洗机（水洗机），共设</w:t>
            </w:r>
            <w:r>
              <w:rPr>
                <w:rFonts w:hint="default" w:ascii="Times New Roman" w:hAnsi="Times New Roman" w:cs="Times New Roman"/>
                <w:color w:val="auto"/>
                <w:sz w:val="24"/>
                <w:highlight w:val="none"/>
                <w:lang w:val="en-US" w:eastAsia="zh-CN"/>
              </w:rPr>
              <w:t>8个槽，</w:t>
            </w:r>
            <w:r>
              <w:rPr>
                <w:rFonts w:hint="default" w:ascii="Times New Roman" w:hAnsi="Times New Roman" w:cs="Times New Roman"/>
                <w:color w:val="auto"/>
                <w:sz w:val="24"/>
                <w:highlight w:val="none"/>
                <w:lang w:eastAsia="zh-CN"/>
              </w:rPr>
              <w:t>每个槽体规格为4</w:t>
            </w:r>
            <w:r>
              <w:rPr>
                <w:rFonts w:hint="default" w:ascii="Times New Roman" w:hAnsi="Times New Roman" w:cs="Times New Roman"/>
                <w:color w:val="auto"/>
                <w:sz w:val="24"/>
                <w:highlight w:val="none"/>
                <w:lang w:val="en-US" w:eastAsia="zh-CN"/>
              </w:rPr>
              <w:t>00m</w:t>
            </w:r>
            <w:r>
              <w:rPr>
                <w:rFonts w:hint="default" w:ascii="Times New Roman" w:hAnsi="Times New Roman" w:cs="Times New Roman"/>
                <w:color w:val="auto"/>
                <w:sz w:val="24"/>
                <w:highlight w:val="none"/>
                <w:lang w:eastAsia="zh-CN"/>
              </w:rPr>
              <w:t>m×6</w:t>
            </w:r>
            <w:r>
              <w:rPr>
                <w:rFonts w:hint="default" w:ascii="Times New Roman" w:hAnsi="Times New Roman" w:cs="Times New Roman"/>
                <w:color w:val="auto"/>
                <w:sz w:val="24"/>
                <w:highlight w:val="none"/>
                <w:lang w:val="en-US" w:eastAsia="zh-CN"/>
              </w:rPr>
              <w:t>00m</w:t>
            </w:r>
            <w:r>
              <w:rPr>
                <w:rFonts w:hint="default" w:ascii="Times New Roman" w:hAnsi="Times New Roman" w:cs="Times New Roman"/>
                <w:color w:val="auto"/>
                <w:sz w:val="24"/>
                <w:highlight w:val="none"/>
                <w:lang w:eastAsia="zh-CN"/>
              </w:rPr>
              <w:t>m×4</w:t>
            </w:r>
            <w:r>
              <w:rPr>
                <w:rFonts w:hint="default" w:ascii="Times New Roman" w:hAnsi="Times New Roman" w:cs="Times New Roman"/>
                <w:color w:val="auto"/>
                <w:sz w:val="24"/>
                <w:highlight w:val="none"/>
                <w:lang w:val="en-US" w:eastAsia="zh-CN"/>
              </w:rPr>
              <w:t>80m</w:t>
            </w:r>
            <w:r>
              <w:rPr>
                <w:rFonts w:hint="default" w:ascii="Times New Roman" w:hAnsi="Times New Roman" w:cs="Times New Roman"/>
                <w:color w:val="auto"/>
                <w:sz w:val="24"/>
                <w:highlight w:val="none"/>
                <w:lang w:eastAsia="zh-CN"/>
              </w:rPr>
              <w:t>m，其中第一槽为液晶清洗剂</w:t>
            </w:r>
            <w:r>
              <w:rPr>
                <w:rFonts w:hint="default" w:ascii="Times New Roman" w:hAnsi="Times New Roman" w:cs="Times New Roman"/>
                <w:color w:val="auto"/>
                <w:sz w:val="24"/>
                <w:highlight w:val="none"/>
                <w:lang w:val="en-US" w:eastAsia="zh-CN"/>
              </w:rPr>
              <w:t>A液和纯水</w:t>
            </w:r>
            <w:r>
              <w:rPr>
                <w:rFonts w:hint="default" w:ascii="Times New Roman" w:hAnsi="Times New Roman" w:cs="Times New Roman"/>
                <w:color w:val="auto"/>
                <w:sz w:val="24"/>
                <w:highlight w:val="none"/>
                <w:lang w:eastAsia="zh-CN"/>
              </w:rPr>
              <w:t>，第二槽为液晶清洗剂B液和纯水，第三槽至第八槽为纯水。</w:t>
            </w:r>
          </w:p>
          <w:p w14:paraId="4790A6C7">
            <w:pPr>
              <w:pageBreakBefore w:val="0"/>
              <w:wordWrap w:val="0"/>
              <w:overflowPunct/>
              <w:bidi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工件经过第一槽进行清洗后再放入第二槽进行清洗，以此类推，最后由第八槽进行清洗。清洗后的清洗水每天仅需要更换</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个槽的水，即第一槽、第二槽（含清洗剂）和第三槽中的清洗废水。然后将第四槽的水移至第一槽的位置，第五槽的水移至第二槽的位置，第六槽的水移至第三槽的位置，第七槽的水移至第四槽，第八槽的水移至第五槽，第六</w:t>
            </w:r>
            <w:r>
              <w:rPr>
                <w:rFonts w:hint="default" w:ascii="Times New Roman" w:hAnsi="Times New Roman" w:cs="Times New Roman"/>
                <w:color w:val="auto"/>
                <w:sz w:val="24"/>
                <w:highlight w:val="none"/>
                <w:lang w:val="en-US" w:eastAsia="zh-CN"/>
              </w:rPr>
              <w:t>~八槽重新放入纯水，槽水转移后补充相应的清洗剂或纯水。</w:t>
            </w:r>
          </w:p>
          <w:p w14:paraId="285A89EF">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水洗机废水产生一览表</w:t>
            </w:r>
          </w:p>
          <w:tbl>
            <w:tblPr>
              <w:tblStyle w:val="38"/>
              <w:tblW w:w="8196" w:type="dxa"/>
              <w:tblInd w:w="-1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fixed"/>
              <w:tblCellMar>
                <w:top w:w="0" w:type="dxa"/>
                <w:left w:w="108" w:type="dxa"/>
                <w:bottom w:w="0" w:type="dxa"/>
                <w:right w:w="108" w:type="dxa"/>
              </w:tblCellMar>
            </w:tblPr>
            <w:tblGrid>
              <w:gridCol w:w="891"/>
              <w:gridCol w:w="893"/>
              <w:gridCol w:w="1018"/>
              <w:gridCol w:w="1677"/>
              <w:gridCol w:w="908"/>
              <w:gridCol w:w="1075"/>
              <w:gridCol w:w="840"/>
              <w:gridCol w:w="894"/>
            </w:tblGrid>
            <w:tr w14:paraId="1C1831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509" w:hRule="atLeast"/>
              </w:trPr>
              <w:tc>
                <w:tcPr>
                  <w:tcW w:w="891" w:type="dxa"/>
                  <w:tcBorders>
                    <w:tl2br w:val="nil"/>
                    <w:tr2bl w:val="nil"/>
                  </w:tcBorders>
                  <w:shd w:val="clear" w:color="auto" w:fill="auto"/>
                  <w:noWrap/>
                  <w:vAlign w:val="center"/>
                </w:tcPr>
                <w:p w14:paraId="23308A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水洗机</w:t>
                  </w:r>
                </w:p>
              </w:tc>
              <w:tc>
                <w:tcPr>
                  <w:tcW w:w="893" w:type="dxa"/>
                  <w:tcBorders>
                    <w:tl2br w:val="nil"/>
                    <w:tr2bl w:val="nil"/>
                  </w:tcBorders>
                  <w:shd w:val="clear" w:color="auto" w:fill="auto"/>
                  <w:noWrap/>
                  <w:vAlign w:val="center"/>
                </w:tcPr>
                <w:p w14:paraId="16807C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容积m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1018" w:type="dxa"/>
                  <w:tcBorders>
                    <w:tl2br w:val="nil"/>
                    <w:tr2bl w:val="nil"/>
                  </w:tcBorders>
                  <w:shd w:val="clear" w:color="auto" w:fill="auto"/>
                  <w:noWrap/>
                  <w:vAlign w:val="center"/>
                </w:tcPr>
                <w:p w14:paraId="259E7A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有效容积m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1677" w:type="dxa"/>
                  <w:tcBorders>
                    <w:tl2br w:val="nil"/>
                    <w:tr2bl w:val="nil"/>
                  </w:tcBorders>
                  <w:shd w:val="clear" w:color="auto" w:fill="auto"/>
                  <w:noWrap/>
                  <w:vAlign w:val="center"/>
                </w:tcPr>
                <w:p w14:paraId="78CEED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w:t>
                  </w:r>
                </w:p>
              </w:tc>
              <w:tc>
                <w:tcPr>
                  <w:tcW w:w="908" w:type="dxa"/>
                  <w:tcBorders>
                    <w:tl2br w:val="nil"/>
                    <w:tr2bl w:val="nil"/>
                  </w:tcBorders>
                  <w:shd w:val="clear" w:color="auto" w:fill="auto"/>
                  <w:noWrap/>
                  <w:vAlign w:val="center"/>
                </w:tcPr>
                <w:p w14:paraId="7A5A45D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清洗剂用量t/d</w:t>
                  </w:r>
                </w:p>
              </w:tc>
              <w:tc>
                <w:tcPr>
                  <w:tcW w:w="1075" w:type="dxa"/>
                  <w:tcBorders>
                    <w:tl2br w:val="nil"/>
                    <w:tr2bl w:val="nil"/>
                  </w:tcBorders>
                  <w:shd w:val="clear" w:color="auto" w:fill="auto"/>
                  <w:noWrap/>
                  <w:vAlign w:val="center"/>
                </w:tcPr>
                <w:p w14:paraId="7F7C66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蒸发损耗量t/d</w:t>
                  </w:r>
                </w:p>
              </w:tc>
              <w:tc>
                <w:tcPr>
                  <w:tcW w:w="840" w:type="dxa"/>
                  <w:tcBorders>
                    <w:tl2br w:val="nil"/>
                    <w:tr2bl w:val="nil"/>
                  </w:tcBorders>
                  <w:shd w:val="clear" w:color="auto" w:fill="auto"/>
                  <w:noWrap/>
                  <w:vAlign w:val="center"/>
                </w:tcPr>
                <w:p w14:paraId="3AC57A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排水量t/d</w:t>
                  </w:r>
                </w:p>
              </w:tc>
              <w:tc>
                <w:tcPr>
                  <w:tcW w:w="894" w:type="dxa"/>
                  <w:tcBorders>
                    <w:tl2br w:val="nil"/>
                    <w:tr2bl w:val="nil"/>
                  </w:tcBorders>
                  <w:shd w:val="clear" w:color="auto" w:fill="auto"/>
                  <w:noWrap/>
                  <w:vAlign w:val="center"/>
                </w:tcPr>
                <w:p w14:paraId="6DAD74D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补充水量t/d</w:t>
                  </w:r>
                </w:p>
              </w:tc>
            </w:tr>
            <w:tr w14:paraId="040B1A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070CC3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第一槽</w:t>
                  </w:r>
                </w:p>
              </w:tc>
              <w:tc>
                <w:tcPr>
                  <w:tcW w:w="893" w:type="dxa"/>
                  <w:tcBorders>
                    <w:tl2br w:val="nil"/>
                    <w:tr2bl w:val="nil"/>
                  </w:tcBorders>
                  <w:shd w:val="clear" w:color="auto" w:fill="auto"/>
                  <w:noWrap/>
                  <w:vAlign w:val="center"/>
                </w:tcPr>
                <w:p w14:paraId="5208DDF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35C528D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5F7014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清洗剂A+纯水</w:t>
                  </w:r>
                </w:p>
              </w:tc>
              <w:tc>
                <w:tcPr>
                  <w:tcW w:w="908" w:type="dxa"/>
                  <w:tcBorders>
                    <w:tl2br w:val="nil"/>
                    <w:tr2bl w:val="nil"/>
                  </w:tcBorders>
                  <w:shd w:val="clear" w:color="auto" w:fill="auto"/>
                  <w:noWrap/>
                  <w:vAlign w:val="center"/>
                </w:tcPr>
                <w:p w14:paraId="7EBE25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1075" w:type="dxa"/>
                  <w:tcBorders>
                    <w:tl2br w:val="nil"/>
                    <w:tr2bl w:val="nil"/>
                  </w:tcBorders>
                  <w:shd w:val="clear" w:color="auto" w:fill="auto"/>
                  <w:noWrap/>
                  <w:vAlign w:val="center"/>
                </w:tcPr>
                <w:p w14:paraId="00C58F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1CE8B01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0.094</w:t>
                  </w:r>
                </w:p>
              </w:tc>
              <w:tc>
                <w:tcPr>
                  <w:tcW w:w="894" w:type="dxa"/>
                  <w:tcBorders>
                    <w:tl2br w:val="nil"/>
                    <w:tr2bl w:val="nil"/>
                  </w:tcBorders>
                  <w:shd w:val="clear" w:color="auto" w:fill="auto"/>
                  <w:noWrap/>
                  <w:vAlign w:val="center"/>
                </w:tcPr>
                <w:p w14:paraId="33DEBD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0.084</w:t>
                  </w:r>
                </w:p>
              </w:tc>
            </w:tr>
            <w:tr w14:paraId="2C4FF1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542542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第二槽</w:t>
                  </w:r>
                </w:p>
              </w:tc>
              <w:tc>
                <w:tcPr>
                  <w:tcW w:w="893" w:type="dxa"/>
                  <w:tcBorders>
                    <w:tl2br w:val="nil"/>
                    <w:tr2bl w:val="nil"/>
                  </w:tcBorders>
                  <w:shd w:val="clear" w:color="auto" w:fill="auto"/>
                  <w:noWrap/>
                  <w:vAlign w:val="center"/>
                </w:tcPr>
                <w:p w14:paraId="004F11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343448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3020D3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清洗剂B+纯水</w:t>
                  </w:r>
                </w:p>
              </w:tc>
              <w:tc>
                <w:tcPr>
                  <w:tcW w:w="908" w:type="dxa"/>
                  <w:tcBorders>
                    <w:tl2br w:val="nil"/>
                    <w:tr2bl w:val="nil"/>
                  </w:tcBorders>
                  <w:shd w:val="clear" w:color="auto" w:fill="auto"/>
                  <w:noWrap/>
                  <w:vAlign w:val="center"/>
                </w:tcPr>
                <w:p w14:paraId="10A8A2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1075" w:type="dxa"/>
                  <w:tcBorders>
                    <w:tl2br w:val="nil"/>
                    <w:tr2bl w:val="nil"/>
                  </w:tcBorders>
                  <w:shd w:val="clear" w:color="auto" w:fill="auto"/>
                  <w:noWrap/>
                  <w:vAlign w:val="center"/>
                </w:tcPr>
                <w:p w14:paraId="4A978A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362E4C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0.094</w:t>
                  </w:r>
                </w:p>
              </w:tc>
              <w:tc>
                <w:tcPr>
                  <w:tcW w:w="894" w:type="dxa"/>
                  <w:tcBorders>
                    <w:tl2br w:val="nil"/>
                    <w:tr2bl w:val="nil"/>
                  </w:tcBorders>
                  <w:shd w:val="clear" w:color="auto" w:fill="auto"/>
                  <w:noWrap/>
                  <w:vAlign w:val="center"/>
                </w:tcPr>
                <w:p w14:paraId="75842B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0.084</w:t>
                  </w:r>
                </w:p>
              </w:tc>
            </w:tr>
            <w:tr w14:paraId="757C0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6E4EA0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第三槽</w:t>
                  </w:r>
                </w:p>
              </w:tc>
              <w:tc>
                <w:tcPr>
                  <w:tcW w:w="893" w:type="dxa"/>
                  <w:tcBorders>
                    <w:tl2br w:val="nil"/>
                    <w:tr2bl w:val="nil"/>
                  </w:tcBorders>
                  <w:shd w:val="clear" w:color="auto" w:fill="auto"/>
                  <w:noWrap/>
                  <w:vAlign w:val="center"/>
                </w:tcPr>
                <w:p w14:paraId="44EDD9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496DDBF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039478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084BDD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37AFBC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3FB23E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0.094</w:t>
                  </w:r>
                </w:p>
              </w:tc>
              <w:tc>
                <w:tcPr>
                  <w:tcW w:w="894" w:type="dxa"/>
                  <w:tcBorders>
                    <w:tl2br w:val="nil"/>
                    <w:tr2bl w:val="nil"/>
                  </w:tcBorders>
                  <w:shd w:val="clear" w:color="auto" w:fill="auto"/>
                  <w:noWrap/>
                  <w:vAlign w:val="center"/>
                </w:tcPr>
                <w:p w14:paraId="78C52C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r>
            <w:tr w14:paraId="49AA8E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28BDDC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第四槽</w:t>
                  </w:r>
                </w:p>
              </w:tc>
              <w:tc>
                <w:tcPr>
                  <w:tcW w:w="893" w:type="dxa"/>
                  <w:tcBorders>
                    <w:tl2br w:val="nil"/>
                    <w:tr2bl w:val="nil"/>
                  </w:tcBorders>
                  <w:shd w:val="clear" w:color="auto" w:fill="auto"/>
                  <w:noWrap/>
                  <w:vAlign w:val="center"/>
                </w:tcPr>
                <w:p w14:paraId="21FA242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18CA5E5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42C810D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39E58F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004CF3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30BB82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94" w:type="dxa"/>
                  <w:tcBorders>
                    <w:tl2br w:val="nil"/>
                    <w:tr2bl w:val="nil"/>
                  </w:tcBorders>
                  <w:shd w:val="clear" w:color="auto" w:fill="auto"/>
                  <w:noWrap/>
                  <w:vAlign w:val="center"/>
                </w:tcPr>
                <w:p w14:paraId="2A657C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r>
            <w:tr w14:paraId="6431FE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59A34A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第五槽</w:t>
                  </w:r>
                </w:p>
              </w:tc>
              <w:tc>
                <w:tcPr>
                  <w:tcW w:w="893" w:type="dxa"/>
                  <w:tcBorders>
                    <w:tl2br w:val="nil"/>
                    <w:tr2bl w:val="nil"/>
                  </w:tcBorders>
                  <w:shd w:val="clear" w:color="auto" w:fill="auto"/>
                  <w:noWrap/>
                  <w:vAlign w:val="center"/>
                </w:tcPr>
                <w:p w14:paraId="415C97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26A41F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5057FD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1F2793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7368B8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4D344C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94" w:type="dxa"/>
                  <w:tcBorders>
                    <w:tl2br w:val="nil"/>
                    <w:tr2bl w:val="nil"/>
                  </w:tcBorders>
                  <w:shd w:val="clear" w:color="auto" w:fill="auto"/>
                  <w:noWrap/>
                  <w:vAlign w:val="center"/>
                </w:tcPr>
                <w:p w14:paraId="6353D2A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r>
            <w:tr w14:paraId="5B879B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254848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第六槽</w:t>
                  </w:r>
                </w:p>
              </w:tc>
              <w:tc>
                <w:tcPr>
                  <w:tcW w:w="893" w:type="dxa"/>
                  <w:tcBorders>
                    <w:tl2br w:val="nil"/>
                    <w:tr2bl w:val="nil"/>
                  </w:tcBorders>
                  <w:shd w:val="clear" w:color="auto" w:fill="auto"/>
                  <w:noWrap/>
                  <w:vAlign w:val="center"/>
                </w:tcPr>
                <w:p w14:paraId="6A4EEB6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75F426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5A3930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136A2C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10BE62F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42005B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94" w:type="dxa"/>
                  <w:tcBorders>
                    <w:tl2br w:val="nil"/>
                    <w:tr2bl w:val="nil"/>
                  </w:tcBorders>
                  <w:shd w:val="clear" w:color="auto" w:fill="auto"/>
                  <w:noWrap/>
                  <w:vAlign w:val="center"/>
                </w:tcPr>
                <w:p w14:paraId="31F540B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r>
            <w:tr w14:paraId="7E415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21636F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第七槽</w:t>
                  </w:r>
                </w:p>
              </w:tc>
              <w:tc>
                <w:tcPr>
                  <w:tcW w:w="893" w:type="dxa"/>
                  <w:tcBorders>
                    <w:tl2br w:val="nil"/>
                    <w:tr2bl w:val="nil"/>
                  </w:tcBorders>
                  <w:shd w:val="clear" w:color="auto" w:fill="auto"/>
                  <w:noWrap/>
                  <w:vAlign w:val="center"/>
                </w:tcPr>
                <w:p w14:paraId="7F89669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5BC3A0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4A71FC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31D089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45B4CC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3070ED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94" w:type="dxa"/>
                  <w:tcBorders>
                    <w:tl2br w:val="nil"/>
                    <w:tr2bl w:val="nil"/>
                  </w:tcBorders>
                  <w:shd w:val="clear" w:color="auto" w:fill="auto"/>
                  <w:noWrap/>
                  <w:vAlign w:val="center"/>
                </w:tcPr>
                <w:p w14:paraId="1273BE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r>
            <w:tr w14:paraId="0979CD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7789FB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第八槽</w:t>
                  </w:r>
                </w:p>
              </w:tc>
              <w:tc>
                <w:tcPr>
                  <w:tcW w:w="893" w:type="dxa"/>
                  <w:tcBorders>
                    <w:tl2br w:val="nil"/>
                    <w:tr2bl w:val="nil"/>
                  </w:tcBorders>
                  <w:shd w:val="clear" w:color="auto" w:fill="auto"/>
                  <w:noWrap/>
                  <w:vAlign w:val="center"/>
                </w:tcPr>
                <w:p w14:paraId="7D4173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w:t>
                  </w:r>
                </w:p>
              </w:tc>
              <w:tc>
                <w:tcPr>
                  <w:tcW w:w="1018" w:type="dxa"/>
                  <w:tcBorders>
                    <w:tl2br w:val="nil"/>
                    <w:tr2bl w:val="nil"/>
                  </w:tcBorders>
                  <w:shd w:val="clear" w:color="auto" w:fill="auto"/>
                  <w:noWrap/>
                  <w:vAlign w:val="center"/>
                </w:tcPr>
                <w:p w14:paraId="214D7A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0.104</w:t>
                  </w:r>
                </w:p>
              </w:tc>
              <w:tc>
                <w:tcPr>
                  <w:tcW w:w="1677" w:type="dxa"/>
                  <w:tcBorders>
                    <w:tl2br w:val="nil"/>
                    <w:tr2bl w:val="nil"/>
                  </w:tcBorders>
                  <w:shd w:val="clear" w:color="auto" w:fill="auto"/>
                  <w:noWrap/>
                  <w:vAlign w:val="center"/>
                </w:tcPr>
                <w:p w14:paraId="292E5A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w:t>
                  </w:r>
                </w:p>
              </w:tc>
              <w:tc>
                <w:tcPr>
                  <w:tcW w:w="908" w:type="dxa"/>
                  <w:tcBorders>
                    <w:tl2br w:val="nil"/>
                    <w:tr2bl w:val="nil"/>
                  </w:tcBorders>
                  <w:shd w:val="clear" w:color="auto" w:fill="auto"/>
                  <w:noWrap/>
                  <w:vAlign w:val="center"/>
                </w:tcPr>
                <w:p w14:paraId="625785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75" w:type="dxa"/>
                  <w:tcBorders>
                    <w:tl2br w:val="nil"/>
                    <w:tr2bl w:val="nil"/>
                  </w:tcBorders>
                  <w:shd w:val="clear" w:color="auto" w:fill="auto"/>
                  <w:noWrap/>
                  <w:vAlign w:val="center"/>
                </w:tcPr>
                <w:p w14:paraId="133CEC1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840" w:type="dxa"/>
                  <w:tcBorders>
                    <w:tl2br w:val="nil"/>
                    <w:tr2bl w:val="nil"/>
                  </w:tcBorders>
                  <w:shd w:val="clear" w:color="auto" w:fill="auto"/>
                  <w:noWrap/>
                  <w:vAlign w:val="center"/>
                </w:tcPr>
                <w:p w14:paraId="07BDA0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894" w:type="dxa"/>
                  <w:tcBorders>
                    <w:tl2br w:val="nil"/>
                    <w:tr2bl w:val="nil"/>
                  </w:tcBorders>
                  <w:shd w:val="clear" w:color="auto" w:fill="auto"/>
                  <w:noWrap/>
                  <w:vAlign w:val="center"/>
                </w:tcPr>
                <w:p w14:paraId="51FA354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r>
            <w:tr w14:paraId="4179E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47BC38A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893" w:type="dxa"/>
                  <w:tcBorders>
                    <w:tl2br w:val="nil"/>
                    <w:tr2bl w:val="nil"/>
                  </w:tcBorders>
                  <w:shd w:val="clear" w:color="auto" w:fill="auto"/>
                  <w:noWrap/>
                  <w:vAlign w:val="center"/>
                </w:tcPr>
                <w:p w14:paraId="43A7118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0.92</w:t>
                  </w:r>
                </w:p>
              </w:tc>
              <w:tc>
                <w:tcPr>
                  <w:tcW w:w="1018" w:type="dxa"/>
                  <w:tcBorders>
                    <w:tl2br w:val="nil"/>
                    <w:tr2bl w:val="nil"/>
                  </w:tcBorders>
                  <w:shd w:val="clear" w:color="auto" w:fill="auto"/>
                  <w:noWrap/>
                  <w:vAlign w:val="center"/>
                </w:tcPr>
                <w:p w14:paraId="7AD831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0.832</w:t>
                  </w:r>
                </w:p>
              </w:tc>
              <w:tc>
                <w:tcPr>
                  <w:tcW w:w="1677" w:type="dxa"/>
                  <w:tcBorders>
                    <w:tl2br w:val="nil"/>
                    <w:tr2bl w:val="nil"/>
                  </w:tcBorders>
                  <w:shd w:val="clear" w:color="auto" w:fill="auto"/>
                  <w:noWrap/>
                  <w:vAlign w:val="center"/>
                </w:tcPr>
                <w:p w14:paraId="64B7BD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08" w:type="dxa"/>
                  <w:tcBorders>
                    <w:tl2br w:val="nil"/>
                    <w:tr2bl w:val="nil"/>
                  </w:tcBorders>
                  <w:shd w:val="clear" w:color="auto" w:fill="auto"/>
                  <w:noWrap/>
                  <w:vAlign w:val="center"/>
                </w:tcPr>
                <w:p w14:paraId="402A6B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1075" w:type="dxa"/>
                  <w:tcBorders>
                    <w:tl2br w:val="nil"/>
                    <w:tr2bl w:val="nil"/>
                  </w:tcBorders>
                  <w:shd w:val="clear" w:color="auto" w:fill="auto"/>
                  <w:noWrap/>
                  <w:vAlign w:val="center"/>
                </w:tcPr>
                <w:p w14:paraId="03E704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840" w:type="dxa"/>
                  <w:tcBorders>
                    <w:tl2br w:val="nil"/>
                    <w:tr2bl w:val="nil"/>
                  </w:tcBorders>
                  <w:shd w:val="clear" w:color="auto" w:fill="auto"/>
                  <w:noWrap/>
                  <w:vAlign w:val="center"/>
                </w:tcPr>
                <w:p w14:paraId="5F6C2A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0.282</w:t>
                  </w:r>
                </w:p>
              </w:tc>
              <w:tc>
                <w:tcPr>
                  <w:tcW w:w="894" w:type="dxa"/>
                  <w:tcBorders>
                    <w:tl2br w:val="nil"/>
                    <w:tr2bl w:val="nil"/>
                  </w:tcBorders>
                  <w:shd w:val="clear" w:color="auto" w:fill="auto"/>
                  <w:noWrap/>
                  <w:vAlign w:val="center"/>
                </w:tcPr>
                <w:p w14:paraId="1F4A77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0.322</w:t>
                  </w:r>
                </w:p>
              </w:tc>
            </w:tr>
            <w:tr w14:paraId="391E09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5" w:hRule="atLeast"/>
              </w:trPr>
              <w:tc>
                <w:tcPr>
                  <w:tcW w:w="891" w:type="dxa"/>
                  <w:tcBorders>
                    <w:tl2br w:val="nil"/>
                    <w:tr2bl w:val="nil"/>
                  </w:tcBorders>
                  <w:shd w:val="clear" w:color="auto" w:fill="auto"/>
                  <w:noWrap/>
                  <w:vAlign w:val="center"/>
                </w:tcPr>
                <w:p w14:paraId="258FD4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年合计</w:t>
                  </w:r>
                </w:p>
                <w:p w14:paraId="4B1F3F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default" w:ascii="Times New Roman" w:hAnsi="Times New Roman" w:cs="Times New Roman"/>
                      <w:i w:val="0"/>
                      <w:iCs w:val="0"/>
                      <w:color w:val="auto"/>
                      <w:kern w:val="0"/>
                      <w:sz w:val="21"/>
                      <w:szCs w:val="21"/>
                      <w:highlight w:val="none"/>
                      <w:u w:val="none"/>
                      <w:lang w:val="en-US" w:eastAsia="zh-CN" w:bidi="ar"/>
                    </w:rPr>
                    <w:t>）</w:t>
                  </w:r>
                </w:p>
              </w:tc>
              <w:tc>
                <w:tcPr>
                  <w:tcW w:w="893" w:type="dxa"/>
                  <w:tcBorders>
                    <w:tl2br w:val="nil"/>
                    <w:tr2bl w:val="nil"/>
                  </w:tcBorders>
                  <w:shd w:val="clear" w:color="auto" w:fill="auto"/>
                  <w:noWrap/>
                  <w:vAlign w:val="center"/>
                </w:tcPr>
                <w:p w14:paraId="196F68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18" w:type="dxa"/>
                  <w:tcBorders>
                    <w:tl2br w:val="nil"/>
                    <w:tr2bl w:val="nil"/>
                  </w:tcBorders>
                  <w:shd w:val="clear" w:color="auto" w:fill="auto"/>
                  <w:noWrap/>
                  <w:vAlign w:val="center"/>
                </w:tcPr>
                <w:p w14:paraId="529FC5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677" w:type="dxa"/>
                  <w:tcBorders>
                    <w:tl2br w:val="nil"/>
                    <w:tr2bl w:val="nil"/>
                  </w:tcBorders>
                  <w:shd w:val="clear" w:color="auto" w:fill="auto"/>
                  <w:noWrap/>
                  <w:vAlign w:val="center"/>
                </w:tcPr>
                <w:p w14:paraId="755D5BD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08" w:type="dxa"/>
                  <w:tcBorders>
                    <w:tl2br w:val="nil"/>
                    <w:tr2bl w:val="nil"/>
                  </w:tcBorders>
                  <w:shd w:val="clear" w:color="auto" w:fill="auto"/>
                  <w:noWrap/>
                  <w:vAlign w:val="center"/>
                </w:tcPr>
                <w:p w14:paraId="28318E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9.2</w:t>
                  </w:r>
                </w:p>
              </w:tc>
              <w:tc>
                <w:tcPr>
                  <w:tcW w:w="1075" w:type="dxa"/>
                  <w:tcBorders>
                    <w:tl2br w:val="nil"/>
                    <w:tr2bl w:val="nil"/>
                  </w:tcBorders>
                  <w:shd w:val="clear" w:color="auto" w:fill="auto"/>
                  <w:noWrap/>
                  <w:vAlign w:val="center"/>
                </w:tcPr>
                <w:p w14:paraId="1431AAF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18.400</w:t>
                  </w:r>
                </w:p>
              </w:tc>
              <w:tc>
                <w:tcPr>
                  <w:tcW w:w="840" w:type="dxa"/>
                  <w:tcBorders>
                    <w:tl2br w:val="nil"/>
                    <w:tr2bl w:val="nil"/>
                  </w:tcBorders>
                  <w:shd w:val="clear" w:color="auto" w:fill="auto"/>
                  <w:noWrap/>
                  <w:vAlign w:val="center"/>
                </w:tcPr>
                <w:p w14:paraId="5D3E35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64.860</w:t>
                  </w:r>
                </w:p>
              </w:tc>
              <w:tc>
                <w:tcPr>
                  <w:tcW w:w="894" w:type="dxa"/>
                  <w:tcBorders>
                    <w:tl2br w:val="nil"/>
                    <w:tr2bl w:val="nil"/>
                  </w:tcBorders>
                  <w:shd w:val="clear" w:color="auto" w:fill="auto"/>
                  <w:noWrap/>
                  <w:vAlign w:val="center"/>
                </w:tcPr>
                <w:p w14:paraId="3F83F5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74.060</w:t>
                  </w:r>
                </w:p>
              </w:tc>
            </w:tr>
          </w:tbl>
          <w:p w14:paraId="3F57368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清洗废水由于含有清洗剂，其废水为有机废水，综合废水的水质参考类比项目《广东仁邦电子有限公司年产液晶显示屏600万件、LED背光源600万件建设项目》</w:t>
            </w:r>
            <w:r>
              <w:rPr>
                <w:rFonts w:hint="default" w:ascii="Times New Roman" w:hAnsi="Times New Roman" w:cs="Times New Roman"/>
                <w:color w:val="auto"/>
                <w:sz w:val="24"/>
                <w:highlight w:val="none"/>
                <w:lang w:eastAsia="zh-CN"/>
              </w:rPr>
              <w:t>（穗环管影（增）〔2024〕81号）</w:t>
            </w:r>
            <w:r>
              <w:rPr>
                <w:rFonts w:hint="default" w:ascii="Times New Roman" w:hAnsi="Times New Roman" w:cs="Times New Roman"/>
                <w:color w:val="auto"/>
                <w:sz w:val="24"/>
                <w:highlight w:val="none"/>
              </w:rPr>
              <w:t>的综合废水水质（主要为清洗废水和</w:t>
            </w:r>
            <w:r>
              <w:rPr>
                <w:rFonts w:hint="default" w:ascii="Times New Roman" w:hAnsi="Times New Roman" w:cs="Times New Roman"/>
                <w:color w:val="auto"/>
                <w:sz w:val="24"/>
                <w:highlight w:val="none"/>
                <w:lang w:val="en-US" w:eastAsia="zh-CN"/>
              </w:rPr>
              <w:t>磨边废水</w:t>
            </w:r>
            <w:r>
              <w:rPr>
                <w:rFonts w:hint="default" w:ascii="Times New Roman" w:hAnsi="Times New Roman" w:cs="Times New Roman"/>
                <w:color w:val="auto"/>
                <w:sz w:val="24"/>
                <w:highlight w:val="none"/>
              </w:rPr>
              <w:t>）产生浓度，详见下表。</w:t>
            </w:r>
          </w:p>
          <w:p w14:paraId="6B103CA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类比项目情况分析</w:t>
            </w:r>
          </w:p>
          <w:tbl>
            <w:tblPr>
              <w:tblStyle w:val="39"/>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5"/>
              <w:gridCol w:w="1009"/>
              <w:gridCol w:w="1367"/>
              <w:gridCol w:w="1367"/>
              <w:gridCol w:w="885"/>
              <w:gridCol w:w="1851"/>
            </w:tblGrid>
            <w:tr w14:paraId="17F7A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1" w:type="pct"/>
                  <w:vAlign w:val="center"/>
                </w:tcPr>
                <w:p w14:paraId="34DB56CA">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项目名称</w:t>
                  </w:r>
                </w:p>
              </w:tc>
              <w:tc>
                <w:tcPr>
                  <w:tcW w:w="615" w:type="pct"/>
                  <w:vAlign w:val="center"/>
                </w:tcPr>
                <w:p w14:paraId="7FCFAAEC">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原料</w:t>
                  </w:r>
                </w:p>
              </w:tc>
              <w:tc>
                <w:tcPr>
                  <w:tcW w:w="833" w:type="pct"/>
                  <w:vAlign w:val="center"/>
                </w:tcPr>
                <w:p w14:paraId="4BE03201">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规模</w:t>
                  </w:r>
                </w:p>
              </w:tc>
              <w:tc>
                <w:tcPr>
                  <w:tcW w:w="833" w:type="pct"/>
                  <w:vAlign w:val="center"/>
                </w:tcPr>
                <w:p w14:paraId="597D584C">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生产工艺</w:t>
                  </w:r>
                </w:p>
              </w:tc>
              <w:tc>
                <w:tcPr>
                  <w:tcW w:w="539" w:type="pct"/>
                  <w:vAlign w:val="center"/>
                </w:tcPr>
                <w:p w14:paraId="4531FE39">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废水治理措施</w:t>
                  </w:r>
                </w:p>
              </w:tc>
              <w:tc>
                <w:tcPr>
                  <w:tcW w:w="1127" w:type="pct"/>
                  <w:vAlign w:val="center"/>
                </w:tcPr>
                <w:p w14:paraId="6775F28E">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类别可行性</w:t>
                  </w:r>
                </w:p>
              </w:tc>
            </w:tr>
            <w:tr w14:paraId="16E2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1" w:type="pct"/>
                  <w:vAlign w:val="center"/>
                </w:tcPr>
                <w:p w14:paraId="3B478D66">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广东仁邦电子有限公司年产液晶显示屏600万件、LED背光源600万件建设项目</w:t>
                  </w:r>
                </w:p>
              </w:tc>
              <w:tc>
                <w:tcPr>
                  <w:tcW w:w="615" w:type="pct"/>
                  <w:vAlign w:val="center"/>
                </w:tcPr>
                <w:p w14:paraId="692CA5A6">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液晶、环保清洗剂、偏光镜等</w:t>
                  </w:r>
                </w:p>
              </w:tc>
              <w:tc>
                <w:tcPr>
                  <w:tcW w:w="833" w:type="pct"/>
                  <w:vAlign w:val="center"/>
                </w:tcPr>
                <w:p w14:paraId="7A8E7E82">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年产液晶显示屏600万件、LED背光源600万件</w:t>
                  </w:r>
                </w:p>
              </w:tc>
              <w:tc>
                <w:tcPr>
                  <w:tcW w:w="833" w:type="pct"/>
                  <w:vAlign w:val="center"/>
                </w:tcPr>
                <w:p w14:paraId="45D432DC">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显示屏的中端、后端生产工艺</w:t>
                  </w:r>
                </w:p>
              </w:tc>
              <w:tc>
                <w:tcPr>
                  <w:tcW w:w="539" w:type="pct"/>
                  <w:vAlign w:val="center"/>
                </w:tcPr>
                <w:p w14:paraId="1EEFE67B">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中和调节+絮凝沉淀</w:t>
                  </w:r>
                </w:p>
              </w:tc>
              <w:tc>
                <w:tcPr>
                  <w:tcW w:w="1127" w:type="pct"/>
                  <w:vMerge w:val="restart"/>
                  <w:vAlign w:val="center"/>
                </w:tcPr>
                <w:p w14:paraId="40298862">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与本项目相比，类比项目额外含括磨边废水，磨边过程不添加任何洗涤剂，水质简单，主要为SS。清洗工序与本项目一致，均添加清洗剂，水质相似，可类比</w:t>
                  </w:r>
                </w:p>
              </w:tc>
            </w:tr>
            <w:tr w14:paraId="5EF9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1" w:type="pct"/>
                  <w:vAlign w:val="center"/>
                </w:tcPr>
                <w:p w14:paraId="069A1468">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本项目</w:t>
                  </w:r>
                </w:p>
              </w:tc>
              <w:tc>
                <w:tcPr>
                  <w:tcW w:w="615" w:type="pct"/>
                  <w:vAlign w:val="center"/>
                </w:tcPr>
                <w:p w14:paraId="2D61378C">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液晶、环保清洗剂、偏光镜等</w:t>
                  </w:r>
                </w:p>
              </w:tc>
              <w:tc>
                <w:tcPr>
                  <w:tcW w:w="833" w:type="pct"/>
                  <w:vAlign w:val="center"/>
                </w:tcPr>
                <w:p w14:paraId="0A97E56A">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年产背光源0.3亿只、液晶屏0.25亿只</w:t>
                  </w:r>
                </w:p>
              </w:tc>
              <w:tc>
                <w:tcPr>
                  <w:tcW w:w="833" w:type="pct"/>
                  <w:vAlign w:val="center"/>
                </w:tcPr>
                <w:p w14:paraId="2920C925">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显示屏的中端、后端生产工艺</w:t>
                  </w:r>
                </w:p>
              </w:tc>
              <w:tc>
                <w:tcPr>
                  <w:tcW w:w="539" w:type="pct"/>
                  <w:vAlign w:val="center"/>
                </w:tcPr>
                <w:p w14:paraId="2669EB96">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c>
                <w:tcPr>
                  <w:tcW w:w="1127" w:type="pct"/>
                  <w:vMerge w:val="continue"/>
                  <w:vAlign w:val="center"/>
                </w:tcPr>
                <w:p w14:paraId="3A4CE4CE">
                  <w:pPr>
                    <w:pStyle w:val="4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r>
          </w:tbl>
          <w:p w14:paraId="39F9BD8D">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液晶清洗液</w:t>
            </w:r>
            <w:r>
              <w:rPr>
                <w:rFonts w:hint="eastAsia" w:cs="Times New Roman"/>
                <w:color w:val="auto"/>
                <w:sz w:val="24"/>
                <w:highlight w:val="none"/>
                <w:lang w:val="en-US" w:eastAsia="zh-CN"/>
              </w:rPr>
              <w:t>未人为添加磷系助剂、磷酸盐类物质，</w:t>
            </w:r>
            <w:r>
              <w:rPr>
                <w:rFonts w:hint="eastAsia"/>
                <w:color w:val="auto"/>
                <w:sz w:val="24"/>
                <w:lang w:val="en-US" w:eastAsia="zh-CN"/>
              </w:rPr>
              <w:t>废水中少量磷主要来源于ITO玻璃打磨粉尘矿物本底溶出</w:t>
            </w:r>
            <w:r>
              <w:rPr>
                <w:rFonts w:hint="default" w:ascii="Times New Roman" w:hAnsi="Times New Roman" w:cs="Times New Roman"/>
                <w:color w:val="auto"/>
                <w:sz w:val="24"/>
                <w:highlight w:val="none"/>
                <w:lang w:val="en-US" w:eastAsia="zh-CN"/>
              </w:rPr>
              <w:t>，总磷浓度为0.1～0.5mg/L，本项目取0.25mg/L；氮主要来自少量表面活性剂</w:t>
            </w:r>
            <w:r>
              <w:rPr>
                <w:rFonts w:hint="eastAsia" w:cs="Times New Roman"/>
                <w:color w:val="auto"/>
                <w:sz w:val="24"/>
                <w:highlight w:val="none"/>
                <w:lang w:val="en-US" w:eastAsia="zh-CN"/>
              </w:rPr>
              <w:t>助剂</w:t>
            </w:r>
            <w:r>
              <w:rPr>
                <w:rFonts w:hint="default" w:ascii="Times New Roman" w:hAnsi="Times New Roman" w:cs="Times New Roman"/>
                <w:color w:val="auto"/>
                <w:sz w:val="24"/>
                <w:highlight w:val="none"/>
                <w:lang w:val="en-US" w:eastAsia="zh-CN"/>
              </w:rPr>
              <w:t>，总氮浓度为2～8mg/L，本项目取5mg/L；总有机碳与COD相关，总有机碳浓度为80～135mg/L，本项目取110mg/L。</w:t>
            </w:r>
          </w:p>
          <w:p w14:paraId="22AF2695">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清洗废水产生量为64.86t/a，污染物产生情况如下所示：</w:t>
            </w:r>
          </w:p>
          <w:p w14:paraId="54395136">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类比后本项目清洗废水水质产生情况</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648"/>
              <w:gridCol w:w="607"/>
              <w:gridCol w:w="780"/>
              <w:gridCol w:w="615"/>
              <w:gridCol w:w="690"/>
              <w:gridCol w:w="784"/>
              <w:gridCol w:w="784"/>
              <w:gridCol w:w="784"/>
              <w:gridCol w:w="785"/>
              <w:gridCol w:w="785"/>
            </w:tblGrid>
            <w:tr w14:paraId="22FDA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53DFE5EC">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污染物</w:t>
                  </w:r>
                </w:p>
              </w:tc>
              <w:tc>
                <w:tcPr>
                  <w:tcW w:w="394" w:type="pct"/>
                  <w:vAlign w:val="center"/>
                </w:tcPr>
                <w:p w14:paraId="24DDBA46">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pH</w:t>
                  </w:r>
                </w:p>
              </w:tc>
              <w:tc>
                <w:tcPr>
                  <w:tcW w:w="369" w:type="pct"/>
                  <w:vAlign w:val="center"/>
                </w:tcPr>
                <w:p w14:paraId="5357BD72">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COD</w:t>
                  </w:r>
                </w:p>
              </w:tc>
              <w:tc>
                <w:tcPr>
                  <w:tcW w:w="475" w:type="pct"/>
                  <w:vAlign w:val="center"/>
                </w:tcPr>
                <w:p w14:paraId="784799A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BOD</w:t>
                  </w:r>
                  <w:r>
                    <w:rPr>
                      <w:rFonts w:hint="default" w:ascii="Times New Roman" w:hAnsi="Times New Roman" w:cs="Times New Roman"/>
                      <w:b/>
                      <w:bCs/>
                      <w:color w:val="auto"/>
                      <w:sz w:val="21"/>
                      <w:szCs w:val="21"/>
                      <w:highlight w:val="none"/>
                      <w:vertAlign w:val="subscript"/>
                      <w:lang w:val="en-US" w:eastAsia="zh-CN"/>
                    </w:rPr>
                    <w:t>5</w:t>
                  </w:r>
                </w:p>
              </w:tc>
              <w:tc>
                <w:tcPr>
                  <w:tcW w:w="374" w:type="pct"/>
                  <w:vAlign w:val="center"/>
                </w:tcPr>
                <w:p w14:paraId="5F209228">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SS</w:t>
                  </w:r>
                </w:p>
              </w:tc>
              <w:tc>
                <w:tcPr>
                  <w:tcW w:w="420" w:type="pct"/>
                  <w:vAlign w:val="center"/>
                </w:tcPr>
                <w:p w14:paraId="122C336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氨氮</w:t>
                  </w:r>
                </w:p>
              </w:tc>
              <w:tc>
                <w:tcPr>
                  <w:tcW w:w="477" w:type="pct"/>
                  <w:vAlign w:val="center"/>
                </w:tcPr>
                <w:p w14:paraId="1B2D47AD">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t>石油类</w:t>
                  </w:r>
                </w:p>
              </w:tc>
              <w:tc>
                <w:tcPr>
                  <w:tcW w:w="477" w:type="pct"/>
                  <w:vAlign w:val="center"/>
                </w:tcPr>
                <w:p w14:paraId="0AC57D66">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LAS</w:t>
                  </w:r>
                </w:p>
              </w:tc>
              <w:tc>
                <w:tcPr>
                  <w:tcW w:w="477" w:type="pct"/>
                  <w:vAlign w:val="center"/>
                </w:tcPr>
                <w:p w14:paraId="35DF1C42">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总磷</w:t>
                  </w:r>
                </w:p>
              </w:tc>
              <w:tc>
                <w:tcPr>
                  <w:tcW w:w="478" w:type="pct"/>
                  <w:vAlign w:val="center"/>
                </w:tcPr>
                <w:p w14:paraId="4A0CE63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总氮</w:t>
                  </w:r>
                </w:p>
              </w:tc>
              <w:tc>
                <w:tcPr>
                  <w:tcW w:w="478" w:type="pct"/>
                  <w:vAlign w:val="center"/>
                </w:tcPr>
                <w:p w14:paraId="2AEC734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总有机碳</w:t>
                  </w:r>
                </w:p>
              </w:tc>
            </w:tr>
            <w:tr w14:paraId="53FAD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70D3134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eastAsia="zh-CN"/>
                    </w:rPr>
                    <w:t>产生浓度（</w:t>
                  </w:r>
                  <w:r>
                    <w:rPr>
                      <w:rFonts w:hint="default" w:ascii="Times New Roman" w:hAnsi="Times New Roman" w:cs="Times New Roman"/>
                      <w:color w:val="auto"/>
                      <w:sz w:val="21"/>
                      <w:szCs w:val="21"/>
                      <w:highlight w:val="none"/>
                      <w:vertAlign w:val="baseline"/>
                      <w:lang w:val="en-US" w:eastAsia="zh-CN"/>
                    </w:rPr>
                    <w:t>mg/L）</w:t>
                  </w:r>
                </w:p>
              </w:tc>
              <w:tc>
                <w:tcPr>
                  <w:tcW w:w="394" w:type="pct"/>
                  <w:vAlign w:val="center"/>
                </w:tcPr>
                <w:p w14:paraId="3A6D3222">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7.4（无量纲）</w:t>
                  </w:r>
                </w:p>
              </w:tc>
              <w:tc>
                <w:tcPr>
                  <w:tcW w:w="369" w:type="pct"/>
                  <w:vAlign w:val="center"/>
                </w:tcPr>
                <w:p w14:paraId="08E964D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269</w:t>
                  </w:r>
                </w:p>
              </w:tc>
              <w:tc>
                <w:tcPr>
                  <w:tcW w:w="475" w:type="pct"/>
                  <w:vAlign w:val="center"/>
                </w:tcPr>
                <w:p w14:paraId="3C8FCD6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84.5</w:t>
                  </w:r>
                </w:p>
              </w:tc>
              <w:tc>
                <w:tcPr>
                  <w:tcW w:w="374" w:type="pct"/>
                  <w:vAlign w:val="center"/>
                </w:tcPr>
                <w:p w14:paraId="77BC503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20" w:type="pct"/>
                  <w:vAlign w:val="center"/>
                </w:tcPr>
                <w:p w14:paraId="0272C1C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1.28</w:t>
                  </w:r>
                </w:p>
              </w:tc>
              <w:tc>
                <w:tcPr>
                  <w:tcW w:w="477" w:type="pct"/>
                  <w:vAlign w:val="center"/>
                </w:tcPr>
                <w:p w14:paraId="69A5539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477" w:type="pct"/>
                  <w:vAlign w:val="center"/>
                </w:tcPr>
                <w:p w14:paraId="56EDB70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c>
                <w:tcPr>
                  <w:tcW w:w="477" w:type="pct"/>
                  <w:vAlign w:val="center"/>
                </w:tcPr>
                <w:p w14:paraId="61C834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0.25</w:t>
                  </w:r>
                </w:p>
              </w:tc>
              <w:tc>
                <w:tcPr>
                  <w:tcW w:w="478" w:type="pct"/>
                  <w:vAlign w:val="center"/>
                </w:tcPr>
                <w:p w14:paraId="69E94B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478" w:type="pct"/>
                  <w:vAlign w:val="center"/>
                </w:tcPr>
                <w:p w14:paraId="72F2BB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110</w:t>
                  </w:r>
                </w:p>
              </w:tc>
            </w:tr>
            <w:tr w14:paraId="7D9C7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77C518C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产生量（t/a）</w:t>
                  </w:r>
                </w:p>
              </w:tc>
              <w:tc>
                <w:tcPr>
                  <w:tcW w:w="394" w:type="pct"/>
                  <w:vAlign w:val="center"/>
                </w:tcPr>
                <w:p w14:paraId="3144B8B9">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369" w:type="pct"/>
                  <w:vAlign w:val="center"/>
                </w:tcPr>
                <w:p w14:paraId="29D6A061">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0.0174</w:t>
                  </w:r>
                </w:p>
              </w:tc>
              <w:tc>
                <w:tcPr>
                  <w:tcW w:w="475" w:type="pct"/>
                  <w:vAlign w:val="center"/>
                </w:tcPr>
                <w:p w14:paraId="49CFFF60">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0.0055</w:t>
                  </w:r>
                </w:p>
              </w:tc>
              <w:tc>
                <w:tcPr>
                  <w:tcW w:w="374" w:type="pct"/>
                  <w:vAlign w:val="center"/>
                </w:tcPr>
                <w:p w14:paraId="5601942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420" w:type="pct"/>
                  <w:vAlign w:val="center"/>
                </w:tcPr>
                <w:p w14:paraId="459FBC68">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c>
                <w:tcPr>
                  <w:tcW w:w="477" w:type="pct"/>
                  <w:vAlign w:val="center"/>
                </w:tcPr>
                <w:p w14:paraId="5478BEB9">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0.00010</w:t>
                  </w:r>
                </w:p>
              </w:tc>
              <w:tc>
                <w:tcPr>
                  <w:tcW w:w="477" w:type="pct"/>
                  <w:vAlign w:val="center"/>
                </w:tcPr>
                <w:p w14:paraId="157CA9E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0.00012</w:t>
                  </w:r>
                </w:p>
              </w:tc>
              <w:tc>
                <w:tcPr>
                  <w:tcW w:w="477" w:type="pct"/>
                  <w:vAlign w:val="center"/>
                </w:tcPr>
                <w:p w14:paraId="5865D1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478" w:type="pct"/>
                  <w:vAlign w:val="center"/>
                </w:tcPr>
                <w:p w14:paraId="5ABFA6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0.00032</w:t>
                  </w:r>
                </w:p>
              </w:tc>
              <w:tc>
                <w:tcPr>
                  <w:tcW w:w="478" w:type="pct"/>
                  <w:vAlign w:val="center"/>
                </w:tcPr>
                <w:p w14:paraId="750CF6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0.00713</w:t>
                  </w:r>
                </w:p>
              </w:tc>
            </w:tr>
            <w:tr w14:paraId="2B88D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5EE2331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出厂标准</w:t>
                  </w:r>
                </w:p>
              </w:tc>
              <w:tc>
                <w:tcPr>
                  <w:tcW w:w="394" w:type="pct"/>
                  <w:shd w:val="clear" w:color="auto" w:fill="auto"/>
                  <w:vAlign w:val="center"/>
                </w:tcPr>
                <w:p w14:paraId="6126B0EE">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rPr>
                    <w:t>6-9</w:t>
                  </w:r>
                </w:p>
              </w:tc>
              <w:tc>
                <w:tcPr>
                  <w:tcW w:w="369" w:type="pct"/>
                  <w:shd w:val="clear" w:color="auto" w:fill="auto"/>
                  <w:vAlign w:val="center"/>
                </w:tcPr>
                <w:p w14:paraId="5A1447F7">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300</w:t>
                  </w:r>
                </w:p>
              </w:tc>
              <w:tc>
                <w:tcPr>
                  <w:tcW w:w="475" w:type="pct"/>
                  <w:shd w:val="clear" w:color="auto" w:fill="auto"/>
                  <w:vAlign w:val="center"/>
                </w:tcPr>
                <w:p w14:paraId="5C6CCC24">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rPr>
                    <w:t>150</w:t>
                  </w:r>
                </w:p>
              </w:tc>
              <w:tc>
                <w:tcPr>
                  <w:tcW w:w="374" w:type="pct"/>
                  <w:shd w:val="clear" w:color="auto" w:fill="auto"/>
                  <w:vAlign w:val="center"/>
                </w:tcPr>
                <w:p w14:paraId="545F6502">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250</w:t>
                  </w:r>
                </w:p>
              </w:tc>
              <w:tc>
                <w:tcPr>
                  <w:tcW w:w="420" w:type="pct"/>
                  <w:shd w:val="clear" w:color="auto" w:fill="auto"/>
                  <w:vAlign w:val="center"/>
                </w:tcPr>
                <w:p w14:paraId="21E436F9">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40</w:t>
                  </w:r>
                </w:p>
              </w:tc>
              <w:tc>
                <w:tcPr>
                  <w:tcW w:w="477" w:type="pct"/>
                  <w:shd w:val="clear" w:color="auto" w:fill="auto"/>
                  <w:vAlign w:val="center"/>
                </w:tcPr>
                <w:p w14:paraId="533459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77" w:type="pct"/>
                  <w:shd w:val="clear" w:color="auto" w:fill="auto"/>
                  <w:vAlign w:val="center"/>
                </w:tcPr>
                <w:p w14:paraId="750C5B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77" w:type="pct"/>
                  <w:shd w:val="clear" w:color="auto" w:fill="auto"/>
                  <w:vAlign w:val="center"/>
                </w:tcPr>
                <w:p w14:paraId="7CD069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8</w:t>
                  </w:r>
                </w:p>
              </w:tc>
              <w:tc>
                <w:tcPr>
                  <w:tcW w:w="478" w:type="pct"/>
                  <w:shd w:val="clear" w:color="auto" w:fill="auto"/>
                  <w:vAlign w:val="center"/>
                </w:tcPr>
                <w:p w14:paraId="23AC2E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70</w:t>
                  </w:r>
                </w:p>
              </w:tc>
              <w:tc>
                <w:tcPr>
                  <w:tcW w:w="478" w:type="pct"/>
                  <w:shd w:val="clear" w:color="auto" w:fill="auto"/>
                  <w:vAlign w:val="center"/>
                </w:tcPr>
                <w:p w14:paraId="4FB819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200</w:t>
                  </w:r>
                </w:p>
              </w:tc>
            </w:tr>
            <w:tr w14:paraId="1B41D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4C01A30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是否达标</w:t>
                  </w:r>
                </w:p>
              </w:tc>
              <w:tc>
                <w:tcPr>
                  <w:tcW w:w="394" w:type="pct"/>
                  <w:shd w:val="clear" w:color="auto" w:fill="auto"/>
                  <w:vAlign w:val="center"/>
                </w:tcPr>
                <w:p w14:paraId="544CB36D">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369" w:type="pct"/>
                  <w:shd w:val="clear" w:color="auto" w:fill="auto"/>
                  <w:vAlign w:val="center"/>
                </w:tcPr>
                <w:p w14:paraId="18D677B9">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475" w:type="pct"/>
                  <w:shd w:val="clear" w:color="auto" w:fill="auto"/>
                  <w:vAlign w:val="center"/>
                </w:tcPr>
                <w:p w14:paraId="27B39F54">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374" w:type="pct"/>
                  <w:shd w:val="clear" w:color="auto" w:fill="auto"/>
                  <w:vAlign w:val="center"/>
                </w:tcPr>
                <w:p w14:paraId="1377A872">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420" w:type="pct"/>
                  <w:shd w:val="clear" w:color="auto" w:fill="auto"/>
                  <w:vAlign w:val="center"/>
                </w:tcPr>
                <w:p w14:paraId="1EA408EF">
                  <w:pPr>
                    <w:spacing w:beforeLines="0" w:afterLines="0" w:line="276"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477" w:type="pct"/>
                  <w:shd w:val="clear" w:color="auto" w:fill="auto"/>
                  <w:vAlign w:val="center"/>
                </w:tcPr>
                <w:p w14:paraId="75A1A5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477" w:type="pct"/>
                  <w:shd w:val="clear" w:color="auto" w:fill="auto"/>
                  <w:vAlign w:val="center"/>
                </w:tcPr>
                <w:p w14:paraId="6CDB31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达标</w:t>
                  </w:r>
                </w:p>
              </w:tc>
              <w:tc>
                <w:tcPr>
                  <w:tcW w:w="477" w:type="pct"/>
                  <w:shd w:val="clear" w:color="auto" w:fill="auto"/>
                  <w:vAlign w:val="center"/>
                </w:tcPr>
                <w:p w14:paraId="5C5801A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78" w:type="pct"/>
                  <w:shd w:val="clear" w:color="auto" w:fill="auto"/>
                  <w:vAlign w:val="center"/>
                </w:tcPr>
                <w:p w14:paraId="6EB59F0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78" w:type="pct"/>
                  <w:shd w:val="clear" w:color="auto" w:fill="auto"/>
                  <w:vAlign w:val="center"/>
                </w:tcPr>
                <w:p w14:paraId="43F6A7E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r>
          </w:tbl>
          <w:p w14:paraId="42E92913">
            <w:pPr>
              <w:pStyle w:val="45"/>
              <w:spacing w:line="240" w:lineRule="auto"/>
              <w:ind w:left="0" w:leftChars="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备注：根据原辅材料理化性质可知，清洗工件无明显附带氰化物、硫化物、氟化物、总铜、总锌及总铅等其他重金属物质，因此不进行分析。</w:t>
            </w:r>
          </w:p>
          <w:p w14:paraId="45EBCA75">
            <w:pPr>
              <w:pStyle w:val="45"/>
              <w:spacing w:line="240" w:lineRule="auto"/>
              <w:ind w:left="0" w:leftChars="0" w:firstLine="0" w:firstLineChars="0"/>
              <w:rPr>
                <w:rFonts w:hint="default" w:ascii="Times New Roman" w:hAnsi="Times New Roman" w:cs="Times New Roman"/>
                <w:color w:val="auto"/>
                <w:sz w:val="21"/>
                <w:szCs w:val="21"/>
                <w:highlight w:val="none"/>
                <w:lang w:val="en-US" w:eastAsia="zh-CN"/>
              </w:rPr>
            </w:pPr>
          </w:p>
          <w:p w14:paraId="35C7EF30">
            <w:pPr>
              <w:pStyle w:val="76"/>
              <w:numPr>
                <w:ilvl w:val="0"/>
                <w:numId w:val="10"/>
              </w:numPr>
              <w:spacing w:line="360" w:lineRule="auto"/>
              <w:ind w:firstLineChars="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纯水设备废水</w:t>
            </w:r>
          </w:p>
          <w:p w14:paraId="1164F83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项目设有1台</w:t>
            </w:r>
            <w:r>
              <w:rPr>
                <w:rFonts w:hint="default" w:ascii="Times New Roman" w:hAnsi="Times New Roman" w:eastAsia="宋体" w:cs="Times New Roman"/>
                <w:color w:val="auto"/>
                <w:kern w:val="0"/>
                <w:sz w:val="24"/>
                <w:szCs w:val="24"/>
                <w:highlight w:val="none"/>
                <w:lang w:val="en-US" w:eastAsia="zh-CN"/>
              </w:rPr>
              <w:t>纯水机</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去离子水出水量为进水量的76%，现有项目使用去离子水</w:t>
            </w:r>
            <w:r>
              <w:rPr>
                <w:rFonts w:hint="default" w:ascii="Times New Roman" w:hAnsi="Times New Roman" w:eastAsia="宋体" w:cs="Times New Roman"/>
                <w:bCs/>
                <w:color w:val="auto"/>
                <w:sz w:val="24"/>
                <w:szCs w:val="28"/>
                <w:highlight w:val="none"/>
                <w:u w:val="none"/>
                <w:lang w:val="en-US" w:eastAsia="zh-CN"/>
              </w:rPr>
              <w:t>18</w:t>
            </w:r>
            <w:r>
              <w:rPr>
                <w:rFonts w:hint="default" w:ascii="Times New Roman" w:hAnsi="Times New Roman" w:cs="Times New Roman"/>
                <w:bCs/>
                <w:color w:val="auto"/>
                <w:sz w:val="24"/>
                <w:szCs w:val="28"/>
                <w:highlight w:val="none"/>
                <w:u w:val="none"/>
                <w:lang w:val="en-US" w:eastAsia="zh-CN"/>
              </w:rPr>
              <w:t>1.571</w:t>
            </w:r>
            <w:r>
              <w:rPr>
                <w:rFonts w:hint="default" w:ascii="Times New Roman" w:hAnsi="Times New Roman" w:eastAsia="宋体" w:cs="Times New Roman"/>
                <w:bCs/>
                <w:color w:val="auto"/>
                <w:sz w:val="24"/>
                <w:szCs w:val="28"/>
                <w:highlight w:val="none"/>
                <w:u w:val="none"/>
                <w:lang w:val="en-US" w:eastAsia="zh-CN"/>
              </w:rPr>
              <w:t>t/a，则产生浓水</w:t>
            </w:r>
            <w:r>
              <w:rPr>
                <w:rFonts w:hint="default" w:ascii="Times New Roman" w:hAnsi="Times New Roman" w:cs="Times New Roman"/>
                <w:bCs/>
                <w:color w:val="auto"/>
                <w:sz w:val="24"/>
                <w:szCs w:val="28"/>
                <w:highlight w:val="none"/>
                <w:u w:val="none"/>
                <w:lang w:val="en-US" w:eastAsia="zh-CN"/>
              </w:rPr>
              <w:t>57.338</w:t>
            </w:r>
            <w:r>
              <w:rPr>
                <w:rFonts w:hint="default" w:ascii="Times New Roman" w:hAnsi="Times New Roman" w:eastAsia="宋体" w:cs="Times New Roman"/>
                <w:bCs/>
                <w:color w:val="auto"/>
                <w:sz w:val="24"/>
                <w:szCs w:val="28"/>
                <w:highlight w:val="none"/>
                <w:u w:val="none"/>
                <w:lang w:val="en-US" w:eastAsia="zh-CN"/>
              </w:rPr>
              <w:t>t/a。</w:t>
            </w:r>
          </w:p>
          <w:p w14:paraId="67D514A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rPr>
              <w:t>纯水机</w:t>
            </w:r>
            <w:r>
              <w:rPr>
                <w:rFonts w:hint="default" w:ascii="Times New Roman" w:hAnsi="Times New Roman" w:eastAsia="宋体" w:cs="Times New Roman"/>
                <w:color w:val="auto"/>
                <w:kern w:val="0"/>
                <w:sz w:val="24"/>
                <w:szCs w:val="24"/>
                <w:highlight w:val="none"/>
              </w:rPr>
              <w:t>每</w:t>
            </w:r>
            <w:r>
              <w:rPr>
                <w:rFonts w:hint="default" w:ascii="Times New Roman" w:hAnsi="Times New Roman" w:eastAsia="宋体" w:cs="Times New Roman"/>
                <w:color w:val="auto"/>
                <w:kern w:val="0"/>
                <w:sz w:val="24"/>
                <w:szCs w:val="24"/>
                <w:highlight w:val="none"/>
                <w:lang w:val="en-US" w:eastAsia="zh-CN"/>
              </w:rPr>
              <w:t>7</w:t>
            </w:r>
            <w:r>
              <w:rPr>
                <w:rFonts w:hint="default" w:ascii="Times New Roman" w:hAnsi="Times New Roman" w:eastAsia="宋体" w:cs="Times New Roman"/>
                <w:color w:val="auto"/>
                <w:kern w:val="0"/>
                <w:sz w:val="24"/>
                <w:szCs w:val="24"/>
                <w:highlight w:val="none"/>
              </w:rPr>
              <w:t>天反冲洗一次，每次用水量为0.5t/台，反冲洗用水量0.5t/次（</w:t>
            </w:r>
            <w:r>
              <w:rPr>
                <w:rFonts w:hint="default" w:ascii="Times New Roman" w:hAnsi="Times New Roman" w:eastAsia="宋体" w:cs="Times New Roman"/>
                <w:color w:val="auto"/>
                <w:kern w:val="0"/>
                <w:sz w:val="24"/>
                <w:szCs w:val="24"/>
                <w:highlight w:val="none"/>
                <w:lang w:val="en-US" w:eastAsia="zh-CN"/>
              </w:rPr>
              <w:t>16.5</w:t>
            </w:r>
            <w:r>
              <w:rPr>
                <w:rFonts w:hint="default" w:ascii="Times New Roman" w:hAnsi="Times New Roman" w:eastAsia="宋体" w:cs="Times New Roman"/>
                <w:color w:val="auto"/>
                <w:kern w:val="0"/>
                <w:sz w:val="24"/>
                <w:szCs w:val="24"/>
                <w:highlight w:val="none"/>
              </w:rPr>
              <w:t>t/a），产生反冲洗废水0.5t/次。</w:t>
            </w:r>
          </w:p>
          <w:p w14:paraId="05AB648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rPr>
              <w:t>产生浓水和反冲洗废水清洁度高，经收集后排至园区污水处理厂。</w:t>
            </w:r>
          </w:p>
          <w:p w14:paraId="6EFC4D5A">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混合</w:t>
            </w:r>
            <w:r>
              <w:rPr>
                <w:rFonts w:hint="default" w:ascii="Times New Roman" w:hAnsi="Times New Roman"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lang w:eastAsia="zh-CN"/>
              </w:rPr>
              <w:t>废水</w:t>
            </w:r>
          </w:p>
          <w:p w14:paraId="12936C12">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val="en-US" w:eastAsia="zh-CN"/>
              </w:rPr>
              <w:t>各股</w:t>
            </w:r>
            <w:r>
              <w:rPr>
                <w:rFonts w:hint="default" w:ascii="Times New Roman" w:hAnsi="Times New Roman" w:eastAsia="宋体" w:cs="Times New Roman"/>
                <w:color w:val="auto"/>
                <w:sz w:val="24"/>
                <w:szCs w:val="24"/>
                <w:highlight w:val="none"/>
              </w:rPr>
              <w:t>生产废水</w:t>
            </w:r>
            <w:r>
              <w:rPr>
                <w:rFonts w:hint="default" w:ascii="Times New Roman" w:hAnsi="Times New Roman" w:eastAsia="宋体" w:cs="Times New Roman"/>
                <w:color w:val="auto"/>
                <w:sz w:val="24"/>
                <w:szCs w:val="24"/>
                <w:highlight w:val="none"/>
                <w:lang w:eastAsia="zh-CN"/>
              </w:rPr>
              <w:t>混合</w:t>
            </w:r>
            <w:r>
              <w:rPr>
                <w:rFonts w:hint="default" w:ascii="Times New Roman" w:hAnsi="Times New Roman" w:eastAsia="宋体" w:cs="Times New Roman"/>
                <w:color w:val="auto"/>
                <w:sz w:val="24"/>
                <w:szCs w:val="24"/>
                <w:highlight w:val="none"/>
                <w:lang w:val="en-US" w:eastAsia="zh-CN"/>
              </w:rPr>
              <w:t>达到</w:t>
            </w:r>
            <w:r>
              <w:rPr>
                <w:rFonts w:hint="default" w:ascii="Times New Roman" w:hAnsi="Times New Roman" w:cs="Times New Roman" w:eastAsiaTheme="minorEastAsia"/>
                <w:color w:val="auto"/>
                <w:sz w:val="24"/>
                <w:highlight w:val="none"/>
                <w:lang w:eastAsia="zh-CN"/>
              </w:rPr>
              <w:t>园区污水处理厂接管水质要求、广东省《水污染物排放限值》（DB44/26-2001）第二时段三级标准、《电子工业水污染物排放标准》（GB 39731-2020）</w:t>
            </w:r>
            <w:r>
              <w:rPr>
                <w:rFonts w:hint="default" w:ascii="Times New Roman" w:hAnsi="Times New Roman" w:cs="Times New Roman" w:eastAsiaTheme="minorEastAsia"/>
                <w:color w:val="auto"/>
                <w:sz w:val="24"/>
                <w:highlight w:val="none"/>
                <w:lang w:val="en-US" w:eastAsia="zh-CN"/>
              </w:rPr>
              <w:t>间接排放标准的三者</w:t>
            </w:r>
            <w:r>
              <w:rPr>
                <w:rFonts w:hint="default" w:ascii="Times New Roman" w:hAnsi="Times New Roman" w:cs="Times New Roman" w:eastAsiaTheme="minorEastAsia"/>
                <w:color w:val="auto"/>
                <w:sz w:val="24"/>
                <w:highlight w:val="none"/>
                <w:lang w:eastAsia="zh-CN"/>
              </w:rPr>
              <w:t>较严值</w:t>
            </w:r>
            <w:r>
              <w:rPr>
                <w:rFonts w:hint="default" w:ascii="Times New Roman" w:hAnsi="Times New Roman" w:eastAsia="宋体" w:cs="Times New Roman"/>
                <w:color w:val="auto"/>
                <w:sz w:val="24"/>
                <w:szCs w:val="24"/>
                <w:highlight w:val="none"/>
                <w:lang w:val="en-US" w:eastAsia="zh-CN"/>
              </w:rPr>
              <w:t>后，</w:t>
            </w:r>
            <w:r>
              <w:rPr>
                <w:rFonts w:hint="default" w:ascii="Times New Roman" w:hAnsi="Times New Roman" w:eastAsia="宋体" w:cs="Times New Roman"/>
                <w:color w:val="auto"/>
                <w:sz w:val="24"/>
                <w:szCs w:val="24"/>
                <w:highlight w:val="none"/>
              </w:rPr>
              <w:t>排入园区污水处理厂处理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项目设置一个</w:t>
            </w:r>
            <w:r>
              <w:rPr>
                <w:rFonts w:hint="default" w:ascii="Times New Roman" w:hAnsi="Times New Roman" w:cs="Times New Roman"/>
                <w:color w:val="auto"/>
                <w:sz w:val="24"/>
                <w:szCs w:val="24"/>
                <w:highlight w:val="none"/>
                <w:lang w:val="en-US" w:eastAsia="zh-CN"/>
              </w:rPr>
              <w:t>生产</w:t>
            </w:r>
            <w:r>
              <w:rPr>
                <w:rFonts w:hint="default" w:ascii="Times New Roman" w:hAnsi="Times New Roman" w:eastAsia="宋体" w:cs="Times New Roman"/>
                <w:color w:val="auto"/>
                <w:sz w:val="24"/>
                <w:szCs w:val="24"/>
                <w:highlight w:val="none"/>
                <w:lang w:val="en-US" w:eastAsia="zh-CN"/>
              </w:rPr>
              <w:t>废水总排口</w:t>
            </w:r>
            <w:r>
              <w:rPr>
                <w:rFonts w:hint="default" w:ascii="Times New Roman" w:hAnsi="Times New Roman" w:cs="Times New Roman"/>
                <w:color w:val="auto"/>
                <w:sz w:val="24"/>
                <w:szCs w:val="24"/>
                <w:highlight w:val="none"/>
                <w:lang w:val="en-US" w:eastAsia="zh-CN"/>
              </w:rPr>
              <w:t>，废水经园区管网</w:t>
            </w:r>
            <w:r>
              <w:rPr>
                <w:rFonts w:hint="default" w:ascii="Times New Roman" w:hAnsi="Times New Roman" w:eastAsia="宋体" w:cs="Times New Roman"/>
                <w:color w:val="auto"/>
                <w:sz w:val="24"/>
                <w:szCs w:val="24"/>
                <w:highlight w:val="none"/>
                <w:lang w:val="en-US" w:eastAsia="zh-CN"/>
              </w:rPr>
              <w:t>排入园区污水处理厂，项目综合废水排放情况如下表所示。</w:t>
            </w:r>
          </w:p>
          <w:p w14:paraId="2AC9DC8B">
            <w:pPr>
              <w:spacing w:line="360" w:lineRule="auto"/>
              <w:ind w:firstLine="420" w:firstLineChars="200"/>
              <w:rPr>
                <w:rFonts w:hint="default" w:ascii="Times New Roman" w:hAnsi="Times New Roman" w:cs="Times New Roman"/>
                <w:color w:val="auto"/>
                <w:highlight w:val="none"/>
                <w:lang w:val="en-US" w:eastAsia="zh-CN"/>
              </w:rPr>
            </w:pPr>
          </w:p>
        </w:tc>
      </w:tr>
    </w:tbl>
    <w:p w14:paraId="61B563A3">
      <w:pPr>
        <w:adjustRightInd w:val="0"/>
        <w:snapToGrid w:val="0"/>
        <w:jc w:val="center"/>
        <w:rPr>
          <w:rFonts w:hint="default" w:ascii="Times New Roman" w:hAnsi="Times New Roman" w:cs="Times New Roman"/>
          <w:bCs/>
          <w:color w:val="auto"/>
          <w:szCs w:val="21"/>
          <w:highlight w:val="none"/>
        </w:rPr>
        <w:sectPr>
          <w:pgSz w:w="11907" w:h="16840"/>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10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0"/>
        <w:gridCol w:w="13973"/>
      </w:tblGrid>
      <w:tr w14:paraId="49813A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162" w:type="pct"/>
            <w:tcMar>
              <w:left w:w="28" w:type="dxa"/>
              <w:right w:w="28" w:type="dxa"/>
            </w:tcMar>
            <w:vAlign w:val="center"/>
          </w:tcPr>
          <w:p w14:paraId="02864924">
            <w:pPr>
              <w:adjustRightInd w:val="0"/>
              <w:snapToGrid w:val="0"/>
              <w:jc w:val="center"/>
              <w:rPr>
                <w:rFonts w:hint="default" w:ascii="Times New Roman" w:hAnsi="Times New Roman" w:cs="Times New Roman"/>
                <w:bCs/>
                <w:color w:val="auto"/>
                <w:szCs w:val="21"/>
                <w:highlight w:val="none"/>
              </w:rPr>
            </w:pPr>
          </w:p>
        </w:tc>
        <w:tc>
          <w:tcPr>
            <w:tcW w:w="4837" w:type="pct"/>
          </w:tcPr>
          <w:p w14:paraId="1BEB6462">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项目水污染物排放情况一览表</w:t>
            </w:r>
          </w:p>
          <w:tbl>
            <w:tblPr>
              <w:tblStyle w:val="38"/>
              <w:tblW w:w="137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3"/>
              <w:gridCol w:w="1206"/>
              <w:gridCol w:w="1145"/>
              <w:gridCol w:w="1129"/>
              <w:gridCol w:w="1088"/>
              <w:gridCol w:w="1159"/>
              <w:gridCol w:w="1206"/>
              <w:gridCol w:w="1132"/>
              <w:gridCol w:w="977"/>
              <w:gridCol w:w="1235"/>
              <w:gridCol w:w="1019"/>
              <w:gridCol w:w="762"/>
              <w:gridCol w:w="1059"/>
            </w:tblGrid>
            <w:tr w14:paraId="17605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8275D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7A6F1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22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1F022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127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C492F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主要污染治理设施</w:t>
                  </w:r>
                </w:p>
              </w:tc>
              <w:tc>
                <w:tcPr>
                  <w:tcW w:w="117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49419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3CF5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38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64950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排放标准（mg/L）</w:t>
                  </w:r>
                </w:p>
              </w:tc>
            </w:tr>
            <w:tr w14:paraId="096A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D17A7D">
                  <w:pPr>
                    <w:jc w:val="center"/>
                    <w:rPr>
                      <w:rFonts w:hint="default" w:ascii="Times New Roman" w:hAnsi="Times New Roman" w:eastAsia="宋体" w:cs="Times New Roman"/>
                      <w:b/>
                      <w:bCs/>
                      <w:i w:val="0"/>
                      <w:iCs w:val="0"/>
                      <w:color w:val="auto"/>
                      <w:sz w:val="21"/>
                      <w:szCs w:val="21"/>
                      <w:highlight w:val="none"/>
                      <w:u w:val="none"/>
                    </w:rPr>
                  </w:pPr>
                </w:p>
              </w:tc>
              <w:tc>
                <w:tcPr>
                  <w:tcW w:w="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B8E61">
                  <w:pPr>
                    <w:jc w:val="center"/>
                    <w:rPr>
                      <w:rFonts w:hint="default" w:ascii="Times New Roman" w:hAnsi="Times New Roman" w:eastAsia="宋体" w:cs="Times New Roman"/>
                      <w:b/>
                      <w:bCs/>
                      <w:i w:val="0"/>
                      <w:iCs w:val="0"/>
                      <w:color w:val="auto"/>
                      <w:sz w:val="21"/>
                      <w:szCs w:val="21"/>
                      <w:highlight w:val="none"/>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6C048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废水产生量（m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/a）</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A265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4F7A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1874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处理工艺</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C3795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治理效率（%）</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DFDFE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EA035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/a）</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67E1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3ADB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F0CCEF">
                  <w:pPr>
                    <w:jc w:val="center"/>
                    <w:rPr>
                      <w:rFonts w:hint="default" w:ascii="Times New Roman" w:hAnsi="Times New Roman" w:eastAsia="宋体" w:cs="Times New Roman"/>
                      <w:b/>
                      <w:bCs/>
                      <w:i w:val="0"/>
                      <w:iCs w:val="0"/>
                      <w:color w:val="auto"/>
                      <w:sz w:val="21"/>
                      <w:szCs w:val="21"/>
                      <w:highlight w:val="none"/>
                      <w:u w:val="none"/>
                    </w:rPr>
                  </w:pPr>
                </w:p>
              </w:tc>
              <w:tc>
                <w:tcPr>
                  <w:tcW w:w="3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98468">
                  <w:pPr>
                    <w:jc w:val="center"/>
                    <w:rPr>
                      <w:rFonts w:hint="default" w:ascii="Times New Roman" w:hAnsi="Times New Roman" w:eastAsia="宋体" w:cs="Times New Roman"/>
                      <w:b w:val="0"/>
                      <w:bCs w:val="0"/>
                      <w:i w:val="0"/>
                      <w:iCs w:val="0"/>
                      <w:color w:val="auto"/>
                      <w:sz w:val="21"/>
                      <w:szCs w:val="21"/>
                      <w:highlight w:val="none"/>
                      <w:u w:val="none"/>
                    </w:rPr>
                  </w:pPr>
                </w:p>
              </w:tc>
            </w:tr>
            <w:tr w14:paraId="12A75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restart"/>
                  <w:tcBorders>
                    <w:top w:val="single" w:color="000000" w:sz="4" w:space="0"/>
                    <w:left w:val="single" w:color="000000" w:sz="4" w:space="0"/>
                    <w:right w:val="single" w:color="000000" w:sz="4" w:space="0"/>
                  </w:tcBorders>
                  <w:shd w:val="clear" w:color="auto" w:fill="auto"/>
                  <w:noWrap/>
                  <w:vAlign w:val="center"/>
                </w:tcPr>
                <w:p w14:paraId="5B03EF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混合</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生产废水</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1405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p>
              </w:tc>
              <w:tc>
                <w:tcPr>
                  <w:tcW w:w="416" w:type="pct"/>
                  <w:vMerge w:val="restart"/>
                  <w:tcBorders>
                    <w:top w:val="single" w:color="000000" w:sz="4" w:space="0"/>
                    <w:left w:val="single" w:color="000000" w:sz="4" w:space="0"/>
                    <w:right w:val="single" w:color="000000" w:sz="4" w:space="0"/>
                  </w:tcBorders>
                  <w:shd w:val="clear" w:color="auto" w:fill="auto"/>
                  <w:noWrap/>
                  <w:vAlign w:val="center"/>
                </w:tcPr>
                <w:p w14:paraId="09C851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1990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269</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64CA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0.017</w:t>
                  </w:r>
                  <w:r>
                    <w:rPr>
                      <w:rFonts w:hint="default" w:ascii="Times New Roman" w:hAnsi="Times New Roman" w:cs="Times New Roman"/>
                      <w:b w:val="0"/>
                      <w:bCs w:val="0"/>
                      <w:i w:val="0"/>
                      <w:iCs w:val="0"/>
                      <w:color w:val="auto"/>
                      <w:kern w:val="0"/>
                      <w:sz w:val="21"/>
                      <w:szCs w:val="21"/>
                      <w:highlight w:val="none"/>
                      <w:u w:val="none"/>
                      <w:lang w:val="en-US" w:eastAsia="zh-CN" w:bidi="ar"/>
                    </w:rPr>
                    <w:t>4</w:t>
                  </w:r>
                </w:p>
              </w:tc>
              <w:tc>
                <w:tcPr>
                  <w:tcW w:w="421" w:type="pct"/>
                  <w:vMerge w:val="restart"/>
                  <w:tcBorders>
                    <w:top w:val="single" w:color="000000" w:sz="4" w:space="0"/>
                    <w:left w:val="single" w:color="000000" w:sz="4" w:space="0"/>
                    <w:right w:val="single" w:color="000000" w:sz="4" w:space="0"/>
                  </w:tcBorders>
                  <w:shd w:val="clear" w:color="auto" w:fill="auto"/>
                  <w:vAlign w:val="center"/>
                </w:tcPr>
                <w:p w14:paraId="43375E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5EA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restart"/>
                  <w:tcBorders>
                    <w:top w:val="single" w:color="000000" w:sz="4" w:space="0"/>
                    <w:left w:val="single" w:color="000000" w:sz="4" w:space="0"/>
                    <w:right w:val="single" w:color="000000" w:sz="4" w:space="0"/>
                  </w:tcBorders>
                  <w:shd w:val="clear" w:color="auto" w:fill="auto"/>
                  <w:vAlign w:val="center"/>
                </w:tcPr>
                <w:p w14:paraId="3B20CA4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355" w:type="pct"/>
                  <w:vMerge w:val="restart"/>
                  <w:tcBorders>
                    <w:top w:val="single" w:color="000000" w:sz="4" w:space="0"/>
                    <w:left w:val="single" w:color="000000" w:sz="4" w:space="0"/>
                    <w:right w:val="single" w:color="000000" w:sz="4" w:space="0"/>
                  </w:tcBorders>
                  <w:shd w:val="clear" w:color="auto" w:fill="auto"/>
                  <w:vAlign w:val="center"/>
                </w:tcPr>
                <w:p w14:paraId="617CB45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54A9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269</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14C09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0.017</w:t>
                  </w:r>
                  <w:r>
                    <w:rPr>
                      <w:rFonts w:hint="default" w:ascii="Times New Roman" w:hAnsi="Times New Roman" w:cs="Times New Roman"/>
                      <w:b w:val="0"/>
                      <w:bCs w:val="0"/>
                      <w:i w:val="0"/>
                      <w:iCs w:val="0"/>
                      <w:color w:val="auto"/>
                      <w:kern w:val="0"/>
                      <w:sz w:val="21"/>
                      <w:szCs w:val="21"/>
                      <w:highlight w:val="none"/>
                      <w:u w:val="none"/>
                      <w:lang w:val="en-US" w:eastAsia="zh-CN" w:bidi="ar"/>
                    </w:rPr>
                    <w:t>4</w:t>
                  </w:r>
                </w:p>
              </w:tc>
              <w:tc>
                <w:tcPr>
                  <w:tcW w:w="276" w:type="pct"/>
                  <w:vMerge w:val="restart"/>
                  <w:tcBorders>
                    <w:top w:val="single" w:color="000000" w:sz="4" w:space="0"/>
                    <w:left w:val="single" w:color="000000" w:sz="4" w:space="0"/>
                    <w:right w:val="single" w:color="000000" w:sz="4" w:space="0"/>
                  </w:tcBorders>
                  <w:shd w:val="clear" w:color="auto" w:fill="auto"/>
                  <w:vAlign w:val="center"/>
                </w:tcPr>
                <w:p w14:paraId="6FC9AC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DW001</w:t>
                  </w:r>
                </w:p>
              </w:tc>
              <w:tc>
                <w:tcPr>
                  <w:tcW w:w="384" w:type="pct"/>
                  <w:tcBorders>
                    <w:top w:val="single" w:color="000000" w:sz="4" w:space="0"/>
                    <w:left w:val="single" w:color="000000" w:sz="4" w:space="0"/>
                    <w:bottom w:val="single" w:color="auto" w:sz="4" w:space="0"/>
                    <w:right w:val="single" w:color="000000" w:sz="4" w:space="0"/>
                  </w:tcBorders>
                  <w:shd w:val="clear" w:color="auto" w:fill="auto"/>
                  <w:vAlign w:val="center"/>
                </w:tcPr>
                <w:p w14:paraId="12844EA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300</w:t>
                  </w:r>
                </w:p>
              </w:tc>
            </w:tr>
            <w:tr w14:paraId="445EA6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188D14A9">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57323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p>
              </w:tc>
              <w:tc>
                <w:tcPr>
                  <w:tcW w:w="416" w:type="pct"/>
                  <w:vMerge w:val="continue"/>
                  <w:tcBorders>
                    <w:left w:val="single" w:color="000000" w:sz="4" w:space="0"/>
                    <w:right w:val="single" w:color="000000" w:sz="4" w:space="0"/>
                  </w:tcBorders>
                  <w:shd w:val="clear" w:color="auto" w:fill="auto"/>
                  <w:noWrap/>
                  <w:vAlign w:val="center"/>
                </w:tcPr>
                <w:p w14:paraId="6A054592">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4190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84.5</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279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0.0055</w:t>
                  </w:r>
                </w:p>
              </w:tc>
              <w:tc>
                <w:tcPr>
                  <w:tcW w:w="421" w:type="pct"/>
                  <w:vMerge w:val="continue"/>
                  <w:tcBorders>
                    <w:left w:val="single" w:color="000000" w:sz="4" w:space="0"/>
                    <w:right w:val="single" w:color="000000" w:sz="4" w:space="0"/>
                  </w:tcBorders>
                  <w:shd w:val="clear" w:color="auto" w:fill="auto"/>
                  <w:vAlign w:val="center"/>
                </w:tcPr>
                <w:p w14:paraId="0E337E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20FE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6C7F9B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71FCAD3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E8B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84.5</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B6D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0.0055</w:t>
                  </w:r>
                </w:p>
              </w:tc>
              <w:tc>
                <w:tcPr>
                  <w:tcW w:w="276" w:type="pct"/>
                  <w:vMerge w:val="continue"/>
                  <w:tcBorders>
                    <w:left w:val="single" w:color="000000" w:sz="4" w:space="0"/>
                    <w:right w:val="single" w:color="000000" w:sz="4" w:space="0"/>
                  </w:tcBorders>
                  <w:shd w:val="clear" w:color="auto" w:fill="auto"/>
                  <w:vAlign w:val="center"/>
                </w:tcPr>
                <w:p w14:paraId="3DC9F126">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4E5B341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150</w:t>
                  </w:r>
                </w:p>
              </w:tc>
            </w:tr>
            <w:tr w14:paraId="6369B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0B67EE08">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B749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SS</w:t>
                  </w:r>
                </w:p>
              </w:tc>
              <w:tc>
                <w:tcPr>
                  <w:tcW w:w="416" w:type="pct"/>
                  <w:vMerge w:val="continue"/>
                  <w:tcBorders>
                    <w:left w:val="single" w:color="000000" w:sz="4" w:space="0"/>
                    <w:right w:val="single" w:color="000000" w:sz="4" w:space="0"/>
                  </w:tcBorders>
                  <w:shd w:val="clear" w:color="auto" w:fill="auto"/>
                  <w:noWrap/>
                  <w:vAlign w:val="center"/>
                </w:tcPr>
                <w:p w14:paraId="4444113A">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940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06A4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0.0010</w:t>
                  </w:r>
                </w:p>
              </w:tc>
              <w:tc>
                <w:tcPr>
                  <w:tcW w:w="421" w:type="pct"/>
                  <w:vMerge w:val="continue"/>
                  <w:tcBorders>
                    <w:left w:val="single" w:color="000000" w:sz="4" w:space="0"/>
                    <w:right w:val="single" w:color="000000" w:sz="4" w:space="0"/>
                  </w:tcBorders>
                  <w:shd w:val="clear" w:color="auto" w:fill="auto"/>
                  <w:vAlign w:val="center"/>
                </w:tcPr>
                <w:p w14:paraId="7D57D7A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39C9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449C09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01D03DA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62C0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213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0.0010</w:t>
                  </w:r>
                </w:p>
              </w:tc>
              <w:tc>
                <w:tcPr>
                  <w:tcW w:w="276" w:type="pct"/>
                  <w:vMerge w:val="continue"/>
                  <w:tcBorders>
                    <w:left w:val="single" w:color="000000" w:sz="4" w:space="0"/>
                    <w:right w:val="single" w:color="000000" w:sz="4" w:space="0"/>
                  </w:tcBorders>
                  <w:shd w:val="clear" w:color="auto" w:fill="auto"/>
                  <w:vAlign w:val="center"/>
                </w:tcPr>
                <w:p w14:paraId="7EE6C6A3">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007193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w:t>
                  </w:r>
                </w:p>
              </w:tc>
            </w:tr>
            <w:tr w14:paraId="706B73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020B1E68">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10D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w:t>
                  </w:r>
                </w:p>
              </w:tc>
              <w:tc>
                <w:tcPr>
                  <w:tcW w:w="416" w:type="pct"/>
                  <w:vMerge w:val="continue"/>
                  <w:tcBorders>
                    <w:left w:val="single" w:color="000000" w:sz="4" w:space="0"/>
                    <w:right w:val="single" w:color="000000" w:sz="4" w:space="0"/>
                  </w:tcBorders>
                  <w:shd w:val="clear" w:color="auto" w:fill="auto"/>
                  <w:noWrap/>
                  <w:vAlign w:val="center"/>
                </w:tcPr>
                <w:p w14:paraId="1B244937">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8DDE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1.28</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EB0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0.00008</w:t>
                  </w:r>
                </w:p>
              </w:tc>
              <w:tc>
                <w:tcPr>
                  <w:tcW w:w="421" w:type="pct"/>
                  <w:vMerge w:val="continue"/>
                  <w:tcBorders>
                    <w:left w:val="single" w:color="000000" w:sz="4" w:space="0"/>
                    <w:right w:val="single" w:color="000000" w:sz="4" w:space="0"/>
                  </w:tcBorders>
                  <w:shd w:val="clear" w:color="auto" w:fill="auto"/>
                  <w:vAlign w:val="center"/>
                </w:tcPr>
                <w:p w14:paraId="633AFE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A1FFF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0A6A619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2F6FFB4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BBD3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1.28</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7C33A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0.00008</w:t>
                  </w:r>
                </w:p>
              </w:tc>
              <w:tc>
                <w:tcPr>
                  <w:tcW w:w="276" w:type="pct"/>
                  <w:vMerge w:val="continue"/>
                  <w:tcBorders>
                    <w:left w:val="single" w:color="000000" w:sz="4" w:space="0"/>
                    <w:right w:val="single" w:color="000000" w:sz="4" w:space="0"/>
                  </w:tcBorders>
                  <w:shd w:val="clear" w:color="auto" w:fill="auto"/>
                  <w:vAlign w:val="center"/>
                </w:tcPr>
                <w:p w14:paraId="35CC709F">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09DE2A4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40</w:t>
                  </w:r>
                </w:p>
              </w:tc>
            </w:tr>
            <w:tr w14:paraId="60513E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328FEE83">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right w:val="single" w:color="000000" w:sz="4" w:space="0"/>
                  </w:tcBorders>
                  <w:shd w:val="clear" w:color="auto" w:fill="auto"/>
                  <w:noWrap/>
                  <w:vAlign w:val="center"/>
                </w:tcPr>
                <w:p w14:paraId="771786A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石油类</w:t>
                  </w:r>
                </w:p>
              </w:tc>
              <w:tc>
                <w:tcPr>
                  <w:tcW w:w="416" w:type="pct"/>
                  <w:vMerge w:val="continue"/>
                  <w:tcBorders>
                    <w:left w:val="single" w:color="000000" w:sz="4" w:space="0"/>
                    <w:right w:val="single" w:color="000000" w:sz="4" w:space="0"/>
                  </w:tcBorders>
                  <w:shd w:val="clear" w:color="auto" w:fill="auto"/>
                  <w:noWrap/>
                  <w:vAlign w:val="center"/>
                </w:tcPr>
                <w:p w14:paraId="7737DA1E">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right w:val="single" w:color="000000" w:sz="4" w:space="0"/>
                  </w:tcBorders>
                  <w:shd w:val="clear" w:color="auto" w:fill="auto"/>
                  <w:vAlign w:val="center"/>
                </w:tcPr>
                <w:p w14:paraId="492EBBE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1.52</w:t>
                  </w:r>
                </w:p>
              </w:tc>
              <w:tc>
                <w:tcPr>
                  <w:tcW w:w="395" w:type="pct"/>
                  <w:tcBorders>
                    <w:top w:val="single" w:color="000000" w:sz="4" w:space="0"/>
                    <w:left w:val="single" w:color="000000" w:sz="4" w:space="0"/>
                    <w:right w:val="single" w:color="000000" w:sz="4" w:space="0"/>
                  </w:tcBorders>
                  <w:shd w:val="clear" w:color="auto" w:fill="auto"/>
                  <w:vAlign w:val="center"/>
                </w:tcPr>
                <w:p w14:paraId="6A70C8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0.00010</w:t>
                  </w:r>
                </w:p>
              </w:tc>
              <w:tc>
                <w:tcPr>
                  <w:tcW w:w="421" w:type="pct"/>
                  <w:vMerge w:val="continue"/>
                  <w:tcBorders>
                    <w:left w:val="single" w:color="000000" w:sz="4" w:space="0"/>
                    <w:right w:val="single" w:color="000000" w:sz="4" w:space="0"/>
                  </w:tcBorders>
                  <w:shd w:val="clear" w:color="auto" w:fill="auto"/>
                  <w:vAlign w:val="center"/>
                </w:tcPr>
                <w:p w14:paraId="7A1D20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right w:val="single" w:color="000000" w:sz="4" w:space="0"/>
                  </w:tcBorders>
                  <w:shd w:val="clear" w:color="auto" w:fill="auto"/>
                  <w:vAlign w:val="center"/>
                </w:tcPr>
                <w:p w14:paraId="615A26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6063153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2F9E3BF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right w:val="single" w:color="000000" w:sz="4" w:space="0"/>
                  </w:tcBorders>
                  <w:shd w:val="clear" w:color="auto" w:fill="auto"/>
                  <w:vAlign w:val="center"/>
                </w:tcPr>
                <w:p w14:paraId="4EB23FC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1.52</w:t>
                  </w:r>
                </w:p>
              </w:tc>
              <w:tc>
                <w:tcPr>
                  <w:tcW w:w="370" w:type="pct"/>
                  <w:tcBorders>
                    <w:top w:val="single" w:color="000000" w:sz="4" w:space="0"/>
                    <w:left w:val="single" w:color="000000" w:sz="4" w:space="0"/>
                    <w:right w:val="single" w:color="000000" w:sz="4" w:space="0"/>
                  </w:tcBorders>
                  <w:shd w:val="clear" w:color="auto" w:fill="auto"/>
                  <w:vAlign w:val="center"/>
                </w:tcPr>
                <w:p w14:paraId="01AC71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0.00010</w:t>
                  </w:r>
                </w:p>
              </w:tc>
              <w:tc>
                <w:tcPr>
                  <w:tcW w:w="276" w:type="pct"/>
                  <w:vMerge w:val="continue"/>
                  <w:tcBorders>
                    <w:left w:val="single" w:color="000000" w:sz="4" w:space="0"/>
                    <w:right w:val="single" w:color="000000" w:sz="4" w:space="0"/>
                  </w:tcBorders>
                  <w:shd w:val="clear" w:color="auto" w:fill="auto"/>
                  <w:vAlign w:val="center"/>
                </w:tcPr>
                <w:p w14:paraId="6982135D">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30BADC2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20</w:t>
                  </w:r>
                </w:p>
              </w:tc>
            </w:tr>
            <w:tr w14:paraId="24A18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583B5382">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nil"/>
                    <w:right w:val="single" w:color="000000" w:sz="4" w:space="0"/>
                  </w:tcBorders>
                  <w:shd w:val="clear" w:color="auto" w:fill="auto"/>
                  <w:noWrap/>
                  <w:vAlign w:val="center"/>
                </w:tcPr>
                <w:p w14:paraId="05E267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LAS</w:t>
                  </w:r>
                </w:p>
              </w:tc>
              <w:tc>
                <w:tcPr>
                  <w:tcW w:w="416" w:type="pct"/>
                  <w:vMerge w:val="continue"/>
                  <w:tcBorders>
                    <w:left w:val="single" w:color="000000" w:sz="4" w:space="0"/>
                    <w:right w:val="single" w:color="000000" w:sz="4" w:space="0"/>
                  </w:tcBorders>
                  <w:shd w:val="clear" w:color="auto" w:fill="auto"/>
                  <w:noWrap/>
                  <w:vAlign w:val="center"/>
                </w:tcPr>
                <w:p w14:paraId="63B312B5">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C61F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1.84</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7864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0.00012</w:t>
                  </w:r>
                </w:p>
              </w:tc>
              <w:tc>
                <w:tcPr>
                  <w:tcW w:w="421" w:type="pct"/>
                  <w:vMerge w:val="continue"/>
                  <w:tcBorders>
                    <w:left w:val="single" w:color="000000" w:sz="4" w:space="0"/>
                    <w:right w:val="single" w:color="000000" w:sz="4" w:space="0"/>
                  </w:tcBorders>
                  <w:shd w:val="clear" w:color="auto" w:fill="auto"/>
                  <w:vAlign w:val="center"/>
                </w:tcPr>
                <w:p w14:paraId="0929FC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8AF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6151F33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63853A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FF15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1.84</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C940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0.00012</w:t>
                  </w:r>
                </w:p>
              </w:tc>
              <w:tc>
                <w:tcPr>
                  <w:tcW w:w="276" w:type="pct"/>
                  <w:vMerge w:val="continue"/>
                  <w:tcBorders>
                    <w:left w:val="single" w:color="000000" w:sz="4" w:space="0"/>
                    <w:right w:val="single" w:color="000000" w:sz="4" w:space="0"/>
                  </w:tcBorders>
                  <w:shd w:val="clear" w:color="auto" w:fill="auto"/>
                  <w:vAlign w:val="center"/>
                </w:tcPr>
                <w:p w14:paraId="1A41014D">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52DFDB4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20</w:t>
                  </w:r>
                </w:p>
              </w:tc>
            </w:tr>
            <w:tr w14:paraId="47777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1EB1148D">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nil"/>
                    <w:right w:val="single" w:color="000000" w:sz="4" w:space="0"/>
                  </w:tcBorders>
                  <w:shd w:val="clear" w:color="auto" w:fill="auto"/>
                  <w:noWrap/>
                  <w:vAlign w:val="center"/>
                </w:tcPr>
                <w:p w14:paraId="44A627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总磷</w:t>
                  </w:r>
                </w:p>
              </w:tc>
              <w:tc>
                <w:tcPr>
                  <w:tcW w:w="416" w:type="pct"/>
                  <w:vMerge w:val="continue"/>
                  <w:tcBorders>
                    <w:left w:val="single" w:color="000000" w:sz="4" w:space="0"/>
                    <w:right w:val="single" w:color="000000" w:sz="4" w:space="0"/>
                  </w:tcBorders>
                  <w:shd w:val="clear" w:color="auto" w:fill="auto"/>
                  <w:noWrap/>
                  <w:vAlign w:val="center"/>
                </w:tcPr>
                <w:p w14:paraId="471B2AB5">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672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0.25</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AB2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421" w:type="pct"/>
                  <w:vMerge w:val="continue"/>
                  <w:tcBorders>
                    <w:left w:val="single" w:color="000000" w:sz="4" w:space="0"/>
                    <w:right w:val="single" w:color="000000" w:sz="4" w:space="0"/>
                  </w:tcBorders>
                  <w:shd w:val="clear" w:color="auto" w:fill="auto"/>
                  <w:vAlign w:val="center"/>
                </w:tcPr>
                <w:p w14:paraId="4E1D30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95180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6B9FBD1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30C07A5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B3A0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0.25</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88006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276" w:type="pct"/>
                  <w:vMerge w:val="continue"/>
                  <w:tcBorders>
                    <w:left w:val="single" w:color="000000" w:sz="4" w:space="0"/>
                    <w:right w:val="single" w:color="000000" w:sz="4" w:space="0"/>
                  </w:tcBorders>
                  <w:shd w:val="clear" w:color="auto" w:fill="auto"/>
                  <w:vAlign w:val="center"/>
                </w:tcPr>
                <w:p w14:paraId="44EF79FA">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4973E50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8</w:t>
                  </w:r>
                </w:p>
              </w:tc>
            </w:tr>
            <w:tr w14:paraId="599D2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right w:val="single" w:color="000000" w:sz="4" w:space="0"/>
                  </w:tcBorders>
                  <w:shd w:val="clear" w:color="auto" w:fill="auto"/>
                  <w:noWrap/>
                  <w:vAlign w:val="center"/>
                </w:tcPr>
                <w:p w14:paraId="6A2487DB">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nil"/>
                    <w:right w:val="single" w:color="000000" w:sz="4" w:space="0"/>
                  </w:tcBorders>
                  <w:shd w:val="clear" w:color="auto" w:fill="auto"/>
                  <w:noWrap/>
                  <w:vAlign w:val="center"/>
                </w:tcPr>
                <w:p w14:paraId="7F25EF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总氮</w:t>
                  </w:r>
                </w:p>
              </w:tc>
              <w:tc>
                <w:tcPr>
                  <w:tcW w:w="416" w:type="pct"/>
                  <w:vMerge w:val="continue"/>
                  <w:tcBorders>
                    <w:left w:val="single" w:color="000000" w:sz="4" w:space="0"/>
                    <w:right w:val="single" w:color="000000" w:sz="4" w:space="0"/>
                  </w:tcBorders>
                  <w:shd w:val="clear" w:color="auto" w:fill="auto"/>
                  <w:noWrap/>
                  <w:vAlign w:val="center"/>
                </w:tcPr>
                <w:p w14:paraId="0FCB09A6">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AD1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8C0F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0.00032 </w:t>
                  </w:r>
                </w:p>
              </w:tc>
              <w:tc>
                <w:tcPr>
                  <w:tcW w:w="421" w:type="pct"/>
                  <w:vMerge w:val="continue"/>
                  <w:tcBorders>
                    <w:left w:val="single" w:color="000000" w:sz="4" w:space="0"/>
                    <w:right w:val="single" w:color="000000" w:sz="4" w:space="0"/>
                  </w:tcBorders>
                  <w:shd w:val="clear" w:color="auto" w:fill="auto"/>
                  <w:vAlign w:val="center"/>
                </w:tcPr>
                <w:p w14:paraId="2A2FEB5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D428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right w:val="single" w:color="000000" w:sz="4" w:space="0"/>
                  </w:tcBorders>
                  <w:shd w:val="clear" w:color="auto" w:fill="auto"/>
                  <w:vAlign w:val="center"/>
                </w:tcPr>
                <w:p w14:paraId="23D752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right w:val="single" w:color="000000" w:sz="4" w:space="0"/>
                  </w:tcBorders>
                  <w:shd w:val="clear" w:color="auto" w:fill="auto"/>
                  <w:vAlign w:val="center"/>
                </w:tcPr>
                <w:p w14:paraId="47CA025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0E2D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B0A1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0.00032</w:t>
                  </w:r>
                </w:p>
              </w:tc>
              <w:tc>
                <w:tcPr>
                  <w:tcW w:w="276" w:type="pct"/>
                  <w:vMerge w:val="continue"/>
                  <w:tcBorders>
                    <w:left w:val="single" w:color="000000" w:sz="4" w:space="0"/>
                    <w:right w:val="single" w:color="000000" w:sz="4" w:space="0"/>
                  </w:tcBorders>
                  <w:shd w:val="clear" w:color="auto" w:fill="auto"/>
                  <w:vAlign w:val="center"/>
                </w:tcPr>
                <w:p w14:paraId="2DB52600">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2E96F78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70</w:t>
                  </w:r>
                </w:p>
              </w:tc>
            </w:tr>
            <w:tr w14:paraId="3871B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3" w:type="pct"/>
                  <w:vMerge w:val="continue"/>
                  <w:tcBorders>
                    <w:left w:val="single" w:color="000000" w:sz="4" w:space="0"/>
                    <w:bottom w:val="nil"/>
                    <w:right w:val="single" w:color="000000" w:sz="4" w:space="0"/>
                  </w:tcBorders>
                  <w:shd w:val="clear" w:color="auto" w:fill="auto"/>
                  <w:noWrap/>
                  <w:vAlign w:val="center"/>
                </w:tcPr>
                <w:p w14:paraId="1C71F09B">
                  <w:pPr>
                    <w:jc w:val="center"/>
                    <w:rPr>
                      <w:rFonts w:hint="default" w:ascii="Times New Roman" w:hAnsi="Times New Roman" w:eastAsia="宋体" w:cs="Times New Roman"/>
                      <w:b w:val="0"/>
                      <w:bCs w:val="0"/>
                      <w:i w:val="0"/>
                      <w:iCs w:val="0"/>
                      <w:color w:val="auto"/>
                      <w:sz w:val="21"/>
                      <w:szCs w:val="21"/>
                      <w:highlight w:val="none"/>
                      <w:u w:val="none"/>
                    </w:rPr>
                  </w:pPr>
                </w:p>
              </w:tc>
              <w:tc>
                <w:tcPr>
                  <w:tcW w:w="438" w:type="pct"/>
                  <w:tcBorders>
                    <w:top w:val="single" w:color="000000" w:sz="4" w:space="0"/>
                    <w:left w:val="single" w:color="000000" w:sz="4" w:space="0"/>
                    <w:bottom w:val="nil"/>
                    <w:right w:val="single" w:color="000000" w:sz="4" w:space="0"/>
                  </w:tcBorders>
                  <w:shd w:val="clear" w:color="auto" w:fill="auto"/>
                  <w:noWrap/>
                  <w:vAlign w:val="center"/>
                </w:tcPr>
                <w:p w14:paraId="2F69EF8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总有机碳</w:t>
                  </w:r>
                </w:p>
              </w:tc>
              <w:tc>
                <w:tcPr>
                  <w:tcW w:w="416" w:type="pct"/>
                  <w:vMerge w:val="continue"/>
                  <w:tcBorders>
                    <w:left w:val="single" w:color="000000" w:sz="4" w:space="0"/>
                    <w:bottom w:val="nil"/>
                    <w:right w:val="single" w:color="000000" w:sz="4" w:space="0"/>
                  </w:tcBorders>
                  <w:shd w:val="clear" w:color="auto" w:fill="auto"/>
                  <w:noWrap/>
                  <w:vAlign w:val="center"/>
                </w:tcPr>
                <w:p w14:paraId="0B48585A">
                  <w:pPr>
                    <w:jc w:val="center"/>
                    <w:rPr>
                      <w:rFonts w:hint="default" w:ascii="Times New Roman" w:hAnsi="Times New Roman" w:eastAsia="宋体" w:cs="Times New Roman"/>
                      <w:b w:val="0"/>
                      <w:bCs w:val="0"/>
                      <w:i w:val="0"/>
                      <w:iCs w:val="0"/>
                      <w:color w:val="auto"/>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A2E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110</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21A9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0.00713</w:t>
                  </w:r>
                </w:p>
              </w:tc>
              <w:tc>
                <w:tcPr>
                  <w:tcW w:w="421" w:type="pct"/>
                  <w:vMerge w:val="continue"/>
                  <w:tcBorders>
                    <w:left w:val="single" w:color="000000" w:sz="4" w:space="0"/>
                    <w:bottom w:val="single" w:color="000000" w:sz="4" w:space="0"/>
                    <w:right w:val="single" w:color="000000" w:sz="4" w:space="0"/>
                  </w:tcBorders>
                  <w:shd w:val="clear" w:color="auto" w:fill="auto"/>
                  <w:vAlign w:val="center"/>
                </w:tcPr>
                <w:p w14:paraId="192C25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893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411" w:type="pct"/>
                  <w:vMerge w:val="continue"/>
                  <w:tcBorders>
                    <w:left w:val="single" w:color="000000" w:sz="4" w:space="0"/>
                    <w:bottom w:val="single" w:color="000000" w:sz="4" w:space="0"/>
                    <w:right w:val="single" w:color="000000" w:sz="4" w:space="0"/>
                  </w:tcBorders>
                  <w:shd w:val="clear" w:color="auto" w:fill="auto"/>
                  <w:vAlign w:val="center"/>
                </w:tcPr>
                <w:p w14:paraId="16E89DD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355" w:type="pct"/>
                  <w:vMerge w:val="continue"/>
                  <w:tcBorders>
                    <w:left w:val="single" w:color="000000" w:sz="4" w:space="0"/>
                    <w:bottom w:val="single" w:color="000000" w:sz="4" w:space="0"/>
                    <w:right w:val="single" w:color="000000" w:sz="4" w:space="0"/>
                  </w:tcBorders>
                  <w:shd w:val="clear" w:color="auto" w:fill="auto"/>
                  <w:vAlign w:val="center"/>
                </w:tcPr>
                <w:p w14:paraId="770402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6FB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110.00</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F95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0.00713</w:t>
                  </w:r>
                </w:p>
              </w:tc>
              <w:tc>
                <w:tcPr>
                  <w:tcW w:w="276" w:type="pct"/>
                  <w:vMerge w:val="continue"/>
                  <w:tcBorders>
                    <w:left w:val="single" w:color="000000" w:sz="4" w:space="0"/>
                    <w:bottom w:val="single" w:color="000000" w:sz="4" w:space="0"/>
                    <w:right w:val="single" w:color="000000" w:sz="4" w:space="0"/>
                  </w:tcBorders>
                  <w:shd w:val="clear" w:color="auto" w:fill="auto"/>
                  <w:vAlign w:val="center"/>
                </w:tcPr>
                <w:p w14:paraId="1709C354">
                  <w:pPr>
                    <w:jc w:val="center"/>
                    <w:rPr>
                      <w:rFonts w:hint="default" w:ascii="Times New Roman" w:hAnsi="Times New Roman" w:eastAsia="宋体" w:cs="Times New Roman"/>
                      <w:b w:val="0"/>
                      <w:bCs w:val="0"/>
                      <w:i w:val="0"/>
                      <w:iCs w:val="0"/>
                      <w:color w:val="auto"/>
                      <w:sz w:val="21"/>
                      <w:szCs w:val="21"/>
                      <w:highlight w:val="none"/>
                      <w:u w:val="none"/>
                    </w:rPr>
                  </w:pPr>
                </w:p>
              </w:tc>
              <w:tc>
                <w:tcPr>
                  <w:tcW w:w="384" w:type="pct"/>
                  <w:tcBorders>
                    <w:top w:val="single" w:color="auto" w:sz="4" w:space="0"/>
                    <w:left w:val="single" w:color="000000" w:sz="4" w:space="0"/>
                    <w:bottom w:val="single" w:color="auto" w:sz="4" w:space="0"/>
                    <w:right w:val="single" w:color="000000" w:sz="4" w:space="0"/>
                  </w:tcBorders>
                  <w:shd w:val="clear" w:color="auto" w:fill="auto"/>
                  <w:vAlign w:val="center"/>
                </w:tcPr>
                <w:p w14:paraId="04F5BE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200</w:t>
                  </w:r>
                </w:p>
              </w:tc>
            </w:tr>
            <w:tr w14:paraId="691A02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000" w:type="pct"/>
                  <w:gridSpan w:val="1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19C04">
                  <w:pPr>
                    <w:keepNext w:val="0"/>
                    <w:keepLines w:val="0"/>
                    <w:widowControl/>
                    <w:suppressLineNumbers w:val="0"/>
                    <w:jc w:val="left"/>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color w:val="auto"/>
                      <w:kern w:val="2"/>
                      <w:sz w:val="21"/>
                      <w:szCs w:val="21"/>
                      <w:highlight w:val="none"/>
                    </w:rPr>
                    <w:t>注：项目废水排放执行园区污水处理厂接管水质要求、广东省《水污染物排放限值》（DB44/26-2001）第二时段三级标准、《电子工业水污染物排放标准》（GB 39731-2020）间接排放标准的三者较严值。</w:t>
                  </w:r>
                </w:p>
              </w:tc>
            </w:tr>
          </w:tbl>
          <w:p w14:paraId="14912044">
            <w:pPr>
              <w:spacing w:line="360" w:lineRule="auto"/>
              <w:ind w:firstLine="482" w:firstLineChars="200"/>
              <w:rPr>
                <w:rFonts w:hint="default" w:ascii="Times New Roman" w:hAnsi="Times New Roman" w:cs="Times New Roman" w:eastAsiaTheme="minorEastAsia"/>
                <w:b/>
                <w:color w:val="auto"/>
                <w:sz w:val="24"/>
                <w:highlight w:val="none"/>
              </w:rPr>
            </w:pPr>
          </w:p>
          <w:p w14:paraId="14B7AFB7">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2、排污口设置情况及监测计划</w:t>
            </w:r>
          </w:p>
          <w:p w14:paraId="22BAD417">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项目废水排放口基本情况表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35"/>
              <w:gridCol w:w="904"/>
              <w:gridCol w:w="1933"/>
              <w:gridCol w:w="1766"/>
              <w:gridCol w:w="1039"/>
              <w:gridCol w:w="1684"/>
              <w:gridCol w:w="1003"/>
              <w:gridCol w:w="1275"/>
              <w:gridCol w:w="1496"/>
              <w:gridCol w:w="1807"/>
            </w:tblGrid>
            <w:tr w14:paraId="4B74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restart"/>
                  <w:vAlign w:val="center"/>
                </w:tcPr>
                <w:p w14:paraId="411E6114">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排放口编号</w:t>
                  </w:r>
                </w:p>
              </w:tc>
              <w:tc>
                <w:tcPr>
                  <w:tcW w:w="328" w:type="pct"/>
                  <w:vMerge w:val="restart"/>
                  <w:vAlign w:val="center"/>
                </w:tcPr>
                <w:p w14:paraId="4E60AF9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排放口名称</w:t>
                  </w:r>
                </w:p>
              </w:tc>
              <w:tc>
                <w:tcPr>
                  <w:tcW w:w="703" w:type="pct"/>
                  <w:vMerge w:val="restart"/>
                  <w:vAlign w:val="center"/>
                </w:tcPr>
                <w:p w14:paraId="66C346FD">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排放口坐标</w:t>
                  </w:r>
                </w:p>
              </w:tc>
              <w:tc>
                <w:tcPr>
                  <w:tcW w:w="642" w:type="pct"/>
                  <w:vMerge w:val="restart"/>
                  <w:vAlign w:val="center"/>
                </w:tcPr>
                <w:p w14:paraId="02960E0D">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废水排放量/（t/a）</w:t>
                  </w:r>
                </w:p>
              </w:tc>
              <w:tc>
                <w:tcPr>
                  <w:tcW w:w="378" w:type="pct"/>
                  <w:vMerge w:val="restart"/>
                  <w:vAlign w:val="center"/>
                </w:tcPr>
                <w:p w14:paraId="59344E8C">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排放去向</w:t>
                  </w:r>
                </w:p>
              </w:tc>
              <w:tc>
                <w:tcPr>
                  <w:tcW w:w="612" w:type="pct"/>
                  <w:vMerge w:val="restart"/>
                  <w:vAlign w:val="center"/>
                </w:tcPr>
                <w:p w14:paraId="60A6A12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排放规律</w:t>
                  </w:r>
                </w:p>
              </w:tc>
              <w:tc>
                <w:tcPr>
                  <w:tcW w:w="364" w:type="pct"/>
                  <w:vMerge w:val="restart"/>
                  <w:vAlign w:val="center"/>
                </w:tcPr>
                <w:p w14:paraId="3F203EA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排放口类型</w:t>
                  </w:r>
                </w:p>
              </w:tc>
              <w:tc>
                <w:tcPr>
                  <w:tcW w:w="1665" w:type="pct"/>
                  <w:gridSpan w:val="3"/>
                  <w:vAlign w:val="center"/>
                </w:tcPr>
                <w:p w14:paraId="32E14B7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受纳污水处理厂信息</w:t>
                  </w:r>
                </w:p>
              </w:tc>
            </w:tr>
            <w:tr w14:paraId="1C11E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3B56C5B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28" w:type="pct"/>
                  <w:vMerge w:val="continue"/>
                  <w:vAlign w:val="center"/>
                </w:tcPr>
                <w:p w14:paraId="167EEC1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703" w:type="pct"/>
                  <w:vMerge w:val="continue"/>
                  <w:vAlign w:val="center"/>
                </w:tcPr>
                <w:p w14:paraId="0E7CB80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642" w:type="pct"/>
                  <w:vMerge w:val="continue"/>
                  <w:vAlign w:val="center"/>
                </w:tcPr>
                <w:p w14:paraId="137B0A0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78" w:type="pct"/>
                  <w:vMerge w:val="continue"/>
                  <w:vAlign w:val="center"/>
                </w:tcPr>
                <w:p w14:paraId="052B978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612" w:type="pct"/>
                  <w:vMerge w:val="continue"/>
                  <w:vAlign w:val="center"/>
                </w:tcPr>
                <w:p w14:paraId="14D11BC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64" w:type="pct"/>
                  <w:vMerge w:val="continue"/>
                  <w:vAlign w:val="center"/>
                </w:tcPr>
                <w:p w14:paraId="064F303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463" w:type="pct"/>
                  <w:vAlign w:val="center"/>
                </w:tcPr>
                <w:p w14:paraId="05462D4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544" w:type="pct"/>
                  <w:vAlign w:val="center"/>
                </w:tcPr>
                <w:p w14:paraId="06DE87A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污染物种类</w:t>
                  </w:r>
                </w:p>
              </w:tc>
              <w:tc>
                <w:tcPr>
                  <w:tcW w:w="657" w:type="pct"/>
                  <w:vAlign w:val="center"/>
                </w:tcPr>
                <w:p w14:paraId="15621A0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国家或地方污染物排放标准浓度限值/(mg/L)</w:t>
                  </w:r>
                </w:p>
              </w:tc>
            </w:tr>
            <w:tr w14:paraId="5F1A6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restart"/>
                  <w:vAlign w:val="center"/>
                </w:tcPr>
                <w:p w14:paraId="429C45A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DW0</w:t>
                  </w:r>
                  <w:r>
                    <w:rPr>
                      <w:rFonts w:hint="default" w:ascii="Times New Roman" w:hAnsi="Times New Roman" w:cs="Times New Roman"/>
                      <w:b w:val="0"/>
                      <w:bCs w:val="0"/>
                      <w:color w:val="auto"/>
                      <w:kern w:val="2"/>
                      <w:sz w:val="21"/>
                      <w:szCs w:val="21"/>
                      <w:highlight w:val="none"/>
                      <w:lang w:val="en-US" w:eastAsia="zh-CN"/>
                    </w:rPr>
                    <w:t>0</w:t>
                  </w:r>
                  <w:r>
                    <w:rPr>
                      <w:rFonts w:hint="default" w:ascii="Times New Roman" w:hAnsi="Times New Roman" w:cs="Times New Roman"/>
                      <w:b w:val="0"/>
                      <w:bCs w:val="0"/>
                      <w:color w:val="auto"/>
                      <w:kern w:val="2"/>
                      <w:sz w:val="21"/>
                      <w:szCs w:val="21"/>
                      <w:highlight w:val="none"/>
                    </w:rPr>
                    <w:t>1</w:t>
                  </w:r>
                </w:p>
              </w:tc>
              <w:tc>
                <w:tcPr>
                  <w:tcW w:w="328" w:type="pct"/>
                  <w:vMerge w:val="restart"/>
                  <w:vAlign w:val="center"/>
                </w:tcPr>
                <w:p w14:paraId="2C496AD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综合废水排放口</w:t>
                  </w:r>
                </w:p>
              </w:tc>
              <w:tc>
                <w:tcPr>
                  <w:tcW w:w="703" w:type="pct"/>
                  <w:vMerge w:val="restart"/>
                  <w:vAlign w:val="center"/>
                </w:tcPr>
                <w:p w14:paraId="298499B1">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val="en-US" w:eastAsia="zh-CN"/>
                    </w:rPr>
                    <w:t>E</w:t>
                  </w:r>
                  <w:r>
                    <w:rPr>
                      <w:rFonts w:hint="default" w:ascii="Times New Roman" w:hAnsi="Times New Roman" w:cs="Times New Roman"/>
                      <w:b w:val="0"/>
                      <w:bCs w:val="0"/>
                      <w:color w:val="auto"/>
                      <w:kern w:val="2"/>
                      <w:sz w:val="21"/>
                      <w:szCs w:val="21"/>
                      <w:highlight w:val="none"/>
                    </w:rPr>
                    <w:t>113.40793</w:t>
                  </w:r>
                </w:p>
                <w:p w14:paraId="3ADFF99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val="en-US" w:eastAsia="zh-CN"/>
                    </w:rPr>
                    <w:t>N</w:t>
                  </w:r>
                  <w:r>
                    <w:rPr>
                      <w:rFonts w:hint="default" w:ascii="Times New Roman" w:hAnsi="Times New Roman" w:cs="Times New Roman"/>
                      <w:b w:val="0"/>
                      <w:bCs w:val="0"/>
                      <w:color w:val="auto"/>
                      <w:kern w:val="2"/>
                      <w:sz w:val="21"/>
                      <w:szCs w:val="21"/>
                      <w:highlight w:val="none"/>
                    </w:rPr>
                    <w:t>25.12560</w:t>
                  </w:r>
                </w:p>
              </w:tc>
              <w:tc>
                <w:tcPr>
                  <w:tcW w:w="642" w:type="pct"/>
                  <w:vMerge w:val="restart"/>
                  <w:shd w:val="clear" w:color="auto" w:fill="auto"/>
                  <w:vAlign w:val="center"/>
                </w:tcPr>
                <w:p w14:paraId="72A959D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c>
                <w:tcPr>
                  <w:tcW w:w="378" w:type="pct"/>
                  <w:vMerge w:val="restart"/>
                  <w:vAlign w:val="center"/>
                </w:tcPr>
                <w:p w14:paraId="45554C61">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val="en-US" w:eastAsia="zh-CN"/>
                    </w:rPr>
                    <w:t>园区</w:t>
                  </w:r>
                  <w:r>
                    <w:rPr>
                      <w:rFonts w:hint="default" w:ascii="Times New Roman" w:hAnsi="Times New Roman" w:cs="Times New Roman"/>
                      <w:b w:val="0"/>
                      <w:bCs w:val="0"/>
                      <w:color w:val="auto"/>
                      <w:kern w:val="2"/>
                      <w:sz w:val="21"/>
                      <w:szCs w:val="21"/>
                      <w:highlight w:val="none"/>
                    </w:rPr>
                    <w:t>污水处理厂</w:t>
                  </w:r>
                </w:p>
              </w:tc>
              <w:tc>
                <w:tcPr>
                  <w:tcW w:w="612" w:type="pct"/>
                  <w:vMerge w:val="restart"/>
                  <w:vAlign w:val="center"/>
                </w:tcPr>
                <w:p w14:paraId="2DB2E42C">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间歇排放，流量不稳定，但不属于冲击型排放</w:t>
                  </w:r>
                </w:p>
              </w:tc>
              <w:tc>
                <w:tcPr>
                  <w:tcW w:w="364" w:type="pct"/>
                  <w:vMerge w:val="restart"/>
                  <w:vAlign w:val="center"/>
                </w:tcPr>
                <w:p w14:paraId="10B6D50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一般排放口</w:t>
                  </w:r>
                </w:p>
              </w:tc>
              <w:tc>
                <w:tcPr>
                  <w:tcW w:w="463" w:type="pct"/>
                  <w:vMerge w:val="restart"/>
                  <w:vAlign w:val="center"/>
                </w:tcPr>
                <w:p w14:paraId="7A37DA8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园区污水处理厂</w:t>
                  </w:r>
                </w:p>
              </w:tc>
              <w:tc>
                <w:tcPr>
                  <w:tcW w:w="544" w:type="pct"/>
                  <w:vAlign w:val="center"/>
                </w:tcPr>
                <w:p w14:paraId="57077FD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pH（无量纲）</w:t>
                  </w:r>
                </w:p>
              </w:tc>
              <w:tc>
                <w:tcPr>
                  <w:tcW w:w="657" w:type="pct"/>
                  <w:vAlign w:val="center"/>
                </w:tcPr>
                <w:p w14:paraId="46AEA36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6~9</w:t>
                  </w:r>
                </w:p>
              </w:tc>
            </w:tr>
            <w:tr w14:paraId="4EC6E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288C4D6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08E3EAD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70AD038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526D7A4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4E24F96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298851E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028D837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79CBF63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vAlign w:val="center"/>
                </w:tcPr>
                <w:p w14:paraId="68F6CB5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657" w:type="pct"/>
                  <w:vAlign w:val="center"/>
                </w:tcPr>
                <w:p w14:paraId="11B2F612">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40</w:t>
                  </w:r>
                </w:p>
              </w:tc>
            </w:tr>
            <w:tr w14:paraId="34966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70928DD4">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284BAC6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2D4D576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5F30020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63B4342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6D1D8A5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60C14D5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3ECC03E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vAlign w:val="center"/>
                </w:tcPr>
                <w:p w14:paraId="322A95D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657" w:type="pct"/>
                  <w:vAlign w:val="center"/>
                </w:tcPr>
                <w:p w14:paraId="35C883AD">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20</w:t>
                  </w:r>
                </w:p>
              </w:tc>
            </w:tr>
            <w:tr w14:paraId="36F65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0D4A298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4B7C3CF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7659874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1CBD9E54">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4FED3FB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5F010D8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346C2B4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14FAB3E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vAlign w:val="center"/>
                </w:tcPr>
                <w:p w14:paraId="624E5E9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SS</w:t>
                  </w:r>
                </w:p>
              </w:tc>
              <w:tc>
                <w:tcPr>
                  <w:tcW w:w="657" w:type="pct"/>
                  <w:vAlign w:val="center"/>
                </w:tcPr>
                <w:p w14:paraId="6D12E6A7">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20</w:t>
                  </w:r>
                </w:p>
              </w:tc>
            </w:tr>
            <w:tr w14:paraId="4D4AD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6A9BDBF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6FB0ADB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495F3FF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2CA159A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013CD7B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2CBD4E1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7434D5D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29DC09D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vAlign w:val="center"/>
                </w:tcPr>
                <w:p w14:paraId="5AF8020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氨氮</w:t>
                  </w:r>
                </w:p>
              </w:tc>
              <w:tc>
                <w:tcPr>
                  <w:tcW w:w="657" w:type="pct"/>
                  <w:vAlign w:val="center"/>
                </w:tcPr>
                <w:p w14:paraId="739C5E3B">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8</w:t>
                  </w:r>
                </w:p>
              </w:tc>
            </w:tr>
            <w:tr w14:paraId="5458D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5A72666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5DF2E90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792B89BC">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2A00337C">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4AC99D77">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518772E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1C444AF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626CBCA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shd w:val="clear" w:color="auto" w:fill="auto"/>
                  <w:vAlign w:val="center"/>
                </w:tcPr>
                <w:p w14:paraId="4DB8E63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b w:val="0"/>
                      <w:bCs w:val="0"/>
                      <w:color w:val="auto"/>
                      <w:kern w:val="2"/>
                      <w:position w:val="-10"/>
                      <w:sz w:val="21"/>
                      <w:szCs w:val="21"/>
                      <w:highlight w:val="none"/>
                      <w:lang w:val="en-US" w:eastAsia="zh-CN" w:bidi="ar-SA"/>
                    </w:rPr>
                  </w:pPr>
                  <w:r>
                    <w:rPr>
                      <w:rFonts w:hint="default" w:ascii="Times New Roman" w:hAnsi="Times New Roman" w:cs="Times New Roman"/>
                      <w:b w:val="0"/>
                      <w:bCs w:val="0"/>
                      <w:color w:val="auto"/>
                      <w:kern w:val="2"/>
                      <w:sz w:val="21"/>
                      <w:szCs w:val="21"/>
                      <w:highlight w:val="none"/>
                    </w:rPr>
                    <w:t>石油类</w:t>
                  </w:r>
                </w:p>
              </w:tc>
              <w:tc>
                <w:tcPr>
                  <w:tcW w:w="657" w:type="pct"/>
                  <w:shd w:val="clear" w:color="auto" w:fill="auto"/>
                  <w:vAlign w:val="center"/>
                </w:tcPr>
                <w:p w14:paraId="40DB098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b w:val="0"/>
                      <w:bCs w:val="0"/>
                      <w:color w:val="auto"/>
                      <w:kern w:val="2"/>
                      <w:position w:val="-10"/>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rPr>
                    <w:t>3</w:t>
                  </w:r>
                </w:p>
              </w:tc>
            </w:tr>
            <w:tr w14:paraId="48FCF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108AEF11">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0CB6E1D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4824F04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2304BC6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584B6B34">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6799EDE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52EE5A9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6EED4839">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shd w:val="clear" w:color="auto" w:fill="auto"/>
                  <w:vAlign w:val="center"/>
                </w:tcPr>
                <w:p w14:paraId="7ADB8FE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b w:val="0"/>
                      <w:bCs w:val="0"/>
                      <w:color w:val="auto"/>
                      <w:kern w:val="2"/>
                      <w:position w:val="-10"/>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rPr>
                    <w:t>LAS</w:t>
                  </w:r>
                </w:p>
              </w:tc>
              <w:tc>
                <w:tcPr>
                  <w:tcW w:w="657" w:type="pct"/>
                  <w:shd w:val="clear" w:color="auto" w:fill="auto"/>
                  <w:vAlign w:val="center"/>
                </w:tcPr>
                <w:p w14:paraId="153DBABD">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b w:val="0"/>
                      <w:bCs w:val="0"/>
                      <w:color w:val="auto"/>
                      <w:kern w:val="2"/>
                      <w:position w:val="-10"/>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rPr>
                    <w:t>1</w:t>
                  </w:r>
                </w:p>
              </w:tc>
            </w:tr>
            <w:tr w14:paraId="2EE8A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291725FE">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10EAC440">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1814D5B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1E8B529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51D39C4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7511311B">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7F67984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7B488AB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shd w:val="clear" w:color="auto" w:fill="auto"/>
                  <w:vAlign w:val="center"/>
                </w:tcPr>
                <w:p w14:paraId="5A42C8C1">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总磷</w:t>
                  </w:r>
                </w:p>
              </w:tc>
              <w:tc>
                <w:tcPr>
                  <w:tcW w:w="657" w:type="pct"/>
                  <w:shd w:val="clear" w:color="auto" w:fill="auto"/>
                  <w:vAlign w:val="center"/>
                </w:tcPr>
                <w:p w14:paraId="238AE1F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8</w:t>
                  </w:r>
                </w:p>
              </w:tc>
            </w:tr>
            <w:tr w14:paraId="40029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25EDA5D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6228474F">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4CBABC63">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0F6D8AA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20308998">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4F1D41C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6B832F9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4173ED4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shd w:val="clear" w:color="auto" w:fill="auto"/>
                  <w:vAlign w:val="center"/>
                </w:tcPr>
                <w:p w14:paraId="057F516D">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总氮</w:t>
                  </w:r>
                </w:p>
              </w:tc>
              <w:tc>
                <w:tcPr>
                  <w:tcW w:w="657" w:type="pct"/>
                  <w:shd w:val="clear" w:color="auto" w:fill="auto"/>
                  <w:vAlign w:val="center"/>
                </w:tcPr>
                <w:p w14:paraId="4B1143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70</w:t>
                  </w:r>
                </w:p>
              </w:tc>
            </w:tr>
            <w:tr w14:paraId="518AC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3" w:type="pct"/>
                  <w:vMerge w:val="continue"/>
                  <w:vAlign w:val="center"/>
                </w:tcPr>
                <w:p w14:paraId="0DC73A8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28" w:type="pct"/>
                  <w:vMerge w:val="continue"/>
                  <w:vAlign w:val="center"/>
                </w:tcPr>
                <w:p w14:paraId="0BD72952">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703" w:type="pct"/>
                  <w:vMerge w:val="continue"/>
                  <w:vAlign w:val="center"/>
                </w:tcPr>
                <w:p w14:paraId="22D06BAD">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2" w:type="pct"/>
                  <w:vMerge w:val="continue"/>
                  <w:vAlign w:val="center"/>
                </w:tcPr>
                <w:p w14:paraId="4EABEE24">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78" w:type="pct"/>
                  <w:vMerge w:val="continue"/>
                  <w:vAlign w:val="center"/>
                </w:tcPr>
                <w:p w14:paraId="0ECF2915">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12" w:type="pct"/>
                  <w:vMerge w:val="continue"/>
                  <w:vAlign w:val="center"/>
                </w:tcPr>
                <w:p w14:paraId="7FE3226A">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364" w:type="pct"/>
                  <w:vMerge w:val="continue"/>
                  <w:vAlign w:val="center"/>
                </w:tcPr>
                <w:p w14:paraId="40840556">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463" w:type="pct"/>
                  <w:vMerge w:val="continue"/>
                  <w:vAlign w:val="center"/>
                </w:tcPr>
                <w:p w14:paraId="4CBDDAA1">
                  <w:pPr>
                    <w:pStyle w:val="129"/>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4" w:type="pct"/>
                  <w:shd w:val="clear" w:color="auto" w:fill="auto"/>
                  <w:vAlign w:val="center"/>
                </w:tcPr>
                <w:p w14:paraId="77A4ED96">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总有机碳</w:t>
                  </w:r>
                </w:p>
              </w:tc>
              <w:tc>
                <w:tcPr>
                  <w:tcW w:w="657" w:type="pct"/>
                  <w:shd w:val="clear" w:color="auto" w:fill="auto"/>
                  <w:vAlign w:val="center"/>
                </w:tcPr>
                <w:p w14:paraId="60C341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200</w:t>
                  </w:r>
                </w:p>
              </w:tc>
            </w:tr>
          </w:tbl>
          <w:p w14:paraId="62CFB9C3">
            <w:pPr>
              <w:rPr>
                <w:rFonts w:hint="default" w:ascii="Times New Roman" w:hAnsi="Times New Roman" w:cs="Times New Roman"/>
                <w:color w:val="auto"/>
                <w:highlight w:val="none"/>
                <w:lang w:val="en-US" w:eastAsia="zh-CN"/>
              </w:rPr>
            </w:pPr>
          </w:p>
          <w:p w14:paraId="4FF20D22">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废水污染物排放信息表</w:t>
            </w:r>
          </w:p>
          <w:tbl>
            <w:tblPr>
              <w:tblStyle w:val="38"/>
              <w:tblW w:w="13740"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355"/>
              <w:gridCol w:w="1514"/>
              <w:gridCol w:w="1478"/>
              <w:gridCol w:w="2335"/>
              <w:gridCol w:w="2485"/>
              <w:gridCol w:w="3573"/>
            </w:tblGrid>
            <w:tr w14:paraId="56F618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708BA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5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248F8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7F6D3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23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FAC60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24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65E4D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全厂日排放量（t/d）</w:t>
                  </w:r>
                </w:p>
              </w:tc>
              <w:tc>
                <w:tcPr>
                  <w:tcW w:w="35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C6459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全厂年排放量（t/a）</w:t>
                  </w:r>
                </w:p>
              </w:tc>
            </w:tr>
            <w:tr w14:paraId="5B739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B1C3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14" w:type="dxa"/>
                  <w:vMerge w:val="restart"/>
                  <w:tcBorders>
                    <w:top w:val="single" w:color="000000" w:sz="4" w:space="0"/>
                    <w:left w:val="single" w:color="000000" w:sz="4" w:space="0"/>
                    <w:right w:val="single" w:color="000000" w:sz="4" w:space="0"/>
                  </w:tcBorders>
                  <w:shd w:val="clear" w:color="auto" w:fill="FFFFFF"/>
                  <w:vAlign w:val="center"/>
                </w:tcPr>
                <w:p w14:paraId="3010B6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6482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AEE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269.0</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D3D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0.0000759</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B67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0.0174</w:t>
                  </w:r>
                </w:p>
              </w:tc>
            </w:tr>
            <w:tr w14:paraId="31A84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4C41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14" w:type="dxa"/>
                  <w:vMerge w:val="continue"/>
                  <w:tcBorders>
                    <w:left w:val="single" w:color="000000" w:sz="4" w:space="0"/>
                    <w:right w:val="single" w:color="000000" w:sz="4" w:space="0"/>
                  </w:tcBorders>
                  <w:shd w:val="clear" w:color="auto" w:fill="FFFFFF"/>
                  <w:vAlign w:val="center"/>
                </w:tcPr>
                <w:p w14:paraId="2EDFE987">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226B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06C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84.5</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A81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0.0000238</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5CA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0.0055</w:t>
                  </w:r>
                </w:p>
              </w:tc>
            </w:tr>
            <w:tr w14:paraId="49326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9249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514" w:type="dxa"/>
                  <w:vMerge w:val="continue"/>
                  <w:tcBorders>
                    <w:left w:val="single" w:color="000000" w:sz="4" w:space="0"/>
                    <w:right w:val="single" w:color="000000" w:sz="4" w:space="0"/>
                  </w:tcBorders>
                  <w:shd w:val="clear" w:color="auto" w:fill="FFFFFF"/>
                  <w:vAlign w:val="center"/>
                </w:tcPr>
                <w:p w14:paraId="0F33573C">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386C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90E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019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0.0000042</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B16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0.0010</w:t>
                  </w:r>
                </w:p>
              </w:tc>
            </w:tr>
            <w:tr w14:paraId="59AC6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19BE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14" w:type="dxa"/>
                  <w:vMerge w:val="continue"/>
                  <w:tcBorders>
                    <w:left w:val="single" w:color="000000" w:sz="4" w:space="0"/>
                    <w:right w:val="single" w:color="000000" w:sz="4" w:space="0"/>
                  </w:tcBorders>
                  <w:shd w:val="clear" w:color="auto" w:fill="FFFFFF"/>
                  <w:vAlign w:val="center"/>
                </w:tcPr>
                <w:p w14:paraId="2A67B948">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2BA4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78F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1.28</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F41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0.0000004</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53E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6C448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050F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14" w:type="dxa"/>
                  <w:vMerge w:val="continue"/>
                  <w:tcBorders>
                    <w:left w:val="single" w:color="000000" w:sz="4" w:space="0"/>
                    <w:right w:val="single" w:color="000000" w:sz="4" w:space="0"/>
                  </w:tcBorders>
                  <w:shd w:val="clear" w:color="auto" w:fill="FFFFFF"/>
                  <w:vAlign w:val="center"/>
                </w:tcPr>
                <w:p w14:paraId="197D92D9">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8B08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588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EB0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0.0000004</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324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0.00010</w:t>
                  </w:r>
                </w:p>
              </w:tc>
            </w:tr>
            <w:tr w14:paraId="1B7F3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86C2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514" w:type="dxa"/>
                  <w:vMerge w:val="continue"/>
                  <w:tcBorders>
                    <w:left w:val="single" w:color="000000" w:sz="4" w:space="0"/>
                    <w:right w:val="single" w:color="000000" w:sz="4" w:space="0"/>
                  </w:tcBorders>
                  <w:shd w:val="clear" w:color="auto" w:fill="FFFFFF"/>
                  <w:vAlign w:val="center"/>
                </w:tcPr>
                <w:p w14:paraId="7A0AB20D">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07EE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LAS</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907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B82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0.0000005</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F29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0.00012</w:t>
                  </w:r>
                </w:p>
              </w:tc>
            </w:tr>
            <w:tr w14:paraId="2D4F2C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1927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w:t>
                  </w:r>
                </w:p>
              </w:tc>
              <w:tc>
                <w:tcPr>
                  <w:tcW w:w="1514" w:type="dxa"/>
                  <w:vMerge w:val="continue"/>
                  <w:tcBorders>
                    <w:left w:val="single" w:color="000000" w:sz="4" w:space="0"/>
                    <w:right w:val="single" w:color="000000" w:sz="4" w:space="0"/>
                  </w:tcBorders>
                  <w:shd w:val="clear" w:color="auto" w:fill="FFFFFF"/>
                  <w:vAlign w:val="center"/>
                </w:tcPr>
                <w:p w14:paraId="37DCEFD1">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D44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总磷</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4B0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0.25</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DAA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0.0000001</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439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r>
            <w:tr w14:paraId="5D3C10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D33F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8</w:t>
                  </w:r>
                </w:p>
              </w:tc>
              <w:tc>
                <w:tcPr>
                  <w:tcW w:w="1514" w:type="dxa"/>
                  <w:vMerge w:val="continue"/>
                  <w:tcBorders>
                    <w:left w:val="single" w:color="000000" w:sz="4" w:space="0"/>
                    <w:right w:val="single" w:color="000000" w:sz="4" w:space="0"/>
                  </w:tcBorders>
                  <w:shd w:val="clear" w:color="auto" w:fill="FFFFFF"/>
                  <w:vAlign w:val="center"/>
                </w:tcPr>
                <w:p w14:paraId="22A89639">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FF7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总氮</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5E6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441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0.0000014</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1AB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0.00032</w:t>
                  </w:r>
                </w:p>
              </w:tc>
            </w:tr>
            <w:tr w14:paraId="7A9DD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3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1989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9</w:t>
                  </w:r>
                </w:p>
              </w:tc>
              <w:tc>
                <w:tcPr>
                  <w:tcW w:w="1514" w:type="dxa"/>
                  <w:vMerge w:val="continue"/>
                  <w:tcBorders>
                    <w:left w:val="single" w:color="000000" w:sz="4" w:space="0"/>
                    <w:bottom w:val="single" w:color="000000" w:sz="4" w:space="0"/>
                    <w:right w:val="single" w:color="000000" w:sz="4" w:space="0"/>
                  </w:tcBorders>
                  <w:shd w:val="clear" w:color="auto" w:fill="FFFFFF"/>
                  <w:vAlign w:val="center"/>
                </w:tcPr>
                <w:p w14:paraId="2C8813CE">
                  <w:pPr>
                    <w:jc w:val="center"/>
                    <w:rPr>
                      <w:rFonts w:hint="default" w:ascii="Times New Roman" w:hAnsi="Times New Roman" w:eastAsia="宋体" w:cs="Times New Roman"/>
                      <w:i w:val="0"/>
                      <w:iCs w:val="0"/>
                      <w:color w:val="auto"/>
                      <w:sz w:val="21"/>
                      <w:szCs w:val="21"/>
                      <w:highlight w:val="none"/>
                      <w:u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1F9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总有机碳</w:t>
                  </w:r>
                </w:p>
              </w:tc>
              <w:tc>
                <w:tcPr>
                  <w:tcW w:w="2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D63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110.00</w:t>
                  </w:r>
                </w:p>
              </w:tc>
              <w:tc>
                <w:tcPr>
                  <w:tcW w:w="2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933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0.0000310</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D88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0.00713</w:t>
                  </w:r>
                </w:p>
              </w:tc>
            </w:tr>
            <w:tr w14:paraId="5B9BB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3869" w:type="dxa"/>
                  <w:gridSpan w:val="2"/>
                  <w:vMerge w:val="restart"/>
                  <w:tcBorders>
                    <w:top w:val="single" w:color="000000" w:sz="4" w:space="0"/>
                    <w:left w:val="single" w:color="000000" w:sz="4" w:space="0"/>
                    <w:right w:val="single" w:color="000000" w:sz="4" w:space="0"/>
                  </w:tcBorders>
                  <w:shd w:val="clear" w:color="auto" w:fill="FFFFFF"/>
                  <w:vAlign w:val="center"/>
                </w:tcPr>
                <w:p w14:paraId="0145E9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25689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E6B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0.0174</w:t>
                  </w:r>
                </w:p>
              </w:tc>
            </w:tr>
            <w:tr w14:paraId="45081D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765F3AA0">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45559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2E5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0.0055</w:t>
                  </w:r>
                </w:p>
              </w:tc>
            </w:tr>
            <w:tr w14:paraId="3CBCF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1864481A">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BFDE1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3A1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0.0010</w:t>
                  </w:r>
                </w:p>
              </w:tc>
            </w:tr>
            <w:tr w14:paraId="04B19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2A8A1386">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C43A9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691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38CF4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75BEE03F">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2AB7C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950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0.00010</w:t>
                  </w:r>
                </w:p>
              </w:tc>
            </w:tr>
            <w:tr w14:paraId="4F92B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1CC749E2">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E37D3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LAS</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7A5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0.00012</w:t>
                  </w:r>
                </w:p>
              </w:tc>
            </w:tr>
            <w:tr w14:paraId="3D7C1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18E53E84">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7B16AE">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总磷</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2D8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r>
            <w:tr w14:paraId="31F60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right w:val="single" w:color="000000" w:sz="4" w:space="0"/>
                  </w:tcBorders>
                  <w:shd w:val="clear" w:color="auto" w:fill="FFFFFF"/>
                  <w:vAlign w:val="center"/>
                </w:tcPr>
                <w:p w14:paraId="74594AF3">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B17BD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总氮</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9B7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0.00032</w:t>
                  </w:r>
                </w:p>
              </w:tc>
            </w:tr>
            <w:tr w14:paraId="3177E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869" w:type="dxa"/>
                  <w:gridSpan w:val="2"/>
                  <w:vMerge w:val="continue"/>
                  <w:tcBorders>
                    <w:left w:val="single" w:color="000000" w:sz="4" w:space="0"/>
                    <w:bottom w:val="single" w:color="000000" w:sz="4" w:space="0"/>
                    <w:right w:val="single" w:color="000000" w:sz="4" w:space="0"/>
                  </w:tcBorders>
                  <w:shd w:val="clear" w:color="auto" w:fill="FFFFFF"/>
                  <w:vAlign w:val="center"/>
                </w:tcPr>
                <w:p w14:paraId="54CF40E3">
                  <w:pPr>
                    <w:jc w:val="center"/>
                    <w:rPr>
                      <w:rFonts w:hint="default" w:ascii="Times New Roman" w:hAnsi="Times New Roman" w:eastAsia="宋体" w:cs="Times New Roman"/>
                      <w:i w:val="0"/>
                      <w:iCs w:val="0"/>
                      <w:color w:val="auto"/>
                      <w:sz w:val="21"/>
                      <w:szCs w:val="21"/>
                      <w:highlight w:val="none"/>
                      <w:u w:val="none"/>
                    </w:rPr>
                  </w:pPr>
                </w:p>
              </w:tc>
              <w:tc>
                <w:tcPr>
                  <w:tcW w:w="629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03BCED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总有机碳</w:t>
                  </w:r>
                </w:p>
              </w:tc>
              <w:tc>
                <w:tcPr>
                  <w:tcW w:w="3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BD7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0.00713</w:t>
                  </w:r>
                </w:p>
              </w:tc>
            </w:tr>
          </w:tbl>
          <w:p w14:paraId="4B612FB2">
            <w:pPr>
              <w:spacing w:line="360" w:lineRule="auto"/>
              <w:ind w:firstLine="480" w:firstLineChars="200"/>
              <w:rPr>
                <w:rFonts w:hint="default" w:ascii="Times New Roman" w:hAnsi="Times New Roman" w:cs="Times New Roman" w:eastAsiaTheme="minorEastAsia"/>
                <w:color w:val="auto"/>
                <w:sz w:val="24"/>
                <w:highlight w:val="none"/>
              </w:rPr>
            </w:pPr>
          </w:p>
          <w:p w14:paraId="1C0A3376">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根据《排污单位自行监测技术指南总则》（HJ819-2017），制定本项目水污染物监测计划如下：</w:t>
            </w:r>
          </w:p>
          <w:p w14:paraId="764B545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项目排污口设置及水污染物监测计划</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9"/>
              <w:gridCol w:w="2661"/>
              <w:gridCol w:w="2385"/>
              <w:gridCol w:w="5838"/>
            </w:tblGrid>
            <w:tr w14:paraId="41184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0" w:type="pct"/>
                  <w:vAlign w:val="center"/>
                </w:tcPr>
                <w:p w14:paraId="4103CF54">
                  <w:pPr>
                    <w:pStyle w:val="64"/>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监测点</w:t>
                  </w:r>
                </w:p>
              </w:tc>
              <w:tc>
                <w:tcPr>
                  <w:tcW w:w="968" w:type="pct"/>
                  <w:vAlign w:val="center"/>
                </w:tcPr>
                <w:p w14:paraId="1499CEAC">
                  <w:pPr>
                    <w:pStyle w:val="64"/>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监测指标</w:t>
                  </w:r>
                </w:p>
              </w:tc>
              <w:tc>
                <w:tcPr>
                  <w:tcW w:w="867" w:type="pct"/>
                  <w:vAlign w:val="center"/>
                </w:tcPr>
                <w:p w14:paraId="4B591ECD">
                  <w:pPr>
                    <w:pStyle w:val="64"/>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监测频次</w:t>
                  </w:r>
                </w:p>
              </w:tc>
              <w:tc>
                <w:tcPr>
                  <w:tcW w:w="2123" w:type="pct"/>
                  <w:vAlign w:val="center"/>
                </w:tcPr>
                <w:p w14:paraId="0269D55C">
                  <w:pPr>
                    <w:pStyle w:val="64"/>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执行排放标准</w:t>
                  </w:r>
                </w:p>
              </w:tc>
            </w:tr>
            <w:tr w14:paraId="32F6C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0" w:type="pct"/>
                  <w:vAlign w:val="center"/>
                </w:tcPr>
                <w:p w14:paraId="1B1237EF">
                  <w:pPr>
                    <w:pStyle w:val="129"/>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综合废水排放口</w:t>
                  </w:r>
                </w:p>
                <w:p w14:paraId="5E6F5C0C">
                  <w:pPr>
                    <w:pStyle w:val="64"/>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kern w:val="2"/>
                      <w:sz w:val="21"/>
                      <w:szCs w:val="21"/>
                      <w:highlight w:val="none"/>
                      <w:lang w:val="en-US" w:eastAsia="zh-CN"/>
                    </w:rPr>
                    <w:t>DW001</w:t>
                  </w:r>
                </w:p>
              </w:tc>
              <w:tc>
                <w:tcPr>
                  <w:tcW w:w="968" w:type="pct"/>
                  <w:vAlign w:val="center"/>
                </w:tcPr>
                <w:p w14:paraId="46D67A1B">
                  <w:pPr>
                    <w:pStyle w:val="64"/>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lang w:val="en-US" w:eastAsia="zh-CN"/>
                    </w:rPr>
                    <w:t>pH、</w:t>
                  </w:r>
                  <w:r>
                    <w:rPr>
                      <w:rFonts w:hint="default" w:ascii="Times New Roman" w:hAnsi="Times New Roman" w:eastAsia="宋体" w:cs="Times New Roman"/>
                      <w:color w:val="auto"/>
                      <w:sz w:val="21"/>
                      <w:szCs w:val="21"/>
                      <w:highlight w:val="none"/>
                      <w:vertAlign w:val="baseline"/>
                      <w:lang w:val="en-US" w:eastAsia="zh-CN"/>
                    </w:rPr>
                    <w:t>COD</w:t>
                  </w:r>
                  <w:r>
                    <w:rPr>
                      <w:rFonts w:hint="default" w:ascii="Times New Roman" w:hAnsi="Times New Roman" w:eastAsia="宋体"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SS</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baseline"/>
                      <w:lang w:val="en-US" w:eastAsia="zh-CN"/>
                    </w:rPr>
                    <w:t>-N</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石油类</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LAS</w:t>
                  </w:r>
                  <w:r>
                    <w:rPr>
                      <w:rFonts w:hint="default" w:ascii="Times New Roman" w:hAnsi="Times New Roman" w:cs="Times New Roman"/>
                      <w:color w:val="auto"/>
                      <w:sz w:val="21"/>
                      <w:szCs w:val="21"/>
                      <w:highlight w:val="none"/>
                      <w:vertAlign w:val="baseline"/>
                      <w:lang w:val="en-US" w:eastAsia="zh-CN"/>
                    </w:rPr>
                    <w:t>、总磷、总氮、总有机碳</w:t>
                  </w:r>
                </w:p>
              </w:tc>
              <w:tc>
                <w:tcPr>
                  <w:tcW w:w="867" w:type="pct"/>
                  <w:vAlign w:val="center"/>
                </w:tcPr>
                <w:p w14:paraId="5CAEC7DE">
                  <w:pPr>
                    <w:pStyle w:val="64"/>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1次/</w:t>
                  </w:r>
                  <w:r>
                    <w:rPr>
                      <w:rFonts w:hint="default" w:ascii="Times New Roman" w:hAnsi="Times New Roman" w:cs="Times New Roman"/>
                      <w:color w:val="auto"/>
                      <w:sz w:val="21"/>
                      <w:szCs w:val="21"/>
                      <w:highlight w:val="none"/>
                      <w:lang w:eastAsia="zh-CN"/>
                    </w:rPr>
                    <w:t>季度</w:t>
                  </w:r>
                </w:p>
              </w:tc>
              <w:tc>
                <w:tcPr>
                  <w:tcW w:w="2123" w:type="pct"/>
                  <w:vAlign w:val="center"/>
                </w:tcPr>
                <w:p w14:paraId="2AE8A0F0">
                  <w:pPr>
                    <w:pStyle w:val="64"/>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kern w:val="2"/>
                      <w:sz w:val="21"/>
                      <w:szCs w:val="21"/>
                      <w:highlight w:val="none"/>
                    </w:rPr>
                    <w:t>园区污水处理厂接管水质要求、广东省《水污染物排放限值》（DB44/26-2001）第二时段三级标准、《电子工业水污染物排放标准》（GB 39731-2020）间接排放标准的三者较严值</w:t>
                  </w:r>
                </w:p>
              </w:tc>
            </w:tr>
          </w:tbl>
          <w:p w14:paraId="7DFE1BBE">
            <w:pPr>
              <w:pStyle w:val="64"/>
              <w:rPr>
                <w:rFonts w:hint="default" w:ascii="Times New Roman" w:hAnsi="Times New Roman" w:eastAsia="宋体" w:cs="Times New Roman"/>
                <w:color w:val="auto"/>
                <w:sz w:val="24"/>
                <w:szCs w:val="24"/>
                <w:highlight w:val="none"/>
                <w:lang w:val="en-US" w:eastAsia="zh-CN"/>
              </w:rPr>
            </w:pPr>
          </w:p>
          <w:p w14:paraId="753CD1AB">
            <w:pPr>
              <w:spacing w:line="360" w:lineRule="auto"/>
              <w:ind w:firstLine="420" w:firstLineChars="200"/>
              <w:rPr>
                <w:rFonts w:hint="default" w:ascii="Times New Roman" w:hAnsi="Times New Roman" w:cs="Times New Roman"/>
                <w:color w:val="auto"/>
                <w:highlight w:val="none"/>
              </w:rPr>
            </w:pPr>
          </w:p>
        </w:tc>
      </w:tr>
    </w:tbl>
    <w:p w14:paraId="1B7C753D">
      <w:pPr>
        <w:adjustRightInd w:val="0"/>
        <w:snapToGrid w:val="0"/>
        <w:jc w:val="center"/>
        <w:rPr>
          <w:rFonts w:hint="default" w:ascii="Times New Roman" w:hAnsi="Times New Roman" w:cs="Times New Roman"/>
          <w:bCs/>
          <w:color w:val="auto"/>
          <w:szCs w:val="21"/>
          <w:highlight w:val="none"/>
        </w:rPr>
        <w:sectPr>
          <w:pgSz w:w="16840" w:h="11907" w:orient="landscape"/>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0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8807"/>
      </w:tblGrid>
      <w:tr w14:paraId="2612F7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22" w:hRule="atLeast"/>
          <w:jc w:val="center"/>
        </w:trPr>
        <w:tc>
          <w:tcPr>
            <w:tcW w:w="299" w:type="pct"/>
            <w:tcMar>
              <w:left w:w="28" w:type="dxa"/>
              <w:right w:w="28" w:type="dxa"/>
            </w:tcMar>
            <w:vAlign w:val="center"/>
          </w:tcPr>
          <w:p w14:paraId="022D9A51">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bCs/>
                <w:color w:val="auto"/>
                <w:szCs w:val="21"/>
                <w:highlight w:val="none"/>
              </w:rPr>
              <w:br w:type="page"/>
            </w:r>
          </w:p>
        </w:tc>
        <w:tc>
          <w:tcPr>
            <w:tcW w:w="4700" w:type="pct"/>
          </w:tcPr>
          <w:p w14:paraId="1BA58465">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3</w:t>
            </w:r>
            <w:r>
              <w:rPr>
                <w:rFonts w:hint="default" w:ascii="Times New Roman" w:hAnsi="Times New Roman" w:cs="Times New Roman" w:eastAsiaTheme="minorEastAsia"/>
                <w:b/>
                <w:color w:val="auto"/>
                <w:sz w:val="24"/>
                <w:highlight w:val="none"/>
              </w:rPr>
              <w:t>、措施可行性及影响分析</w:t>
            </w:r>
          </w:p>
          <w:p w14:paraId="2D484E79">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（1）水污染物控制和水环境影响减缓措施有效性评价</w:t>
            </w:r>
          </w:p>
          <w:p w14:paraId="0C8F1E85">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本项目生产运行过程中产生的废水主要为</w:t>
            </w:r>
            <w:r>
              <w:rPr>
                <w:rFonts w:hint="default" w:ascii="Times New Roman" w:hAnsi="Times New Roman" w:cs="Times New Roman" w:eastAsiaTheme="minorEastAsia"/>
                <w:color w:val="auto"/>
                <w:sz w:val="24"/>
                <w:highlight w:val="none"/>
                <w:lang w:eastAsia="zh-CN"/>
              </w:rPr>
              <w:t>磨边废水、冷却塔废水、清洗废水、纯水设备废水</w:t>
            </w:r>
            <w:r>
              <w:rPr>
                <w:rFonts w:hint="default" w:ascii="Times New Roman" w:hAnsi="Times New Roman" w:cs="Times New Roman" w:eastAsiaTheme="minorEastAsia"/>
                <w:color w:val="auto"/>
                <w:sz w:val="24"/>
                <w:highlight w:val="none"/>
              </w:rPr>
              <w:t>。</w:t>
            </w:r>
          </w:p>
          <w:p w14:paraId="7C87B211">
            <w:pPr>
              <w:pStyle w:val="23"/>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b w:val="0"/>
                <w:bCs w:val="0"/>
                <w:color w:val="auto"/>
                <w:highlight w:val="none"/>
              </w:rPr>
            </w:pPr>
            <w:r>
              <w:rPr>
                <w:rFonts w:hint="default" w:ascii="Times New Roman" w:hAnsi="Times New Roman" w:cs="Times New Roman" w:eastAsiaTheme="minorEastAsia"/>
                <w:color w:val="auto"/>
                <w:sz w:val="24"/>
                <w:szCs w:val="24"/>
                <w:highlight w:val="none"/>
                <w:lang w:eastAsia="zh-CN"/>
              </w:rPr>
              <w:t>磨边</w:t>
            </w:r>
            <w:r>
              <w:rPr>
                <w:rFonts w:hint="default" w:ascii="Times New Roman" w:hAnsi="Times New Roman" w:cs="Times New Roman" w:eastAsiaTheme="minorEastAsia"/>
                <w:color w:val="auto"/>
                <w:sz w:val="24"/>
                <w:szCs w:val="24"/>
                <w:highlight w:val="none"/>
                <w:lang w:val="en-US" w:eastAsia="zh-CN"/>
              </w:rPr>
              <w:t>废水经收集沉淀后，定期捞渣</w:t>
            </w:r>
            <w:r>
              <w:rPr>
                <w:rFonts w:hint="default" w:ascii="Times New Roman" w:hAnsi="Times New Roman" w:cs="Times New Roman" w:eastAsiaTheme="minorEastAsia"/>
                <w:color w:val="auto"/>
                <w:sz w:val="24"/>
                <w:highlight w:val="none"/>
                <w:lang w:eastAsia="zh-CN"/>
              </w:rPr>
              <w:t>，循环使用不外排。其余</w:t>
            </w:r>
            <w:r>
              <w:rPr>
                <w:rFonts w:hint="default" w:ascii="Times New Roman" w:hAnsi="Times New Roman" w:cs="Times New Roman" w:eastAsiaTheme="minorEastAsia"/>
                <w:color w:val="auto"/>
                <w:sz w:val="24"/>
                <w:highlight w:val="none"/>
                <w:lang w:val="en-US" w:eastAsia="zh-CN"/>
              </w:rPr>
              <w:t>生产废水经收集池收集达到</w:t>
            </w:r>
            <w:r>
              <w:rPr>
                <w:rFonts w:hint="default" w:ascii="Times New Roman" w:hAnsi="Times New Roman" w:cs="Times New Roman" w:eastAsiaTheme="minorEastAsia"/>
                <w:color w:val="auto"/>
                <w:sz w:val="24"/>
                <w:highlight w:val="none"/>
                <w:lang w:eastAsia="zh-CN"/>
              </w:rPr>
              <w:t>园区污水处理厂接管水质要求、广东省《水污染物排放限值》（DB44/26-2001）第二时段三级标准、《电子工业水污染物排放标准》（GB39731-2020）</w:t>
            </w:r>
            <w:r>
              <w:rPr>
                <w:rFonts w:hint="default" w:ascii="Times New Roman" w:hAnsi="Times New Roman" w:cs="Times New Roman" w:eastAsiaTheme="minorEastAsia"/>
                <w:color w:val="auto"/>
                <w:sz w:val="24"/>
                <w:highlight w:val="none"/>
                <w:lang w:val="en-US" w:eastAsia="zh-CN"/>
              </w:rPr>
              <w:t>间接排放标准的三者</w:t>
            </w:r>
            <w:r>
              <w:rPr>
                <w:rFonts w:hint="default" w:ascii="Times New Roman" w:hAnsi="Times New Roman" w:cs="Times New Roman" w:eastAsiaTheme="minorEastAsia"/>
                <w:color w:val="auto"/>
                <w:sz w:val="24"/>
                <w:highlight w:val="none"/>
                <w:lang w:eastAsia="zh-CN"/>
              </w:rPr>
              <w:t>较严值</w:t>
            </w:r>
            <w:r>
              <w:rPr>
                <w:rFonts w:hint="default" w:ascii="Times New Roman" w:hAnsi="Times New Roman" w:cs="Times New Roman" w:eastAsiaTheme="minorEastAsia"/>
                <w:color w:val="auto"/>
                <w:sz w:val="24"/>
                <w:highlight w:val="none"/>
                <w:lang w:val="en-US" w:eastAsia="zh-CN"/>
              </w:rPr>
              <w:t>后，排入园区污水管网进入园区污水处理厂进行深度处理。</w:t>
            </w:r>
            <w:r>
              <w:rPr>
                <w:rFonts w:hint="default" w:ascii="Times New Roman" w:hAnsi="Times New Roman" w:cs="Times New Roman"/>
                <w:color w:val="auto"/>
                <w:highlight w:val="none"/>
              </w:rPr>
              <w:t>因此，项目废水处理措施可行。</w:t>
            </w:r>
          </w:p>
          <w:p w14:paraId="01B6C82D">
            <w:pPr>
              <w:pStyle w:val="15"/>
              <w:keepNext w:val="0"/>
              <w:keepLines w:val="0"/>
              <w:suppressLineNumbers w:val="0"/>
              <w:spacing w:before="0" w:beforeAutospacing="0" w:after="0" w:afterAutospacing="0" w:line="360" w:lineRule="auto"/>
              <w:ind w:left="0" w:right="0" w:firstLine="482"/>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rPr>
              <w:t>）依托乐昌产业转移工业园污水处理</w:t>
            </w:r>
            <w:r>
              <w:rPr>
                <w:rFonts w:hint="default" w:ascii="Times New Roman" w:hAnsi="Times New Roman" w:cs="Times New Roman"/>
                <w:b w:val="0"/>
                <w:bCs w:val="0"/>
                <w:color w:val="auto"/>
                <w:sz w:val="24"/>
                <w:szCs w:val="24"/>
                <w:highlight w:val="none"/>
                <w:lang w:val="en-US" w:eastAsia="zh-CN"/>
              </w:rPr>
              <w:t>厂</w:t>
            </w:r>
            <w:r>
              <w:rPr>
                <w:rFonts w:hint="default" w:ascii="Times New Roman" w:hAnsi="Times New Roman" w:cs="Times New Roman"/>
                <w:b w:val="0"/>
                <w:bCs w:val="0"/>
                <w:color w:val="auto"/>
                <w:sz w:val="24"/>
                <w:szCs w:val="24"/>
                <w:highlight w:val="none"/>
              </w:rPr>
              <w:t>可行性评价</w:t>
            </w:r>
          </w:p>
          <w:p w14:paraId="3CBD340A">
            <w:pPr>
              <w:pStyle w:val="15"/>
              <w:keepNext w:val="0"/>
              <w:keepLines w:val="0"/>
              <w:suppressLineNumbers w:val="0"/>
              <w:spacing w:before="0" w:beforeAutospacing="0" w:after="0" w:afterAutospacing="0" w:line="360" w:lineRule="auto"/>
              <w:ind w:left="0" w:right="0" w:firstLine="482"/>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sz w:val="24"/>
                <w:szCs w:val="24"/>
                <w:highlight w:val="none"/>
              </w:rPr>
              <w:t>本项目位于广东省韶关市乐昌市乐昌产业转移工业园内，属于园区污水处理范围。</w:t>
            </w:r>
          </w:p>
          <w:p w14:paraId="48272E18">
            <w:pPr>
              <w:pStyle w:val="15"/>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产业园范围内已有乐昌产业转移工业园污水处理厂，</w:t>
            </w:r>
            <w:r>
              <w:rPr>
                <w:rFonts w:hint="default" w:ascii="Times New Roman" w:hAnsi="Times New Roman" w:cs="Times New Roman"/>
                <w:color w:val="auto"/>
                <w:sz w:val="24"/>
                <w:szCs w:val="24"/>
                <w:highlight w:val="none"/>
                <w:lang w:val="en-US" w:eastAsia="zh-CN"/>
              </w:rPr>
              <w:t>根据乐昌产业转移工业园管网分布图（附图14）可知，本项目所在地块已纳入排污管收集范围内。</w:t>
            </w:r>
            <w:r>
              <w:rPr>
                <w:rFonts w:hint="default" w:ascii="Times New Roman" w:hAnsi="Times New Roman" w:cs="Times New Roman"/>
                <w:color w:val="auto"/>
                <w:sz w:val="24"/>
                <w:szCs w:val="24"/>
                <w:highlight w:val="none"/>
              </w:rPr>
              <w:t>污水工艺采用循环式活性污泥法（CASS）工艺。出水水质标准执行广东省《水污染物排放限值》</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DB44/26-2001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第二时段一级标准及国家《城镇污水处理厂污染物排放标准》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GB18918-2002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一级B标准中较严标准，处理达标后由污水处理厂内提升泵通过已建成6392米长的出水管道输送至武江排放。</w:t>
            </w:r>
          </w:p>
          <w:p w14:paraId="481B242D">
            <w:pPr>
              <w:pStyle w:val="15"/>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园区污水处理厂主体工艺采用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rPr>
              <w:t>后，预处理达到广东省《水污染</w:t>
            </w:r>
            <w:r>
              <w:rPr>
                <w:rFonts w:hint="default" w:ascii="Times New Roman" w:hAnsi="Times New Roman" w:cs="Times New Roman"/>
                <w:color w:val="auto"/>
                <w:sz w:val="24"/>
                <w:szCs w:val="24"/>
                <w:highlight w:val="none"/>
                <w:lang w:val="en-US" w:eastAsia="zh-CN"/>
              </w:rPr>
              <w:t>物</w:t>
            </w:r>
            <w:r>
              <w:rPr>
                <w:rFonts w:hint="default" w:ascii="Times New Roman" w:hAnsi="Times New Roman" w:cs="Times New Roman"/>
                <w:color w:val="auto"/>
                <w:sz w:val="24"/>
                <w:szCs w:val="24"/>
                <w:highlight w:val="none"/>
              </w:rPr>
              <w:t>排放限值》</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DB44/26-2001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第二时段三级标准</w:t>
            </w:r>
            <w:r>
              <w:rPr>
                <w:rFonts w:hint="default" w:ascii="Times New Roman" w:hAnsi="Times New Roman" w:cs="Times New Roman"/>
                <w:color w:val="auto"/>
                <w:sz w:val="24"/>
                <w:szCs w:val="24"/>
                <w:highlight w:val="none"/>
                <w:lang w:eastAsia="zh-CN"/>
              </w:rPr>
              <w:t>。</w:t>
            </w:r>
          </w:p>
          <w:p w14:paraId="1EF0B01A">
            <w:pPr>
              <w:pStyle w:val="20"/>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产业园污水处理厂目前已建成正常运行，并安装了在线监控设施并</w:t>
            </w:r>
            <w:r>
              <w:rPr>
                <w:rFonts w:hint="default" w:ascii="Times New Roman" w:hAnsi="Times New Roman" w:cs="Times New Roman"/>
                <w:color w:val="auto"/>
                <w:sz w:val="24"/>
                <w:szCs w:val="24"/>
                <w:highlight w:val="none"/>
                <w:lang w:eastAsia="zh-CN"/>
              </w:rPr>
              <w:t>与</w:t>
            </w:r>
            <w:r>
              <w:rPr>
                <w:rFonts w:hint="default" w:ascii="Times New Roman" w:hAnsi="Times New Roman" w:cs="Times New Roman"/>
                <w:color w:val="auto"/>
                <w:sz w:val="24"/>
                <w:szCs w:val="24"/>
                <w:highlight w:val="none"/>
              </w:rPr>
              <w:t>环保部门联网，园区污水处理厂占地面积15400m²，设计处理能力为10000m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/d，分两期建设，一期处理能力5000m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/d，二期处理能力5000m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/d，现状首期5000m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/d已经建成运行。</w:t>
            </w:r>
          </w:p>
          <w:p w14:paraId="49E2D861">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根据乐昌产业转移工业园管委会提供的资料</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剩余处理能力2000t/d。</w:t>
            </w:r>
            <w:r>
              <w:rPr>
                <w:rFonts w:hint="default" w:ascii="Times New Roman" w:hAnsi="Times New Roman" w:cs="Times New Roman"/>
                <w:color w:val="auto"/>
                <w:sz w:val="24"/>
                <w:szCs w:val="24"/>
                <w:highlight w:val="none"/>
              </w:rPr>
              <w:t>本项目纳入污水处理厂的污水排放量为</w:t>
            </w:r>
            <w:r>
              <w:rPr>
                <w:rFonts w:hint="default" w:ascii="Times New Roman" w:hAnsi="Times New Roman" w:cs="Times New Roman"/>
                <w:color w:val="auto"/>
                <w:sz w:val="24"/>
                <w:szCs w:val="24"/>
                <w:highlight w:val="none"/>
                <w:lang w:val="en-US" w:eastAsia="zh-CN"/>
              </w:rPr>
              <w:t>0.46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占剩余处理能力的</w:t>
            </w:r>
            <w:r>
              <w:rPr>
                <w:rFonts w:hint="default" w:ascii="Times New Roman" w:hAnsi="Times New Roman" w:cs="Times New Roman"/>
                <w:color w:val="auto"/>
                <w:sz w:val="24"/>
                <w:szCs w:val="24"/>
                <w:highlight w:val="none"/>
                <w:lang w:val="en-US" w:eastAsia="zh-CN"/>
              </w:rPr>
              <w:t>0.62%。</w:t>
            </w:r>
            <w:r>
              <w:rPr>
                <w:rFonts w:hint="default" w:ascii="Times New Roman" w:hAnsi="Times New Roman" w:cs="Times New Roman"/>
                <w:color w:val="auto"/>
                <w:sz w:val="24"/>
                <w:szCs w:val="24"/>
                <w:highlight w:val="none"/>
              </w:rPr>
              <w:t>污水中的污染物主要为COD</w:t>
            </w:r>
            <w:r>
              <w:rPr>
                <w:rFonts w:hint="default" w:ascii="Times New Roman" w:hAnsi="Times New Roman" w:cs="Times New Roman"/>
                <w:color w:val="auto"/>
                <w:sz w:val="24"/>
                <w:szCs w:val="24"/>
                <w:highlight w:val="none"/>
                <w:vertAlign w:val="subscript"/>
              </w:rPr>
              <w:t>Cr</w:t>
            </w:r>
            <w:r>
              <w:rPr>
                <w:rFonts w:hint="default" w:ascii="Times New Roman" w:hAnsi="Times New Roman" w:cs="Times New Roman"/>
                <w:color w:val="auto"/>
                <w:sz w:val="24"/>
                <w:szCs w:val="24"/>
                <w:highlight w:val="none"/>
              </w:rPr>
              <w:t>、BOD</w:t>
            </w:r>
            <w:r>
              <w:rPr>
                <w:rFonts w:hint="default" w:ascii="Times New Roman" w:hAnsi="Times New Roman" w:cs="Times New Roman"/>
                <w:color w:val="auto"/>
                <w:sz w:val="24"/>
                <w:szCs w:val="24"/>
                <w:highlight w:val="none"/>
                <w:vertAlign w:val="subscript"/>
              </w:rPr>
              <w:t>5</w:t>
            </w:r>
            <w:r>
              <w:rPr>
                <w:rFonts w:hint="default" w:ascii="Times New Roman" w:hAnsi="Times New Roman" w:cs="Times New Roman"/>
                <w:color w:val="auto"/>
                <w:sz w:val="24"/>
                <w:szCs w:val="24"/>
                <w:highlight w:val="none"/>
              </w:rPr>
              <w:t>、SS、NH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-N、石油类、LAS等，污染物种类较简单</w:t>
            </w:r>
            <w:r>
              <w:rPr>
                <w:rFonts w:hint="default" w:ascii="Times New Roman" w:hAnsi="Times New Roman" w:cs="Times New Roman"/>
                <w:color w:val="auto"/>
                <w:sz w:val="24"/>
                <w:szCs w:val="24"/>
                <w:highlight w:val="none"/>
                <w:lang w:eastAsia="zh-CN"/>
              </w:rPr>
              <w:t>。</w:t>
            </w:r>
          </w:p>
          <w:p w14:paraId="22B89177">
            <w:pPr>
              <w:pStyle w:val="133"/>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367020" cy="2197735"/>
                  <wp:effectExtent l="0" t="0" r="5080" b="12065"/>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28"/>
                          <a:stretch>
                            <a:fillRect/>
                          </a:stretch>
                        </pic:blipFill>
                        <pic:spPr>
                          <a:xfrm>
                            <a:off x="0" y="0"/>
                            <a:ext cx="5367020" cy="2197735"/>
                          </a:xfrm>
                          <a:prstGeom prst="rect">
                            <a:avLst/>
                          </a:prstGeom>
                          <a:noFill/>
                          <a:ln>
                            <a:solidFill>
                              <a:schemeClr val="tx1"/>
                            </a:solidFill>
                          </a:ln>
                        </pic:spPr>
                      </pic:pic>
                    </a:graphicData>
                  </a:graphic>
                </wp:inline>
              </w:drawing>
            </w:r>
          </w:p>
          <w:p w14:paraId="5885DAB5">
            <w:pPr>
              <w:keepNext w:val="0"/>
              <w:keepLines w:val="0"/>
              <w:pageBreakBefore w:val="0"/>
              <w:widowControl/>
              <w:numPr>
                <w:ilvl w:val="0"/>
                <w:numId w:val="12"/>
              </w:numPr>
              <w:suppressLineNumbers w:val="0"/>
              <w:kinsoku/>
              <w:wordWrap/>
              <w:overflowPunct/>
              <w:topLinePunct w:val="0"/>
              <w:autoSpaceDE/>
              <w:autoSpaceDN/>
              <w:bidi w:val="0"/>
              <w:adjustRightInd/>
              <w:snapToGrid w:val="0"/>
              <w:spacing w:before="0" w:beforeAutospacing="0" w:after="0" w:afterAutospacing="0"/>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园区</w:t>
            </w:r>
            <w:r>
              <w:rPr>
                <w:rFonts w:hint="default" w:ascii="Times New Roman" w:hAnsi="Times New Roman" w:eastAsia="宋体" w:cs="Times New Roman"/>
                <w:b/>
                <w:bCs/>
                <w:color w:val="auto"/>
                <w:kern w:val="0"/>
                <w:sz w:val="21"/>
                <w:szCs w:val="21"/>
                <w:highlight w:val="none"/>
                <w:lang w:val="en-US" w:eastAsia="zh-CN" w:bidi="ar"/>
              </w:rPr>
              <w:t>污水处理厂工艺流程图</w:t>
            </w:r>
          </w:p>
          <w:p w14:paraId="29C8BE20">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4</w:t>
            </w:r>
            <w:r>
              <w:rPr>
                <w:rFonts w:hint="default" w:ascii="Times New Roman" w:hAnsi="Times New Roman" w:cs="Times New Roman" w:eastAsiaTheme="minorEastAsia"/>
                <w:b/>
                <w:color w:val="auto"/>
                <w:sz w:val="24"/>
                <w:highlight w:val="none"/>
              </w:rPr>
              <w:t>、水环境影响评价结论</w:t>
            </w:r>
          </w:p>
          <w:p w14:paraId="524B26F4">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lang w:eastAsia="zh-CN"/>
              </w:rPr>
              <w:t>本项目</w:t>
            </w:r>
            <w:r>
              <w:rPr>
                <w:rFonts w:hint="default" w:ascii="Times New Roman" w:hAnsi="Times New Roman" w:cs="Times New Roman"/>
                <w:color w:val="auto"/>
                <w:sz w:val="24"/>
                <w:szCs w:val="24"/>
                <w:highlight w:val="none"/>
              </w:rPr>
              <w:t>磨边废水进入</w:t>
            </w:r>
            <w:r>
              <w:rPr>
                <w:rFonts w:hint="default" w:ascii="Times New Roman" w:hAnsi="Times New Roman" w:cs="Times New Roman"/>
                <w:color w:val="auto"/>
                <w:sz w:val="24"/>
                <w:szCs w:val="24"/>
                <w:highlight w:val="none"/>
                <w:lang w:eastAsia="zh-CN"/>
              </w:rPr>
              <w:t>磨边废水收集池沉淀，定期捞渣，磨边废水循环使用不外排</w:t>
            </w:r>
            <w:r>
              <w:rPr>
                <w:rFonts w:hint="default" w:ascii="Times New Roman" w:hAnsi="Times New Roman" w:cs="Times New Roman" w:eastAsiaTheme="minorEastAsia"/>
                <w:color w:val="auto"/>
                <w:sz w:val="24"/>
                <w:highlight w:val="none"/>
                <w:lang w:eastAsia="zh-CN"/>
              </w:rPr>
              <w:t>。其余</w:t>
            </w:r>
            <w:r>
              <w:rPr>
                <w:rFonts w:hint="default" w:ascii="Times New Roman" w:hAnsi="Times New Roman" w:cs="Times New Roman" w:eastAsiaTheme="minorEastAsia"/>
                <w:color w:val="auto"/>
                <w:sz w:val="24"/>
                <w:highlight w:val="none"/>
                <w:lang w:val="en-US" w:eastAsia="zh-CN"/>
              </w:rPr>
              <w:t>生产废水（</w:t>
            </w:r>
            <w:r>
              <w:rPr>
                <w:rFonts w:hint="default" w:ascii="Times New Roman" w:hAnsi="Times New Roman" w:cs="Times New Roman" w:eastAsiaTheme="minorEastAsia"/>
                <w:color w:val="auto"/>
                <w:sz w:val="24"/>
                <w:highlight w:val="none"/>
                <w:lang w:eastAsia="zh-CN"/>
              </w:rPr>
              <w:t>冷却塔废水、清洗废水、纯水设备产生浓水和反冲洗废水）</w:t>
            </w:r>
            <w:r>
              <w:rPr>
                <w:rFonts w:hint="default" w:ascii="Times New Roman" w:hAnsi="Times New Roman" w:cs="Times New Roman" w:eastAsiaTheme="minorEastAsia"/>
                <w:color w:val="auto"/>
                <w:sz w:val="24"/>
                <w:highlight w:val="none"/>
                <w:lang w:val="en-US" w:eastAsia="zh-CN"/>
              </w:rPr>
              <w:t>经收集池收集，达到</w:t>
            </w:r>
            <w:r>
              <w:rPr>
                <w:rFonts w:hint="default" w:ascii="Times New Roman" w:hAnsi="Times New Roman" w:cs="Times New Roman" w:eastAsiaTheme="minorEastAsia"/>
                <w:color w:val="auto"/>
                <w:sz w:val="24"/>
                <w:highlight w:val="none"/>
                <w:lang w:eastAsia="zh-CN"/>
              </w:rPr>
              <w:t>园区污水处理厂接管水质要求、广东省《水污染物排放限值》（DB44/26-2001）第二时段三级标准、《电子工业水污染物排放标准》（GB 39731-2020）</w:t>
            </w:r>
            <w:r>
              <w:rPr>
                <w:rFonts w:hint="default" w:ascii="Times New Roman" w:hAnsi="Times New Roman" w:cs="Times New Roman" w:eastAsiaTheme="minorEastAsia"/>
                <w:color w:val="auto"/>
                <w:sz w:val="24"/>
                <w:highlight w:val="none"/>
                <w:lang w:val="en-US" w:eastAsia="zh-CN"/>
              </w:rPr>
              <w:t>间接排放标准的三者</w:t>
            </w:r>
            <w:r>
              <w:rPr>
                <w:rFonts w:hint="default" w:ascii="Times New Roman" w:hAnsi="Times New Roman" w:cs="Times New Roman" w:eastAsiaTheme="minorEastAsia"/>
                <w:color w:val="auto"/>
                <w:sz w:val="24"/>
                <w:highlight w:val="none"/>
                <w:lang w:eastAsia="zh-CN"/>
              </w:rPr>
              <w:t>较严值</w:t>
            </w:r>
            <w:r>
              <w:rPr>
                <w:rFonts w:hint="default" w:ascii="Times New Roman" w:hAnsi="Times New Roman" w:cs="Times New Roman" w:eastAsiaTheme="minorEastAsia"/>
                <w:color w:val="auto"/>
                <w:sz w:val="24"/>
                <w:highlight w:val="none"/>
                <w:lang w:val="en-US" w:eastAsia="zh-CN"/>
              </w:rPr>
              <w:t>，后排入园区污水管网进入园区污水处理厂进行深度处理。项目</w:t>
            </w:r>
            <w:r>
              <w:rPr>
                <w:rFonts w:hint="default" w:ascii="Times New Roman" w:hAnsi="Times New Roman" w:cs="Times New Roman" w:eastAsiaTheme="minorEastAsia"/>
                <w:color w:val="auto"/>
                <w:sz w:val="24"/>
                <w:highlight w:val="none"/>
              </w:rPr>
              <w:t>所采用的污染治理措施为可行技术。</w:t>
            </w:r>
          </w:p>
          <w:p w14:paraId="7A9D96AF">
            <w:pPr>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综上所述，本项目产生的废水均得到有效的处理，因此，本项目的水污染物控制和水环境影响减缓措施具有有效性，对地表水环境影响是可以接受的。</w:t>
            </w:r>
          </w:p>
          <w:p w14:paraId="4B2EDC21">
            <w:pPr>
              <w:spacing w:line="360" w:lineRule="auto"/>
              <w:ind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二、废气</w:t>
            </w:r>
          </w:p>
          <w:p w14:paraId="6D7E02A7">
            <w:pPr>
              <w:spacing w:line="360" w:lineRule="auto"/>
              <w:ind w:firstLine="480" w:firstLineChars="200"/>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由于液晶属于一种规则性排列的有机复合物质，由长棒状的分子构成，介于固</w:t>
            </w:r>
            <w:r>
              <w:rPr>
                <w:rFonts w:hint="default" w:ascii="Times New Roman" w:hAnsi="Times New Roman" w:cs="Times New Roman"/>
                <w:color w:val="auto"/>
                <w:kern w:val="0"/>
                <w:sz w:val="24"/>
                <w:szCs w:val="24"/>
                <w:highlight w:val="none"/>
                <w:lang w:val="en-US" w:eastAsia="zh-CN" w:bidi="ar"/>
              </w:rPr>
              <w:t>体</w:t>
            </w:r>
            <w:r>
              <w:rPr>
                <w:rFonts w:hint="default" w:ascii="Times New Roman" w:hAnsi="Times New Roman" w:eastAsia="宋体" w:cs="Times New Roman"/>
                <w:color w:val="auto"/>
                <w:kern w:val="0"/>
                <w:sz w:val="24"/>
                <w:szCs w:val="24"/>
                <w:highlight w:val="none"/>
                <w:lang w:val="en-US" w:eastAsia="zh-CN" w:bidi="ar"/>
              </w:rPr>
              <w:t>和液体之间的物质</w:t>
            </w:r>
            <w:r>
              <w:rPr>
                <w:rFonts w:hint="default" w:ascii="Times New Roman" w:hAnsi="Times New Roman" w:cs="Times New Roman" w:eastAsiaTheme="minorEastAsia"/>
                <w:b w:val="0"/>
                <w:bCs w:val="0"/>
                <w:color w:val="auto"/>
                <w:spacing w:val="-6"/>
                <w:sz w:val="24"/>
                <w:highlight w:val="none"/>
                <w:lang w:val="en-US" w:eastAsia="zh-CN"/>
              </w:rPr>
              <w:t>，材料沸点较高（&gt;400℃），</w:t>
            </w:r>
            <w:r>
              <w:rPr>
                <w:rFonts w:hint="default" w:ascii="Times New Roman" w:hAnsi="Times New Roman" w:eastAsia="宋体" w:cs="Times New Roman"/>
                <w:color w:val="auto"/>
                <w:kern w:val="0"/>
                <w:sz w:val="24"/>
                <w:szCs w:val="24"/>
                <w:highlight w:val="none"/>
                <w:lang w:val="en-US" w:eastAsia="zh-CN" w:bidi="ar"/>
              </w:rPr>
              <w:t>常温下不易挥发</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cs="Times New Roman" w:eastAsiaTheme="minorEastAsia"/>
                <w:b w:val="0"/>
                <w:bCs w:val="0"/>
                <w:color w:val="auto"/>
                <w:spacing w:val="-6"/>
                <w:sz w:val="24"/>
                <w:highlight w:val="none"/>
                <w:lang w:val="en-US" w:eastAsia="zh-CN"/>
              </w:rPr>
              <w:t>灌装在真空密闭设备内进行，真空泵运行及设备启停、换料等过程可能产生微量无组织排放，但排放量较少</w:t>
            </w:r>
            <w:r>
              <w:rPr>
                <w:rFonts w:hint="default" w:ascii="Times New Roman" w:hAnsi="Times New Roman" w:eastAsia="宋体" w:cs="Times New Roman"/>
                <w:color w:val="auto"/>
                <w:kern w:val="0"/>
                <w:sz w:val="24"/>
                <w:szCs w:val="24"/>
                <w:highlight w:val="none"/>
                <w:lang w:val="en-US" w:eastAsia="zh-CN" w:bidi="ar"/>
              </w:rPr>
              <w:t>。项目使用的清洗剂与水混合使用，其比例</w:t>
            </w:r>
            <w:r>
              <w:rPr>
                <w:rFonts w:hint="default" w:ascii="Times New Roman" w:hAnsi="Times New Roman" w:cs="Times New Roman"/>
                <w:color w:val="auto"/>
                <w:kern w:val="0"/>
                <w:sz w:val="24"/>
                <w:szCs w:val="24"/>
                <w:highlight w:val="none"/>
                <w:lang w:val="en-US" w:eastAsia="zh-CN" w:bidi="ar"/>
              </w:rPr>
              <w:t>约</w:t>
            </w:r>
            <w:r>
              <w:rPr>
                <w:rFonts w:hint="default" w:ascii="Times New Roman" w:hAnsi="Times New Roman" w:eastAsia="宋体" w:cs="Times New Roman"/>
                <w:color w:val="auto"/>
                <w:kern w:val="0"/>
                <w:sz w:val="24"/>
                <w:szCs w:val="24"/>
                <w:highlight w:val="none"/>
                <w:lang w:val="en-US" w:eastAsia="zh-CN" w:bidi="ar"/>
              </w:rPr>
              <w:t>为清洗剂:水=1:</w:t>
            </w:r>
            <w:r>
              <w:rPr>
                <w:rFonts w:hint="default" w:ascii="Times New Roman" w:hAnsi="Times New Roman" w:cs="Times New Roman"/>
                <w:color w:val="auto"/>
                <w:kern w:val="0"/>
                <w:sz w:val="24"/>
                <w:szCs w:val="24"/>
                <w:highlight w:val="none"/>
                <w:lang w:val="en-US" w:eastAsia="zh-CN" w:bidi="ar"/>
              </w:rPr>
              <w:t>4.2</w:t>
            </w:r>
            <w:r>
              <w:rPr>
                <w:rFonts w:hint="default" w:ascii="Times New Roman" w:hAnsi="Times New Roman" w:eastAsia="宋体" w:cs="Times New Roman"/>
                <w:color w:val="auto"/>
                <w:kern w:val="0"/>
                <w:sz w:val="24"/>
                <w:szCs w:val="24"/>
                <w:highlight w:val="none"/>
                <w:lang w:val="en-US" w:eastAsia="zh-CN" w:bidi="ar"/>
              </w:rPr>
              <w:t>，挥发物质</w:t>
            </w:r>
            <w:r>
              <w:rPr>
                <w:rFonts w:hint="default" w:ascii="Times New Roman" w:hAnsi="Times New Roman" w:cs="Times New Roman"/>
                <w:color w:val="auto"/>
                <w:kern w:val="0"/>
                <w:sz w:val="24"/>
                <w:szCs w:val="24"/>
                <w:highlight w:val="none"/>
                <w:lang w:val="en-US" w:eastAsia="zh-CN" w:bidi="ar"/>
              </w:rPr>
              <w:t>为</w:t>
            </w:r>
            <w:r>
              <w:rPr>
                <w:rFonts w:hint="default" w:ascii="Times New Roman" w:hAnsi="Times New Roman" w:eastAsia="宋体" w:cs="Times New Roman"/>
                <w:color w:val="auto"/>
                <w:kern w:val="0"/>
                <w:sz w:val="24"/>
                <w:szCs w:val="24"/>
                <w:highlight w:val="none"/>
                <w:lang w:val="en-US" w:eastAsia="zh-CN" w:bidi="ar"/>
              </w:rPr>
              <w:t>异构烷烃碳氢化合物（</w:t>
            </w:r>
            <w:r>
              <w:rPr>
                <w:rFonts w:hint="default" w:ascii="Times New Roman" w:hAnsi="Times New Roman" w:cs="Times New Roman"/>
                <w:color w:val="auto"/>
                <w:kern w:val="0"/>
                <w:sz w:val="24"/>
                <w:szCs w:val="24"/>
                <w:highlight w:val="none"/>
                <w:lang w:val="en-US" w:eastAsia="zh-CN" w:bidi="ar"/>
              </w:rPr>
              <w:t>6.8</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、一缩二乙二醇单乙醚</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异构烷烃碳氢化合物沸点</w:t>
            </w:r>
            <w:r>
              <w:rPr>
                <w:rFonts w:hint="default" w:ascii="Times New Roman" w:hAnsi="Times New Roman" w:cs="Times New Roman"/>
                <w:color w:val="auto"/>
                <w:kern w:val="0"/>
                <w:sz w:val="24"/>
                <w:szCs w:val="24"/>
                <w:highlight w:val="none"/>
                <w:lang w:val="en-US" w:eastAsia="zh-CN" w:bidi="ar"/>
              </w:rPr>
              <w:t>分别</w:t>
            </w:r>
            <w:r>
              <w:rPr>
                <w:rFonts w:hint="default" w:ascii="Times New Roman" w:hAnsi="Times New Roman" w:eastAsia="宋体" w:cs="Times New Roman"/>
                <w:color w:val="auto"/>
                <w:kern w:val="0"/>
                <w:sz w:val="24"/>
                <w:szCs w:val="24"/>
                <w:highlight w:val="none"/>
                <w:lang w:val="en-US" w:eastAsia="zh-CN" w:bidi="ar"/>
              </w:rPr>
              <w:t>为</w:t>
            </w:r>
            <w:r>
              <w:rPr>
                <w:rFonts w:hint="default" w:ascii="Times New Roman" w:hAnsi="Times New Roman" w:cs="Times New Roman"/>
                <w:color w:val="auto"/>
                <w:kern w:val="0"/>
                <w:sz w:val="24"/>
                <w:szCs w:val="24"/>
                <w:highlight w:val="none"/>
                <w:lang w:val="en-US" w:eastAsia="zh-CN" w:bidi="ar"/>
              </w:rPr>
              <w:t>261.6</w:t>
            </w:r>
            <w:r>
              <w:rPr>
                <w:rFonts w:hint="default" w:ascii="Times New Roman" w:hAnsi="Times New Roman" w:eastAsia="宋体" w:cs="Times New Roman"/>
                <w:color w:val="auto"/>
                <w:kern w:val="0"/>
                <w:sz w:val="24"/>
                <w:szCs w:val="24"/>
                <w:highlight w:val="none"/>
                <w:lang w:val="en-US" w:eastAsia="zh-CN" w:bidi="ar"/>
              </w:rPr>
              <w:t>℃、闪点为</w:t>
            </w:r>
            <w:r>
              <w:rPr>
                <w:rFonts w:hint="default" w:ascii="Times New Roman" w:hAnsi="Times New Roman" w:cs="Times New Roman"/>
                <w:color w:val="auto"/>
                <w:kern w:val="0"/>
                <w:sz w:val="24"/>
                <w:szCs w:val="24"/>
                <w:highlight w:val="none"/>
                <w:lang w:val="en-US" w:eastAsia="zh-CN" w:bidi="ar"/>
              </w:rPr>
              <w:t>92.0</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；一缩二乙二醇单乙醚</w:t>
            </w:r>
            <w:r>
              <w:rPr>
                <w:rFonts w:hint="default" w:ascii="Times New Roman" w:hAnsi="Times New Roman" w:eastAsia="宋体" w:cs="Times New Roman"/>
                <w:color w:val="auto"/>
                <w:kern w:val="0"/>
                <w:sz w:val="24"/>
                <w:szCs w:val="24"/>
                <w:highlight w:val="none"/>
                <w:lang w:val="en-US" w:eastAsia="zh-CN" w:bidi="ar"/>
              </w:rPr>
              <w:t>沸点</w:t>
            </w:r>
            <w:r>
              <w:rPr>
                <w:rFonts w:hint="default" w:ascii="Times New Roman" w:hAnsi="Times New Roman" w:cs="Times New Roman"/>
                <w:color w:val="auto"/>
                <w:kern w:val="0"/>
                <w:sz w:val="24"/>
                <w:szCs w:val="24"/>
                <w:highlight w:val="none"/>
                <w:lang w:val="en-US" w:eastAsia="zh-CN" w:bidi="ar"/>
              </w:rPr>
              <w:t>分别</w:t>
            </w:r>
            <w:r>
              <w:rPr>
                <w:rFonts w:hint="default" w:ascii="Times New Roman" w:hAnsi="Times New Roman" w:eastAsia="宋体" w:cs="Times New Roman"/>
                <w:color w:val="auto"/>
                <w:kern w:val="0"/>
                <w:sz w:val="24"/>
                <w:szCs w:val="24"/>
                <w:highlight w:val="none"/>
                <w:lang w:val="en-US" w:eastAsia="zh-CN" w:bidi="ar"/>
              </w:rPr>
              <w:t>为</w:t>
            </w:r>
            <w:r>
              <w:rPr>
                <w:rFonts w:hint="default" w:ascii="Times New Roman" w:hAnsi="Times New Roman" w:cs="Times New Roman"/>
                <w:color w:val="auto"/>
                <w:kern w:val="0"/>
                <w:sz w:val="24"/>
                <w:szCs w:val="24"/>
                <w:highlight w:val="none"/>
                <w:lang w:val="en-US" w:eastAsia="zh-CN" w:bidi="ar"/>
              </w:rPr>
              <w:t>202</w:t>
            </w:r>
            <w:r>
              <w:rPr>
                <w:rFonts w:hint="default" w:ascii="Times New Roman" w:hAnsi="Times New Roman" w:eastAsia="宋体" w:cs="Times New Roman"/>
                <w:color w:val="auto"/>
                <w:kern w:val="0"/>
                <w:sz w:val="24"/>
                <w:szCs w:val="24"/>
                <w:highlight w:val="none"/>
                <w:lang w:val="en-US" w:eastAsia="zh-CN" w:bidi="ar"/>
              </w:rPr>
              <w:t>℃、闪点为</w:t>
            </w:r>
            <w:r>
              <w:rPr>
                <w:rFonts w:hint="default" w:ascii="Times New Roman" w:hAnsi="Times New Roman" w:cs="Times New Roman"/>
                <w:color w:val="auto"/>
                <w:kern w:val="0"/>
                <w:sz w:val="24"/>
                <w:szCs w:val="24"/>
                <w:highlight w:val="none"/>
                <w:lang w:val="en-US" w:eastAsia="zh-CN" w:bidi="ar"/>
              </w:rPr>
              <w:t>96.0</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在清洗过程（常温）</w:t>
            </w:r>
            <w:r>
              <w:rPr>
                <w:rFonts w:hint="default" w:ascii="Times New Roman" w:hAnsi="Times New Roman" w:cs="Times New Roman"/>
                <w:color w:val="auto"/>
                <w:kern w:val="0"/>
                <w:sz w:val="24"/>
                <w:szCs w:val="24"/>
                <w:highlight w:val="none"/>
                <w:lang w:val="en-US" w:eastAsia="zh-CN" w:bidi="ar"/>
              </w:rPr>
              <w:t>挥发量较少。</w:t>
            </w:r>
            <w:r>
              <w:rPr>
                <w:rFonts w:hint="default" w:ascii="Times New Roman" w:hAnsi="Times New Roman" w:cs="Times New Roman"/>
                <w:color w:val="auto"/>
                <w:sz w:val="24"/>
                <w:lang w:val="en-US" w:eastAsia="zh-CN"/>
              </w:rPr>
              <w:t>灌晶、清洗工序产生的少量有机废气在车间内呈无组织排放，经大气稀释扩散、绿化吸收后对周边环境的影响不大。</w:t>
            </w:r>
          </w:p>
          <w:p w14:paraId="1BF4DC74">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rPr>
              <w:t>本项目产生的废气主要为</w:t>
            </w:r>
            <w:r>
              <w:rPr>
                <w:rFonts w:hint="default" w:ascii="Times New Roman" w:hAnsi="Times New Roman" w:cs="Times New Roman" w:eastAsiaTheme="minorEastAsia"/>
                <w:color w:val="auto"/>
                <w:sz w:val="24"/>
                <w:highlight w:val="none"/>
                <w:lang w:val="en-US" w:eastAsia="zh-CN"/>
              </w:rPr>
              <w:t>注塑、固化</w:t>
            </w:r>
            <w:r>
              <w:rPr>
                <w:rFonts w:hint="default" w:ascii="Times New Roman" w:hAnsi="Times New Roman" w:cs="Times New Roman" w:eastAsiaTheme="minorEastAsia"/>
                <w:color w:val="auto"/>
                <w:sz w:val="24"/>
                <w:highlight w:val="none"/>
                <w:lang w:eastAsia="zh-CN"/>
              </w:rPr>
              <w:t>有机废气、粉尘、臭气浓度等。</w:t>
            </w:r>
          </w:p>
          <w:p w14:paraId="4037B8D3">
            <w:pPr>
              <w:spacing w:line="360" w:lineRule="auto"/>
              <w:ind w:firstLine="482" w:firstLineChars="200"/>
              <w:rPr>
                <w:rFonts w:hint="default" w:ascii="Times New Roman" w:hAnsi="Times New Roman" w:cs="Times New Roman" w:eastAsiaTheme="minorEastAsia"/>
                <w:b/>
                <w:color w:val="auto"/>
                <w:sz w:val="24"/>
                <w:szCs w:val="24"/>
                <w:highlight w:val="none"/>
                <w:lang w:val="en-US" w:eastAsia="zh-CN"/>
              </w:rPr>
            </w:pPr>
            <w:r>
              <w:rPr>
                <w:rFonts w:hint="default" w:ascii="Times New Roman" w:hAnsi="Times New Roman" w:cs="Times New Roman" w:eastAsiaTheme="minorEastAsia"/>
                <w:b/>
                <w:color w:val="auto"/>
                <w:sz w:val="24"/>
                <w:szCs w:val="24"/>
                <w:highlight w:val="none"/>
              </w:rPr>
              <w:t>1、废气源强</w:t>
            </w:r>
            <w:r>
              <w:rPr>
                <w:rFonts w:hint="default" w:ascii="Times New Roman" w:hAnsi="Times New Roman" w:cs="Times New Roman" w:eastAsiaTheme="minorEastAsia"/>
                <w:b/>
                <w:color w:val="auto"/>
                <w:sz w:val="24"/>
                <w:szCs w:val="24"/>
                <w:highlight w:val="none"/>
                <w:lang w:val="en-US" w:eastAsia="zh-CN"/>
              </w:rPr>
              <w:t>核算</w:t>
            </w:r>
          </w:p>
          <w:p w14:paraId="5484E9BD">
            <w:pPr>
              <w:spacing w:line="360" w:lineRule="auto"/>
              <w:ind w:firstLine="482" w:firstLineChars="200"/>
              <w:rPr>
                <w:rFonts w:hint="default" w:ascii="Times New Roman" w:hAnsi="Times New Roman" w:cs="Times New Roman" w:eastAsiaTheme="minorEastAsia"/>
                <w:b/>
                <w:color w:val="auto"/>
                <w:sz w:val="24"/>
                <w:highlight w:val="none"/>
                <w:lang w:eastAsia="zh-CN"/>
              </w:rPr>
            </w:pPr>
            <w:r>
              <w:rPr>
                <w:rFonts w:hint="default" w:ascii="Times New Roman" w:hAnsi="Times New Roman" w:cs="Times New Roman" w:eastAsiaTheme="minorEastAsia"/>
                <w:b/>
                <w:color w:val="auto"/>
                <w:sz w:val="24"/>
                <w:highlight w:val="none"/>
              </w:rPr>
              <w:t>（1）</w:t>
            </w:r>
            <w:r>
              <w:rPr>
                <w:rFonts w:hint="default" w:ascii="Times New Roman" w:hAnsi="Times New Roman" w:cs="Times New Roman" w:eastAsiaTheme="minorEastAsia"/>
                <w:b/>
                <w:color w:val="auto"/>
                <w:sz w:val="24"/>
                <w:highlight w:val="none"/>
                <w:lang w:eastAsia="zh-CN"/>
              </w:rPr>
              <w:t>有机废气</w:t>
            </w:r>
          </w:p>
          <w:p w14:paraId="46C67CC1">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①注塑废气</w:t>
            </w:r>
          </w:p>
          <w:p w14:paraId="7A6E26CB">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本项目背光源工件注塑需要对塑料粒进行烘烤，烘烤温度约75~80℃，产生有机废气主要来自注塑工序。本项目ABS塑料粒为180~200℃，分解温度＞270℃；PS注塑控温160~200℃左右，发生分解温度为250℃，二噁英产生的温度400~800℃。</w:t>
            </w:r>
          </w:p>
          <w:p w14:paraId="7087082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val="0"/>
                <w:bCs w:val="0"/>
                <w:color w:val="auto"/>
                <w:sz w:val="24"/>
                <w:szCs w:val="24"/>
                <w:lang w:val="en-US" w:eastAsia="zh-CN"/>
              </w:rPr>
              <w:t>根据</w:t>
            </w:r>
            <w:r>
              <w:rPr>
                <w:rFonts w:hint="default" w:ascii="Times New Roman" w:hAnsi="Times New Roman" w:cs="Times New Roman"/>
                <w:color w:val="auto"/>
                <w:sz w:val="24"/>
                <w:szCs w:val="24"/>
                <w:lang w:val="en-US" w:eastAsia="zh-CN"/>
              </w:rPr>
              <w:t>《合成树脂工业污染物排放标准》（GB31572-2015，含2024年修改单）</w:t>
            </w:r>
            <w:r>
              <w:rPr>
                <w:rFonts w:hint="default" w:ascii="Times New Roman" w:hAnsi="Times New Roman" w:cs="Times New Roman"/>
                <w:b w:val="0"/>
                <w:bCs w:val="0"/>
                <w:color w:val="auto"/>
                <w:sz w:val="24"/>
                <w:szCs w:val="24"/>
                <w:lang w:val="en-US" w:eastAsia="zh-CN"/>
              </w:rPr>
              <w:t>所列，ABS树脂废气污染物为非甲烷总烃、颗粒物、苯乙烯、丙烯腈、1，3一丁二烯、甲苯、乙苯；PS（聚苯乙烯树脂）废气污染物为非甲烷总烃、颗粒物、苯乙烯、甲苯、乙苯。ABS塑料分解温度＞270℃、PS分解温度为＞250℃，本项目生产加热温度均未达到分解温度，不会因受热分解而产生苯乙烯、丙烯腈、1，3一丁二烯、甲苯、乙苯、</w:t>
            </w:r>
            <w:r>
              <w:rPr>
                <w:rFonts w:hint="default" w:ascii="Times New Roman" w:hAnsi="Times New Roman" w:cs="Times New Roman" w:eastAsiaTheme="minorEastAsia"/>
                <w:color w:val="auto"/>
                <w:sz w:val="24"/>
                <w:highlight w:val="none"/>
                <w:lang w:val="en-US" w:eastAsia="zh-CN"/>
              </w:rPr>
              <w:t>二噁英</w:t>
            </w:r>
            <w:r>
              <w:rPr>
                <w:rFonts w:hint="default" w:ascii="Times New Roman" w:hAnsi="Times New Roman" w:cs="Times New Roman"/>
                <w:b w:val="0"/>
                <w:bCs w:val="0"/>
                <w:color w:val="auto"/>
                <w:sz w:val="24"/>
                <w:szCs w:val="24"/>
                <w:lang w:val="en-US" w:eastAsia="zh-CN"/>
              </w:rPr>
              <w:t>等污染物。且《合成</w:t>
            </w:r>
            <w:r>
              <w:rPr>
                <w:rFonts w:hint="default" w:ascii="Times New Roman" w:hAnsi="Times New Roman" w:cs="Times New Roman"/>
                <w:color w:val="auto"/>
                <w:sz w:val="24"/>
                <w:szCs w:val="24"/>
                <w:lang w:val="en-US" w:eastAsia="zh-CN"/>
              </w:rPr>
              <w:t>树脂工业污染物排放标准》（GB31572-2015，含2024年修改单）实际上主要是针对树脂生产合成过程可能产生的污染物情况进行制定的标准，注塑项目并不属于该标准的核心管控范畴，其适用属于标准的延伸应用。</w:t>
            </w:r>
            <w:r>
              <w:rPr>
                <w:rFonts w:hint="eastAsia" w:cs="Times New Roman"/>
                <w:b w:val="0"/>
                <w:bCs w:val="0"/>
                <w:color w:val="auto"/>
                <w:sz w:val="24"/>
                <w:szCs w:val="24"/>
                <w:lang w:val="en-US" w:eastAsia="zh-CN"/>
              </w:rPr>
              <w:t>但</w:t>
            </w:r>
            <w:r>
              <w:rPr>
                <w:rFonts w:hint="default" w:ascii="Times New Roman" w:hAnsi="Times New Roman" w:cs="Times New Roman"/>
                <w:b w:val="0"/>
                <w:bCs w:val="0"/>
                <w:color w:val="auto"/>
                <w:sz w:val="24"/>
                <w:szCs w:val="24"/>
                <w:lang w:val="en-US" w:eastAsia="zh-CN"/>
              </w:rPr>
              <w:t>这些特征污染物仍有可能通过其他途径产生，比如树脂合成过程中未完全反应而残留的少量单体，或是生产过程中局部区域因设备温控波动出现的短暂过热等情况。</w:t>
            </w:r>
            <w:r>
              <w:rPr>
                <w:rFonts w:hint="default" w:ascii="Times New Roman" w:hAnsi="Times New Roman" w:cs="Times New Roman"/>
                <w:color w:val="auto"/>
                <w:sz w:val="24"/>
                <w:lang w:val="en-US" w:eastAsia="zh-CN"/>
              </w:rPr>
              <w:t>在生产过程中，通过严格控制生产温度，保障产品质量的同时，从源头抑制各类污染物的生成；后续污染源监测计划中，将</w:t>
            </w:r>
            <w:r>
              <w:rPr>
                <w:rFonts w:hint="eastAsia" w:cs="Times New Roman"/>
                <w:color w:val="auto"/>
                <w:sz w:val="24"/>
                <w:lang w:val="en-US" w:eastAsia="zh-CN"/>
              </w:rPr>
              <w:t>可能产生的</w:t>
            </w:r>
            <w:r>
              <w:rPr>
                <w:rFonts w:hint="default" w:ascii="Times New Roman" w:hAnsi="Times New Roman" w:cs="Times New Roman"/>
                <w:color w:val="auto"/>
                <w:sz w:val="24"/>
                <w:lang w:val="en-US" w:eastAsia="zh-CN"/>
              </w:rPr>
              <w:t>苯乙烯、丙烯腈、1,3-丁二烯、甲苯、乙苯纳入特征污染物监测因子</w:t>
            </w:r>
            <w:r>
              <w:rPr>
                <w:rFonts w:hint="eastAsia" w:cs="Times New Roman"/>
                <w:color w:val="auto"/>
                <w:sz w:val="24"/>
                <w:lang w:val="en-US" w:eastAsia="zh-CN"/>
              </w:rPr>
              <w:t>中</w:t>
            </w:r>
            <w:r>
              <w:rPr>
                <w:rFonts w:hint="default" w:ascii="Times New Roman" w:hAnsi="Times New Roman" w:cs="Times New Roman"/>
                <w:color w:val="auto"/>
                <w:sz w:val="24"/>
                <w:lang w:val="en-US" w:eastAsia="zh-CN"/>
              </w:rPr>
              <w:t>，通过实时数据反馈动态调整生产管控</w:t>
            </w:r>
            <w:r>
              <w:rPr>
                <w:rFonts w:hint="eastAsia" w:cs="Times New Roman"/>
                <w:color w:val="auto"/>
                <w:sz w:val="24"/>
                <w:lang w:val="en-US" w:eastAsia="zh-CN"/>
              </w:rPr>
              <w:t>措施</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szCs w:val="24"/>
                <w:lang w:val="en-US" w:eastAsia="zh-CN"/>
              </w:rPr>
              <w:t>因此，本项目注塑产生的有机气体</w:t>
            </w:r>
            <w:r>
              <w:rPr>
                <w:rFonts w:hint="eastAsia" w:cs="Times New Roman"/>
                <w:color w:val="auto"/>
                <w:sz w:val="24"/>
                <w:szCs w:val="24"/>
                <w:lang w:val="en-US" w:eastAsia="zh-CN"/>
              </w:rPr>
              <w:t>主要</w:t>
            </w:r>
            <w:r>
              <w:rPr>
                <w:rFonts w:hint="default" w:ascii="Times New Roman" w:hAnsi="Times New Roman" w:cs="Times New Roman"/>
                <w:color w:val="auto"/>
                <w:sz w:val="24"/>
                <w:szCs w:val="24"/>
                <w:lang w:val="en-US" w:eastAsia="zh-CN"/>
              </w:rPr>
              <w:t>以非甲烷总烃表征。</w:t>
            </w:r>
          </w:p>
          <w:p w14:paraId="731187B5">
            <w:pPr>
              <w:pStyle w:val="94"/>
              <w:keepNext w:val="0"/>
              <w:keepLines w:val="0"/>
              <w:pageBreakBefore w:val="0"/>
              <w:widowControl w:val="0"/>
              <w:kinsoku/>
              <w:wordWrap w:val="0"/>
              <w:overflowPunct/>
              <w:topLinePunct w:val="0"/>
              <w:autoSpaceDE/>
              <w:autoSpaceDN/>
              <w:bidi w:val="0"/>
              <w:adjustRightInd/>
              <w:snapToGrid w:val="0"/>
              <w:spacing w:before="0" w:after="0"/>
              <w:ind w:right="0" w:firstLine="480"/>
              <w:jc w:val="both"/>
              <w:textAlignment w:val="auto"/>
              <w:rPr>
                <w:rFonts w:hint="default" w:ascii="Times New Roman" w:hAnsi="Times New Roman" w:eastAsia="宋体" w:cs="Times New Roman"/>
                <w:color w:val="auto"/>
                <w:spacing w:val="-4"/>
                <w:sz w:val="24"/>
                <w:highlight w:val="none"/>
                <w:lang w:val="en-US" w:eastAsia="zh-CN"/>
              </w:rPr>
            </w:pPr>
            <w:r>
              <w:rPr>
                <w:rFonts w:hint="default" w:ascii="Times New Roman" w:hAnsi="Times New Roman" w:cs="Times New Roman" w:eastAsiaTheme="minorEastAsia"/>
                <w:color w:val="auto"/>
                <w:sz w:val="24"/>
                <w:highlight w:val="none"/>
                <w:lang w:val="en-US" w:eastAsia="zh-CN"/>
              </w:rPr>
              <w:t>根据《广东省塑料制品与制造业、人造石制造业、电子元件制造业挥发性有机化合物排放系数使用指南》</w:t>
            </w:r>
            <w:r>
              <w:rPr>
                <w:rFonts w:hint="eastAsia" w:cs="Times New Roman" w:eastAsiaTheme="minorEastAsia"/>
                <w:color w:val="auto"/>
                <w:sz w:val="24"/>
                <w:highlight w:val="none"/>
                <w:lang w:val="en-US" w:eastAsia="zh-CN"/>
              </w:rPr>
              <w:t>——表4-1塑料制品与制造业成型工序VOCs排放系数为2.368kg/t塑胶原料用量（收集效率0%</w:t>
            </w:r>
            <w:r>
              <w:rPr>
                <w:rFonts w:hint="eastAsia"/>
                <w:color w:val="auto"/>
                <w:lang w:eastAsia="zh-CN"/>
              </w:rPr>
              <w:t>、</w:t>
            </w:r>
            <w:r>
              <w:rPr>
                <w:rFonts w:hint="eastAsia"/>
                <w:color w:val="auto"/>
                <w:lang w:val="en-US" w:eastAsia="zh-CN"/>
              </w:rPr>
              <w:t>处理效率0%）</w:t>
            </w:r>
            <w:r>
              <w:rPr>
                <w:rFonts w:hint="default" w:ascii="Times New Roman" w:hAnsi="Times New Roman" w:cs="Times New Roman" w:eastAsiaTheme="minorEastAsia"/>
                <w:color w:val="auto"/>
                <w:sz w:val="24"/>
                <w:highlight w:val="none"/>
                <w:lang w:val="en-US" w:eastAsia="zh-CN"/>
              </w:rPr>
              <w:t>，本项目年注塑塑料制品（ABS、PS）约共96吨，则注塑工序非甲烷总烃产生量为0.2</w:t>
            </w:r>
            <w:r>
              <w:rPr>
                <w:rFonts w:hint="eastAsia" w:cs="Times New Roman" w:eastAsiaTheme="minorEastAsia"/>
                <w:color w:val="auto"/>
                <w:sz w:val="24"/>
                <w:highlight w:val="none"/>
                <w:lang w:val="en-US" w:eastAsia="zh-CN"/>
              </w:rPr>
              <w:t>27</w:t>
            </w:r>
            <w:r>
              <w:rPr>
                <w:rFonts w:hint="default" w:ascii="Times New Roman" w:hAnsi="Times New Roman" w:cs="Times New Roman" w:eastAsiaTheme="minorEastAsia"/>
                <w:color w:val="auto"/>
                <w:sz w:val="24"/>
                <w:highlight w:val="none"/>
                <w:lang w:val="en-US" w:eastAsia="zh-CN"/>
              </w:rPr>
              <w:t>t/a。</w:t>
            </w:r>
            <w:r>
              <w:rPr>
                <w:rFonts w:hint="default" w:ascii="Times New Roman" w:hAnsi="Times New Roman" w:eastAsia="宋体" w:cs="Times New Roman"/>
                <w:color w:val="auto"/>
                <w:spacing w:val="-4"/>
                <w:sz w:val="24"/>
                <w:highlight w:val="none"/>
                <w:lang w:val="en-US" w:eastAsia="zh-CN"/>
              </w:rPr>
              <w:t>注塑废气收集后引入</w:t>
            </w:r>
            <w:r>
              <w:rPr>
                <w:rFonts w:hint="default" w:ascii="Times New Roman" w:hAnsi="Times New Roman" w:cs="Times New Roman"/>
                <w:color w:val="auto"/>
                <w:spacing w:val="-4"/>
                <w:sz w:val="24"/>
                <w:highlight w:val="none"/>
                <w:lang w:val="en-US" w:eastAsia="zh-CN"/>
              </w:rPr>
              <w:t>二</w:t>
            </w:r>
            <w:r>
              <w:rPr>
                <w:rFonts w:hint="default" w:ascii="Times New Roman" w:hAnsi="Times New Roman" w:eastAsia="宋体" w:cs="Times New Roman"/>
                <w:color w:val="auto"/>
                <w:spacing w:val="-4"/>
                <w:sz w:val="24"/>
                <w:highlight w:val="none"/>
                <w:lang w:val="en-US" w:eastAsia="zh-CN"/>
              </w:rPr>
              <w:t>级活性炭处理，处理后经</w:t>
            </w:r>
            <w:r>
              <w:rPr>
                <w:rFonts w:hint="default" w:ascii="Times New Roman" w:hAnsi="Times New Roman" w:cs="Times New Roman"/>
                <w:color w:val="auto"/>
                <w:spacing w:val="-4"/>
                <w:sz w:val="24"/>
                <w:highlight w:val="none"/>
                <w:lang w:val="en-US" w:eastAsia="zh-CN"/>
              </w:rPr>
              <w:t>30</w:t>
            </w:r>
            <w:r>
              <w:rPr>
                <w:rFonts w:hint="default" w:ascii="Times New Roman" w:hAnsi="Times New Roman" w:eastAsia="宋体" w:cs="Times New Roman"/>
                <w:color w:val="auto"/>
                <w:spacing w:val="-4"/>
                <w:sz w:val="24"/>
                <w:highlight w:val="none"/>
                <w:lang w:val="en-US" w:eastAsia="zh-CN"/>
              </w:rPr>
              <w:t>m</w:t>
            </w:r>
            <w:r>
              <w:rPr>
                <w:rFonts w:hint="default" w:ascii="Times New Roman" w:hAnsi="Times New Roman" w:cs="Times New Roman"/>
                <w:color w:val="auto"/>
                <w:spacing w:val="-4"/>
                <w:sz w:val="24"/>
                <w:highlight w:val="none"/>
                <w:lang w:val="en-US" w:eastAsia="zh-CN"/>
              </w:rPr>
              <w:t>高</w:t>
            </w:r>
            <w:r>
              <w:rPr>
                <w:rFonts w:hint="default" w:ascii="Times New Roman" w:hAnsi="Times New Roman" w:eastAsia="宋体" w:cs="Times New Roman"/>
                <w:color w:val="auto"/>
                <w:spacing w:val="-4"/>
                <w:sz w:val="24"/>
                <w:highlight w:val="none"/>
                <w:lang w:val="en-US" w:eastAsia="zh-CN"/>
              </w:rPr>
              <w:t>排气筒DA00</w:t>
            </w:r>
            <w:r>
              <w:rPr>
                <w:rFonts w:hint="default" w:ascii="Times New Roman" w:hAnsi="Times New Roman" w:cs="Times New Roman"/>
                <w:color w:val="auto"/>
                <w:spacing w:val="-4"/>
                <w:sz w:val="24"/>
                <w:highlight w:val="none"/>
                <w:lang w:val="en-US" w:eastAsia="zh-CN"/>
              </w:rPr>
              <w:t>1</w:t>
            </w:r>
            <w:r>
              <w:rPr>
                <w:rFonts w:hint="default" w:ascii="Times New Roman" w:hAnsi="Times New Roman" w:eastAsia="宋体" w:cs="Times New Roman"/>
                <w:color w:val="auto"/>
                <w:spacing w:val="-4"/>
                <w:sz w:val="24"/>
                <w:highlight w:val="none"/>
                <w:lang w:val="en-US" w:eastAsia="zh-CN"/>
              </w:rPr>
              <w:t>排放。</w:t>
            </w:r>
          </w:p>
          <w:p w14:paraId="344299E4">
            <w:pPr>
              <w:pStyle w:val="94"/>
              <w:keepNext w:val="0"/>
              <w:keepLines w:val="0"/>
              <w:pageBreakBefore w:val="0"/>
              <w:widowControl w:val="0"/>
              <w:kinsoku/>
              <w:wordWrap w:val="0"/>
              <w:overflowPunct/>
              <w:topLinePunct w:val="0"/>
              <w:autoSpaceDE/>
              <w:autoSpaceDN/>
              <w:bidi w:val="0"/>
              <w:adjustRightInd/>
              <w:snapToGrid w:val="0"/>
              <w:spacing w:before="0" w:after="0"/>
              <w:ind w:right="0" w:firstLine="480"/>
              <w:jc w:val="both"/>
              <w:textAlignment w:val="auto"/>
              <w:rPr>
                <w:rFonts w:hint="default" w:ascii="Times New Roman" w:hAnsi="Times New Roman" w:eastAsia="宋体" w:cs="Times New Roman"/>
                <w:color w:val="auto"/>
                <w:spacing w:val="-4"/>
                <w:sz w:val="24"/>
                <w:highlight w:val="none"/>
                <w:lang w:val="en-US" w:eastAsia="zh-CN"/>
              </w:rPr>
            </w:pPr>
            <w:r>
              <w:rPr>
                <w:rFonts w:hint="default" w:ascii="Times New Roman" w:hAnsi="Times New Roman" w:eastAsia="宋体" w:cs="Times New Roman"/>
                <w:color w:val="auto"/>
                <w:spacing w:val="-4"/>
                <w:sz w:val="24"/>
                <w:highlight w:val="none"/>
                <w:lang w:val="en-US" w:eastAsia="zh-CN"/>
              </w:rPr>
              <w:t>本项目注塑机产污口拟设包围型的密闭装置，</w:t>
            </w:r>
            <w:r>
              <w:rPr>
                <w:rFonts w:hint="default" w:ascii="Times New Roman" w:hAnsi="Times New Roman" w:cs="Times New Roman"/>
                <w:color w:val="auto"/>
                <w:spacing w:val="-4"/>
                <w:sz w:val="24"/>
                <w:highlight w:val="none"/>
                <w:lang w:val="en-US" w:eastAsia="zh-CN"/>
              </w:rPr>
              <w:t>仅保留进风口</w:t>
            </w:r>
            <w:r>
              <w:rPr>
                <w:rFonts w:hint="default" w:ascii="Times New Roman" w:hAnsi="Times New Roman" w:eastAsia="宋体" w:cs="Times New Roman"/>
                <w:color w:val="auto"/>
                <w:spacing w:val="-4"/>
                <w:sz w:val="24"/>
                <w:highlight w:val="none"/>
                <w:lang w:val="en-US" w:eastAsia="zh-CN"/>
              </w:rPr>
              <w:t>，根据《三废处理工程技术手册—废气卷》中</w:t>
            </w:r>
            <w:r>
              <w:rPr>
                <w:rFonts w:hint="default" w:ascii="Times New Roman" w:hAnsi="Times New Roman" w:cs="Times New Roman"/>
                <w:color w:val="auto"/>
                <w:spacing w:val="-4"/>
                <w:sz w:val="24"/>
                <w:highlight w:val="none"/>
                <w:lang w:val="en-US" w:eastAsia="zh-CN"/>
              </w:rPr>
              <w:t>整体密闭罩</w:t>
            </w:r>
            <w:r>
              <w:rPr>
                <w:rFonts w:hint="default" w:ascii="Times New Roman" w:hAnsi="Times New Roman" w:eastAsia="宋体" w:cs="Times New Roman"/>
                <w:color w:val="auto"/>
                <w:spacing w:val="-4"/>
                <w:sz w:val="24"/>
                <w:highlight w:val="none"/>
                <w:lang w:val="en-US" w:eastAsia="zh-CN"/>
              </w:rPr>
              <w:t>风量计算公式：</w:t>
            </w:r>
          </w:p>
          <w:p w14:paraId="1F51A451">
            <w:pPr>
              <w:pStyle w:val="35"/>
              <w:pageBreakBefore w:val="0"/>
              <w:widowControl w:val="0"/>
              <w:wordWrap w:val="0"/>
              <w:overflowPunct/>
              <w:autoSpaceDE w:val="0"/>
              <w:autoSpaceDN w:val="0"/>
              <w:bidi w:val="0"/>
              <w:adjustRightInd w:val="0"/>
              <w:spacing w:before="0" w:beforeAutospacing="0" w:after="0" w:afterAutospacing="0" w:line="440" w:lineRule="exact"/>
              <w:ind w:firstLine="480"/>
              <w:jc w:val="center"/>
              <w:rPr>
                <w:rFonts w:hint="default" w:ascii="Times New Roman" w:hAnsi="Times New Roman" w:eastAsia="宋体" w:cs="Times New Roman"/>
                <w:color w:val="auto"/>
                <w:szCs w:val="24"/>
                <w:highlight w:val="none"/>
                <w:vertAlign w:val="superscript"/>
                <w:lang w:val="en-US" w:eastAsia="zh-CN"/>
              </w:rPr>
            </w:pPr>
            <w:r>
              <w:rPr>
                <w:rFonts w:hint="default" w:ascii="Times New Roman" w:hAnsi="Times New Roman" w:cs="Times New Roman"/>
                <w:color w:val="auto"/>
                <w:highlight w:val="none"/>
              </w:rPr>
              <w:t>Q=</w:t>
            </w:r>
            <w:r>
              <w:rPr>
                <w:rFonts w:hint="default" w:ascii="Times New Roman" w:hAnsi="Times New Roman" w:cs="Times New Roman"/>
                <w:color w:val="auto"/>
                <w:highlight w:val="none"/>
                <w:lang w:val="en-US" w:eastAsia="zh-CN"/>
              </w:rPr>
              <w:t>FV</w:t>
            </w:r>
          </w:p>
          <w:p w14:paraId="7C348C21">
            <w:pPr>
              <w:pStyle w:val="35"/>
              <w:pageBreakBefore w:val="0"/>
              <w:widowControl w:val="0"/>
              <w:wordWrap w:val="0"/>
              <w:overflowPunct/>
              <w:bidi w:val="0"/>
              <w:spacing w:before="120" w:beforeLines="50" w:beforeAutospacing="0" w:after="0" w:afterAutospacing="0" w:line="360" w:lineRule="auto"/>
              <w:ind w:firstLine="480" w:firstLineChars="200"/>
              <w:contextualSpacing/>
              <w:jc w:val="both"/>
              <w:rPr>
                <w:rFonts w:hint="default" w:ascii="Times New Roman" w:hAnsi="Times New Roman" w:cs="Times New Roman"/>
                <w:color w:val="auto"/>
                <w:szCs w:val="24"/>
                <w:highlight w:val="none"/>
              </w:rPr>
            </w:pPr>
            <w:r>
              <w:rPr>
                <w:rFonts w:hint="default" w:ascii="Times New Roman" w:hAnsi="Times New Roman" w:cs="Times New Roman"/>
                <w:color w:val="auto"/>
                <w:kern w:val="2"/>
                <w:highlight w:val="none"/>
              </w:rPr>
              <w:t>式中：Q---</w:t>
            </w:r>
            <w:r>
              <w:rPr>
                <w:rFonts w:hint="default" w:ascii="Times New Roman" w:hAnsi="Times New Roman" w:cs="Times New Roman"/>
                <w:color w:val="auto"/>
                <w:kern w:val="2"/>
                <w:highlight w:val="none"/>
                <w:lang w:val="en-US" w:eastAsia="zh-CN"/>
              </w:rPr>
              <w:t>排气</w:t>
            </w:r>
            <w:r>
              <w:rPr>
                <w:rFonts w:hint="default" w:ascii="Times New Roman" w:hAnsi="Times New Roman" w:cs="Times New Roman"/>
                <w:color w:val="auto"/>
                <w:kern w:val="2"/>
                <w:highlight w:val="none"/>
              </w:rPr>
              <w:t>量，m³/</w:t>
            </w:r>
            <w:r>
              <w:rPr>
                <w:rFonts w:hint="default" w:ascii="Times New Roman" w:hAnsi="Times New Roman" w:cs="Times New Roman"/>
                <w:color w:val="auto"/>
                <w:kern w:val="2"/>
                <w:highlight w:val="none"/>
                <w:lang w:val="en-US" w:eastAsia="zh-CN"/>
              </w:rPr>
              <w:t>s</w:t>
            </w:r>
            <w:r>
              <w:rPr>
                <w:rFonts w:hint="default" w:ascii="Times New Roman" w:hAnsi="Times New Roman" w:cs="Times New Roman"/>
                <w:color w:val="auto"/>
                <w:kern w:val="2"/>
                <w:highlight w:val="none"/>
              </w:rPr>
              <w:t>；</w:t>
            </w:r>
          </w:p>
          <w:p w14:paraId="44038CD4">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F</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缝隙面积</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vertAlign w:val="baseline"/>
                <w:lang w:val="en-US" w:eastAsia="zh-CN"/>
              </w:rPr>
              <w:t>，本项目单个密闭罩缝隙面积约为0.03m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rPr>
              <w:t>；</w:t>
            </w:r>
          </w:p>
          <w:p w14:paraId="50EF3E47">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V</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缝隙风速，</w:t>
            </w:r>
            <w:r>
              <w:rPr>
                <w:rFonts w:hint="eastAsia" w:cs="Times New Roman"/>
                <w:color w:val="auto"/>
                <w:sz w:val="24"/>
                <w:highlight w:val="none"/>
                <w:lang w:val="en-US" w:eastAsia="zh-CN"/>
              </w:rPr>
              <w:t>0.5</w:t>
            </w:r>
            <w:r>
              <w:rPr>
                <w:rFonts w:hint="default" w:ascii="Times New Roman" w:hAnsi="Times New Roman" w:cs="Times New Roman"/>
                <w:color w:val="auto"/>
                <w:sz w:val="24"/>
                <w:highlight w:val="none"/>
                <w:lang w:val="en-US" w:eastAsia="zh-CN"/>
              </w:rPr>
              <w:t>m/s</w:t>
            </w:r>
            <w:r>
              <w:rPr>
                <w:rFonts w:hint="default" w:ascii="Times New Roman" w:hAnsi="Times New Roman" w:cs="Times New Roman"/>
                <w:color w:val="auto"/>
                <w:sz w:val="24"/>
                <w:highlight w:val="none"/>
              </w:rPr>
              <w:t>；</w:t>
            </w:r>
          </w:p>
          <w:p w14:paraId="5F9064A5">
            <w:pPr>
              <w:pageBreakBefore w:val="0"/>
              <w:wordWrap w:val="0"/>
              <w:overflowPunct/>
              <w:bidi w:val="0"/>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本项目设有</w:t>
            </w:r>
            <w:r>
              <w:rPr>
                <w:rFonts w:hint="default" w:ascii="Times New Roman" w:hAnsi="Times New Roman" w:cs="Times New Roman"/>
                <w:color w:val="auto"/>
                <w:sz w:val="24"/>
                <w:highlight w:val="none"/>
                <w:lang w:val="en-US" w:eastAsia="zh-CN"/>
              </w:rPr>
              <w:t>25</w:t>
            </w:r>
            <w:r>
              <w:rPr>
                <w:rFonts w:hint="default" w:ascii="Times New Roman" w:hAnsi="Times New Roman" w:cs="Times New Roman"/>
                <w:color w:val="auto"/>
                <w:sz w:val="24"/>
                <w:highlight w:val="none"/>
              </w:rPr>
              <w:t>台</w:t>
            </w:r>
            <w:r>
              <w:rPr>
                <w:rFonts w:hint="default" w:ascii="Times New Roman" w:hAnsi="Times New Roman" w:cs="Times New Roman"/>
                <w:color w:val="auto"/>
                <w:sz w:val="24"/>
                <w:highlight w:val="none"/>
                <w:lang w:val="en-US" w:eastAsia="zh-CN"/>
              </w:rPr>
              <w:t>注塑</w:t>
            </w:r>
            <w:r>
              <w:rPr>
                <w:rFonts w:hint="default" w:ascii="Times New Roman" w:hAnsi="Times New Roman" w:cs="Times New Roman"/>
                <w:color w:val="auto"/>
                <w:sz w:val="24"/>
                <w:highlight w:val="none"/>
              </w:rPr>
              <w:t>机，每台设备产污口</w:t>
            </w:r>
            <w:r>
              <w:rPr>
                <w:rFonts w:hint="default" w:ascii="Times New Roman" w:hAnsi="Times New Roman" w:cs="Times New Roman"/>
                <w:color w:val="auto"/>
                <w:sz w:val="24"/>
                <w:highlight w:val="none"/>
                <w:lang w:val="en-US" w:eastAsia="zh-CN"/>
              </w:rPr>
              <w:t>均</w:t>
            </w:r>
            <w:r>
              <w:rPr>
                <w:rFonts w:hint="default" w:ascii="Times New Roman" w:hAnsi="Times New Roman" w:cs="Times New Roman"/>
                <w:color w:val="auto"/>
                <w:sz w:val="24"/>
                <w:highlight w:val="none"/>
              </w:rPr>
              <w:t>拟设1个</w:t>
            </w:r>
            <w:r>
              <w:rPr>
                <w:rFonts w:hint="default" w:ascii="Times New Roman" w:hAnsi="Times New Roman" w:cs="Times New Roman"/>
                <w:color w:val="auto"/>
                <w:sz w:val="24"/>
                <w:highlight w:val="none"/>
                <w:lang w:val="en-US" w:eastAsia="zh-CN"/>
              </w:rPr>
              <w:t>密闭</w:t>
            </w:r>
            <w:r>
              <w:rPr>
                <w:rFonts w:hint="default" w:ascii="Times New Roman" w:hAnsi="Times New Roman" w:cs="Times New Roman"/>
                <w:color w:val="auto"/>
                <w:sz w:val="24"/>
                <w:highlight w:val="none"/>
              </w:rPr>
              <w:t>罩，合计拟设</w:t>
            </w:r>
            <w:r>
              <w:rPr>
                <w:rFonts w:hint="default" w:ascii="Times New Roman" w:hAnsi="Times New Roman" w:cs="Times New Roman"/>
                <w:color w:val="auto"/>
                <w:sz w:val="24"/>
                <w:highlight w:val="none"/>
                <w:lang w:val="en-US" w:eastAsia="zh-CN"/>
              </w:rPr>
              <w:t>25</w:t>
            </w:r>
            <w:r>
              <w:rPr>
                <w:rFonts w:hint="default" w:ascii="Times New Roman" w:hAnsi="Times New Roman" w:cs="Times New Roman"/>
                <w:color w:val="auto"/>
                <w:sz w:val="24"/>
                <w:highlight w:val="none"/>
              </w:rPr>
              <w:t>个</w:t>
            </w:r>
            <w:r>
              <w:rPr>
                <w:rFonts w:hint="default" w:ascii="Times New Roman" w:hAnsi="Times New Roman" w:cs="Times New Roman"/>
                <w:color w:val="auto"/>
                <w:sz w:val="24"/>
                <w:highlight w:val="none"/>
                <w:lang w:val="en-US" w:eastAsia="zh-CN"/>
              </w:rPr>
              <w:t>密闭</w:t>
            </w:r>
            <w:r>
              <w:rPr>
                <w:rFonts w:hint="default" w:ascii="Times New Roman" w:hAnsi="Times New Roman" w:cs="Times New Roman"/>
                <w:color w:val="auto"/>
                <w:sz w:val="24"/>
                <w:highlight w:val="none"/>
              </w:rPr>
              <w:t>罩。根据上述公式计算得</w:t>
            </w:r>
            <w:r>
              <w:rPr>
                <w:rFonts w:hint="default" w:ascii="Times New Roman" w:hAnsi="Times New Roman" w:cs="Times New Roman"/>
                <w:caps/>
                <w:color w:val="auto"/>
                <w:sz w:val="24"/>
                <w:highlight w:val="none"/>
                <w:lang w:val="en-US" w:eastAsia="zh-CN"/>
              </w:rPr>
              <w:t>密闭</w:t>
            </w:r>
            <w:r>
              <w:rPr>
                <w:rFonts w:hint="default" w:ascii="Times New Roman" w:hAnsi="Times New Roman" w:cs="Times New Roman"/>
                <w:caps/>
                <w:color w:val="auto"/>
                <w:sz w:val="24"/>
                <w:highlight w:val="none"/>
              </w:rPr>
              <w:t>罩</w:t>
            </w:r>
            <w:r>
              <w:rPr>
                <w:rFonts w:hint="default" w:ascii="Times New Roman" w:hAnsi="Times New Roman" w:cs="Times New Roman"/>
                <w:color w:val="auto"/>
                <w:sz w:val="24"/>
                <w:highlight w:val="none"/>
              </w:rPr>
              <w:t>合计总风量为</w:t>
            </w:r>
            <w:r>
              <w:rPr>
                <w:rFonts w:hint="default" w:ascii="Times New Roman" w:hAnsi="Times New Roman" w:cs="Times New Roman"/>
                <w:color w:val="auto"/>
                <w:sz w:val="24"/>
                <w:highlight w:val="none"/>
                <w:lang w:val="en-US" w:eastAsia="zh-CN"/>
              </w:rPr>
              <w:t>1350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p>
          <w:p w14:paraId="17F834E9">
            <w:pPr>
              <w:pStyle w:val="23"/>
              <w:pageBreakBefore w:val="0"/>
              <w:wordWrap w:val="0"/>
              <w:overflowPunct/>
              <w:bidi w:val="0"/>
              <w:spacing w:line="360" w:lineRule="auto"/>
              <w:ind w:firstLine="480" w:firstLineChars="200"/>
              <w:rPr>
                <w:rFonts w:hint="default" w:ascii="Times New Roman" w:hAnsi="Times New Roman" w:cs="Times New Roman"/>
                <w:color w:val="auto"/>
                <w:szCs w:val="24"/>
                <w:highlight w:val="none"/>
              </w:rPr>
            </w:pPr>
            <w:r>
              <w:rPr>
                <w:rFonts w:hint="default" w:ascii="Times New Roman" w:hAnsi="Times New Roman" w:cs="Times New Roman"/>
                <w:color w:val="auto"/>
                <w:highlight w:val="none"/>
              </w:rPr>
              <w:t>项目在注塑机废气产污口拟设</w:t>
            </w:r>
            <w:r>
              <w:rPr>
                <w:rFonts w:hint="default" w:ascii="Times New Roman" w:hAnsi="Times New Roman" w:cs="Times New Roman"/>
                <w:color w:val="auto"/>
                <w:highlight w:val="none"/>
                <w:lang w:val="en-US" w:eastAsia="zh-CN"/>
              </w:rPr>
              <w:t>密闭</w:t>
            </w:r>
            <w:r>
              <w:rPr>
                <w:rFonts w:hint="default" w:ascii="Times New Roman" w:hAnsi="Times New Roman" w:cs="Times New Roman"/>
                <w:color w:val="auto"/>
                <w:highlight w:val="none"/>
              </w:rPr>
              <w:t>罩收集，且注塑机设置在密闭车间内，废气均呈正压收集。参考《三废处理工程技术手册废气卷》第十七章净化系统的设计表17-1可知，一般作业室换气次数为6次/h，项目注塑区域围蔽面积约为</w:t>
            </w:r>
            <w:r>
              <w:rPr>
                <w:rFonts w:hint="default" w:ascii="Times New Roman" w:hAnsi="Times New Roman" w:cs="Times New Roman"/>
                <w:color w:val="auto"/>
                <w:highlight w:val="none"/>
                <w:lang w:val="en-US" w:eastAsia="zh-CN"/>
              </w:rPr>
              <w:t>1540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车间高度为</w:t>
            </w:r>
            <w:r>
              <w:rPr>
                <w:rFonts w:hint="eastAsia" w:cs="Times New Roman"/>
                <w:color w:val="auto"/>
                <w:highlight w:val="none"/>
                <w:lang w:val="en-US" w:eastAsia="zh-CN"/>
              </w:rPr>
              <w:t>2.8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rPr>
              <w:t>则围蔽区域风量为：Q=1</w:t>
            </w:r>
            <w:r>
              <w:rPr>
                <w:rFonts w:hint="default" w:ascii="Times New Roman" w:hAnsi="Times New Roman" w:cs="Times New Roman"/>
                <w:color w:val="auto"/>
                <w:highlight w:val="none"/>
                <w:lang w:val="en-US" w:eastAsia="zh-CN"/>
              </w:rPr>
              <w:t>54</w:t>
            </w:r>
            <w:r>
              <w:rPr>
                <w:rFonts w:hint="default" w:ascii="Times New Roman" w:hAnsi="Times New Roman" w:cs="Times New Roman"/>
                <w:color w:val="auto"/>
                <w:highlight w:val="none"/>
              </w:rPr>
              <w:t>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eastAsia" w:cs="Times New Roman"/>
                <w:color w:val="auto"/>
                <w:highlight w:val="none"/>
                <w:lang w:val="en-US" w:eastAsia="zh-CN"/>
              </w:rPr>
              <w:t>2.8</w:t>
            </w:r>
            <w:r>
              <w:rPr>
                <w:rFonts w:hint="default" w:ascii="Times New Roman" w:hAnsi="Times New Roman" w:cs="Times New Roman"/>
                <w:color w:val="auto"/>
                <w:highlight w:val="none"/>
              </w:rPr>
              <w:t>m*6=2</w:t>
            </w:r>
            <w:r>
              <w:rPr>
                <w:rFonts w:hint="eastAsia" w:cs="Times New Roman"/>
                <w:color w:val="auto"/>
                <w:highlight w:val="none"/>
                <w:lang w:val="en-US" w:eastAsia="zh-CN"/>
              </w:rPr>
              <w:t>5872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w:t>
            </w:r>
            <w:r>
              <w:rPr>
                <w:rFonts w:hint="eastAsia" w:cs="Times New Roman"/>
                <w:color w:val="auto"/>
                <w:highlight w:val="none"/>
                <w:lang w:val="en-US" w:eastAsia="zh-CN"/>
              </w:rPr>
              <w:t>集气罩、车间整体换风所需风量合计27222</w:t>
            </w:r>
            <w:r>
              <w:rPr>
                <w:rFonts w:hint="default" w:ascii="Times New Roman" w:hAnsi="Times New Roman" w:cs="Times New Roman"/>
                <w:color w:val="auto"/>
                <w:szCs w:val="24"/>
                <w:highlight w:val="none"/>
              </w:rPr>
              <w:t>m</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/h</w:t>
            </w:r>
            <w:r>
              <w:rPr>
                <w:rFonts w:hint="eastAsia" w:cs="Times New Roman"/>
                <w:color w:val="auto"/>
                <w:szCs w:val="24"/>
                <w:highlight w:val="none"/>
                <w:lang w:eastAsia="zh-CN"/>
              </w:rPr>
              <w:t>，</w:t>
            </w:r>
            <w:r>
              <w:rPr>
                <w:rFonts w:hint="default" w:ascii="Times New Roman" w:hAnsi="Times New Roman" w:cs="Times New Roman"/>
                <w:color w:val="auto"/>
                <w:highlight w:val="none"/>
              </w:rPr>
              <w:t>项目废气处理系统</w:t>
            </w:r>
            <w:r>
              <w:rPr>
                <w:rFonts w:hint="eastAsia" w:cs="Times New Roman"/>
                <w:color w:val="auto"/>
                <w:highlight w:val="none"/>
                <w:lang w:val="en-US" w:eastAsia="zh-CN"/>
              </w:rPr>
              <w:t>设置</w:t>
            </w:r>
            <w:r>
              <w:rPr>
                <w:rFonts w:hint="default" w:ascii="Times New Roman" w:hAnsi="Times New Roman" w:cs="Times New Roman"/>
                <w:color w:val="auto"/>
                <w:highlight w:val="none"/>
              </w:rPr>
              <w:t>风量</w:t>
            </w:r>
            <w:r>
              <w:rPr>
                <w:rFonts w:hint="eastAsia" w:cs="Times New Roman"/>
                <w:color w:val="auto"/>
                <w:highlight w:val="none"/>
                <w:lang w:val="en-US" w:eastAsia="zh-CN"/>
              </w:rPr>
              <w:t>为</w:t>
            </w:r>
            <w:r>
              <w:rPr>
                <w:rFonts w:hint="default" w:ascii="Times New Roman" w:hAnsi="Times New Roman" w:cs="Times New Roman"/>
                <w:color w:val="auto"/>
                <w:szCs w:val="24"/>
                <w:highlight w:val="none"/>
                <w:lang w:val="en-US" w:eastAsia="zh-CN"/>
              </w:rPr>
              <w:t>28</w:t>
            </w:r>
            <w:r>
              <w:rPr>
                <w:rFonts w:hint="default" w:ascii="Times New Roman" w:hAnsi="Times New Roman" w:cs="Times New Roman"/>
                <w:color w:val="auto"/>
                <w:szCs w:val="24"/>
                <w:highlight w:val="none"/>
              </w:rPr>
              <w:t>000m</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/h。</w:t>
            </w:r>
            <w:r>
              <w:rPr>
                <w:rFonts w:hint="default" w:ascii="Times New Roman" w:hAnsi="Times New Roman" w:cs="Times New Roman"/>
                <w:color w:val="auto"/>
                <w:highlight w:val="none"/>
              </w:rPr>
              <w:t>参考《广东省生态环境厅关于印发工业源挥发性有机物和氮氧化物减排量核算方法的通知》（粤环函〔2023〕538号）表3.3-2废气收集集气效率参考值，“全密封设备/空间-单层密闭正压，VOCs产生源设置在密闭车间内，所有开口处，包括人员或物料进出口处呈正压，且无明显泄漏点，对应的集气效率为80%”，</w:t>
            </w:r>
            <w:r>
              <w:rPr>
                <w:rFonts w:hint="default" w:ascii="Times New Roman" w:hAnsi="Times New Roman" w:cs="Times New Roman"/>
                <w:color w:val="auto"/>
                <w:szCs w:val="24"/>
                <w:highlight w:val="none"/>
              </w:rPr>
              <w:t>因此，项目废气收集效率可达80%。</w:t>
            </w:r>
          </w:p>
          <w:p w14:paraId="5600122F">
            <w:pPr>
              <w:pStyle w:val="23"/>
              <w:pageBreakBefore w:val="0"/>
              <w:wordWrap w:val="0"/>
              <w:overflowPunct/>
              <w:bidi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参考《广东省家具行业挥发性有机化合物废气治理技术指南》（粤环〔2013〕79号）中对有机废气治理设施的治理效率可得，吸附法处理效率为50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80%</w:t>
            </w:r>
            <w:r>
              <w:rPr>
                <w:rFonts w:hint="default" w:ascii="Times New Roman" w:hAnsi="Times New Roman" w:cs="Times New Roman"/>
                <w:color w:val="auto"/>
                <w:highlight w:val="none"/>
                <w:lang w:eastAsia="zh-CN"/>
              </w:rPr>
              <w:t>，本项目第一级活性炭吸附法对有机废气的处理效率取60%，第二级活性炭吸附法对有机废气的处理效率取</w:t>
            </w:r>
            <w:r>
              <w:rPr>
                <w:rFonts w:hint="eastAsia" w:cs="Times New Roman"/>
                <w:color w:val="auto"/>
                <w:highlight w:val="none"/>
                <w:lang w:val="en-US" w:eastAsia="zh-CN"/>
              </w:rPr>
              <w:t>4</w:t>
            </w:r>
            <w:r>
              <w:rPr>
                <w:rFonts w:hint="default" w:ascii="Times New Roman" w:hAnsi="Times New Roman" w:cs="Times New Roman"/>
                <w:color w:val="auto"/>
                <w:highlight w:val="none"/>
                <w:lang w:eastAsia="zh-CN"/>
              </w:rPr>
              <w:t>0%。则两级活性炭对有机废气的处理效率=1-（</w:t>
            </w:r>
            <w:r>
              <w:rPr>
                <w:rFonts w:hint="eastAsia" w:cs="Times New Roman"/>
                <w:color w:val="auto"/>
                <w:highlight w:val="none"/>
                <w:lang w:val="en-US" w:eastAsia="zh-CN"/>
              </w:rPr>
              <w:t>1-</w:t>
            </w:r>
            <w:r>
              <w:rPr>
                <w:rFonts w:hint="default" w:ascii="Times New Roman" w:hAnsi="Times New Roman" w:cs="Times New Roman"/>
                <w:color w:val="auto"/>
                <w:highlight w:val="none"/>
                <w:lang w:eastAsia="zh-CN"/>
              </w:rPr>
              <w:t>60%）*（</w:t>
            </w:r>
            <w:r>
              <w:rPr>
                <w:rFonts w:hint="eastAsia" w:cs="Times New Roman"/>
                <w:color w:val="auto"/>
                <w:highlight w:val="none"/>
                <w:lang w:val="en-US" w:eastAsia="zh-CN"/>
              </w:rPr>
              <w:t>1-4</w:t>
            </w:r>
            <w:r>
              <w:rPr>
                <w:rFonts w:hint="default" w:ascii="Times New Roman" w:hAnsi="Times New Roman" w:cs="Times New Roman"/>
                <w:color w:val="auto"/>
                <w:highlight w:val="none"/>
                <w:lang w:eastAsia="zh-CN"/>
              </w:rPr>
              <w:t>0%）=</w:t>
            </w:r>
            <w:r>
              <w:rPr>
                <w:rFonts w:hint="eastAsia" w:cs="Times New Roman"/>
                <w:color w:val="auto"/>
                <w:highlight w:val="none"/>
                <w:lang w:val="en-US" w:eastAsia="zh-CN"/>
              </w:rPr>
              <w:t>76%</w:t>
            </w:r>
            <w:r>
              <w:rPr>
                <w:rFonts w:hint="eastAsia" w:cs="Times New Roman"/>
                <w:color w:val="auto"/>
                <w:lang w:eastAsia="zh-CN"/>
              </w:rPr>
              <w:t>，</w:t>
            </w:r>
            <w:r>
              <w:rPr>
                <w:rFonts w:hint="eastAsia" w:cs="Times New Roman"/>
                <w:color w:val="auto"/>
                <w:lang w:val="en-US" w:eastAsia="zh-CN"/>
              </w:rPr>
              <w:t>本项目保守取75%</w:t>
            </w:r>
            <w:r>
              <w:rPr>
                <w:rFonts w:hint="default" w:ascii="Times New Roman" w:hAnsi="Times New Roman" w:cs="Times New Roman"/>
                <w:color w:val="auto"/>
                <w:highlight w:val="none"/>
              </w:rPr>
              <w:t>。</w:t>
            </w:r>
          </w:p>
          <w:p w14:paraId="46ED4412">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本项目注塑废气产排情况</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9"/>
              <w:gridCol w:w="896"/>
              <w:gridCol w:w="918"/>
              <w:gridCol w:w="1122"/>
              <w:gridCol w:w="1138"/>
              <w:gridCol w:w="918"/>
              <w:gridCol w:w="1124"/>
              <w:gridCol w:w="1144"/>
            </w:tblGrid>
            <w:tr w14:paraId="44BA0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1" w:type="pct"/>
                  <w:gridSpan w:val="2"/>
                  <w:vMerge w:val="restart"/>
                  <w:tcBorders>
                    <w:top w:val="single" w:color="000000" w:sz="4" w:space="0"/>
                    <w:left w:val="single" w:color="auto" w:sz="0" w:space="0"/>
                    <w:bottom w:val="single" w:color="000000" w:sz="4" w:space="0"/>
                    <w:right w:val="single" w:color="000000" w:sz="4" w:space="0"/>
                  </w:tcBorders>
                  <w:noWrap w:val="0"/>
                  <w:vAlign w:val="center"/>
                </w:tcPr>
                <w:p w14:paraId="40D0FF24">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w:t>
                  </w:r>
                </w:p>
              </w:tc>
              <w:tc>
                <w:tcPr>
                  <w:tcW w:w="1852" w:type="pct"/>
                  <w:gridSpan w:val="3"/>
                  <w:tcBorders>
                    <w:top w:val="single" w:color="000000" w:sz="4" w:space="0"/>
                    <w:left w:val="single" w:color="000000" w:sz="4" w:space="0"/>
                    <w:bottom w:val="single" w:color="000000" w:sz="4" w:space="0"/>
                    <w:right w:val="single" w:color="000000" w:sz="4" w:space="0"/>
                  </w:tcBorders>
                  <w:noWrap w:val="0"/>
                  <w:vAlign w:val="center"/>
                </w:tcPr>
                <w:p w14:paraId="417F8B3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产生情况</w:t>
                  </w:r>
                </w:p>
              </w:tc>
              <w:tc>
                <w:tcPr>
                  <w:tcW w:w="1856" w:type="pct"/>
                  <w:gridSpan w:val="3"/>
                  <w:tcBorders>
                    <w:top w:val="single" w:color="000000" w:sz="4" w:space="0"/>
                    <w:left w:val="single" w:color="000000" w:sz="4" w:space="0"/>
                    <w:bottom w:val="single" w:color="000000" w:sz="4" w:space="0"/>
                    <w:right w:val="single" w:color="000000" w:sz="4" w:space="0"/>
                  </w:tcBorders>
                  <w:noWrap w:val="0"/>
                  <w:vAlign w:val="center"/>
                </w:tcPr>
                <w:p w14:paraId="5DFB5BF8">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排放情况</w:t>
                  </w:r>
                </w:p>
              </w:tc>
            </w:tr>
            <w:tr w14:paraId="78416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1"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384948D2">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7AE644C6">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产生量</w:t>
                  </w:r>
                  <w:r>
                    <w:rPr>
                      <w:rFonts w:hint="default" w:ascii="Times New Roman" w:hAnsi="Times New Roman" w:cs="Times New Roman"/>
                      <w:b/>
                      <w:bCs/>
                      <w:color w:val="auto"/>
                      <w:sz w:val="21"/>
                      <w:szCs w:val="21"/>
                      <w:highlight w:val="none"/>
                      <w:lang w:val="en-US" w:eastAsia="zh-CN"/>
                    </w:rPr>
                    <w:t>t/a</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32249045">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产生速率</w:t>
                  </w:r>
                  <w:r>
                    <w:rPr>
                      <w:rFonts w:hint="default" w:ascii="Times New Roman" w:hAnsi="Times New Roman" w:cs="Times New Roman"/>
                      <w:b/>
                      <w:bCs/>
                      <w:color w:val="auto"/>
                      <w:sz w:val="21"/>
                      <w:szCs w:val="21"/>
                      <w:highlight w:val="none"/>
                      <w:lang w:val="en-US" w:eastAsia="zh-CN"/>
                    </w:rPr>
                    <w:t>kg/h</w:t>
                  </w:r>
                </w:p>
              </w:tc>
              <w:tc>
                <w:tcPr>
                  <w:tcW w:w="661" w:type="pct"/>
                  <w:tcBorders>
                    <w:top w:val="single" w:color="000000" w:sz="4" w:space="0"/>
                    <w:left w:val="single" w:color="000000" w:sz="4" w:space="0"/>
                    <w:bottom w:val="single" w:color="000000" w:sz="4" w:space="0"/>
                    <w:right w:val="single" w:color="000000" w:sz="4" w:space="0"/>
                  </w:tcBorders>
                  <w:noWrap w:val="0"/>
                  <w:vAlign w:val="center"/>
                </w:tcPr>
                <w:p w14:paraId="2A5D929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产生浓度</w:t>
                  </w:r>
                  <w:r>
                    <w:rPr>
                      <w:rFonts w:hint="default" w:ascii="Times New Roman" w:hAnsi="Times New Roman" w:cs="Times New Roman"/>
                      <w:b/>
                      <w:bCs/>
                      <w:color w:val="auto"/>
                      <w:sz w:val="21"/>
                      <w:szCs w:val="21"/>
                      <w:highlight w:val="none"/>
                      <w:lang w:val="en-US" w:eastAsia="zh-CN"/>
                    </w:rPr>
                    <w:t>mg/m</w:t>
                  </w:r>
                  <w:r>
                    <w:rPr>
                      <w:rFonts w:hint="default" w:ascii="Times New Roman" w:hAnsi="Times New Roman" w:cs="Times New Roman"/>
                      <w:b/>
                      <w:bCs/>
                      <w:color w:val="auto"/>
                      <w:sz w:val="21"/>
                      <w:szCs w:val="21"/>
                      <w:highlight w:val="none"/>
                      <w:vertAlign w:val="superscript"/>
                      <w:lang w:val="en-US" w:eastAsia="zh-CN"/>
                    </w:rPr>
                    <w:t>3</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68C88241">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排放量</w:t>
                  </w:r>
                  <w:r>
                    <w:rPr>
                      <w:rFonts w:hint="default" w:ascii="Times New Roman" w:hAnsi="Times New Roman" w:cs="Times New Roman"/>
                      <w:b/>
                      <w:bCs/>
                      <w:color w:val="auto"/>
                      <w:sz w:val="21"/>
                      <w:szCs w:val="21"/>
                      <w:highlight w:val="none"/>
                      <w:lang w:val="en-US" w:eastAsia="zh-CN"/>
                    </w:rPr>
                    <w:t>t/a</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399B0AD6">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排放速率</w:t>
                  </w:r>
                  <w:r>
                    <w:rPr>
                      <w:rFonts w:hint="default" w:ascii="Times New Roman" w:hAnsi="Times New Roman" w:cs="Times New Roman"/>
                      <w:b/>
                      <w:bCs/>
                      <w:color w:val="auto"/>
                      <w:sz w:val="21"/>
                      <w:szCs w:val="21"/>
                      <w:highlight w:val="none"/>
                      <w:lang w:val="en-US" w:eastAsia="zh-CN"/>
                    </w:rPr>
                    <w:t>kg/h</w:t>
                  </w:r>
                </w:p>
              </w:tc>
              <w:tc>
                <w:tcPr>
                  <w:tcW w:w="664" w:type="pct"/>
                  <w:tcBorders>
                    <w:top w:val="single" w:color="000000" w:sz="4" w:space="0"/>
                    <w:left w:val="single" w:color="000000" w:sz="4" w:space="0"/>
                    <w:bottom w:val="single" w:color="000000" w:sz="4" w:space="0"/>
                    <w:right w:val="single" w:color="000000" w:sz="4" w:space="0"/>
                  </w:tcBorders>
                  <w:noWrap w:val="0"/>
                  <w:vAlign w:val="center"/>
                </w:tcPr>
                <w:p w14:paraId="68A4FF4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eastAsia="zh-CN"/>
                    </w:rPr>
                    <w:t>排放浓度</w:t>
                  </w:r>
                  <w:r>
                    <w:rPr>
                      <w:rFonts w:hint="default" w:ascii="Times New Roman" w:hAnsi="Times New Roman" w:cs="Times New Roman"/>
                      <w:b/>
                      <w:bCs/>
                      <w:color w:val="auto"/>
                      <w:sz w:val="21"/>
                      <w:szCs w:val="21"/>
                      <w:highlight w:val="none"/>
                      <w:lang w:val="en-US" w:eastAsia="zh-CN"/>
                    </w:rPr>
                    <w:t>mg/m</w:t>
                  </w:r>
                  <w:r>
                    <w:rPr>
                      <w:rFonts w:hint="default" w:ascii="Times New Roman" w:hAnsi="Times New Roman" w:cs="Times New Roman"/>
                      <w:b/>
                      <w:bCs/>
                      <w:color w:val="auto"/>
                      <w:sz w:val="21"/>
                      <w:szCs w:val="21"/>
                      <w:highlight w:val="none"/>
                      <w:vertAlign w:val="superscript"/>
                      <w:lang w:val="en-US" w:eastAsia="zh-CN"/>
                    </w:rPr>
                    <w:t>3</w:t>
                  </w:r>
                </w:p>
              </w:tc>
            </w:tr>
            <w:tr w14:paraId="23F01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9" w:type="pct"/>
                  <w:vMerge w:val="restart"/>
                  <w:tcBorders>
                    <w:top w:val="single" w:color="000000" w:sz="4" w:space="0"/>
                    <w:left w:val="single" w:color="000000" w:sz="4" w:space="0"/>
                    <w:bottom w:val="single" w:color="000000" w:sz="4" w:space="0"/>
                    <w:right w:val="single" w:color="000000" w:sz="4" w:space="0"/>
                  </w:tcBorders>
                  <w:noWrap w:val="0"/>
                  <w:vAlign w:val="center"/>
                </w:tcPr>
                <w:p w14:paraId="73DE5D3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521" w:type="pct"/>
                  <w:tcBorders>
                    <w:top w:val="single" w:color="000000" w:sz="4" w:space="0"/>
                    <w:left w:val="single" w:color="000000" w:sz="4" w:space="0"/>
                    <w:bottom w:val="single" w:color="000000" w:sz="4" w:space="0"/>
                    <w:right w:val="single" w:color="000000" w:sz="4" w:space="0"/>
                  </w:tcBorders>
                  <w:noWrap w:val="0"/>
                  <w:vAlign w:val="center"/>
                </w:tcPr>
                <w:p w14:paraId="4C5B515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350B862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0.182</w:t>
                  </w:r>
                </w:p>
              </w:tc>
              <w:tc>
                <w:tcPr>
                  <w:tcW w:w="1122" w:type="dxa"/>
                  <w:tcBorders>
                    <w:top w:val="single" w:color="000000" w:sz="4" w:space="0"/>
                    <w:left w:val="single" w:color="000000" w:sz="4" w:space="0"/>
                    <w:bottom w:val="single" w:color="000000" w:sz="4" w:space="0"/>
                    <w:right w:val="single" w:color="000000" w:sz="4" w:space="0"/>
                  </w:tcBorders>
                  <w:noWrap w:val="0"/>
                  <w:vAlign w:val="center"/>
                </w:tcPr>
                <w:p w14:paraId="15599A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0.099</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068B1DE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3.525</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11072E0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124" w:type="dxa"/>
                  <w:tcBorders>
                    <w:top w:val="single" w:color="000000" w:sz="4" w:space="0"/>
                    <w:left w:val="single" w:color="000000" w:sz="4" w:space="0"/>
                    <w:bottom w:val="single" w:color="000000" w:sz="4" w:space="0"/>
                    <w:right w:val="single" w:color="000000" w:sz="4" w:space="0"/>
                  </w:tcBorders>
                  <w:noWrap w:val="0"/>
                  <w:vAlign w:val="center"/>
                </w:tcPr>
                <w:p w14:paraId="2F766D4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14:paraId="4E5FE1E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0.881</w:t>
                  </w:r>
                </w:p>
              </w:tc>
            </w:tr>
            <w:tr w14:paraId="48BFD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9" w:type="pct"/>
                  <w:vMerge w:val="continue"/>
                  <w:tcBorders>
                    <w:top w:val="single" w:color="000000" w:sz="4" w:space="0"/>
                    <w:left w:val="single" w:color="000000" w:sz="4" w:space="0"/>
                    <w:bottom w:val="single" w:color="000000" w:sz="4" w:space="0"/>
                    <w:right w:val="single" w:color="000000" w:sz="4" w:space="0"/>
                  </w:tcBorders>
                  <w:noWrap w:val="0"/>
                  <w:vAlign w:val="center"/>
                </w:tcPr>
                <w:p w14:paraId="0C3D9A9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21" w:type="pct"/>
                  <w:tcBorders>
                    <w:top w:val="single" w:color="000000" w:sz="4" w:space="0"/>
                    <w:left w:val="single" w:color="000000" w:sz="4" w:space="0"/>
                    <w:bottom w:val="single" w:color="000000" w:sz="4" w:space="0"/>
                    <w:right w:val="single" w:color="000000" w:sz="4" w:space="0"/>
                  </w:tcBorders>
                  <w:noWrap w:val="0"/>
                  <w:vAlign w:val="center"/>
                </w:tcPr>
                <w:p w14:paraId="5A8E72F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149439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122" w:type="dxa"/>
                  <w:tcBorders>
                    <w:top w:val="single" w:color="000000" w:sz="4" w:space="0"/>
                    <w:left w:val="single" w:color="000000" w:sz="4" w:space="0"/>
                    <w:bottom w:val="single" w:color="000000" w:sz="4" w:space="0"/>
                    <w:right w:val="single" w:color="000000" w:sz="4" w:space="0"/>
                  </w:tcBorders>
                  <w:noWrap w:val="0"/>
                  <w:vAlign w:val="center"/>
                </w:tcPr>
                <w:p w14:paraId="776F443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1D95FD2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2F05250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124" w:type="dxa"/>
                  <w:tcBorders>
                    <w:top w:val="single" w:color="000000" w:sz="4" w:space="0"/>
                    <w:left w:val="single" w:color="000000" w:sz="4" w:space="0"/>
                    <w:bottom w:val="single" w:color="000000" w:sz="4" w:space="0"/>
                    <w:right w:val="single" w:color="000000" w:sz="4" w:space="0"/>
                  </w:tcBorders>
                  <w:noWrap w:val="0"/>
                  <w:vAlign w:val="center"/>
                </w:tcPr>
                <w:p w14:paraId="7A49A4A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144" w:type="dxa"/>
                  <w:tcBorders>
                    <w:top w:val="single" w:color="000000" w:sz="4" w:space="0"/>
                    <w:left w:val="single" w:color="000000" w:sz="4" w:space="0"/>
                    <w:bottom w:val="single" w:color="000000" w:sz="4" w:space="0"/>
                    <w:right w:val="single" w:color="000000" w:sz="4" w:space="0"/>
                  </w:tcBorders>
                  <w:noWrap w:val="0"/>
                  <w:vAlign w:val="center"/>
                </w:tcPr>
                <w:p w14:paraId="0E4070E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r>
            <w:tr w14:paraId="36AAF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tcBorders>
                    <w:top w:val="single" w:color="000000" w:sz="4" w:space="0"/>
                    <w:left w:val="single" w:color="000000" w:sz="4" w:space="0"/>
                    <w:bottom w:val="single" w:color="000000" w:sz="4" w:space="0"/>
                    <w:right w:val="single" w:color="000000" w:sz="4" w:space="0"/>
                  </w:tcBorders>
                  <w:noWrap w:val="0"/>
                  <w:vAlign w:val="center"/>
                </w:tcPr>
                <w:p w14:paraId="7B317FD9">
                  <w:pPr>
                    <w:pageBreakBefore w:val="0"/>
                    <w:wordWrap w:val="0"/>
                    <w:overflowPunct/>
                    <w:bidi w:val="0"/>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备注：年工作230天，</w:t>
                  </w:r>
                  <w:r>
                    <w:rPr>
                      <w:rFonts w:hint="default" w:ascii="Times New Roman" w:hAnsi="Times New Roman" w:cs="Times New Roman"/>
                      <w:color w:val="auto"/>
                      <w:sz w:val="21"/>
                      <w:szCs w:val="21"/>
                      <w:highlight w:val="none"/>
                      <w:lang w:val="en-US" w:eastAsia="zh-CN"/>
                    </w:rPr>
                    <w:t>每天8小时，</w:t>
                  </w:r>
                  <w:r>
                    <w:rPr>
                      <w:rFonts w:hint="default" w:ascii="Times New Roman" w:hAnsi="Times New Roman" w:eastAsia="宋体" w:cs="Times New Roman"/>
                      <w:color w:val="auto"/>
                      <w:sz w:val="21"/>
                      <w:szCs w:val="21"/>
                      <w:highlight w:val="none"/>
                      <w:lang w:val="en-US" w:eastAsia="zh-CN"/>
                    </w:rPr>
                    <w:t>则年工作1840h。</w:t>
                  </w:r>
                </w:p>
              </w:tc>
            </w:tr>
          </w:tbl>
          <w:p w14:paraId="6CD8B84F">
            <w:pPr>
              <w:widowControl/>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②封口固化废气</w:t>
            </w:r>
          </w:p>
          <w:p w14:paraId="6DBFE57B">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color w:val="auto"/>
                <w:kern w:val="0"/>
                <w:sz w:val="24"/>
                <w:szCs w:val="24"/>
                <w:highlight w:val="none"/>
                <w:lang w:val="en-US" w:eastAsia="zh-CN" w:bidi="ar"/>
              </w:rPr>
              <w:t>灌晶后的封口工序用到封口胶，该过程会产生少量有机废气，产生废气主要来自封口胶UV固化工序。</w:t>
            </w:r>
          </w:p>
          <w:p w14:paraId="4445C99A">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eastAsiaTheme="minorEastAsia"/>
                <w:color w:val="auto"/>
                <w:sz w:val="24"/>
                <w:highlight w:val="none"/>
                <w:lang w:val="en-US" w:eastAsia="zh-CN"/>
              </w:rPr>
              <w:t>本项目封口的固化工序使用的原料为封口胶，封口胶的合计使用量为0.39t/a。</w:t>
            </w:r>
            <w:r>
              <w:rPr>
                <w:rFonts w:hint="default" w:ascii="Times New Roman" w:hAnsi="Times New Roman" w:cs="Times New Roman"/>
                <w:color w:val="auto"/>
                <w:kern w:val="0"/>
                <w:sz w:val="24"/>
                <w:szCs w:val="24"/>
                <w:highlight w:val="none"/>
                <w:lang w:val="en-US" w:eastAsia="zh-CN" w:bidi="ar"/>
              </w:rPr>
              <w:t>根</w:t>
            </w:r>
            <w:r>
              <w:rPr>
                <w:rFonts w:hint="default" w:ascii="Times New Roman" w:hAnsi="Times New Roman" w:eastAsia="宋体" w:cs="Times New Roman"/>
                <w:color w:val="auto"/>
                <w:kern w:val="0"/>
                <w:sz w:val="24"/>
                <w:szCs w:val="24"/>
                <w:highlight w:val="none"/>
                <w:lang w:val="en-US" w:eastAsia="zh-CN" w:bidi="ar"/>
              </w:rPr>
              <w:t>据</w:t>
            </w:r>
            <w:r>
              <w:rPr>
                <w:rFonts w:hint="default" w:ascii="Times New Roman" w:hAnsi="Times New Roman" w:cs="Times New Roman" w:eastAsiaTheme="minorEastAsia"/>
                <w:color w:val="auto"/>
                <w:sz w:val="24"/>
                <w:highlight w:val="none"/>
                <w:lang w:val="en-US" w:eastAsia="zh-CN"/>
              </w:rPr>
              <w:t>封口胶VOCs检测报告，VOCs含量为10g/kg</w:t>
            </w:r>
            <w:r>
              <w:rPr>
                <w:rFonts w:hint="default" w:ascii="Times New Roman" w:hAnsi="Times New Roman" w:eastAsia="宋体" w:cs="Times New Roman"/>
                <w:color w:val="auto"/>
                <w:kern w:val="0"/>
                <w:sz w:val="24"/>
                <w:szCs w:val="24"/>
                <w:highlight w:val="none"/>
                <w:lang w:val="en-US" w:eastAsia="zh-CN" w:bidi="ar"/>
              </w:rPr>
              <w:t>，则VOCs产生量为0.00</w:t>
            </w:r>
            <w:r>
              <w:rPr>
                <w:rFonts w:hint="default" w:ascii="Times New Roman" w:hAnsi="Times New Roman" w:cs="Times New Roman"/>
                <w:color w:val="auto"/>
                <w:kern w:val="0"/>
                <w:sz w:val="24"/>
                <w:szCs w:val="24"/>
                <w:highlight w:val="none"/>
                <w:lang w:val="en-US" w:eastAsia="zh-CN" w:bidi="ar"/>
              </w:rPr>
              <w:t>39</w:t>
            </w:r>
            <w:r>
              <w:rPr>
                <w:rFonts w:hint="default" w:ascii="Times New Roman" w:hAnsi="Times New Roman" w:eastAsia="宋体" w:cs="Times New Roman"/>
                <w:color w:val="auto"/>
                <w:kern w:val="0"/>
                <w:sz w:val="24"/>
                <w:szCs w:val="24"/>
                <w:highlight w:val="none"/>
                <w:lang w:val="en-US" w:eastAsia="zh-CN" w:bidi="ar"/>
              </w:rPr>
              <w:t>/a。</w:t>
            </w:r>
          </w:p>
          <w:p w14:paraId="4A240606">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③点胶固化废气</w:t>
            </w:r>
          </w:p>
          <w:p w14:paraId="76E9A5FD">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color w:val="auto"/>
                <w:sz w:val="24"/>
                <w:szCs w:val="24"/>
                <w:highlight w:val="none"/>
                <w:lang w:val="en-US" w:eastAsia="zh-CN"/>
              </w:rPr>
              <w:t>灌晶后条状ITO组合片存在少量针孔，需要通过点胶封闭这些针孔，再经过UV固化，该过程会产生挥发性有机化合物</w:t>
            </w:r>
            <w:r>
              <w:rPr>
                <w:rFonts w:hint="default" w:ascii="Times New Roman" w:hAnsi="Times New Roman" w:cs="Times New Roman" w:eastAsiaTheme="minorEastAsia"/>
                <w:color w:val="auto"/>
                <w:sz w:val="24"/>
                <w:szCs w:val="24"/>
                <w:highlight w:val="none"/>
                <w:lang w:val="en-US" w:eastAsia="zh-CN"/>
              </w:rPr>
              <w:t>（以VOCs表</w:t>
            </w:r>
            <w:r>
              <w:rPr>
                <w:rFonts w:hint="default" w:ascii="Times New Roman" w:hAnsi="Times New Roman" w:cs="Times New Roman" w:eastAsiaTheme="minorEastAsia"/>
                <w:color w:val="auto"/>
                <w:sz w:val="24"/>
                <w:highlight w:val="none"/>
                <w:lang w:val="en-US" w:eastAsia="zh-CN"/>
              </w:rPr>
              <w:t>征）。本项目点胶剂用量为0.26t/a，</w:t>
            </w:r>
            <w:r>
              <w:rPr>
                <w:rFonts w:hint="default" w:ascii="Times New Roman" w:hAnsi="Times New Roman" w:cs="Times New Roman"/>
                <w:color w:val="auto"/>
                <w:kern w:val="0"/>
                <w:sz w:val="24"/>
                <w:szCs w:val="24"/>
                <w:highlight w:val="none"/>
                <w:lang w:val="en-US" w:eastAsia="zh-CN" w:bidi="ar"/>
              </w:rPr>
              <w:t>根</w:t>
            </w:r>
            <w:r>
              <w:rPr>
                <w:rFonts w:hint="default" w:ascii="Times New Roman" w:hAnsi="Times New Roman" w:eastAsia="宋体" w:cs="Times New Roman"/>
                <w:color w:val="auto"/>
                <w:kern w:val="0"/>
                <w:sz w:val="24"/>
                <w:szCs w:val="24"/>
                <w:highlight w:val="none"/>
                <w:lang w:val="en-US" w:eastAsia="zh-CN" w:bidi="ar"/>
              </w:rPr>
              <w:t>据</w:t>
            </w:r>
            <w:r>
              <w:rPr>
                <w:rFonts w:hint="default" w:ascii="Times New Roman" w:hAnsi="Times New Roman" w:cs="Times New Roman" w:eastAsiaTheme="minorEastAsia"/>
                <w:color w:val="auto"/>
                <w:sz w:val="24"/>
                <w:highlight w:val="none"/>
                <w:lang w:val="en-US" w:eastAsia="zh-CN"/>
              </w:rPr>
              <w:t>封口胶VOCs检测报告，VOCs含量为5g/kg</w:t>
            </w:r>
            <w:r>
              <w:rPr>
                <w:rFonts w:hint="default" w:ascii="Times New Roman" w:hAnsi="Times New Roman" w:eastAsia="宋体" w:cs="Times New Roman"/>
                <w:color w:val="auto"/>
                <w:kern w:val="0"/>
                <w:sz w:val="24"/>
                <w:szCs w:val="24"/>
                <w:highlight w:val="none"/>
                <w:lang w:val="en-US" w:eastAsia="zh-CN" w:bidi="ar"/>
              </w:rPr>
              <w:t>，则VOCs产生量为0.00</w:t>
            </w:r>
            <w:r>
              <w:rPr>
                <w:rFonts w:hint="default" w:ascii="Times New Roman" w:hAnsi="Times New Roman" w:cs="Times New Roman"/>
                <w:color w:val="auto"/>
                <w:kern w:val="0"/>
                <w:sz w:val="24"/>
                <w:szCs w:val="24"/>
                <w:highlight w:val="none"/>
                <w:lang w:val="en-US" w:eastAsia="zh-CN" w:bidi="ar"/>
              </w:rPr>
              <w:t>13</w:t>
            </w:r>
            <w:r>
              <w:rPr>
                <w:rFonts w:hint="default" w:ascii="Times New Roman" w:hAnsi="Times New Roman" w:eastAsia="宋体" w:cs="Times New Roman"/>
                <w:color w:val="auto"/>
                <w:kern w:val="0"/>
                <w:sz w:val="24"/>
                <w:szCs w:val="24"/>
                <w:highlight w:val="none"/>
                <w:lang w:val="en-US" w:eastAsia="zh-CN" w:bidi="ar"/>
              </w:rPr>
              <w:t>t/a</w:t>
            </w:r>
          </w:p>
          <w:p w14:paraId="0ACBB963">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封口、点胶固化产生VOCs合计0.0052t/a，0.0028 kg/h。</w:t>
            </w:r>
          </w:p>
          <w:p w14:paraId="1F1F3FAE">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根据《重点行业挥发性有机物综合治理方案》（环大气〔2019〕53号），使用的原辅材料VOCs含量（质量比）低于10%的工序，可不要求采取无组织排放收集措施。且由于废气产生量少，产生浓度低，低浓度、间歇性气流将导致末端处理设施无法在高效区间运行，处理效果差且维护成本高。因此从实操性、经济性和环境效益方面考虑，不对固化废气进行收集处理，呈无组织形式排放。</w:t>
            </w:r>
          </w:p>
          <w:p w14:paraId="58C14BA4">
            <w:pPr>
              <w:spacing w:line="360" w:lineRule="auto"/>
              <w:ind w:firstLine="482" w:firstLineChars="200"/>
              <w:rPr>
                <w:rFonts w:hint="default" w:ascii="Times New Roman" w:hAnsi="Times New Roman" w:cs="Times New Roman" w:eastAsiaTheme="minorEastAsia"/>
                <w:b/>
                <w:color w:val="auto"/>
                <w:sz w:val="24"/>
                <w:szCs w:val="24"/>
                <w:highlight w:val="none"/>
                <w:lang w:eastAsia="zh-CN"/>
              </w:rPr>
            </w:pPr>
            <w:r>
              <w:rPr>
                <w:rFonts w:hint="default" w:ascii="Times New Roman" w:hAnsi="Times New Roman" w:cs="Times New Roman" w:eastAsiaTheme="minorEastAsia"/>
                <w:b/>
                <w:color w:val="auto"/>
                <w:sz w:val="24"/>
                <w:szCs w:val="24"/>
                <w:highlight w:val="none"/>
              </w:rPr>
              <w:t>（</w:t>
            </w:r>
            <w:r>
              <w:rPr>
                <w:rFonts w:hint="default" w:ascii="Times New Roman" w:hAnsi="Times New Roman" w:cs="Times New Roman" w:eastAsiaTheme="minorEastAsia"/>
                <w:b/>
                <w:color w:val="auto"/>
                <w:sz w:val="24"/>
                <w:szCs w:val="24"/>
                <w:highlight w:val="none"/>
                <w:lang w:val="en-US" w:eastAsia="zh-CN"/>
              </w:rPr>
              <w:t>2</w:t>
            </w:r>
            <w:r>
              <w:rPr>
                <w:rFonts w:hint="default" w:ascii="Times New Roman" w:hAnsi="Times New Roman" w:cs="Times New Roman" w:eastAsiaTheme="minorEastAsia"/>
                <w:b/>
                <w:color w:val="auto"/>
                <w:sz w:val="24"/>
                <w:szCs w:val="24"/>
                <w:highlight w:val="none"/>
              </w:rPr>
              <w:t>）</w:t>
            </w:r>
            <w:r>
              <w:rPr>
                <w:rFonts w:hint="default" w:ascii="Times New Roman" w:hAnsi="Times New Roman" w:cs="Times New Roman" w:eastAsiaTheme="minorEastAsia"/>
                <w:b/>
                <w:color w:val="auto"/>
                <w:sz w:val="24"/>
                <w:szCs w:val="24"/>
                <w:highlight w:val="none"/>
                <w:lang w:eastAsia="zh-CN"/>
              </w:rPr>
              <w:t>粉尘</w:t>
            </w:r>
          </w:p>
          <w:p w14:paraId="595B57FD">
            <w:pPr>
              <w:widowControl/>
              <w:spacing w:line="360" w:lineRule="auto"/>
              <w:ind w:firstLine="480" w:firstLineChars="200"/>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eastAsia="宋体" w:cs="Times New Roman"/>
                <w:color w:val="auto"/>
                <w:kern w:val="0"/>
                <w:sz w:val="24"/>
                <w:szCs w:val="24"/>
                <w:highlight w:val="none"/>
                <w:lang w:bidi="ar"/>
              </w:rPr>
              <w:t>①</w:t>
            </w:r>
            <w:r>
              <w:rPr>
                <w:rFonts w:hint="default" w:ascii="Times New Roman" w:hAnsi="Times New Roman" w:eastAsia="宋体" w:cs="Times New Roman"/>
                <w:color w:val="auto"/>
                <w:kern w:val="0"/>
                <w:sz w:val="24"/>
                <w:szCs w:val="24"/>
                <w:highlight w:val="none"/>
                <w:lang w:eastAsia="zh-CN" w:bidi="ar"/>
              </w:rPr>
              <w:t>破碎粉尘</w:t>
            </w:r>
          </w:p>
          <w:p w14:paraId="49917294">
            <w:pPr>
              <w:widowControl/>
              <w:spacing w:line="360" w:lineRule="auto"/>
              <w:ind w:firstLine="480" w:firstLineChars="200"/>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eastAsia="宋体" w:cs="Times New Roman"/>
                <w:color w:val="auto"/>
                <w:kern w:val="0"/>
                <w:sz w:val="24"/>
                <w:szCs w:val="24"/>
                <w:highlight w:val="none"/>
                <w:lang w:bidi="ar"/>
              </w:rPr>
              <w:t>注塑</w:t>
            </w:r>
            <w:r>
              <w:rPr>
                <w:rFonts w:hint="default" w:ascii="Times New Roman" w:hAnsi="Times New Roman" w:eastAsia="宋体" w:cs="Times New Roman"/>
                <w:color w:val="auto"/>
                <w:kern w:val="0"/>
                <w:sz w:val="24"/>
                <w:szCs w:val="24"/>
                <w:highlight w:val="none"/>
                <w:lang w:eastAsia="zh-CN" w:bidi="ar"/>
              </w:rPr>
              <w:t>裁切</w:t>
            </w:r>
            <w:r>
              <w:rPr>
                <w:rFonts w:hint="default" w:ascii="Times New Roman" w:hAnsi="Times New Roman" w:eastAsia="宋体" w:cs="Times New Roman"/>
                <w:color w:val="auto"/>
                <w:kern w:val="0"/>
                <w:sz w:val="24"/>
                <w:szCs w:val="24"/>
                <w:highlight w:val="none"/>
                <w:lang w:bidi="ar"/>
              </w:rPr>
              <w:t>产生的边角料经</w:t>
            </w:r>
            <w:r>
              <w:rPr>
                <w:rFonts w:hint="default" w:ascii="Times New Roman" w:hAnsi="Times New Roman" w:eastAsia="宋体" w:cs="Times New Roman"/>
                <w:color w:val="auto"/>
                <w:kern w:val="0"/>
                <w:sz w:val="24"/>
                <w:szCs w:val="24"/>
                <w:highlight w:val="none"/>
                <w:lang w:eastAsia="zh-CN" w:bidi="ar"/>
              </w:rPr>
              <w:t>碎料机</w:t>
            </w:r>
            <w:r>
              <w:rPr>
                <w:rFonts w:hint="default" w:ascii="Times New Roman" w:hAnsi="Times New Roman" w:eastAsia="宋体" w:cs="Times New Roman"/>
                <w:color w:val="auto"/>
                <w:kern w:val="0"/>
                <w:sz w:val="24"/>
                <w:szCs w:val="24"/>
                <w:highlight w:val="none"/>
                <w:lang w:bidi="ar"/>
              </w:rPr>
              <w:t>破碎后回收</w:t>
            </w:r>
            <w:r>
              <w:rPr>
                <w:rFonts w:hint="default" w:ascii="Times New Roman" w:hAnsi="Times New Roman" w:eastAsia="宋体" w:cs="Times New Roman"/>
                <w:color w:val="auto"/>
                <w:kern w:val="0"/>
                <w:sz w:val="24"/>
                <w:szCs w:val="24"/>
                <w:highlight w:val="none"/>
                <w:lang w:val="en-US" w:eastAsia="zh-CN" w:bidi="ar"/>
              </w:rPr>
              <w:t>利用，</w:t>
            </w:r>
            <w:r>
              <w:rPr>
                <w:rFonts w:hint="default" w:ascii="Times New Roman" w:hAnsi="Times New Roman" w:eastAsia="宋体" w:cs="Times New Roman"/>
                <w:color w:val="auto"/>
                <w:kern w:val="0"/>
                <w:sz w:val="24"/>
                <w:szCs w:val="24"/>
                <w:highlight w:val="none"/>
                <w:lang w:bidi="ar"/>
              </w:rPr>
              <w:t>根据项目现有生产情况，本项目</w:t>
            </w:r>
            <w:r>
              <w:rPr>
                <w:rFonts w:hint="default" w:ascii="Times New Roman" w:hAnsi="Times New Roman" w:cs="Times New Roman"/>
                <w:color w:val="auto"/>
                <w:kern w:val="0"/>
                <w:sz w:val="24"/>
                <w:szCs w:val="24"/>
                <w:highlight w:val="none"/>
                <w:lang w:eastAsia="zh-CN" w:bidi="ar"/>
              </w:rPr>
              <w:t>进入</w:t>
            </w:r>
            <w:r>
              <w:rPr>
                <w:rFonts w:hint="default" w:ascii="Times New Roman" w:hAnsi="Times New Roman" w:eastAsia="宋体" w:cs="Times New Roman"/>
                <w:color w:val="auto"/>
                <w:kern w:val="0"/>
                <w:sz w:val="24"/>
                <w:szCs w:val="24"/>
                <w:highlight w:val="none"/>
                <w:lang w:bidi="ar"/>
              </w:rPr>
              <w:t>破碎</w:t>
            </w:r>
            <w:r>
              <w:rPr>
                <w:rFonts w:hint="default" w:ascii="Times New Roman" w:hAnsi="Times New Roman" w:eastAsia="宋体" w:cs="Times New Roman"/>
                <w:color w:val="auto"/>
                <w:kern w:val="0"/>
                <w:sz w:val="24"/>
                <w:szCs w:val="24"/>
                <w:highlight w:val="none"/>
                <w:lang w:val="en-US" w:eastAsia="zh-CN" w:bidi="ar"/>
              </w:rPr>
              <w:t>工序</w:t>
            </w:r>
            <w:r>
              <w:rPr>
                <w:rFonts w:hint="default" w:ascii="Times New Roman" w:hAnsi="Times New Roman" w:eastAsia="宋体" w:cs="Times New Roman"/>
                <w:color w:val="auto"/>
                <w:kern w:val="0"/>
                <w:sz w:val="24"/>
                <w:szCs w:val="24"/>
                <w:highlight w:val="none"/>
                <w:lang w:bidi="ar"/>
              </w:rPr>
              <w:t>的塑料边角料和不合格品约</w:t>
            </w:r>
            <w:r>
              <w:rPr>
                <w:rFonts w:hint="default" w:ascii="Times New Roman" w:hAnsi="Times New Roman" w:eastAsia="宋体" w:cs="Times New Roman"/>
                <w:color w:val="auto"/>
                <w:kern w:val="0"/>
                <w:sz w:val="24"/>
                <w:szCs w:val="24"/>
                <w:highlight w:val="none"/>
                <w:lang w:val="en-US" w:eastAsia="zh-CN" w:bidi="ar"/>
              </w:rPr>
              <w:t>占产品的5</w:t>
            </w:r>
            <w:r>
              <w:rPr>
                <w:rFonts w:hint="default" w:ascii="Times New Roman" w:hAnsi="Times New Roman" w:eastAsia="宋体" w:cs="Times New Roman"/>
                <w:color w:val="auto"/>
                <w:kern w:val="0"/>
                <w:sz w:val="24"/>
                <w:szCs w:val="24"/>
                <w:highlight w:val="none"/>
                <w:lang w:bidi="ar"/>
              </w:rPr>
              <w:t>%，本</w:t>
            </w:r>
            <w:r>
              <w:rPr>
                <w:rFonts w:hint="default" w:ascii="Times New Roman" w:hAnsi="Times New Roman" w:eastAsia="宋体" w:cs="Times New Roman"/>
                <w:color w:val="auto"/>
                <w:kern w:val="0"/>
                <w:sz w:val="24"/>
                <w:szCs w:val="24"/>
                <w:highlight w:val="none"/>
                <w:lang w:val="en-US" w:eastAsia="zh-CN" w:bidi="ar"/>
              </w:rPr>
              <w:t>项目产品产量为</w:t>
            </w:r>
            <w:r>
              <w:rPr>
                <w:rFonts w:hint="default" w:ascii="Times New Roman" w:hAnsi="Times New Roman" w:cs="Times New Roman"/>
                <w:color w:val="auto"/>
                <w:kern w:val="0"/>
                <w:sz w:val="24"/>
                <w:szCs w:val="24"/>
                <w:highlight w:val="none"/>
                <w:lang w:val="en-US" w:eastAsia="zh-CN" w:bidi="ar"/>
              </w:rPr>
              <w:t>96</w:t>
            </w:r>
            <w:r>
              <w:rPr>
                <w:rFonts w:hint="default" w:ascii="Times New Roman" w:hAnsi="Times New Roman" w:eastAsia="宋体" w:cs="Times New Roman"/>
                <w:color w:val="auto"/>
                <w:kern w:val="0"/>
                <w:sz w:val="24"/>
                <w:szCs w:val="24"/>
                <w:highlight w:val="none"/>
                <w:lang w:bidi="ar"/>
              </w:rPr>
              <w:t>t/a，则需进行破碎的塑料量为</w:t>
            </w:r>
            <w:r>
              <w:rPr>
                <w:rFonts w:hint="default" w:ascii="Times New Roman" w:hAnsi="Times New Roman" w:cs="Times New Roman"/>
                <w:color w:val="auto"/>
                <w:kern w:val="0"/>
                <w:sz w:val="24"/>
                <w:szCs w:val="24"/>
                <w:highlight w:val="none"/>
                <w:lang w:val="en-US" w:eastAsia="zh-CN" w:bidi="ar"/>
              </w:rPr>
              <w:t>4.8</w:t>
            </w:r>
            <w:r>
              <w:rPr>
                <w:rFonts w:hint="default" w:ascii="Times New Roman" w:hAnsi="Times New Roman" w:eastAsia="宋体" w:cs="Times New Roman"/>
                <w:color w:val="auto"/>
                <w:kern w:val="0"/>
                <w:sz w:val="24"/>
                <w:szCs w:val="24"/>
                <w:highlight w:val="none"/>
                <w:lang w:bidi="ar"/>
              </w:rPr>
              <w:t>t/a</w:t>
            </w:r>
            <w:r>
              <w:rPr>
                <w:rFonts w:hint="default" w:ascii="Times New Roman" w:hAnsi="Times New Roman" w:eastAsia="宋体" w:cs="Times New Roman"/>
                <w:color w:val="auto"/>
                <w:kern w:val="0"/>
                <w:sz w:val="24"/>
                <w:szCs w:val="24"/>
                <w:highlight w:val="none"/>
                <w:lang w:eastAsia="zh-CN" w:bidi="ar"/>
              </w:rPr>
              <w:t>。由于边角料</w:t>
            </w:r>
            <w:r>
              <w:rPr>
                <w:rFonts w:hint="default" w:ascii="Times New Roman" w:hAnsi="Times New Roman" w:eastAsia="宋体" w:cs="Times New Roman"/>
                <w:color w:val="auto"/>
                <w:kern w:val="0"/>
                <w:sz w:val="24"/>
                <w:szCs w:val="24"/>
                <w:highlight w:val="none"/>
                <w:lang w:val="en-US" w:eastAsia="zh-CN" w:bidi="ar"/>
              </w:rPr>
              <w:t>及不合格品</w:t>
            </w:r>
            <w:r>
              <w:rPr>
                <w:rFonts w:hint="default" w:ascii="Times New Roman" w:hAnsi="Times New Roman" w:eastAsia="宋体" w:cs="Times New Roman"/>
                <w:color w:val="auto"/>
                <w:kern w:val="0"/>
                <w:sz w:val="24"/>
                <w:szCs w:val="24"/>
                <w:highlight w:val="none"/>
                <w:lang w:eastAsia="zh-CN" w:bidi="ar"/>
              </w:rPr>
              <w:t>经粉碎机破碎的粒径较大，且碎料机在运行过程中均处于半密闭状态，破碎过程粉尘产生量参考《排放源统计调查产排污核算方法和系数手册》中42废弃资源综合利用行业系数手册中产生系数，表4220非金属废料和碎屑加工处理行业一原料废PE/PP-</w:t>
            </w:r>
            <w:r>
              <w:rPr>
                <w:rFonts w:hint="default" w:ascii="Times New Roman" w:hAnsi="Times New Roman" w:eastAsia="宋体" w:cs="Times New Roman"/>
                <w:color w:val="auto"/>
                <w:kern w:val="0"/>
                <w:sz w:val="24"/>
                <w:szCs w:val="24"/>
                <w:highlight w:val="none"/>
                <w:lang w:val="en-US" w:eastAsia="zh-CN" w:bidi="ar"/>
              </w:rPr>
              <w:t>干法破碎</w:t>
            </w:r>
            <w:r>
              <w:rPr>
                <w:rFonts w:hint="default" w:ascii="Times New Roman" w:hAnsi="Times New Roman" w:eastAsia="宋体" w:cs="Times New Roman"/>
                <w:color w:val="auto"/>
                <w:kern w:val="0"/>
                <w:sz w:val="24"/>
                <w:szCs w:val="24"/>
                <w:highlight w:val="none"/>
                <w:lang w:eastAsia="zh-CN" w:bidi="ar"/>
              </w:rPr>
              <w:t>-颗粒物产污系数为</w:t>
            </w:r>
            <w:r>
              <w:rPr>
                <w:rFonts w:hint="default" w:ascii="Times New Roman" w:hAnsi="Times New Roman" w:eastAsia="宋体" w:cs="Times New Roman"/>
                <w:color w:val="auto"/>
                <w:kern w:val="0"/>
                <w:sz w:val="24"/>
                <w:szCs w:val="24"/>
                <w:highlight w:val="none"/>
                <w:lang w:val="en-US" w:eastAsia="zh-CN" w:bidi="ar"/>
              </w:rPr>
              <w:t>375</w:t>
            </w:r>
            <w:r>
              <w:rPr>
                <w:rFonts w:hint="default" w:ascii="Times New Roman" w:hAnsi="Times New Roman" w:eastAsia="宋体" w:cs="Times New Roman"/>
                <w:color w:val="auto"/>
                <w:kern w:val="0"/>
                <w:sz w:val="24"/>
                <w:szCs w:val="24"/>
                <w:highlight w:val="none"/>
                <w:lang w:eastAsia="zh-CN" w:bidi="ar"/>
              </w:rPr>
              <w:t>g/</w:t>
            </w:r>
            <w:r>
              <w:rPr>
                <w:rFonts w:hint="default" w:ascii="Times New Roman" w:hAnsi="Times New Roman" w:eastAsia="宋体" w:cs="Times New Roman"/>
                <w:color w:val="auto"/>
                <w:kern w:val="0"/>
                <w:sz w:val="24"/>
                <w:szCs w:val="24"/>
                <w:highlight w:val="none"/>
                <w:lang w:val="en-US" w:eastAsia="zh-CN" w:bidi="ar"/>
              </w:rPr>
              <w:t>t</w:t>
            </w:r>
            <w:r>
              <w:rPr>
                <w:rFonts w:hint="default" w:ascii="Times New Roman" w:hAnsi="Times New Roman" w:eastAsia="宋体" w:cs="Times New Roman"/>
                <w:color w:val="auto"/>
                <w:kern w:val="0"/>
                <w:sz w:val="24"/>
                <w:szCs w:val="24"/>
                <w:highlight w:val="none"/>
                <w:lang w:eastAsia="zh-CN" w:bidi="ar"/>
              </w:rPr>
              <w:t>-原料计，则粉尘产生量为</w:t>
            </w:r>
            <w:r>
              <w:rPr>
                <w:rFonts w:hint="default" w:ascii="Times New Roman" w:hAnsi="Times New Roman" w:eastAsia="宋体" w:cs="Times New Roman"/>
                <w:color w:val="auto"/>
                <w:kern w:val="0"/>
                <w:sz w:val="24"/>
                <w:szCs w:val="24"/>
                <w:highlight w:val="none"/>
                <w:lang w:val="en-US" w:eastAsia="zh-CN" w:bidi="ar"/>
              </w:rPr>
              <w:t>0.00</w:t>
            </w:r>
            <w:r>
              <w:rPr>
                <w:rFonts w:hint="default" w:ascii="Times New Roman" w:hAnsi="Times New Roman" w:cs="Times New Roman"/>
                <w:color w:val="auto"/>
                <w:kern w:val="0"/>
                <w:sz w:val="24"/>
                <w:szCs w:val="24"/>
                <w:highlight w:val="none"/>
                <w:lang w:val="en-US" w:eastAsia="zh-CN" w:bidi="ar"/>
              </w:rPr>
              <w:t>18</w:t>
            </w:r>
            <w:r>
              <w:rPr>
                <w:rFonts w:hint="default" w:ascii="Times New Roman" w:hAnsi="Times New Roman" w:eastAsia="宋体" w:cs="Times New Roman"/>
                <w:color w:val="auto"/>
                <w:kern w:val="0"/>
                <w:sz w:val="24"/>
                <w:szCs w:val="24"/>
                <w:highlight w:val="none"/>
                <w:lang w:val="en-US" w:eastAsia="zh-CN" w:bidi="ar"/>
              </w:rPr>
              <w:t>t</w:t>
            </w:r>
            <w:r>
              <w:rPr>
                <w:rFonts w:hint="default" w:ascii="Times New Roman" w:hAnsi="Times New Roman" w:eastAsia="宋体" w:cs="Times New Roman"/>
                <w:color w:val="auto"/>
                <w:kern w:val="0"/>
                <w:sz w:val="24"/>
                <w:szCs w:val="24"/>
                <w:highlight w:val="none"/>
                <w:lang w:eastAsia="zh-CN" w:bidi="ar"/>
              </w:rPr>
              <w:t>/a，</w:t>
            </w:r>
            <w:r>
              <w:rPr>
                <w:rFonts w:hint="default" w:ascii="Times New Roman" w:hAnsi="Times New Roman" w:eastAsia="宋体" w:cs="Times New Roman"/>
                <w:color w:val="auto"/>
                <w:kern w:val="0"/>
                <w:sz w:val="24"/>
                <w:szCs w:val="24"/>
                <w:highlight w:val="none"/>
                <w:lang w:val="en-US" w:eastAsia="zh-CN" w:bidi="ar"/>
              </w:rPr>
              <w:t>本项目碎料机运行时间为150天，2小时/天，产生速率为0.0</w:t>
            </w:r>
            <w:r>
              <w:rPr>
                <w:rFonts w:hint="default" w:ascii="Times New Roman" w:hAnsi="Times New Roman" w:cs="Times New Roman"/>
                <w:color w:val="auto"/>
                <w:kern w:val="0"/>
                <w:sz w:val="24"/>
                <w:szCs w:val="24"/>
                <w:highlight w:val="none"/>
                <w:lang w:val="en-US" w:eastAsia="zh-CN" w:bidi="ar"/>
              </w:rPr>
              <w:t>06</w:t>
            </w:r>
            <w:r>
              <w:rPr>
                <w:rFonts w:hint="default" w:ascii="Times New Roman" w:hAnsi="Times New Roman" w:eastAsia="宋体" w:cs="Times New Roman"/>
                <w:color w:val="auto"/>
                <w:kern w:val="0"/>
                <w:sz w:val="24"/>
                <w:szCs w:val="24"/>
                <w:highlight w:val="none"/>
                <w:lang w:val="en-US" w:eastAsia="zh-CN" w:bidi="ar"/>
              </w:rPr>
              <w:t>kg/h</w:t>
            </w:r>
            <w:r>
              <w:rPr>
                <w:rFonts w:hint="default" w:ascii="Times New Roman" w:hAnsi="Times New Roman" w:eastAsia="宋体" w:cs="Times New Roman"/>
                <w:color w:val="auto"/>
                <w:kern w:val="0"/>
                <w:sz w:val="24"/>
                <w:szCs w:val="24"/>
                <w:highlight w:val="none"/>
                <w:lang w:eastAsia="zh-CN" w:bidi="ar"/>
              </w:rPr>
              <w:t>。</w:t>
            </w:r>
          </w:p>
          <w:p w14:paraId="06D91FB3">
            <w:pPr>
              <w:widowControl/>
              <w:spacing w:line="360" w:lineRule="auto"/>
              <w:ind w:firstLine="480" w:firstLineChars="200"/>
              <w:rPr>
                <w:rFonts w:hint="default" w:ascii="Times New Roman" w:hAnsi="Times New Roman" w:eastAsia="宋体" w:cs="Times New Roman"/>
                <w:color w:val="auto"/>
                <w:kern w:val="0"/>
                <w:sz w:val="24"/>
                <w:szCs w:val="24"/>
                <w:highlight w:val="none"/>
                <w:lang w:bidi="ar"/>
              </w:rPr>
            </w:pPr>
            <w:r>
              <w:rPr>
                <w:rFonts w:hint="default" w:ascii="Times New Roman" w:hAnsi="Times New Roman" w:eastAsia="宋体" w:cs="Times New Roman"/>
                <w:color w:val="auto"/>
                <w:kern w:val="0"/>
                <w:sz w:val="24"/>
                <w:szCs w:val="24"/>
                <w:highlight w:val="none"/>
                <w:lang w:eastAsia="zh-CN" w:bidi="ar"/>
              </w:rPr>
              <w:t>根据</w:t>
            </w:r>
            <w:r>
              <w:rPr>
                <w:rFonts w:hint="default" w:ascii="Times New Roman" w:hAnsi="Times New Roman" w:eastAsia="宋体" w:cs="Times New Roman"/>
                <w:color w:val="auto"/>
                <w:kern w:val="0"/>
                <w:sz w:val="24"/>
                <w:szCs w:val="24"/>
                <w:highlight w:val="none"/>
                <w:lang w:val="en-US" w:eastAsia="zh-CN" w:bidi="ar"/>
              </w:rPr>
              <w:t>《未纳入排污许可管理行业适用的排污系数、物料衡算方法（试行）》可知，木工粉尘的沉降率为85%，</w:t>
            </w:r>
            <w:r>
              <w:rPr>
                <w:rFonts w:hint="default" w:ascii="Times New Roman" w:hAnsi="Times New Roman" w:eastAsia="宋体" w:cs="Times New Roman"/>
                <w:color w:val="auto"/>
                <w:kern w:val="0"/>
                <w:sz w:val="24"/>
                <w:szCs w:val="24"/>
                <w:highlight w:val="none"/>
                <w:lang w:eastAsia="zh-CN" w:bidi="ar"/>
              </w:rPr>
              <w:t>塑料比重大于木材，本项目破碎工序产生的粉尘较木质粉尘更易沉降，沉降率仍按85%计算，</w:t>
            </w:r>
            <w:r>
              <w:rPr>
                <w:rFonts w:hint="default" w:ascii="Times New Roman" w:hAnsi="Times New Roman" w:eastAsia="宋体" w:cs="Times New Roman"/>
                <w:color w:val="auto"/>
                <w:kern w:val="0"/>
                <w:sz w:val="24"/>
                <w:szCs w:val="24"/>
                <w:highlight w:val="none"/>
                <w:lang w:val="en-US" w:eastAsia="zh-CN" w:bidi="ar"/>
              </w:rPr>
              <w:t>则塑料粉尘排放量为</w:t>
            </w:r>
            <w:r>
              <w:rPr>
                <w:rFonts w:hint="default" w:ascii="Times New Roman" w:hAnsi="Times New Roman" w:cs="Times New Roman"/>
                <w:color w:val="auto"/>
                <w:kern w:val="0"/>
                <w:sz w:val="24"/>
                <w:szCs w:val="24"/>
                <w:highlight w:val="none"/>
                <w:lang w:val="en-US" w:eastAsia="zh-CN" w:bidi="ar"/>
              </w:rPr>
              <w:t>0.0003</w:t>
            </w:r>
            <w:r>
              <w:rPr>
                <w:rFonts w:hint="default" w:ascii="Times New Roman" w:hAnsi="Times New Roman" w:eastAsia="宋体" w:cs="Times New Roman"/>
                <w:color w:val="auto"/>
                <w:kern w:val="0"/>
                <w:sz w:val="24"/>
                <w:szCs w:val="24"/>
                <w:highlight w:val="none"/>
                <w:lang w:val="en-US" w:eastAsia="zh-CN" w:bidi="ar"/>
              </w:rPr>
              <w:t>t/a，排放速率为0.00</w:t>
            </w:r>
            <w:r>
              <w:rPr>
                <w:rFonts w:hint="default" w:ascii="Times New Roman" w:hAnsi="Times New Roman"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kg/h</w:t>
            </w:r>
            <w:r>
              <w:rPr>
                <w:rFonts w:hint="default" w:ascii="Times New Roman" w:hAnsi="Times New Roman" w:eastAsia="宋体" w:cs="Times New Roman"/>
                <w:color w:val="auto"/>
                <w:kern w:val="0"/>
                <w:sz w:val="24"/>
                <w:szCs w:val="24"/>
                <w:highlight w:val="none"/>
                <w:lang w:eastAsia="zh-CN" w:bidi="ar"/>
              </w:rPr>
              <w:t>。通过加强厂内通风、设备加盖密闭的措施后</w:t>
            </w:r>
            <w:r>
              <w:rPr>
                <w:rFonts w:hint="default" w:ascii="Times New Roman" w:hAnsi="Times New Roman" w:cs="Times New Roman"/>
                <w:color w:val="auto"/>
                <w:kern w:val="0"/>
                <w:sz w:val="24"/>
                <w:szCs w:val="24"/>
                <w:highlight w:val="none"/>
                <w:lang w:val="en-US" w:eastAsia="zh-CN" w:bidi="ar"/>
              </w:rPr>
              <w:t>对环境影响较小</w:t>
            </w:r>
            <w:r>
              <w:rPr>
                <w:rFonts w:hint="default" w:ascii="Times New Roman" w:hAnsi="Times New Roman" w:eastAsia="宋体" w:cs="Times New Roman"/>
                <w:color w:val="auto"/>
                <w:kern w:val="0"/>
                <w:sz w:val="24"/>
                <w:szCs w:val="24"/>
                <w:highlight w:val="none"/>
                <w:lang w:eastAsia="zh-CN" w:bidi="ar"/>
              </w:rPr>
              <w:t>。</w:t>
            </w:r>
          </w:p>
          <w:p w14:paraId="4C7EA6EE">
            <w:pPr>
              <w:spacing w:line="360" w:lineRule="auto"/>
              <w:ind w:firstLine="480" w:firstLineChars="200"/>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eastAsia="宋体" w:cs="Times New Roman"/>
                <w:color w:val="auto"/>
                <w:kern w:val="0"/>
                <w:sz w:val="24"/>
                <w:szCs w:val="24"/>
                <w:highlight w:val="none"/>
                <w:lang w:bidi="ar"/>
              </w:rPr>
              <w:t>②</w:t>
            </w:r>
            <w:r>
              <w:rPr>
                <w:rFonts w:hint="default" w:ascii="Times New Roman" w:hAnsi="Times New Roman" w:eastAsia="宋体" w:cs="Times New Roman"/>
                <w:color w:val="auto"/>
                <w:kern w:val="0"/>
                <w:sz w:val="24"/>
                <w:szCs w:val="24"/>
                <w:highlight w:val="none"/>
                <w:lang w:eastAsia="zh-CN" w:bidi="ar"/>
              </w:rPr>
              <w:t>切割</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val="en-US" w:eastAsia="zh-CN" w:bidi="ar"/>
              </w:rPr>
              <w:t>打粒、</w:t>
            </w:r>
            <w:r>
              <w:rPr>
                <w:rFonts w:hint="default" w:ascii="Times New Roman" w:hAnsi="Times New Roman" w:cs="Times New Roman"/>
                <w:color w:val="auto"/>
                <w:kern w:val="0"/>
                <w:sz w:val="24"/>
                <w:szCs w:val="24"/>
                <w:highlight w:val="none"/>
                <w:lang w:eastAsia="zh-CN" w:bidi="ar"/>
              </w:rPr>
              <w:t>磨边</w:t>
            </w:r>
            <w:r>
              <w:rPr>
                <w:rFonts w:hint="default" w:ascii="Times New Roman" w:hAnsi="Times New Roman" w:eastAsia="宋体" w:cs="Times New Roman"/>
                <w:color w:val="auto"/>
                <w:kern w:val="0"/>
                <w:sz w:val="24"/>
                <w:szCs w:val="24"/>
                <w:highlight w:val="none"/>
                <w:lang w:eastAsia="zh-CN" w:bidi="ar"/>
              </w:rPr>
              <w:t>粉尘</w:t>
            </w:r>
          </w:p>
          <w:p w14:paraId="7209E468">
            <w:pPr>
              <w:widowControl/>
              <w:spacing w:line="360" w:lineRule="auto"/>
              <w:ind w:firstLine="480" w:firstLineChars="200"/>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ITO玻璃切割工序</w:t>
            </w:r>
            <w:r>
              <w:rPr>
                <w:rFonts w:hint="default" w:ascii="Times New Roman" w:hAnsi="Times New Roman" w:cs="Times New Roman"/>
                <w:color w:val="auto"/>
                <w:kern w:val="0"/>
                <w:sz w:val="24"/>
                <w:szCs w:val="24"/>
                <w:highlight w:val="none"/>
                <w:lang w:val="en-US" w:eastAsia="zh-CN" w:bidi="ar"/>
              </w:rPr>
              <w:t>主要通过机器切割一条纹路，再通过人工将玻璃掰断，产生的粉尘量较少</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且沉降于工位周围</w:t>
            </w:r>
            <w:r>
              <w:rPr>
                <w:rFonts w:hint="eastAsia" w:cs="Times New Roman"/>
                <w:color w:val="auto"/>
                <w:kern w:val="0"/>
                <w:sz w:val="24"/>
                <w:szCs w:val="24"/>
                <w:highlight w:val="none"/>
                <w:lang w:val="en-US" w:eastAsia="zh-CN" w:bidi="ar"/>
              </w:rPr>
              <w:t>；</w:t>
            </w:r>
            <w:r>
              <w:rPr>
                <w:rFonts w:hint="default" w:ascii="Times New Roman" w:hAnsi="Times New Roman" w:cs="Times New Roman" w:eastAsiaTheme="minorEastAsia"/>
                <w:b w:val="0"/>
                <w:bCs w:val="0"/>
                <w:color w:val="auto"/>
                <w:spacing w:val="-6"/>
                <w:sz w:val="24"/>
                <w:highlight w:val="none"/>
                <w:lang w:val="en-US" w:eastAsia="zh-CN"/>
              </w:rPr>
              <w:t>ITO组合片</w:t>
            </w:r>
            <w:r>
              <w:rPr>
                <w:rFonts w:hint="eastAsia" w:cs="Times New Roman" w:eastAsiaTheme="minorEastAsia"/>
                <w:b w:val="0"/>
                <w:bCs w:val="0"/>
                <w:color w:val="auto"/>
                <w:spacing w:val="-6"/>
                <w:sz w:val="24"/>
                <w:highlight w:val="none"/>
                <w:lang w:val="en-US" w:eastAsia="zh-CN"/>
              </w:rPr>
              <w:t>放入</w:t>
            </w:r>
            <w:r>
              <w:rPr>
                <w:rFonts w:hint="default" w:ascii="Times New Roman" w:hAnsi="Times New Roman" w:cs="Times New Roman" w:eastAsiaTheme="minorEastAsia"/>
                <w:b w:val="0"/>
                <w:bCs w:val="0"/>
                <w:color w:val="auto"/>
                <w:spacing w:val="-6"/>
                <w:sz w:val="24"/>
                <w:highlight w:val="none"/>
                <w:lang w:val="en-US" w:eastAsia="zh-CN"/>
              </w:rPr>
              <w:t>打粒机</w:t>
            </w:r>
            <w:r>
              <w:rPr>
                <w:rFonts w:hint="eastAsia" w:cs="Times New Roman" w:eastAsiaTheme="minorEastAsia"/>
                <w:b w:val="0"/>
                <w:bCs w:val="0"/>
                <w:color w:val="auto"/>
                <w:spacing w:val="-6"/>
                <w:sz w:val="24"/>
                <w:highlight w:val="none"/>
                <w:lang w:val="en-US" w:eastAsia="zh-CN"/>
              </w:rPr>
              <w:t>打粒得到大颗粒，</w:t>
            </w:r>
            <w:r>
              <w:rPr>
                <w:rFonts w:hint="default" w:ascii="Times New Roman" w:hAnsi="Times New Roman" w:cs="Times New Roman"/>
                <w:color w:val="auto"/>
                <w:kern w:val="0"/>
                <w:sz w:val="24"/>
                <w:szCs w:val="24"/>
                <w:highlight w:val="none"/>
                <w:lang w:val="en-US" w:eastAsia="zh-CN" w:bidi="ar"/>
              </w:rPr>
              <w:t>该</w:t>
            </w:r>
            <w:r>
              <w:rPr>
                <w:rFonts w:hint="eastAsia" w:cs="Times New Roman" w:eastAsiaTheme="minorEastAsia"/>
                <w:b w:val="0"/>
                <w:bCs w:val="0"/>
                <w:color w:val="auto"/>
                <w:spacing w:val="-6"/>
                <w:sz w:val="24"/>
                <w:highlight w:val="none"/>
                <w:lang w:val="en-US" w:eastAsia="zh-CN"/>
              </w:rPr>
              <w:t>过程产生粉尘量较少，且需盖上操作盖后启动，</w:t>
            </w:r>
            <w:r>
              <w:rPr>
                <w:rFonts w:hint="eastAsia"/>
                <w:color w:val="auto"/>
                <w:sz w:val="24"/>
                <w:lang w:val="en-US" w:eastAsia="zh-CN"/>
              </w:rPr>
              <w:t>粉尘沉降于打粒机内部及工位周围。由于切割、打粒工序粉尘产生量较少，</w:t>
            </w:r>
            <w:r>
              <w:rPr>
                <w:rFonts w:hint="default" w:ascii="Times New Roman" w:hAnsi="Times New Roman" w:cs="Times New Roman"/>
                <w:color w:val="auto"/>
                <w:kern w:val="0"/>
                <w:sz w:val="24"/>
                <w:szCs w:val="24"/>
                <w:highlight w:val="none"/>
                <w:lang w:val="en-US" w:eastAsia="zh-CN" w:bidi="ar"/>
              </w:rPr>
              <w:t>因此不进行定量分析</w:t>
            </w:r>
            <w:r>
              <w:rPr>
                <w:rFonts w:hint="eastAsia" w:cs="Times New Roman"/>
                <w:color w:val="auto"/>
                <w:kern w:val="0"/>
                <w:sz w:val="24"/>
                <w:szCs w:val="24"/>
                <w:highlight w:val="none"/>
                <w:lang w:val="en-US" w:eastAsia="zh-CN" w:bidi="ar"/>
              </w:rPr>
              <w:t>，该部分粉尘经沉降后对周围环境影响较小</w:t>
            </w:r>
            <w:r>
              <w:rPr>
                <w:rFonts w:hint="default" w:ascii="Times New Roman" w:hAnsi="Times New Roman" w:cs="Times New Roman"/>
                <w:color w:val="auto"/>
                <w:kern w:val="0"/>
                <w:sz w:val="24"/>
                <w:szCs w:val="24"/>
                <w:highlight w:val="none"/>
                <w:lang w:val="en-US" w:eastAsia="zh-CN" w:bidi="ar"/>
              </w:rPr>
              <w:t>。</w:t>
            </w:r>
          </w:p>
          <w:p w14:paraId="2A0C2E68">
            <w:pPr>
              <w:widowControl/>
              <w:spacing w:line="360" w:lineRule="auto"/>
              <w:ind w:firstLine="480" w:firstLineChars="200"/>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磨边工序为湿法打磨，磨边粉尘均被水捕捉，因此不产生逸散粉尘，捕捉粉尘作为废渣</w:t>
            </w:r>
            <w:r>
              <w:rPr>
                <w:rFonts w:hint="default" w:ascii="Times New Roman" w:hAnsi="Times New Roman" w:cs="Times New Roman" w:eastAsiaTheme="minorEastAsia"/>
                <w:color w:val="auto"/>
                <w:sz w:val="24"/>
                <w:szCs w:val="24"/>
                <w:highlight w:val="none"/>
                <w:lang w:val="en-US" w:eastAsia="zh-CN"/>
              </w:rPr>
              <w:t>交由物资回收单位处理</w:t>
            </w:r>
            <w:r>
              <w:rPr>
                <w:rFonts w:hint="default" w:ascii="Times New Roman" w:hAnsi="Times New Roman" w:cs="Times New Roman"/>
                <w:color w:val="auto"/>
                <w:kern w:val="0"/>
                <w:sz w:val="24"/>
                <w:szCs w:val="24"/>
                <w:highlight w:val="none"/>
                <w:lang w:val="en-US" w:eastAsia="zh-CN" w:bidi="ar"/>
              </w:rPr>
              <w:t>。40万平方米ITO</w:t>
            </w:r>
            <w:r>
              <w:rPr>
                <w:rFonts w:hint="default" w:ascii="Times New Roman" w:hAnsi="Times New Roman" w:eastAsia="宋体" w:cs="Times New Roman"/>
                <w:color w:val="auto"/>
                <w:kern w:val="0"/>
                <w:sz w:val="24"/>
                <w:szCs w:val="24"/>
                <w:highlight w:val="none"/>
                <w:lang w:val="en-US" w:eastAsia="zh-CN" w:bidi="ar"/>
              </w:rPr>
              <w:t>玻璃</w:t>
            </w:r>
            <w:r>
              <w:rPr>
                <w:rFonts w:hint="default" w:ascii="Times New Roman" w:hAnsi="Times New Roman" w:cs="Times New Roman"/>
                <w:color w:val="auto"/>
                <w:kern w:val="0"/>
                <w:sz w:val="24"/>
                <w:szCs w:val="24"/>
                <w:highlight w:val="none"/>
                <w:lang w:val="en-US" w:eastAsia="zh-CN" w:bidi="ar"/>
              </w:rPr>
              <w:t>折算</w:t>
            </w:r>
            <w:r>
              <w:rPr>
                <w:rFonts w:hint="default" w:ascii="Times New Roman" w:hAnsi="Times New Roman" w:eastAsia="宋体" w:cs="Times New Roman"/>
                <w:color w:val="auto"/>
                <w:kern w:val="0"/>
                <w:sz w:val="24"/>
                <w:szCs w:val="24"/>
                <w:highlight w:val="none"/>
                <w:lang w:val="en-US" w:eastAsia="zh-CN" w:bidi="ar"/>
              </w:rPr>
              <w:t>用量为</w:t>
            </w:r>
            <w:r>
              <w:rPr>
                <w:rFonts w:hint="default" w:ascii="Times New Roman" w:hAnsi="Times New Roman" w:cs="Times New Roman"/>
                <w:color w:val="auto"/>
                <w:kern w:val="0"/>
                <w:sz w:val="24"/>
                <w:szCs w:val="24"/>
                <w:highlight w:val="none"/>
                <w:lang w:val="en-US" w:eastAsia="zh-CN" w:bidi="ar"/>
              </w:rPr>
              <w:t>11</w:t>
            </w:r>
            <w:r>
              <w:rPr>
                <w:rFonts w:hint="default" w:ascii="Times New Roman" w:hAnsi="Times New Roman" w:eastAsia="宋体" w:cs="Times New Roman"/>
                <w:color w:val="auto"/>
                <w:kern w:val="0"/>
                <w:sz w:val="24"/>
                <w:szCs w:val="24"/>
                <w:highlight w:val="none"/>
                <w:lang w:val="en-US" w:eastAsia="zh-CN" w:bidi="ar"/>
              </w:rPr>
              <w:t>00t/a，颗粒物的产生量参照同行业1.0kg/t-原料，经计算玻璃</w:t>
            </w:r>
            <w:r>
              <w:rPr>
                <w:rFonts w:hint="default" w:ascii="Times New Roman" w:hAnsi="Times New Roman" w:cs="Times New Roman"/>
                <w:color w:val="auto"/>
                <w:kern w:val="0"/>
                <w:sz w:val="24"/>
                <w:szCs w:val="24"/>
                <w:highlight w:val="none"/>
                <w:lang w:val="en-US" w:eastAsia="zh-CN" w:bidi="ar"/>
              </w:rPr>
              <w:t>磨边</w:t>
            </w:r>
            <w:r>
              <w:rPr>
                <w:rFonts w:hint="default" w:ascii="Times New Roman" w:hAnsi="Times New Roman" w:eastAsia="宋体" w:cs="Times New Roman"/>
                <w:color w:val="auto"/>
                <w:kern w:val="0"/>
                <w:sz w:val="24"/>
                <w:szCs w:val="24"/>
                <w:highlight w:val="none"/>
                <w:lang w:val="en-US" w:eastAsia="zh-CN" w:bidi="ar"/>
              </w:rPr>
              <w:t>过程中</w:t>
            </w:r>
            <w:r>
              <w:rPr>
                <w:rFonts w:hint="default" w:ascii="Times New Roman" w:hAnsi="Times New Roman" w:cs="Times New Roman"/>
                <w:color w:val="auto"/>
                <w:kern w:val="0"/>
                <w:sz w:val="24"/>
                <w:szCs w:val="24"/>
                <w:highlight w:val="none"/>
                <w:lang w:val="en-US" w:eastAsia="zh-CN" w:bidi="ar"/>
              </w:rPr>
              <w:t>定期打捞废渣</w:t>
            </w:r>
            <w:r>
              <w:rPr>
                <w:rFonts w:hint="default" w:ascii="Times New Roman" w:hAnsi="Times New Roman" w:eastAsia="宋体" w:cs="Times New Roman"/>
                <w:color w:val="auto"/>
                <w:kern w:val="0"/>
                <w:sz w:val="24"/>
                <w:szCs w:val="24"/>
                <w:highlight w:val="none"/>
                <w:lang w:val="en-US" w:eastAsia="zh-CN" w:bidi="ar"/>
              </w:rPr>
              <w:t>产生量为</w:t>
            </w:r>
            <w:r>
              <w:rPr>
                <w:rFonts w:hint="default" w:ascii="Times New Roman" w:hAnsi="Times New Roman" w:cs="Times New Roman"/>
                <w:color w:val="auto"/>
                <w:kern w:val="0"/>
                <w:sz w:val="24"/>
                <w:szCs w:val="24"/>
                <w:highlight w:val="none"/>
                <w:lang w:val="en-US" w:eastAsia="zh-CN" w:bidi="ar"/>
              </w:rPr>
              <w:t>1.1</w:t>
            </w:r>
            <w:r>
              <w:rPr>
                <w:rFonts w:hint="default" w:ascii="Times New Roman" w:hAnsi="Times New Roman" w:eastAsia="宋体" w:cs="Times New Roman"/>
                <w:color w:val="auto"/>
                <w:kern w:val="0"/>
                <w:sz w:val="24"/>
                <w:szCs w:val="24"/>
                <w:highlight w:val="none"/>
                <w:lang w:val="en-US" w:eastAsia="zh-CN" w:bidi="ar"/>
              </w:rPr>
              <w:t>t/a</w:t>
            </w:r>
            <w:r>
              <w:rPr>
                <w:rFonts w:hint="default" w:ascii="Times New Roman" w:hAnsi="Times New Roman" w:cs="Times New Roman"/>
                <w:color w:val="auto"/>
                <w:kern w:val="0"/>
                <w:sz w:val="24"/>
                <w:szCs w:val="24"/>
                <w:highlight w:val="none"/>
                <w:lang w:val="en-US" w:eastAsia="zh-CN" w:bidi="ar"/>
              </w:rPr>
              <w:t>。</w:t>
            </w:r>
          </w:p>
          <w:p w14:paraId="55789B1F">
            <w:pPr>
              <w:widowControl/>
              <w:spacing w:line="360" w:lineRule="auto"/>
              <w:ind w:firstLine="482" w:firstLineChars="20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（3）臭气浓度</w:t>
            </w:r>
          </w:p>
          <w:p w14:paraId="20423951">
            <w:pPr>
              <w:widowControl/>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color w:val="auto"/>
                <w:sz w:val="24"/>
                <w:highlight w:val="none"/>
                <w:lang w:val="en-US" w:eastAsia="zh-CN"/>
              </w:rPr>
              <w:t>注塑、固化等</w:t>
            </w:r>
            <w:r>
              <w:rPr>
                <w:rFonts w:hint="default" w:ascii="Times New Roman" w:hAnsi="Times New Roman" w:cs="Times New Roman"/>
                <w:color w:val="auto"/>
                <w:sz w:val="24"/>
                <w:highlight w:val="none"/>
              </w:rPr>
              <w:t>生产过程中会产生轻微异味，以臭气浓度表征，</w:t>
            </w:r>
            <w:r>
              <w:rPr>
                <w:rFonts w:hint="default" w:ascii="Times New Roman" w:hAnsi="Times New Roman" w:cs="Times New Roman"/>
                <w:color w:val="auto"/>
                <w:sz w:val="24"/>
                <w:highlight w:val="none"/>
                <w:lang w:eastAsia="zh-CN"/>
              </w:rPr>
              <w:t>部分臭气收集</w:t>
            </w:r>
            <w:r>
              <w:rPr>
                <w:rFonts w:hint="default" w:ascii="Times New Roman" w:hAnsi="Times New Roman" w:cs="Times New Roman"/>
                <w:color w:val="auto"/>
                <w:sz w:val="24"/>
                <w:highlight w:val="none"/>
              </w:rPr>
              <w:t>处理后由排气筒排放，排放高度</w:t>
            </w:r>
            <w:r>
              <w:rPr>
                <w:rFonts w:hint="default" w:ascii="Times New Roman" w:hAnsi="Times New Roman" w:cs="Times New Roman"/>
                <w:color w:val="auto"/>
                <w:sz w:val="24"/>
                <w:highlight w:val="none"/>
                <w:lang w:val="en-US" w:eastAsia="zh-CN"/>
              </w:rPr>
              <w:t>均</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highlight w:val="none"/>
                <w:lang w:val="en-US" w:eastAsia="zh-CN"/>
              </w:rPr>
              <w:t>30m</w:t>
            </w:r>
            <w:r>
              <w:rPr>
                <w:rFonts w:hint="default" w:ascii="Times New Roman" w:hAnsi="Times New Roman" w:cs="Times New Roman"/>
                <w:color w:val="auto"/>
                <w:sz w:val="24"/>
                <w:highlight w:val="none"/>
              </w:rPr>
              <w:t>，少量未被收集的异味在车间无组织排放，臭气浓度的排放能够满足《恶臭污染物排放标准》（GB14554-93）表2恶臭污染物排放标准及表1新扩改建二级厂界标准值，生产异味对周边环境的影响不大</w:t>
            </w:r>
            <w:r>
              <w:rPr>
                <w:rFonts w:hint="default" w:ascii="Times New Roman" w:hAnsi="Times New Roman" w:cs="Times New Roman"/>
                <w:color w:val="auto"/>
                <w:sz w:val="24"/>
                <w:szCs w:val="24"/>
                <w:highlight w:val="none"/>
                <w:lang w:val="en-US" w:eastAsia="zh-CN"/>
              </w:rPr>
              <w:t>。</w:t>
            </w:r>
          </w:p>
          <w:p w14:paraId="20D9B4CF">
            <w:pPr>
              <w:spacing w:line="360" w:lineRule="auto"/>
              <w:ind w:firstLine="420" w:firstLineChars="200"/>
              <w:rPr>
                <w:rFonts w:hint="default" w:ascii="Times New Roman" w:hAnsi="Times New Roman" w:cs="Times New Roman"/>
                <w:color w:val="auto"/>
                <w:highlight w:val="none"/>
              </w:rPr>
            </w:pPr>
          </w:p>
        </w:tc>
      </w:tr>
    </w:tbl>
    <w:p w14:paraId="78810D55">
      <w:pPr>
        <w:adjustRightInd w:val="0"/>
        <w:snapToGrid w:val="0"/>
        <w:jc w:val="center"/>
        <w:rPr>
          <w:rFonts w:hint="default" w:ascii="Times New Roman" w:hAnsi="Times New Roman" w:cs="Times New Roman"/>
          <w:bCs/>
          <w:color w:val="auto"/>
          <w:szCs w:val="21"/>
          <w:highlight w:val="none"/>
        </w:rPr>
        <w:sectPr>
          <w:pgSz w:w="11907" w:h="16840"/>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05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9"/>
        <w:gridCol w:w="20988"/>
      </w:tblGrid>
      <w:tr w14:paraId="16121F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84" w:type="pct"/>
            <w:tcMar>
              <w:left w:w="28" w:type="dxa"/>
              <w:right w:w="28" w:type="dxa"/>
            </w:tcMar>
            <w:vAlign w:val="center"/>
          </w:tcPr>
          <w:p w14:paraId="465020D6">
            <w:pPr>
              <w:adjustRightInd w:val="0"/>
              <w:snapToGrid w:val="0"/>
              <w:jc w:val="center"/>
              <w:rPr>
                <w:rFonts w:hint="default" w:ascii="Times New Roman" w:hAnsi="Times New Roman" w:cs="Times New Roman"/>
                <w:bCs/>
                <w:color w:val="auto"/>
                <w:szCs w:val="21"/>
                <w:highlight w:val="none"/>
              </w:rPr>
            </w:pPr>
          </w:p>
        </w:tc>
        <w:tc>
          <w:tcPr>
            <w:tcW w:w="4915" w:type="pct"/>
          </w:tcPr>
          <w:p w14:paraId="41DAF843">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cs="Times New Roman" w:eastAsiaTheme="minorEastAsia"/>
                <w:b/>
                <w:color w:val="auto"/>
                <w:sz w:val="24"/>
                <w:szCs w:val="24"/>
                <w:highlight w:val="none"/>
                <w:lang w:val="en-US" w:eastAsia="zh-CN"/>
              </w:rPr>
            </w:pPr>
            <w:r>
              <w:rPr>
                <w:rFonts w:hint="default" w:ascii="Times New Roman" w:hAnsi="Times New Roman" w:cs="Times New Roman" w:eastAsiaTheme="minorEastAsia"/>
                <w:b/>
                <w:color w:val="auto"/>
                <w:sz w:val="24"/>
                <w:szCs w:val="24"/>
                <w:highlight w:val="none"/>
                <w:lang w:val="en-US" w:eastAsia="zh-CN"/>
              </w:rPr>
              <w:t>大气污染物排放情况一览表</w:t>
            </w:r>
          </w:p>
          <w:tbl>
            <w:tblPr>
              <w:tblStyle w:val="38"/>
              <w:tblW w:w="0" w:type="auto"/>
              <w:tblInd w:w="-2"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5"/>
              <w:gridCol w:w="1511"/>
              <w:gridCol w:w="2233"/>
              <w:gridCol w:w="1606"/>
              <w:gridCol w:w="2171"/>
              <w:gridCol w:w="1283"/>
              <w:gridCol w:w="1036"/>
              <w:gridCol w:w="1144"/>
              <w:gridCol w:w="1346"/>
              <w:gridCol w:w="881"/>
              <w:gridCol w:w="1067"/>
              <w:gridCol w:w="897"/>
              <w:gridCol w:w="1129"/>
              <w:gridCol w:w="1144"/>
              <w:gridCol w:w="1005"/>
              <w:gridCol w:w="1224"/>
              <w:gridCol w:w="968"/>
            </w:tblGrid>
            <w:tr w14:paraId="107E4E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restart"/>
                  <w:tcBorders>
                    <w:tl2br w:val="nil"/>
                    <w:tr2bl w:val="nil"/>
                  </w:tcBorders>
                  <w:shd w:val="clear" w:color="auto" w:fill="auto"/>
                  <w:vAlign w:val="center"/>
                </w:tcPr>
                <w:p w14:paraId="7BAF2A0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排放形式</w:t>
                  </w:r>
                </w:p>
              </w:tc>
              <w:tc>
                <w:tcPr>
                  <w:tcW w:w="2233" w:type="dxa"/>
                  <w:vMerge w:val="restart"/>
                  <w:tcBorders>
                    <w:tl2br w:val="nil"/>
                    <w:tr2bl w:val="nil"/>
                  </w:tcBorders>
                  <w:shd w:val="clear" w:color="auto" w:fill="auto"/>
                  <w:vAlign w:val="center"/>
                </w:tcPr>
                <w:p w14:paraId="2B2D143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产污环节</w:t>
                  </w:r>
                </w:p>
              </w:tc>
              <w:tc>
                <w:tcPr>
                  <w:tcW w:w="1606" w:type="dxa"/>
                  <w:vMerge w:val="restart"/>
                  <w:tcBorders>
                    <w:tl2br w:val="nil"/>
                    <w:tr2bl w:val="nil"/>
                  </w:tcBorders>
                  <w:shd w:val="clear" w:color="auto" w:fill="auto"/>
                  <w:vAlign w:val="center"/>
                </w:tcPr>
                <w:p w14:paraId="159F5E2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5634" w:type="dxa"/>
                  <w:gridSpan w:val="4"/>
                  <w:tcBorders>
                    <w:tl2br w:val="nil"/>
                    <w:tr2bl w:val="nil"/>
                  </w:tcBorders>
                  <w:shd w:val="clear" w:color="auto" w:fill="auto"/>
                  <w:vAlign w:val="center"/>
                </w:tcPr>
                <w:p w14:paraId="75FE6B0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4191" w:type="dxa"/>
                  <w:gridSpan w:val="4"/>
                  <w:tcBorders>
                    <w:tl2br w:val="nil"/>
                    <w:tr2bl w:val="nil"/>
                  </w:tcBorders>
                  <w:shd w:val="clear" w:color="auto" w:fill="auto"/>
                  <w:vAlign w:val="center"/>
                </w:tcPr>
                <w:p w14:paraId="404E97F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主要污染治理设施</w:t>
                  </w:r>
                </w:p>
              </w:tc>
              <w:tc>
                <w:tcPr>
                  <w:tcW w:w="3278" w:type="dxa"/>
                  <w:gridSpan w:val="3"/>
                  <w:tcBorders>
                    <w:tl2br w:val="nil"/>
                    <w:tr2bl w:val="nil"/>
                  </w:tcBorders>
                  <w:shd w:val="clear" w:color="auto" w:fill="auto"/>
                  <w:vAlign w:val="center"/>
                </w:tcPr>
                <w:p w14:paraId="12A778E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c>
                <w:tcPr>
                  <w:tcW w:w="2192" w:type="dxa"/>
                  <w:gridSpan w:val="2"/>
                  <w:tcBorders>
                    <w:tl2br w:val="nil"/>
                    <w:tr2bl w:val="nil"/>
                  </w:tcBorders>
                  <w:shd w:val="clear" w:color="auto" w:fill="auto"/>
                  <w:vAlign w:val="center"/>
                </w:tcPr>
                <w:p w14:paraId="3940854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排放标准</w:t>
                  </w:r>
                </w:p>
              </w:tc>
            </w:tr>
            <w:tr w14:paraId="3ED347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3170EF86">
                  <w:pPr>
                    <w:jc w:val="center"/>
                    <w:rPr>
                      <w:rFonts w:hint="default" w:ascii="Times New Roman" w:hAnsi="Times New Roman" w:eastAsia="宋体" w:cs="Times New Roman"/>
                      <w:b/>
                      <w:bCs/>
                      <w:i w:val="0"/>
                      <w:iCs w:val="0"/>
                      <w:color w:val="auto"/>
                      <w:sz w:val="21"/>
                      <w:szCs w:val="21"/>
                      <w:highlight w:val="none"/>
                      <w:u w:val="none"/>
                    </w:rPr>
                  </w:pPr>
                </w:p>
              </w:tc>
              <w:tc>
                <w:tcPr>
                  <w:tcW w:w="2233" w:type="dxa"/>
                  <w:vMerge w:val="continue"/>
                  <w:tcBorders>
                    <w:tl2br w:val="nil"/>
                    <w:tr2bl w:val="nil"/>
                  </w:tcBorders>
                  <w:shd w:val="clear" w:color="auto" w:fill="auto"/>
                  <w:vAlign w:val="center"/>
                </w:tcPr>
                <w:p w14:paraId="68C36B77">
                  <w:pPr>
                    <w:jc w:val="center"/>
                    <w:rPr>
                      <w:rFonts w:hint="default" w:ascii="Times New Roman" w:hAnsi="Times New Roman" w:eastAsia="宋体" w:cs="Times New Roman"/>
                      <w:b/>
                      <w:bCs/>
                      <w:i w:val="0"/>
                      <w:iCs w:val="0"/>
                      <w:color w:val="auto"/>
                      <w:sz w:val="21"/>
                      <w:szCs w:val="21"/>
                      <w:highlight w:val="none"/>
                      <w:u w:val="none"/>
                    </w:rPr>
                  </w:pPr>
                </w:p>
              </w:tc>
              <w:tc>
                <w:tcPr>
                  <w:tcW w:w="1606" w:type="dxa"/>
                  <w:vMerge w:val="continue"/>
                  <w:tcBorders>
                    <w:tl2br w:val="nil"/>
                    <w:tr2bl w:val="nil"/>
                  </w:tcBorders>
                  <w:shd w:val="clear" w:color="auto" w:fill="auto"/>
                  <w:vAlign w:val="center"/>
                </w:tcPr>
                <w:p w14:paraId="05F84D0F">
                  <w:pPr>
                    <w:jc w:val="center"/>
                    <w:rPr>
                      <w:rFonts w:hint="default" w:ascii="Times New Roman" w:hAnsi="Times New Roman" w:eastAsia="宋体" w:cs="Times New Roman"/>
                      <w:b/>
                      <w:bCs/>
                      <w:i w:val="0"/>
                      <w:iCs w:val="0"/>
                      <w:color w:val="auto"/>
                      <w:sz w:val="21"/>
                      <w:szCs w:val="21"/>
                      <w:highlight w:val="none"/>
                      <w:u w:val="none"/>
                    </w:rPr>
                  </w:pPr>
                </w:p>
              </w:tc>
              <w:tc>
                <w:tcPr>
                  <w:tcW w:w="2171" w:type="dxa"/>
                  <w:vMerge w:val="restart"/>
                  <w:tcBorders>
                    <w:tl2br w:val="nil"/>
                    <w:tr2bl w:val="nil"/>
                  </w:tcBorders>
                  <w:shd w:val="clear" w:color="auto" w:fill="auto"/>
                  <w:vAlign w:val="center"/>
                </w:tcPr>
                <w:p w14:paraId="6A92E72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1283" w:type="dxa"/>
                  <w:vMerge w:val="restart"/>
                  <w:tcBorders>
                    <w:tl2br w:val="nil"/>
                    <w:tr2bl w:val="nil"/>
                  </w:tcBorders>
                  <w:shd w:val="clear" w:color="auto" w:fill="auto"/>
                  <w:vAlign w:val="center"/>
                </w:tcPr>
                <w:p w14:paraId="758814A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w:t>
                  </w:r>
                  <w:r>
                    <w:rPr>
                      <w:rStyle w:val="122"/>
                      <w:rFonts w:hint="default" w:ascii="Times New Roman" w:hAnsi="Times New Roman" w:eastAsia="宋体" w:cs="Times New Roman"/>
                      <w:color w:val="auto"/>
                      <w:sz w:val="21"/>
                      <w:szCs w:val="21"/>
                      <w:highlight w:val="none"/>
                      <w:lang w:val="en-US" w:eastAsia="zh-CN" w:bidi="ar"/>
                    </w:rPr>
                    <w:t>mg/m</w:t>
                  </w:r>
                  <w:r>
                    <w:rPr>
                      <w:rStyle w:val="122"/>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36" w:type="dxa"/>
                  <w:vMerge w:val="restart"/>
                  <w:tcBorders>
                    <w:tl2br w:val="nil"/>
                    <w:tr2bl w:val="nil"/>
                  </w:tcBorders>
                  <w:shd w:val="clear" w:color="auto" w:fill="auto"/>
                  <w:vAlign w:val="center"/>
                </w:tcPr>
                <w:p w14:paraId="3CA1921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1144" w:type="dxa"/>
                  <w:vMerge w:val="restart"/>
                  <w:tcBorders>
                    <w:tl2br w:val="nil"/>
                    <w:tr2bl w:val="nil"/>
                  </w:tcBorders>
                  <w:shd w:val="clear" w:color="auto" w:fill="auto"/>
                  <w:vAlign w:val="center"/>
                </w:tcPr>
                <w:p w14:paraId="6C9A326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346" w:type="dxa"/>
                  <w:vMerge w:val="restart"/>
                  <w:tcBorders>
                    <w:tl2br w:val="nil"/>
                    <w:tr2bl w:val="nil"/>
                  </w:tcBorders>
                  <w:shd w:val="clear" w:color="auto" w:fill="auto"/>
                  <w:vAlign w:val="center"/>
                </w:tcPr>
                <w:p w14:paraId="40A1AF3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治理措施</w:t>
                  </w:r>
                </w:p>
              </w:tc>
              <w:tc>
                <w:tcPr>
                  <w:tcW w:w="881" w:type="dxa"/>
                  <w:vMerge w:val="restart"/>
                  <w:tcBorders>
                    <w:tl2br w:val="nil"/>
                    <w:tr2bl w:val="nil"/>
                  </w:tcBorders>
                  <w:shd w:val="clear" w:color="auto" w:fill="auto"/>
                  <w:vAlign w:val="center"/>
                </w:tcPr>
                <w:p w14:paraId="4F8CB21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p>
              </w:tc>
              <w:tc>
                <w:tcPr>
                  <w:tcW w:w="1067" w:type="dxa"/>
                  <w:vMerge w:val="restart"/>
                  <w:tcBorders>
                    <w:tl2br w:val="nil"/>
                    <w:tr2bl w:val="nil"/>
                  </w:tcBorders>
                  <w:shd w:val="clear" w:color="auto" w:fill="auto"/>
                  <w:vAlign w:val="center"/>
                </w:tcPr>
                <w:p w14:paraId="354D66C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去除效率（%）</w:t>
                  </w:r>
                </w:p>
              </w:tc>
              <w:tc>
                <w:tcPr>
                  <w:tcW w:w="897" w:type="dxa"/>
                  <w:vMerge w:val="restart"/>
                  <w:tcBorders>
                    <w:tl2br w:val="nil"/>
                    <w:tr2bl w:val="nil"/>
                  </w:tcBorders>
                  <w:shd w:val="clear" w:color="auto" w:fill="auto"/>
                  <w:vAlign w:val="center"/>
                </w:tcPr>
                <w:p w14:paraId="07EDFB1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1129" w:type="dxa"/>
                  <w:vMerge w:val="restart"/>
                  <w:tcBorders>
                    <w:tl2br w:val="nil"/>
                    <w:tr2bl w:val="nil"/>
                  </w:tcBorders>
                  <w:shd w:val="clear" w:color="auto" w:fill="auto"/>
                  <w:vAlign w:val="center"/>
                </w:tcPr>
                <w:p w14:paraId="59EB6CC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w:t>
                  </w:r>
                  <w:r>
                    <w:rPr>
                      <w:rStyle w:val="122"/>
                      <w:rFonts w:hint="default" w:ascii="Times New Roman" w:hAnsi="Times New Roman" w:eastAsia="宋体" w:cs="Times New Roman"/>
                      <w:color w:val="auto"/>
                      <w:sz w:val="21"/>
                      <w:szCs w:val="21"/>
                      <w:highlight w:val="none"/>
                      <w:lang w:val="en-US" w:eastAsia="zh-CN" w:bidi="ar"/>
                    </w:rPr>
                    <w:t>mg/m</w:t>
                  </w:r>
                  <w:r>
                    <w:rPr>
                      <w:rStyle w:val="122"/>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144" w:type="dxa"/>
                  <w:vMerge w:val="restart"/>
                  <w:tcBorders>
                    <w:tl2br w:val="nil"/>
                    <w:tr2bl w:val="nil"/>
                  </w:tcBorders>
                  <w:shd w:val="clear" w:color="auto" w:fill="auto"/>
                  <w:vAlign w:val="center"/>
                </w:tcPr>
                <w:p w14:paraId="34B76C5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r>
                    <w:rPr>
                      <w:rStyle w:val="122"/>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05" w:type="dxa"/>
                  <w:vMerge w:val="restart"/>
                  <w:tcBorders>
                    <w:tl2br w:val="nil"/>
                    <w:tr2bl w:val="nil"/>
                  </w:tcBorders>
                  <w:shd w:val="clear" w:color="auto" w:fill="auto"/>
                  <w:vAlign w:val="center"/>
                </w:tcPr>
                <w:p w14:paraId="37ECAC8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Style w:val="122"/>
                      <w:rFonts w:hint="default" w:ascii="Times New Roman" w:hAnsi="Times New Roman" w:eastAsia="宋体" w:cs="Times New Roman"/>
                      <w:color w:val="auto"/>
                      <w:sz w:val="21"/>
                      <w:szCs w:val="21"/>
                      <w:highlight w:val="none"/>
                      <w:lang w:val="en-US" w:eastAsia="zh-CN" w:bidi="ar"/>
                    </w:rPr>
                    <w:t>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224" w:type="dxa"/>
                  <w:vMerge w:val="restart"/>
                  <w:tcBorders>
                    <w:tl2br w:val="nil"/>
                    <w:tr2bl w:val="nil"/>
                  </w:tcBorders>
                  <w:shd w:val="clear" w:color="auto" w:fill="auto"/>
                  <w:vAlign w:val="center"/>
                </w:tcPr>
                <w:p w14:paraId="73A6013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浓度限值（</w:t>
                  </w:r>
                  <w:r>
                    <w:rPr>
                      <w:rStyle w:val="122"/>
                      <w:rFonts w:hint="default" w:ascii="Times New Roman" w:hAnsi="Times New Roman" w:eastAsia="宋体" w:cs="Times New Roman"/>
                      <w:color w:val="auto"/>
                      <w:sz w:val="21"/>
                      <w:szCs w:val="21"/>
                      <w:highlight w:val="none"/>
                      <w:lang w:val="en-US" w:eastAsia="zh-CN" w:bidi="ar"/>
                    </w:rPr>
                    <w:t>mg/m</w:t>
                  </w:r>
                  <w:r>
                    <w:rPr>
                      <w:rStyle w:val="122"/>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68" w:type="dxa"/>
                  <w:vMerge w:val="restart"/>
                  <w:tcBorders>
                    <w:tl2br w:val="nil"/>
                    <w:tr2bl w:val="nil"/>
                  </w:tcBorders>
                  <w:shd w:val="clear" w:color="auto" w:fill="auto"/>
                  <w:vAlign w:val="center"/>
                </w:tcPr>
                <w:p w14:paraId="01FCDA6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速率限值（</w:t>
                  </w:r>
                  <w:r>
                    <w:rPr>
                      <w:rStyle w:val="122"/>
                      <w:rFonts w:hint="default" w:ascii="Times New Roman" w:hAnsi="Times New Roman" w:eastAsia="宋体" w:cs="Times New Roman"/>
                      <w:color w:val="auto"/>
                      <w:sz w:val="21"/>
                      <w:szCs w:val="21"/>
                      <w:highlight w:val="none"/>
                      <w:lang w:val="en-US" w:eastAsia="zh-CN" w:bidi="ar"/>
                    </w:rPr>
                    <w:t>kg/h</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309F0E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4C289725">
                  <w:pPr>
                    <w:jc w:val="center"/>
                    <w:rPr>
                      <w:rFonts w:hint="default" w:ascii="Times New Roman" w:hAnsi="Times New Roman" w:eastAsia="宋体" w:cs="Times New Roman"/>
                      <w:b/>
                      <w:bCs/>
                      <w:i w:val="0"/>
                      <w:iCs w:val="0"/>
                      <w:color w:val="auto"/>
                      <w:sz w:val="21"/>
                      <w:szCs w:val="21"/>
                      <w:highlight w:val="none"/>
                      <w:u w:val="none"/>
                    </w:rPr>
                  </w:pPr>
                </w:p>
              </w:tc>
              <w:tc>
                <w:tcPr>
                  <w:tcW w:w="2233" w:type="dxa"/>
                  <w:vMerge w:val="continue"/>
                  <w:tcBorders>
                    <w:tl2br w:val="nil"/>
                    <w:tr2bl w:val="nil"/>
                  </w:tcBorders>
                  <w:shd w:val="clear" w:color="auto" w:fill="auto"/>
                  <w:vAlign w:val="center"/>
                </w:tcPr>
                <w:p w14:paraId="622784CB">
                  <w:pPr>
                    <w:jc w:val="center"/>
                    <w:rPr>
                      <w:rFonts w:hint="default" w:ascii="Times New Roman" w:hAnsi="Times New Roman" w:eastAsia="宋体" w:cs="Times New Roman"/>
                      <w:b/>
                      <w:bCs/>
                      <w:i w:val="0"/>
                      <w:iCs w:val="0"/>
                      <w:color w:val="auto"/>
                      <w:sz w:val="21"/>
                      <w:szCs w:val="21"/>
                      <w:highlight w:val="none"/>
                      <w:u w:val="none"/>
                    </w:rPr>
                  </w:pPr>
                </w:p>
              </w:tc>
              <w:tc>
                <w:tcPr>
                  <w:tcW w:w="1606" w:type="dxa"/>
                  <w:vMerge w:val="continue"/>
                  <w:tcBorders>
                    <w:tl2br w:val="nil"/>
                    <w:tr2bl w:val="nil"/>
                  </w:tcBorders>
                  <w:shd w:val="clear" w:color="auto" w:fill="auto"/>
                  <w:vAlign w:val="center"/>
                </w:tcPr>
                <w:p w14:paraId="62EE78FD">
                  <w:pPr>
                    <w:jc w:val="center"/>
                    <w:rPr>
                      <w:rFonts w:hint="default" w:ascii="Times New Roman" w:hAnsi="Times New Roman" w:eastAsia="宋体" w:cs="Times New Roman"/>
                      <w:b/>
                      <w:bCs/>
                      <w:i w:val="0"/>
                      <w:iCs w:val="0"/>
                      <w:color w:val="auto"/>
                      <w:sz w:val="21"/>
                      <w:szCs w:val="21"/>
                      <w:highlight w:val="none"/>
                      <w:u w:val="none"/>
                    </w:rPr>
                  </w:pPr>
                </w:p>
              </w:tc>
              <w:tc>
                <w:tcPr>
                  <w:tcW w:w="2171" w:type="dxa"/>
                  <w:vMerge w:val="continue"/>
                  <w:tcBorders>
                    <w:tl2br w:val="nil"/>
                    <w:tr2bl w:val="nil"/>
                  </w:tcBorders>
                  <w:shd w:val="clear" w:color="auto" w:fill="auto"/>
                  <w:vAlign w:val="center"/>
                </w:tcPr>
                <w:p w14:paraId="02B333FD">
                  <w:pPr>
                    <w:jc w:val="center"/>
                    <w:rPr>
                      <w:rFonts w:hint="default" w:ascii="Times New Roman" w:hAnsi="Times New Roman" w:eastAsia="宋体" w:cs="Times New Roman"/>
                      <w:b/>
                      <w:bCs/>
                      <w:i w:val="0"/>
                      <w:iCs w:val="0"/>
                      <w:color w:val="auto"/>
                      <w:sz w:val="21"/>
                      <w:szCs w:val="21"/>
                      <w:highlight w:val="none"/>
                      <w:u w:val="none"/>
                    </w:rPr>
                  </w:pPr>
                </w:p>
              </w:tc>
              <w:tc>
                <w:tcPr>
                  <w:tcW w:w="1283" w:type="dxa"/>
                  <w:vMerge w:val="continue"/>
                  <w:tcBorders>
                    <w:tl2br w:val="nil"/>
                    <w:tr2bl w:val="nil"/>
                  </w:tcBorders>
                  <w:shd w:val="clear" w:color="auto" w:fill="auto"/>
                  <w:vAlign w:val="center"/>
                </w:tcPr>
                <w:p w14:paraId="3C191E0B">
                  <w:pPr>
                    <w:jc w:val="center"/>
                    <w:rPr>
                      <w:rFonts w:hint="default" w:ascii="Times New Roman" w:hAnsi="Times New Roman" w:eastAsia="宋体" w:cs="Times New Roman"/>
                      <w:b/>
                      <w:bCs/>
                      <w:i w:val="0"/>
                      <w:iCs w:val="0"/>
                      <w:color w:val="auto"/>
                      <w:sz w:val="21"/>
                      <w:szCs w:val="21"/>
                      <w:highlight w:val="none"/>
                      <w:u w:val="none"/>
                    </w:rPr>
                  </w:pPr>
                </w:p>
              </w:tc>
              <w:tc>
                <w:tcPr>
                  <w:tcW w:w="1036" w:type="dxa"/>
                  <w:vMerge w:val="continue"/>
                  <w:tcBorders>
                    <w:tl2br w:val="nil"/>
                    <w:tr2bl w:val="nil"/>
                  </w:tcBorders>
                  <w:shd w:val="clear" w:color="auto" w:fill="auto"/>
                  <w:vAlign w:val="center"/>
                </w:tcPr>
                <w:p w14:paraId="67BAB1AC">
                  <w:pPr>
                    <w:jc w:val="center"/>
                    <w:rPr>
                      <w:rFonts w:hint="default" w:ascii="Times New Roman" w:hAnsi="Times New Roman" w:eastAsia="宋体" w:cs="Times New Roman"/>
                      <w:b/>
                      <w:bCs/>
                      <w:i w:val="0"/>
                      <w:iCs w:val="0"/>
                      <w:color w:val="auto"/>
                      <w:sz w:val="21"/>
                      <w:szCs w:val="21"/>
                      <w:highlight w:val="none"/>
                      <w:u w:val="none"/>
                    </w:rPr>
                  </w:pPr>
                </w:p>
              </w:tc>
              <w:tc>
                <w:tcPr>
                  <w:tcW w:w="1144" w:type="dxa"/>
                  <w:vMerge w:val="continue"/>
                  <w:tcBorders>
                    <w:tl2br w:val="nil"/>
                    <w:tr2bl w:val="nil"/>
                  </w:tcBorders>
                  <w:shd w:val="clear" w:color="auto" w:fill="auto"/>
                  <w:vAlign w:val="center"/>
                </w:tcPr>
                <w:p w14:paraId="446E7C33">
                  <w:pPr>
                    <w:jc w:val="center"/>
                    <w:rPr>
                      <w:rFonts w:hint="default" w:ascii="Times New Roman" w:hAnsi="Times New Roman" w:eastAsia="宋体" w:cs="Times New Roman"/>
                      <w:b/>
                      <w:bCs/>
                      <w:i w:val="0"/>
                      <w:iCs w:val="0"/>
                      <w:color w:val="auto"/>
                      <w:sz w:val="21"/>
                      <w:szCs w:val="21"/>
                      <w:highlight w:val="none"/>
                      <w:u w:val="none"/>
                    </w:rPr>
                  </w:pPr>
                </w:p>
              </w:tc>
              <w:tc>
                <w:tcPr>
                  <w:tcW w:w="1346" w:type="dxa"/>
                  <w:vMerge w:val="continue"/>
                  <w:tcBorders>
                    <w:tl2br w:val="nil"/>
                    <w:tr2bl w:val="nil"/>
                  </w:tcBorders>
                  <w:shd w:val="clear" w:color="auto" w:fill="auto"/>
                  <w:vAlign w:val="center"/>
                </w:tcPr>
                <w:p w14:paraId="4971E019">
                  <w:pPr>
                    <w:jc w:val="center"/>
                    <w:rPr>
                      <w:rFonts w:hint="default" w:ascii="Times New Roman" w:hAnsi="Times New Roman" w:eastAsia="宋体" w:cs="Times New Roman"/>
                      <w:b/>
                      <w:bCs/>
                      <w:i w:val="0"/>
                      <w:iCs w:val="0"/>
                      <w:color w:val="auto"/>
                      <w:sz w:val="21"/>
                      <w:szCs w:val="21"/>
                      <w:highlight w:val="none"/>
                      <w:u w:val="none"/>
                    </w:rPr>
                  </w:pPr>
                </w:p>
              </w:tc>
              <w:tc>
                <w:tcPr>
                  <w:tcW w:w="881" w:type="dxa"/>
                  <w:vMerge w:val="continue"/>
                  <w:tcBorders>
                    <w:tl2br w:val="nil"/>
                    <w:tr2bl w:val="nil"/>
                  </w:tcBorders>
                  <w:shd w:val="clear" w:color="auto" w:fill="auto"/>
                  <w:vAlign w:val="center"/>
                </w:tcPr>
                <w:p w14:paraId="3507BE05">
                  <w:pPr>
                    <w:jc w:val="center"/>
                    <w:rPr>
                      <w:rFonts w:hint="default" w:ascii="Times New Roman" w:hAnsi="Times New Roman" w:eastAsia="宋体" w:cs="Times New Roman"/>
                      <w:b/>
                      <w:bCs/>
                      <w:i w:val="0"/>
                      <w:iCs w:val="0"/>
                      <w:color w:val="auto"/>
                      <w:sz w:val="21"/>
                      <w:szCs w:val="21"/>
                      <w:highlight w:val="none"/>
                      <w:u w:val="none"/>
                    </w:rPr>
                  </w:pPr>
                </w:p>
              </w:tc>
              <w:tc>
                <w:tcPr>
                  <w:tcW w:w="1067" w:type="dxa"/>
                  <w:vMerge w:val="continue"/>
                  <w:tcBorders>
                    <w:tl2br w:val="nil"/>
                    <w:tr2bl w:val="nil"/>
                  </w:tcBorders>
                  <w:shd w:val="clear" w:color="auto" w:fill="auto"/>
                  <w:vAlign w:val="center"/>
                </w:tcPr>
                <w:p w14:paraId="6E4360BB">
                  <w:pPr>
                    <w:jc w:val="center"/>
                    <w:rPr>
                      <w:rFonts w:hint="default" w:ascii="Times New Roman" w:hAnsi="Times New Roman" w:eastAsia="宋体" w:cs="Times New Roman"/>
                      <w:b/>
                      <w:bCs/>
                      <w:i w:val="0"/>
                      <w:iCs w:val="0"/>
                      <w:color w:val="auto"/>
                      <w:sz w:val="21"/>
                      <w:szCs w:val="21"/>
                      <w:highlight w:val="none"/>
                      <w:u w:val="none"/>
                    </w:rPr>
                  </w:pPr>
                </w:p>
              </w:tc>
              <w:tc>
                <w:tcPr>
                  <w:tcW w:w="897" w:type="dxa"/>
                  <w:vMerge w:val="continue"/>
                  <w:tcBorders>
                    <w:tl2br w:val="nil"/>
                    <w:tr2bl w:val="nil"/>
                  </w:tcBorders>
                  <w:shd w:val="clear" w:color="auto" w:fill="auto"/>
                  <w:vAlign w:val="center"/>
                </w:tcPr>
                <w:p w14:paraId="6D67D8E3">
                  <w:pPr>
                    <w:jc w:val="center"/>
                    <w:rPr>
                      <w:rFonts w:hint="default" w:ascii="Times New Roman" w:hAnsi="Times New Roman" w:eastAsia="宋体" w:cs="Times New Roman"/>
                      <w:b/>
                      <w:bCs/>
                      <w:i w:val="0"/>
                      <w:iCs w:val="0"/>
                      <w:color w:val="auto"/>
                      <w:sz w:val="21"/>
                      <w:szCs w:val="21"/>
                      <w:highlight w:val="none"/>
                      <w:u w:val="none"/>
                    </w:rPr>
                  </w:pPr>
                </w:p>
              </w:tc>
              <w:tc>
                <w:tcPr>
                  <w:tcW w:w="1129" w:type="dxa"/>
                  <w:vMerge w:val="continue"/>
                  <w:tcBorders>
                    <w:tl2br w:val="nil"/>
                    <w:tr2bl w:val="nil"/>
                  </w:tcBorders>
                  <w:shd w:val="clear" w:color="auto" w:fill="auto"/>
                  <w:vAlign w:val="center"/>
                </w:tcPr>
                <w:p w14:paraId="7A349A6C">
                  <w:pPr>
                    <w:jc w:val="center"/>
                    <w:rPr>
                      <w:rFonts w:hint="default" w:ascii="Times New Roman" w:hAnsi="Times New Roman" w:eastAsia="宋体" w:cs="Times New Roman"/>
                      <w:b/>
                      <w:bCs/>
                      <w:i w:val="0"/>
                      <w:iCs w:val="0"/>
                      <w:color w:val="auto"/>
                      <w:sz w:val="21"/>
                      <w:szCs w:val="21"/>
                      <w:highlight w:val="none"/>
                      <w:u w:val="none"/>
                    </w:rPr>
                  </w:pPr>
                </w:p>
              </w:tc>
              <w:tc>
                <w:tcPr>
                  <w:tcW w:w="1144" w:type="dxa"/>
                  <w:vMerge w:val="continue"/>
                  <w:tcBorders>
                    <w:tl2br w:val="nil"/>
                    <w:tr2bl w:val="nil"/>
                  </w:tcBorders>
                  <w:shd w:val="clear" w:color="auto" w:fill="auto"/>
                  <w:vAlign w:val="center"/>
                </w:tcPr>
                <w:p w14:paraId="00111F60">
                  <w:pPr>
                    <w:jc w:val="center"/>
                    <w:rPr>
                      <w:rFonts w:hint="default" w:ascii="Times New Roman" w:hAnsi="Times New Roman" w:eastAsia="宋体" w:cs="Times New Roman"/>
                      <w:b/>
                      <w:bCs/>
                      <w:i w:val="0"/>
                      <w:iCs w:val="0"/>
                      <w:color w:val="auto"/>
                      <w:sz w:val="21"/>
                      <w:szCs w:val="21"/>
                      <w:highlight w:val="none"/>
                      <w:u w:val="none"/>
                    </w:rPr>
                  </w:pPr>
                </w:p>
              </w:tc>
              <w:tc>
                <w:tcPr>
                  <w:tcW w:w="1005" w:type="dxa"/>
                  <w:vMerge w:val="continue"/>
                  <w:tcBorders>
                    <w:tl2br w:val="nil"/>
                    <w:tr2bl w:val="nil"/>
                  </w:tcBorders>
                  <w:shd w:val="clear" w:color="auto" w:fill="auto"/>
                  <w:vAlign w:val="center"/>
                </w:tcPr>
                <w:p w14:paraId="5EA1E99C">
                  <w:pPr>
                    <w:jc w:val="center"/>
                    <w:rPr>
                      <w:rFonts w:hint="default" w:ascii="Times New Roman" w:hAnsi="Times New Roman" w:eastAsia="宋体" w:cs="Times New Roman"/>
                      <w:b/>
                      <w:bCs/>
                      <w:i w:val="0"/>
                      <w:iCs w:val="0"/>
                      <w:color w:val="auto"/>
                      <w:sz w:val="21"/>
                      <w:szCs w:val="21"/>
                      <w:highlight w:val="none"/>
                      <w:u w:val="none"/>
                    </w:rPr>
                  </w:pPr>
                </w:p>
              </w:tc>
              <w:tc>
                <w:tcPr>
                  <w:tcW w:w="1224" w:type="dxa"/>
                  <w:vMerge w:val="continue"/>
                  <w:tcBorders>
                    <w:tl2br w:val="nil"/>
                    <w:tr2bl w:val="nil"/>
                  </w:tcBorders>
                  <w:shd w:val="clear" w:color="auto" w:fill="auto"/>
                  <w:vAlign w:val="center"/>
                </w:tcPr>
                <w:p w14:paraId="190D5306">
                  <w:pPr>
                    <w:jc w:val="center"/>
                    <w:rPr>
                      <w:rFonts w:hint="default" w:ascii="Times New Roman" w:hAnsi="Times New Roman" w:eastAsia="宋体" w:cs="Times New Roman"/>
                      <w:b/>
                      <w:bCs/>
                      <w:i w:val="0"/>
                      <w:iCs w:val="0"/>
                      <w:color w:val="auto"/>
                      <w:sz w:val="21"/>
                      <w:szCs w:val="21"/>
                      <w:highlight w:val="none"/>
                      <w:u w:val="none"/>
                    </w:rPr>
                  </w:pPr>
                </w:p>
              </w:tc>
              <w:tc>
                <w:tcPr>
                  <w:tcW w:w="968" w:type="dxa"/>
                  <w:vMerge w:val="continue"/>
                  <w:tcBorders>
                    <w:tl2br w:val="nil"/>
                    <w:tr2bl w:val="nil"/>
                  </w:tcBorders>
                  <w:shd w:val="clear" w:color="auto" w:fill="auto"/>
                  <w:vAlign w:val="center"/>
                </w:tcPr>
                <w:p w14:paraId="3C96C8FE">
                  <w:pPr>
                    <w:jc w:val="center"/>
                    <w:rPr>
                      <w:rFonts w:hint="default" w:ascii="Times New Roman" w:hAnsi="Times New Roman" w:eastAsia="宋体" w:cs="Times New Roman"/>
                      <w:b/>
                      <w:bCs/>
                      <w:i w:val="0"/>
                      <w:iCs w:val="0"/>
                      <w:color w:val="auto"/>
                      <w:sz w:val="21"/>
                      <w:szCs w:val="21"/>
                      <w:highlight w:val="none"/>
                      <w:u w:val="none"/>
                    </w:rPr>
                  </w:pPr>
                </w:p>
              </w:tc>
            </w:tr>
            <w:tr w14:paraId="286C83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restart"/>
                  <w:tcBorders>
                    <w:tl2br w:val="nil"/>
                    <w:tr2bl w:val="nil"/>
                  </w:tcBorders>
                  <w:shd w:val="clear" w:color="auto" w:fill="auto"/>
                  <w:vAlign w:val="center"/>
                </w:tcPr>
                <w:p w14:paraId="5130D4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有组织</w:t>
                  </w:r>
                </w:p>
                <w:p w14:paraId="5F3C55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（DA001）</w:t>
                  </w:r>
                </w:p>
              </w:tc>
              <w:tc>
                <w:tcPr>
                  <w:tcW w:w="2233" w:type="dxa"/>
                  <w:vMerge w:val="restart"/>
                  <w:tcBorders>
                    <w:tl2br w:val="nil"/>
                    <w:tr2bl w:val="nil"/>
                  </w:tcBorders>
                  <w:shd w:val="clear" w:color="auto" w:fill="auto"/>
                  <w:vAlign w:val="center"/>
                </w:tcPr>
                <w:p w14:paraId="2FFFCE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注塑废气</w:t>
                  </w:r>
                </w:p>
              </w:tc>
              <w:tc>
                <w:tcPr>
                  <w:tcW w:w="1606" w:type="dxa"/>
                  <w:tcBorders>
                    <w:tl2br w:val="nil"/>
                    <w:tr2bl w:val="nil"/>
                  </w:tcBorders>
                  <w:shd w:val="clear" w:color="auto" w:fill="auto"/>
                  <w:vAlign w:val="center"/>
                </w:tcPr>
                <w:p w14:paraId="144BE8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非甲烷总烃</w:t>
                  </w:r>
                </w:p>
              </w:tc>
              <w:tc>
                <w:tcPr>
                  <w:tcW w:w="2171" w:type="dxa"/>
                  <w:tcBorders>
                    <w:tl2br w:val="nil"/>
                    <w:tr2bl w:val="nil"/>
                  </w:tcBorders>
                  <w:shd w:val="clear" w:color="auto" w:fill="auto"/>
                  <w:vAlign w:val="center"/>
                </w:tcPr>
                <w:p w14:paraId="4F31A9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1283" w:type="dxa"/>
                  <w:tcBorders>
                    <w:tl2br w:val="nil"/>
                    <w:tr2bl w:val="nil"/>
                  </w:tcBorders>
                  <w:shd w:val="clear" w:color="auto" w:fill="auto"/>
                  <w:vAlign w:val="center"/>
                </w:tcPr>
                <w:p w14:paraId="4B69D2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3.525</w:t>
                  </w:r>
                </w:p>
              </w:tc>
              <w:tc>
                <w:tcPr>
                  <w:tcW w:w="1036" w:type="dxa"/>
                  <w:tcBorders>
                    <w:tl2br w:val="nil"/>
                    <w:tr2bl w:val="nil"/>
                  </w:tcBorders>
                  <w:shd w:val="clear" w:color="auto" w:fill="auto"/>
                  <w:vAlign w:val="center"/>
                </w:tcPr>
                <w:p w14:paraId="0A7881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0.099</w:t>
                  </w:r>
                </w:p>
              </w:tc>
              <w:tc>
                <w:tcPr>
                  <w:tcW w:w="1144" w:type="dxa"/>
                  <w:tcBorders>
                    <w:tl2br w:val="nil"/>
                    <w:tr2bl w:val="nil"/>
                  </w:tcBorders>
                  <w:shd w:val="clear" w:color="auto" w:fill="auto"/>
                  <w:vAlign w:val="center"/>
                </w:tcPr>
                <w:p w14:paraId="34CE0D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0.182</w:t>
                  </w:r>
                </w:p>
              </w:tc>
              <w:tc>
                <w:tcPr>
                  <w:tcW w:w="1346" w:type="dxa"/>
                  <w:vMerge w:val="restart"/>
                  <w:tcBorders>
                    <w:tl2br w:val="nil"/>
                    <w:tr2bl w:val="nil"/>
                  </w:tcBorders>
                  <w:shd w:val="clear" w:color="auto" w:fill="auto"/>
                  <w:vAlign w:val="center"/>
                </w:tcPr>
                <w:p w14:paraId="414F59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二</w:t>
                  </w:r>
                  <w:r>
                    <w:rPr>
                      <w:rFonts w:hint="default" w:ascii="Times New Roman" w:hAnsi="Times New Roman" w:eastAsia="宋体" w:cs="Times New Roman"/>
                      <w:i w:val="0"/>
                      <w:iCs w:val="0"/>
                      <w:color w:val="auto"/>
                      <w:kern w:val="0"/>
                      <w:sz w:val="21"/>
                      <w:szCs w:val="21"/>
                      <w:highlight w:val="none"/>
                      <w:u w:val="none"/>
                      <w:lang w:val="en-US" w:eastAsia="zh-CN" w:bidi="ar"/>
                    </w:rPr>
                    <w:t>级活性炭吸附装置</w:t>
                  </w:r>
                </w:p>
              </w:tc>
              <w:tc>
                <w:tcPr>
                  <w:tcW w:w="881" w:type="dxa"/>
                  <w:vMerge w:val="restart"/>
                  <w:tcBorders>
                    <w:tl2br w:val="nil"/>
                    <w:tr2bl w:val="nil"/>
                  </w:tcBorders>
                  <w:shd w:val="clear" w:color="auto" w:fill="auto"/>
                  <w:vAlign w:val="center"/>
                </w:tcPr>
                <w:p w14:paraId="34690E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067" w:type="dxa"/>
                  <w:tcBorders>
                    <w:tl2br w:val="nil"/>
                    <w:tr2bl w:val="nil"/>
                  </w:tcBorders>
                  <w:shd w:val="clear" w:color="auto" w:fill="auto"/>
                  <w:vAlign w:val="center"/>
                </w:tcPr>
                <w:p w14:paraId="0DE83C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75</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vAlign w:val="center"/>
                </w:tcPr>
                <w:p w14:paraId="0CB600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1129" w:type="dxa"/>
                  <w:tcBorders>
                    <w:tl2br w:val="nil"/>
                    <w:tr2bl w:val="nil"/>
                  </w:tcBorders>
                  <w:shd w:val="clear" w:color="auto" w:fill="auto"/>
                  <w:vAlign w:val="center"/>
                </w:tcPr>
                <w:p w14:paraId="16A9ED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0.807</w:t>
                  </w:r>
                </w:p>
              </w:tc>
              <w:tc>
                <w:tcPr>
                  <w:tcW w:w="1144" w:type="dxa"/>
                  <w:tcBorders>
                    <w:tl2br w:val="nil"/>
                    <w:tr2bl w:val="nil"/>
                  </w:tcBorders>
                  <w:shd w:val="clear" w:color="auto" w:fill="auto"/>
                  <w:vAlign w:val="center"/>
                </w:tcPr>
                <w:p w14:paraId="43FE5B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005" w:type="dxa"/>
                  <w:tcBorders>
                    <w:tl2br w:val="nil"/>
                    <w:tr2bl w:val="nil"/>
                  </w:tcBorders>
                  <w:shd w:val="clear" w:color="auto" w:fill="auto"/>
                  <w:vAlign w:val="center"/>
                </w:tcPr>
                <w:p w14:paraId="6B65B2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224" w:type="dxa"/>
                  <w:tcBorders>
                    <w:tl2br w:val="nil"/>
                    <w:tr2bl w:val="nil"/>
                  </w:tcBorders>
                  <w:shd w:val="clear" w:color="auto" w:fill="auto"/>
                  <w:vAlign w:val="center"/>
                </w:tcPr>
                <w:p w14:paraId="677946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60</w:t>
                  </w:r>
                </w:p>
              </w:tc>
              <w:tc>
                <w:tcPr>
                  <w:tcW w:w="968" w:type="dxa"/>
                  <w:tcBorders>
                    <w:tl2br w:val="nil"/>
                    <w:tr2bl w:val="nil"/>
                  </w:tcBorders>
                  <w:shd w:val="clear" w:color="auto" w:fill="auto"/>
                  <w:vAlign w:val="center"/>
                </w:tcPr>
                <w:p w14:paraId="49DCD2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r>
            <w:tr w14:paraId="4D6916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0E6CE3B4">
                  <w:pPr>
                    <w:jc w:val="center"/>
                    <w:rPr>
                      <w:rFonts w:hint="default" w:ascii="Times New Roman" w:hAnsi="Times New Roman" w:eastAsia="宋体" w:cs="Times New Roman"/>
                      <w:i w:val="0"/>
                      <w:iCs w:val="0"/>
                      <w:color w:val="auto"/>
                      <w:sz w:val="21"/>
                      <w:szCs w:val="21"/>
                      <w:highlight w:val="none"/>
                      <w:u w:val="none"/>
                    </w:rPr>
                  </w:pPr>
                </w:p>
              </w:tc>
              <w:tc>
                <w:tcPr>
                  <w:tcW w:w="2233" w:type="dxa"/>
                  <w:vMerge w:val="continue"/>
                  <w:tcBorders>
                    <w:tl2br w:val="nil"/>
                    <w:tr2bl w:val="nil"/>
                  </w:tcBorders>
                  <w:shd w:val="clear" w:color="auto" w:fill="auto"/>
                  <w:vAlign w:val="center"/>
                </w:tcPr>
                <w:p w14:paraId="5A3656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06" w:type="dxa"/>
                  <w:tcBorders>
                    <w:tl2br w:val="nil"/>
                    <w:tr2bl w:val="nil"/>
                  </w:tcBorders>
                  <w:shd w:val="clear" w:color="auto" w:fill="auto"/>
                  <w:vAlign w:val="center"/>
                </w:tcPr>
                <w:p w14:paraId="2267CD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2171" w:type="dxa"/>
                  <w:tcBorders>
                    <w:tl2br w:val="nil"/>
                    <w:tr2bl w:val="nil"/>
                  </w:tcBorders>
                  <w:shd w:val="clear" w:color="auto" w:fill="auto"/>
                  <w:vAlign w:val="center"/>
                </w:tcPr>
                <w:p w14:paraId="067C67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83" w:type="dxa"/>
                  <w:tcBorders>
                    <w:tl2br w:val="nil"/>
                    <w:tr2bl w:val="nil"/>
                  </w:tcBorders>
                  <w:shd w:val="clear" w:color="auto" w:fill="auto"/>
                  <w:vAlign w:val="center"/>
                </w:tcPr>
                <w:p w14:paraId="1D5F1C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036" w:type="dxa"/>
                  <w:tcBorders>
                    <w:tl2br w:val="nil"/>
                    <w:tr2bl w:val="nil"/>
                  </w:tcBorders>
                  <w:shd w:val="clear" w:color="auto" w:fill="auto"/>
                  <w:vAlign w:val="center"/>
                </w:tcPr>
                <w:p w14:paraId="5771F2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144" w:type="dxa"/>
                  <w:tcBorders>
                    <w:tl2br w:val="nil"/>
                    <w:tr2bl w:val="nil"/>
                  </w:tcBorders>
                  <w:shd w:val="clear" w:color="auto" w:fill="auto"/>
                  <w:vAlign w:val="center"/>
                </w:tcPr>
                <w:p w14:paraId="4C394B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346" w:type="dxa"/>
                  <w:vMerge w:val="continue"/>
                  <w:tcBorders>
                    <w:tl2br w:val="nil"/>
                    <w:tr2bl w:val="nil"/>
                  </w:tcBorders>
                  <w:shd w:val="clear" w:color="auto" w:fill="auto"/>
                  <w:vAlign w:val="center"/>
                </w:tcPr>
                <w:p w14:paraId="26612E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vMerge w:val="continue"/>
                  <w:tcBorders>
                    <w:tl2br w:val="nil"/>
                    <w:tr2bl w:val="nil"/>
                  </w:tcBorders>
                  <w:shd w:val="clear" w:color="auto" w:fill="auto"/>
                  <w:vAlign w:val="center"/>
                </w:tcPr>
                <w:p w14:paraId="222601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67" w:type="dxa"/>
                  <w:tcBorders>
                    <w:tl2br w:val="nil"/>
                    <w:tr2bl w:val="nil"/>
                  </w:tcBorders>
                  <w:shd w:val="clear" w:color="auto" w:fill="auto"/>
                  <w:vAlign w:val="center"/>
                </w:tcPr>
                <w:p w14:paraId="16421F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vAlign w:val="center"/>
                </w:tcPr>
                <w:p w14:paraId="30E71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vAlign w:val="center"/>
                </w:tcPr>
                <w:p w14:paraId="1E2A61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144" w:type="dxa"/>
                  <w:tcBorders>
                    <w:tl2br w:val="nil"/>
                    <w:tr2bl w:val="nil"/>
                  </w:tcBorders>
                  <w:shd w:val="clear" w:color="auto" w:fill="auto"/>
                  <w:vAlign w:val="center"/>
                </w:tcPr>
                <w:p w14:paraId="5794B4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005" w:type="dxa"/>
                  <w:tcBorders>
                    <w:tl2br w:val="nil"/>
                    <w:tr2bl w:val="nil"/>
                  </w:tcBorders>
                  <w:shd w:val="clear" w:color="auto" w:fill="auto"/>
                  <w:vAlign w:val="center"/>
                </w:tcPr>
                <w:p w14:paraId="230581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224" w:type="dxa"/>
                  <w:tcBorders>
                    <w:tl2br w:val="nil"/>
                    <w:tr2bl w:val="nil"/>
                  </w:tcBorders>
                  <w:shd w:val="clear" w:color="auto" w:fill="auto"/>
                  <w:vAlign w:val="center"/>
                </w:tcPr>
                <w:p w14:paraId="17AF93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8" w:type="dxa"/>
                  <w:tcBorders>
                    <w:tl2br w:val="nil"/>
                    <w:tr2bl w:val="nil"/>
                  </w:tcBorders>
                  <w:shd w:val="clear" w:color="auto" w:fill="auto"/>
                  <w:vAlign w:val="center"/>
                </w:tcPr>
                <w:p w14:paraId="758866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2000</w:t>
                  </w:r>
                  <w:r>
                    <w:rPr>
                      <w:rStyle w:val="124"/>
                      <w:rFonts w:hint="default" w:ascii="Times New Roman" w:hAnsi="Times New Roman" w:eastAsia="宋体" w:cs="Times New Roman"/>
                      <w:color w:val="auto"/>
                      <w:sz w:val="21"/>
                      <w:szCs w:val="21"/>
                      <w:highlight w:val="none"/>
                      <w:lang w:val="en-US" w:eastAsia="zh-CN" w:bidi="ar"/>
                    </w:rPr>
                    <w:t>（无量纲）</w:t>
                  </w:r>
                </w:p>
              </w:tc>
            </w:tr>
            <w:tr w14:paraId="3216D5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restart"/>
                  <w:tcBorders>
                    <w:tl2br w:val="nil"/>
                    <w:tr2bl w:val="nil"/>
                  </w:tcBorders>
                  <w:shd w:val="clear" w:color="auto" w:fill="auto"/>
                  <w:vAlign w:val="center"/>
                </w:tcPr>
                <w:p w14:paraId="1FBB4409">
                  <w:pPr>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无组织</w:t>
                  </w:r>
                </w:p>
              </w:tc>
              <w:tc>
                <w:tcPr>
                  <w:tcW w:w="2233" w:type="dxa"/>
                  <w:tcBorders>
                    <w:tl2br w:val="nil"/>
                    <w:tr2bl w:val="nil"/>
                  </w:tcBorders>
                  <w:shd w:val="clear" w:color="auto" w:fill="auto"/>
                  <w:vAlign w:val="center"/>
                </w:tcPr>
                <w:p w14:paraId="634059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注塑废气</w:t>
                  </w:r>
                </w:p>
              </w:tc>
              <w:tc>
                <w:tcPr>
                  <w:tcW w:w="1606" w:type="dxa"/>
                  <w:tcBorders>
                    <w:tl2br w:val="nil"/>
                    <w:tr2bl w:val="nil"/>
                  </w:tcBorders>
                  <w:shd w:val="clear" w:color="auto" w:fill="auto"/>
                  <w:noWrap/>
                  <w:vAlign w:val="center"/>
                </w:tcPr>
                <w:p w14:paraId="1C66B2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非甲烷总烃</w:t>
                  </w:r>
                </w:p>
              </w:tc>
              <w:tc>
                <w:tcPr>
                  <w:tcW w:w="2171" w:type="dxa"/>
                  <w:tcBorders>
                    <w:tl2br w:val="nil"/>
                    <w:tr2bl w:val="nil"/>
                  </w:tcBorders>
                  <w:shd w:val="clear" w:color="auto" w:fill="auto"/>
                  <w:vAlign w:val="center"/>
                </w:tcPr>
                <w:p w14:paraId="32F5C0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1283" w:type="dxa"/>
                  <w:tcBorders>
                    <w:tl2br w:val="nil"/>
                    <w:tr2bl w:val="nil"/>
                  </w:tcBorders>
                  <w:shd w:val="clear" w:color="auto" w:fill="auto"/>
                  <w:noWrap/>
                  <w:vAlign w:val="center"/>
                </w:tcPr>
                <w:p w14:paraId="45032D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07DAEE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144" w:type="dxa"/>
                  <w:tcBorders>
                    <w:tl2br w:val="nil"/>
                    <w:tr2bl w:val="nil"/>
                  </w:tcBorders>
                  <w:shd w:val="clear" w:color="auto" w:fill="auto"/>
                  <w:noWrap/>
                  <w:vAlign w:val="center"/>
                </w:tcPr>
                <w:p w14:paraId="61FE97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346" w:type="dxa"/>
                  <w:vMerge w:val="restart"/>
                  <w:tcBorders>
                    <w:tl2br w:val="nil"/>
                    <w:tr2bl w:val="nil"/>
                  </w:tcBorders>
                  <w:shd w:val="clear" w:color="auto" w:fill="auto"/>
                  <w:noWrap/>
                  <w:vAlign w:val="center"/>
                </w:tcPr>
                <w:p w14:paraId="57CD02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稀释扩散、绿化吸收</w:t>
                  </w:r>
                </w:p>
              </w:tc>
              <w:tc>
                <w:tcPr>
                  <w:tcW w:w="881" w:type="dxa"/>
                  <w:tcBorders>
                    <w:tl2br w:val="nil"/>
                    <w:tr2bl w:val="nil"/>
                  </w:tcBorders>
                  <w:shd w:val="clear" w:color="auto" w:fill="auto"/>
                  <w:vAlign w:val="center"/>
                </w:tcPr>
                <w:p w14:paraId="31197A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763366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B1518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6B0916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5C5B61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005" w:type="dxa"/>
                  <w:tcBorders>
                    <w:tl2br w:val="nil"/>
                    <w:tr2bl w:val="nil"/>
                  </w:tcBorders>
                  <w:shd w:val="clear" w:color="auto" w:fill="auto"/>
                  <w:noWrap/>
                  <w:vAlign w:val="center"/>
                </w:tcPr>
                <w:p w14:paraId="30AA16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224" w:type="dxa"/>
                  <w:tcBorders>
                    <w:tl2br w:val="nil"/>
                    <w:tr2bl w:val="nil"/>
                  </w:tcBorders>
                  <w:shd w:val="clear" w:color="auto" w:fill="auto"/>
                  <w:vAlign w:val="center"/>
                </w:tcPr>
                <w:p w14:paraId="4B9D7D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4.0</w:t>
                  </w:r>
                </w:p>
              </w:tc>
              <w:tc>
                <w:tcPr>
                  <w:tcW w:w="968" w:type="dxa"/>
                  <w:tcBorders>
                    <w:tl2br w:val="nil"/>
                    <w:tr2bl w:val="nil"/>
                  </w:tcBorders>
                  <w:shd w:val="clear" w:color="auto" w:fill="auto"/>
                  <w:vAlign w:val="center"/>
                </w:tcPr>
                <w:p w14:paraId="4442783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4E040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54B1FFF6">
                  <w:pPr>
                    <w:jc w:val="center"/>
                    <w:rPr>
                      <w:rFonts w:hint="default" w:ascii="Times New Roman" w:hAnsi="Times New Roman" w:eastAsia="宋体" w:cs="Times New Roman"/>
                      <w:i w:val="0"/>
                      <w:iCs w:val="0"/>
                      <w:color w:val="auto"/>
                      <w:sz w:val="21"/>
                      <w:szCs w:val="21"/>
                      <w:highlight w:val="none"/>
                      <w:u w:val="none"/>
                    </w:rPr>
                  </w:pPr>
                </w:p>
              </w:tc>
              <w:tc>
                <w:tcPr>
                  <w:tcW w:w="2233" w:type="dxa"/>
                  <w:tcBorders>
                    <w:tl2br w:val="nil"/>
                    <w:tr2bl w:val="nil"/>
                  </w:tcBorders>
                  <w:shd w:val="clear" w:color="auto" w:fill="auto"/>
                  <w:vAlign w:val="center"/>
                </w:tcPr>
                <w:p w14:paraId="5CAB42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固化废气</w:t>
                  </w:r>
                </w:p>
              </w:tc>
              <w:tc>
                <w:tcPr>
                  <w:tcW w:w="1606" w:type="dxa"/>
                  <w:tcBorders>
                    <w:tl2br w:val="nil"/>
                    <w:tr2bl w:val="nil"/>
                  </w:tcBorders>
                  <w:shd w:val="clear" w:color="auto" w:fill="auto"/>
                  <w:noWrap/>
                  <w:vAlign w:val="center"/>
                </w:tcPr>
                <w:p w14:paraId="2EE868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VOCs</w:t>
                  </w:r>
                </w:p>
              </w:tc>
              <w:tc>
                <w:tcPr>
                  <w:tcW w:w="2171" w:type="dxa"/>
                  <w:tcBorders>
                    <w:tl2br w:val="nil"/>
                    <w:tr2bl w:val="nil"/>
                  </w:tcBorders>
                  <w:shd w:val="clear" w:color="auto" w:fill="auto"/>
                  <w:vAlign w:val="center"/>
                </w:tcPr>
                <w:p w14:paraId="00E783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1283" w:type="dxa"/>
                  <w:tcBorders>
                    <w:tl2br w:val="nil"/>
                    <w:tr2bl w:val="nil"/>
                  </w:tcBorders>
                  <w:shd w:val="clear" w:color="auto" w:fill="auto"/>
                  <w:noWrap/>
                  <w:vAlign w:val="center"/>
                </w:tcPr>
                <w:p w14:paraId="1D3E0D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2E0966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0.0028</w:t>
                  </w:r>
                </w:p>
              </w:tc>
              <w:tc>
                <w:tcPr>
                  <w:tcW w:w="1144" w:type="dxa"/>
                  <w:tcBorders>
                    <w:tl2br w:val="nil"/>
                    <w:tr2bl w:val="nil"/>
                  </w:tcBorders>
                  <w:shd w:val="clear" w:color="auto" w:fill="auto"/>
                  <w:noWrap/>
                  <w:vAlign w:val="center"/>
                </w:tcPr>
                <w:p w14:paraId="6E3FCD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c>
                <w:tcPr>
                  <w:tcW w:w="1346" w:type="dxa"/>
                  <w:vMerge w:val="continue"/>
                  <w:tcBorders>
                    <w:bottom w:val="single" w:color="auto" w:sz="4" w:space="0"/>
                    <w:tl2br w:val="nil"/>
                    <w:tr2bl w:val="nil"/>
                  </w:tcBorders>
                  <w:shd w:val="clear" w:color="auto" w:fill="auto"/>
                  <w:noWrap/>
                  <w:vAlign w:val="center"/>
                </w:tcPr>
                <w:p w14:paraId="1364C5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tcBorders>
                    <w:tl2br w:val="nil"/>
                    <w:tr2bl w:val="nil"/>
                  </w:tcBorders>
                  <w:shd w:val="clear" w:color="auto" w:fill="auto"/>
                  <w:vAlign w:val="center"/>
                </w:tcPr>
                <w:p w14:paraId="2E7737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44B6A5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3FE012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307ADB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3383BD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0.0028</w:t>
                  </w:r>
                </w:p>
              </w:tc>
              <w:tc>
                <w:tcPr>
                  <w:tcW w:w="1005" w:type="dxa"/>
                  <w:tcBorders>
                    <w:tl2br w:val="nil"/>
                    <w:tr2bl w:val="nil"/>
                  </w:tcBorders>
                  <w:shd w:val="clear" w:color="auto" w:fill="auto"/>
                  <w:noWrap/>
                  <w:vAlign w:val="center"/>
                </w:tcPr>
                <w:p w14:paraId="22D6AB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c>
                <w:tcPr>
                  <w:tcW w:w="1224" w:type="dxa"/>
                  <w:tcBorders>
                    <w:tl2br w:val="nil"/>
                    <w:tr2bl w:val="nil"/>
                  </w:tcBorders>
                  <w:shd w:val="clear" w:color="auto" w:fill="auto"/>
                  <w:vAlign w:val="center"/>
                </w:tcPr>
                <w:p w14:paraId="70BE22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rPr>
                    <w:t>监控点处1h平均浓度值</w:t>
                  </w:r>
                  <w:r>
                    <w:rPr>
                      <w:rFonts w:hint="default" w:ascii="Times New Roman" w:hAnsi="Times New Roman" w:cs="Times New Roman"/>
                      <w:i w:val="0"/>
                      <w:iCs w:val="0"/>
                      <w:color w:val="auto"/>
                      <w:sz w:val="21"/>
                      <w:szCs w:val="21"/>
                      <w:highlight w:val="none"/>
                      <w:u w:val="none"/>
                      <w:lang w:val="en-US" w:eastAsia="zh-CN"/>
                    </w:rPr>
                    <w:t>6；</w:t>
                  </w:r>
                  <w:r>
                    <w:rPr>
                      <w:rFonts w:hint="default" w:ascii="Times New Roman" w:hAnsi="Times New Roman" w:eastAsia="宋体" w:cs="Times New Roman"/>
                      <w:i w:val="0"/>
                      <w:iCs w:val="0"/>
                      <w:color w:val="auto"/>
                      <w:sz w:val="21"/>
                      <w:szCs w:val="21"/>
                      <w:highlight w:val="none"/>
                      <w:u w:val="none"/>
                    </w:rPr>
                    <w:t>监控点处任意一次浓度值</w:t>
                  </w:r>
                  <w:r>
                    <w:rPr>
                      <w:rFonts w:hint="default" w:ascii="Times New Roman" w:hAnsi="Times New Roman" w:cs="Times New Roman"/>
                      <w:i w:val="0"/>
                      <w:iCs w:val="0"/>
                      <w:color w:val="auto"/>
                      <w:sz w:val="21"/>
                      <w:szCs w:val="21"/>
                      <w:highlight w:val="none"/>
                      <w:u w:val="none"/>
                      <w:lang w:val="en-US" w:eastAsia="zh-CN"/>
                    </w:rPr>
                    <w:t>20</w:t>
                  </w:r>
                </w:p>
              </w:tc>
              <w:tc>
                <w:tcPr>
                  <w:tcW w:w="968" w:type="dxa"/>
                  <w:tcBorders>
                    <w:tl2br w:val="nil"/>
                    <w:tr2bl w:val="nil"/>
                  </w:tcBorders>
                  <w:shd w:val="clear" w:color="auto" w:fill="auto"/>
                  <w:vAlign w:val="center"/>
                </w:tcPr>
                <w:p w14:paraId="3549B4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B8920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2E4C9DCF">
                  <w:pPr>
                    <w:jc w:val="center"/>
                    <w:rPr>
                      <w:rFonts w:hint="default" w:ascii="Times New Roman" w:hAnsi="Times New Roman" w:eastAsia="宋体" w:cs="Times New Roman"/>
                      <w:i w:val="0"/>
                      <w:iCs w:val="0"/>
                      <w:color w:val="auto"/>
                      <w:sz w:val="21"/>
                      <w:szCs w:val="21"/>
                      <w:highlight w:val="none"/>
                      <w:u w:val="none"/>
                    </w:rPr>
                  </w:pPr>
                </w:p>
              </w:tc>
              <w:tc>
                <w:tcPr>
                  <w:tcW w:w="2233" w:type="dxa"/>
                  <w:tcBorders>
                    <w:tl2br w:val="nil"/>
                    <w:tr2bl w:val="nil"/>
                  </w:tcBorders>
                  <w:shd w:val="clear" w:color="auto" w:fill="auto"/>
                  <w:vAlign w:val="center"/>
                </w:tcPr>
                <w:p w14:paraId="268B91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切割、</w:t>
                  </w:r>
                  <w:r>
                    <w:rPr>
                      <w:rFonts w:hint="eastAsia" w:cs="Times New Roman"/>
                      <w:i w:val="0"/>
                      <w:iCs w:val="0"/>
                      <w:color w:val="auto"/>
                      <w:kern w:val="0"/>
                      <w:sz w:val="21"/>
                      <w:szCs w:val="21"/>
                      <w:highlight w:val="none"/>
                      <w:u w:val="none"/>
                      <w:lang w:val="en-US" w:eastAsia="zh-CN" w:bidi="ar"/>
                    </w:rPr>
                    <w:t>打粒、</w:t>
                  </w:r>
                  <w:r>
                    <w:rPr>
                      <w:rFonts w:hint="default" w:ascii="Times New Roman" w:hAnsi="Times New Roman" w:cs="Times New Roman"/>
                      <w:i w:val="0"/>
                      <w:iCs w:val="0"/>
                      <w:color w:val="auto"/>
                      <w:kern w:val="0"/>
                      <w:sz w:val="21"/>
                      <w:szCs w:val="21"/>
                      <w:highlight w:val="none"/>
                      <w:u w:val="none"/>
                      <w:lang w:val="en-US" w:eastAsia="zh-CN" w:bidi="ar"/>
                    </w:rPr>
                    <w:t>磨边粉尘</w:t>
                  </w:r>
                </w:p>
              </w:tc>
              <w:tc>
                <w:tcPr>
                  <w:tcW w:w="1606" w:type="dxa"/>
                  <w:tcBorders>
                    <w:tl2br w:val="nil"/>
                    <w:tr2bl w:val="nil"/>
                  </w:tcBorders>
                  <w:shd w:val="clear" w:color="auto" w:fill="auto"/>
                  <w:noWrap/>
                  <w:vAlign w:val="center"/>
                </w:tcPr>
                <w:p w14:paraId="4908EF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171" w:type="dxa"/>
                  <w:tcBorders>
                    <w:tl2br w:val="nil"/>
                    <w:tr2bl w:val="nil"/>
                  </w:tcBorders>
                  <w:shd w:val="clear" w:color="auto" w:fill="auto"/>
                  <w:vAlign w:val="center"/>
                </w:tcPr>
                <w:p w14:paraId="217DC9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1283" w:type="dxa"/>
                  <w:tcBorders>
                    <w:tl2br w:val="nil"/>
                    <w:tr2bl w:val="nil"/>
                  </w:tcBorders>
                  <w:shd w:val="clear" w:color="auto" w:fill="auto"/>
                  <w:noWrap/>
                  <w:vAlign w:val="center"/>
                </w:tcPr>
                <w:p w14:paraId="522A8D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3435C8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67E11F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346" w:type="dxa"/>
                  <w:vMerge w:val="restart"/>
                  <w:tcBorders>
                    <w:top w:val="single" w:color="auto" w:sz="4" w:space="0"/>
                    <w:tl2br w:val="nil"/>
                    <w:tr2bl w:val="nil"/>
                  </w:tcBorders>
                  <w:shd w:val="clear" w:color="auto" w:fill="auto"/>
                  <w:noWrap/>
                  <w:vAlign w:val="center"/>
                </w:tcPr>
                <w:p w14:paraId="640F95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湿法磨边、</w:t>
                  </w:r>
                  <w:r>
                    <w:rPr>
                      <w:rFonts w:hint="default" w:ascii="Times New Roman" w:hAnsi="Times New Roman" w:eastAsia="宋体" w:cs="Times New Roman"/>
                      <w:i w:val="0"/>
                      <w:iCs w:val="0"/>
                      <w:color w:val="auto"/>
                      <w:kern w:val="0"/>
                      <w:sz w:val="21"/>
                      <w:szCs w:val="21"/>
                      <w:highlight w:val="none"/>
                      <w:u w:val="none"/>
                      <w:lang w:val="en-US" w:eastAsia="zh-CN" w:bidi="ar"/>
                    </w:rPr>
                    <w:t>自然沉降</w:t>
                  </w:r>
                </w:p>
              </w:tc>
              <w:tc>
                <w:tcPr>
                  <w:tcW w:w="881" w:type="dxa"/>
                  <w:tcBorders>
                    <w:tl2br w:val="nil"/>
                    <w:tr2bl w:val="nil"/>
                  </w:tcBorders>
                  <w:shd w:val="clear" w:color="auto" w:fill="auto"/>
                  <w:vAlign w:val="center"/>
                </w:tcPr>
                <w:p w14:paraId="136CA0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76E45B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696CCC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46DABB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44075F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05" w:type="dxa"/>
                  <w:tcBorders>
                    <w:tl2br w:val="nil"/>
                    <w:tr2bl w:val="nil"/>
                  </w:tcBorders>
                  <w:shd w:val="clear" w:color="auto" w:fill="auto"/>
                  <w:noWrap/>
                  <w:vAlign w:val="center"/>
                </w:tcPr>
                <w:p w14:paraId="2DB9F1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224" w:type="dxa"/>
                  <w:tcBorders>
                    <w:tl2br w:val="nil"/>
                    <w:tr2bl w:val="nil"/>
                  </w:tcBorders>
                  <w:shd w:val="clear" w:color="auto" w:fill="auto"/>
                  <w:vAlign w:val="center"/>
                </w:tcPr>
                <w:p w14:paraId="4BF54C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968" w:type="dxa"/>
                  <w:tcBorders>
                    <w:tl2br w:val="nil"/>
                    <w:tr2bl w:val="nil"/>
                  </w:tcBorders>
                  <w:shd w:val="clear" w:color="auto" w:fill="auto"/>
                  <w:vAlign w:val="center"/>
                </w:tcPr>
                <w:p w14:paraId="4DEDBE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670BE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4D3CB59E">
                  <w:pPr>
                    <w:jc w:val="center"/>
                    <w:rPr>
                      <w:rFonts w:hint="default" w:ascii="Times New Roman" w:hAnsi="Times New Roman" w:eastAsia="宋体" w:cs="Times New Roman"/>
                      <w:i w:val="0"/>
                      <w:iCs w:val="0"/>
                      <w:color w:val="auto"/>
                      <w:sz w:val="21"/>
                      <w:szCs w:val="21"/>
                      <w:highlight w:val="none"/>
                      <w:u w:val="none"/>
                    </w:rPr>
                  </w:pPr>
                </w:p>
              </w:tc>
              <w:tc>
                <w:tcPr>
                  <w:tcW w:w="2233" w:type="dxa"/>
                  <w:tcBorders>
                    <w:tl2br w:val="nil"/>
                    <w:tr2bl w:val="nil"/>
                  </w:tcBorders>
                  <w:shd w:val="clear" w:color="auto" w:fill="auto"/>
                  <w:vAlign w:val="center"/>
                </w:tcPr>
                <w:p w14:paraId="2C700F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破碎粉尘</w:t>
                  </w:r>
                </w:p>
              </w:tc>
              <w:tc>
                <w:tcPr>
                  <w:tcW w:w="1606" w:type="dxa"/>
                  <w:tcBorders>
                    <w:tl2br w:val="nil"/>
                    <w:tr2bl w:val="nil"/>
                  </w:tcBorders>
                  <w:shd w:val="clear" w:color="auto" w:fill="auto"/>
                  <w:noWrap/>
                  <w:vAlign w:val="center"/>
                </w:tcPr>
                <w:p w14:paraId="732D0D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171" w:type="dxa"/>
                  <w:tcBorders>
                    <w:tl2br w:val="nil"/>
                    <w:tr2bl w:val="nil"/>
                  </w:tcBorders>
                  <w:shd w:val="clear" w:color="auto" w:fill="auto"/>
                  <w:vAlign w:val="center"/>
                </w:tcPr>
                <w:p w14:paraId="26857C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1283" w:type="dxa"/>
                  <w:tcBorders>
                    <w:tl2br w:val="nil"/>
                    <w:tr2bl w:val="nil"/>
                  </w:tcBorders>
                  <w:shd w:val="clear" w:color="auto" w:fill="auto"/>
                  <w:noWrap/>
                  <w:vAlign w:val="center"/>
                </w:tcPr>
                <w:p w14:paraId="662834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497FF5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0.0060</w:t>
                  </w:r>
                </w:p>
              </w:tc>
              <w:tc>
                <w:tcPr>
                  <w:tcW w:w="1144" w:type="dxa"/>
                  <w:tcBorders>
                    <w:tl2br w:val="nil"/>
                    <w:tr2bl w:val="nil"/>
                  </w:tcBorders>
                  <w:shd w:val="clear" w:color="auto" w:fill="auto"/>
                  <w:noWrap/>
                  <w:vAlign w:val="center"/>
                </w:tcPr>
                <w:p w14:paraId="4F9A62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0.0018</w:t>
                  </w:r>
                </w:p>
              </w:tc>
              <w:tc>
                <w:tcPr>
                  <w:tcW w:w="1346" w:type="dxa"/>
                  <w:vMerge w:val="continue"/>
                  <w:tcBorders>
                    <w:tl2br w:val="nil"/>
                    <w:tr2bl w:val="nil"/>
                  </w:tcBorders>
                  <w:shd w:val="clear" w:color="auto" w:fill="auto"/>
                  <w:noWrap/>
                  <w:vAlign w:val="center"/>
                </w:tcPr>
                <w:p w14:paraId="759B35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tcBorders>
                    <w:tl2br w:val="nil"/>
                    <w:tr2bl w:val="nil"/>
                  </w:tcBorders>
                  <w:shd w:val="clear" w:color="auto" w:fill="auto"/>
                  <w:vAlign w:val="center"/>
                </w:tcPr>
                <w:p w14:paraId="76A91E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641954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897" w:type="dxa"/>
                  <w:tcBorders>
                    <w:tl2br w:val="nil"/>
                    <w:tr2bl w:val="nil"/>
                  </w:tcBorders>
                  <w:shd w:val="clear" w:color="auto" w:fill="auto"/>
                  <w:noWrap/>
                  <w:vAlign w:val="center"/>
                </w:tcPr>
                <w:p w14:paraId="00BCBF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50AE4B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427D0C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0.0010</w:t>
                  </w:r>
                </w:p>
              </w:tc>
              <w:tc>
                <w:tcPr>
                  <w:tcW w:w="1005" w:type="dxa"/>
                  <w:tcBorders>
                    <w:tl2br w:val="nil"/>
                    <w:tr2bl w:val="nil"/>
                  </w:tcBorders>
                  <w:shd w:val="clear" w:color="auto" w:fill="auto"/>
                  <w:noWrap/>
                  <w:vAlign w:val="center"/>
                </w:tcPr>
                <w:p w14:paraId="4AA34C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c>
                <w:tcPr>
                  <w:tcW w:w="1224" w:type="dxa"/>
                  <w:tcBorders>
                    <w:tl2br w:val="nil"/>
                    <w:tr2bl w:val="nil"/>
                  </w:tcBorders>
                  <w:shd w:val="clear" w:color="auto" w:fill="auto"/>
                  <w:vAlign w:val="center"/>
                </w:tcPr>
                <w:p w14:paraId="0D1516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968" w:type="dxa"/>
                  <w:tcBorders>
                    <w:tl2br w:val="nil"/>
                    <w:tr2bl w:val="nil"/>
                  </w:tcBorders>
                  <w:shd w:val="clear" w:color="auto" w:fill="auto"/>
                  <w:vAlign w:val="center"/>
                </w:tcPr>
                <w:p w14:paraId="5A3A27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5EAED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397" w:hRule="atLeast"/>
              </w:trPr>
              <w:tc>
                <w:tcPr>
                  <w:tcW w:w="1516" w:type="dxa"/>
                  <w:gridSpan w:val="2"/>
                  <w:vMerge w:val="continue"/>
                  <w:tcBorders>
                    <w:tl2br w:val="nil"/>
                    <w:tr2bl w:val="nil"/>
                  </w:tcBorders>
                  <w:shd w:val="clear" w:color="auto" w:fill="auto"/>
                  <w:vAlign w:val="center"/>
                </w:tcPr>
                <w:p w14:paraId="42C80656">
                  <w:pPr>
                    <w:jc w:val="center"/>
                    <w:rPr>
                      <w:rFonts w:hint="default" w:ascii="Times New Roman" w:hAnsi="Times New Roman" w:eastAsia="宋体" w:cs="Times New Roman"/>
                      <w:i w:val="0"/>
                      <w:iCs w:val="0"/>
                      <w:color w:val="auto"/>
                      <w:sz w:val="21"/>
                      <w:szCs w:val="21"/>
                      <w:highlight w:val="none"/>
                      <w:u w:val="none"/>
                    </w:rPr>
                  </w:pPr>
                </w:p>
              </w:tc>
              <w:tc>
                <w:tcPr>
                  <w:tcW w:w="2233" w:type="dxa"/>
                  <w:tcBorders>
                    <w:tl2br w:val="nil"/>
                    <w:tr2bl w:val="nil"/>
                  </w:tcBorders>
                  <w:shd w:val="clear" w:color="auto" w:fill="auto"/>
                  <w:vAlign w:val="center"/>
                </w:tcPr>
                <w:p w14:paraId="5699F59C">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注塑、固化</w:t>
                  </w:r>
                </w:p>
              </w:tc>
              <w:tc>
                <w:tcPr>
                  <w:tcW w:w="1606" w:type="dxa"/>
                  <w:tcBorders>
                    <w:tl2br w:val="nil"/>
                    <w:tr2bl w:val="nil"/>
                  </w:tcBorders>
                  <w:shd w:val="clear" w:color="auto" w:fill="auto"/>
                  <w:noWrap/>
                  <w:vAlign w:val="center"/>
                </w:tcPr>
                <w:p w14:paraId="6F65EC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臭气浓度</w:t>
                  </w:r>
                </w:p>
              </w:tc>
              <w:tc>
                <w:tcPr>
                  <w:tcW w:w="2171" w:type="dxa"/>
                  <w:tcBorders>
                    <w:tl2br w:val="nil"/>
                    <w:tr2bl w:val="nil"/>
                  </w:tcBorders>
                  <w:shd w:val="clear" w:color="auto" w:fill="auto"/>
                  <w:vAlign w:val="center"/>
                </w:tcPr>
                <w:p w14:paraId="38C4BE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283" w:type="dxa"/>
                  <w:tcBorders>
                    <w:tl2br w:val="nil"/>
                    <w:tr2bl w:val="nil"/>
                  </w:tcBorders>
                  <w:shd w:val="clear" w:color="auto" w:fill="auto"/>
                  <w:noWrap/>
                  <w:vAlign w:val="center"/>
                </w:tcPr>
                <w:p w14:paraId="26CEA7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1C121A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144" w:type="dxa"/>
                  <w:tcBorders>
                    <w:tl2br w:val="nil"/>
                    <w:tr2bl w:val="nil"/>
                  </w:tcBorders>
                  <w:shd w:val="clear" w:color="auto" w:fill="auto"/>
                  <w:noWrap/>
                  <w:vAlign w:val="center"/>
                </w:tcPr>
                <w:p w14:paraId="5205BA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346" w:type="dxa"/>
                  <w:tcBorders>
                    <w:tl2br w:val="nil"/>
                    <w:tr2bl w:val="nil"/>
                  </w:tcBorders>
                  <w:shd w:val="clear" w:color="auto" w:fill="auto"/>
                  <w:noWrap/>
                  <w:vAlign w:val="center"/>
                </w:tcPr>
                <w:p w14:paraId="230E50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1" w:type="dxa"/>
                  <w:tcBorders>
                    <w:tl2br w:val="nil"/>
                    <w:tr2bl w:val="nil"/>
                  </w:tcBorders>
                  <w:shd w:val="clear" w:color="auto" w:fill="auto"/>
                  <w:vAlign w:val="center"/>
                </w:tcPr>
                <w:p w14:paraId="29810F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3009A9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0E7FB6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6D8055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241364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005" w:type="dxa"/>
                  <w:tcBorders>
                    <w:tl2br w:val="nil"/>
                    <w:tr2bl w:val="nil"/>
                  </w:tcBorders>
                  <w:shd w:val="clear" w:color="auto" w:fill="auto"/>
                  <w:noWrap/>
                  <w:vAlign w:val="center"/>
                </w:tcPr>
                <w:p w14:paraId="757D9E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224" w:type="dxa"/>
                  <w:tcBorders>
                    <w:tl2br w:val="nil"/>
                    <w:tr2bl w:val="nil"/>
                  </w:tcBorders>
                  <w:shd w:val="clear" w:color="auto" w:fill="auto"/>
                  <w:vAlign w:val="center"/>
                </w:tcPr>
                <w:p w14:paraId="0A76F7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w:t>
                  </w:r>
                  <w:r>
                    <w:rPr>
                      <w:rStyle w:val="124"/>
                      <w:rFonts w:hint="default" w:ascii="Times New Roman" w:hAnsi="Times New Roman" w:eastAsia="宋体" w:cs="Times New Roman"/>
                      <w:color w:val="auto"/>
                      <w:sz w:val="21"/>
                      <w:szCs w:val="21"/>
                      <w:highlight w:val="none"/>
                      <w:lang w:val="en-US" w:eastAsia="zh-CN" w:bidi="ar"/>
                    </w:rPr>
                    <w:t>（无量纲）</w:t>
                  </w:r>
                </w:p>
              </w:tc>
              <w:tc>
                <w:tcPr>
                  <w:tcW w:w="968" w:type="dxa"/>
                  <w:tcBorders>
                    <w:tl2br w:val="nil"/>
                    <w:tr2bl w:val="nil"/>
                  </w:tcBorders>
                  <w:shd w:val="clear" w:color="auto" w:fill="auto"/>
                  <w:vAlign w:val="center"/>
                </w:tcPr>
                <w:p w14:paraId="1985D4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r>
            <w:tr w14:paraId="47C01D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gridBefore w:val="1"/>
                <w:wBefore w:w="5" w:type="dxa"/>
                <w:trHeight w:val="397" w:hRule="atLeast"/>
              </w:trPr>
              <w:tc>
                <w:tcPr>
                  <w:tcW w:w="3744" w:type="dxa"/>
                  <w:gridSpan w:val="2"/>
                  <w:vMerge w:val="restart"/>
                  <w:tcBorders>
                    <w:tl2br w:val="nil"/>
                    <w:tr2bl w:val="nil"/>
                  </w:tcBorders>
                  <w:shd w:val="clear" w:color="auto" w:fill="auto"/>
                  <w:noWrap/>
                  <w:vAlign w:val="center"/>
                </w:tcPr>
                <w:p w14:paraId="2433F8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1606" w:type="dxa"/>
                  <w:tcBorders>
                    <w:bottom w:val="single" w:color="000000" w:sz="2" w:space="0"/>
                    <w:tl2br w:val="nil"/>
                    <w:tr2bl w:val="nil"/>
                  </w:tcBorders>
                  <w:shd w:val="clear" w:color="auto" w:fill="auto"/>
                  <w:vAlign w:val="center"/>
                </w:tcPr>
                <w:p w14:paraId="4CDED8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非甲烷总烃</w:t>
                  </w:r>
                </w:p>
              </w:tc>
              <w:tc>
                <w:tcPr>
                  <w:tcW w:w="2171" w:type="dxa"/>
                  <w:tcBorders>
                    <w:bottom w:val="single" w:color="000000" w:sz="2" w:space="0"/>
                    <w:right w:val="single" w:color="000000" w:sz="2" w:space="0"/>
                    <w:tl2br w:val="nil"/>
                    <w:tr2bl w:val="nil"/>
                  </w:tcBorders>
                  <w:shd w:val="clear" w:color="auto" w:fill="auto"/>
                  <w:noWrap/>
                  <w:vAlign w:val="center"/>
                </w:tcPr>
                <w:p w14:paraId="462929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283" w:type="dxa"/>
                  <w:tcBorders>
                    <w:left w:val="single" w:color="000000" w:sz="2" w:space="0"/>
                    <w:bottom w:val="single" w:color="000000" w:sz="2" w:space="0"/>
                    <w:tl2br w:val="nil"/>
                    <w:tr2bl w:val="nil"/>
                  </w:tcBorders>
                  <w:shd w:val="clear" w:color="auto" w:fill="auto"/>
                  <w:noWrap/>
                  <w:vAlign w:val="center"/>
                </w:tcPr>
                <w:p w14:paraId="72739D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564C73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0.123</w:t>
                  </w:r>
                </w:p>
              </w:tc>
              <w:tc>
                <w:tcPr>
                  <w:tcW w:w="1144" w:type="dxa"/>
                  <w:tcBorders>
                    <w:tl2br w:val="nil"/>
                    <w:tr2bl w:val="nil"/>
                  </w:tcBorders>
                  <w:shd w:val="clear" w:color="auto" w:fill="auto"/>
                  <w:noWrap/>
                  <w:vAlign w:val="center"/>
                </w:tcPr>
                <w:p w14:paraId="6336CD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0.227</w:t>
                  </w:r>
                </w:p>
              </w:tc>
              <w:tc>
                <w:tcPr>
                  <w:tcW w:w="1346" w:type="dxa"/>
                  <w:vMerge w:val="restart"/>
                  <w:tcBorders>
                    <w:tl2br w:val="nil"/>
                    <w:tr2bl w:val="nil"/>
                  </w:tcBorders>
                  <w:shd w:val="clear" w:color="auto" w:fill="auto"/>
                  <w:noWrap/>
                  <w:vAlign w:val="center"/>
                </w:tcPr>
                <w:p w14:paraId="19A165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1" w:type="dxa"/>
                  <w:tcBorders>
                    <w:tl2br w:val="nil"/>
                    <w:tr2bl w:val="nil"/>
                  </w:tcBorders>
                  <w:shd w:val="clear" w:color="auto" w:fill="auto"/>
                  <w:vAlign w:val="center"/>
                </w:tcPr>
                <w:p w14:paraId="703E7B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1032B9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78B874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3E5B7C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33B0C5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0.049</w:t>
                  </w:r>
                </w:p>
              </w:tc>
              <w:tc>
                <w:tcPr>
                  <w:tcW w:w="1005" w:type="dxa"/>
                  <w:tcBorders>
                    <w:tl2br w:val="nil"/>
                    <w:tr2bl w:val="nil"/>
                  </w:tcBorders>
                  <w:shd w:val="clear" w:color="auto" w:fill="auto"/>
                  <w:noWrap/>
                  <w:vAlign w:val="center"/>
                </w:tcPr>
                <w:p w14:paraId="043168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0.091</w:t>
                  </w:r>
                </w:p>
              </w:tc>
              <w:tc>
                <w:tcPr>
                  <w:tcW w:w="1224" w:type="dxa"/>
                  <w:tcBorders>
                    <w:tl2br w:val="nil"/>
                    <w:tr2bl w:val="nil"/>
                  </w:tcBorders>
                  <w:shd w:val="clear" w:color="auto" w:fill="auto"/>
                  <w:vAlign w:val="center"/>
                </w:tcPr>
                <w:p w14:paraId="0A3873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8" w:type="dxa"/>
                  <w:tcBorders>
                    <w:tl2br w:val="nil"/>
                    <w:tr2bl w:val="nil"/>
                  </w:tcBorders>
                  <w:shd w:val="clear" w:color="auto" w:fill="auto"/>
                  <w:vAlign w:val="center"/>
                </w:tcPr>
                <w:p w14:paraId="1D0D27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22537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gridBefore w:val="1"/>
                <w:wBefore w:w="5" w:type="dxa"/>
                <w:trHeight w:val="397" w:hRule="atLeast"/>
              </w:trPr>
              <w:tc>
                <w:tcPr>
                  <w:tcW w:w="3744" w:type="dxa"/>
                  <w:gridSpan w:val="2"/>
                  <w:vMerge w:val="continue"/>
                  <w:tcBorders>
                    <w:tl2br w:val="nil"/>
                    <w:tr2bl w:val="nil"/>
                  </w:tcBorders>
                  <w:shd w:val="clear" w:color="auto" w:fill="auto"/>
                  <w:noWrap/>
                  <w:vAlign w:val="center"/>
                </w:tcPr>
                <w:p w14:paraId="53B9D8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06" w:type="dxa"/>
                  <w:tcBorders>
                    <w:top w:val="single" w:color="000000" w:sz="2" w:space="0"/>
                    <w:tl2br w:val="nil"/>
                    <w:tr2bl w:val="nil"/>
                  </w:tcBorders>
                  <w:shd w:val="clear" w:color="auto" w:fill="auto"/>
                  <w:vAlign w:val="center"/>
                </w:tcPr>
                <w:p w14:paraId="22702DF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VOCs</w:t>
                  </w:r>
                </w:p>
              </w:tc>
              <w:tc>
                <w:tcPr>
                  <w:tcW w:w="2171" w:type="dxa"/>
                  <w:tcBorders>
                    <w:top w:val="single" w:color="000000" w:sz="2" w:space="0"/>
                    <w:bottom w:val="single" w:color="000000" w:sz="2" w:space="0"/>
                    <w:right w:val="single" w:color="000000" w:sz="2" w:space="0"/>
                    <w:tl2br w:val="nil"/>
                    <w:tr2bl w:val="nil"/>
                  </w:tcBorders>
                  <w:shd w:val="clear" w:color="auto" w:fill="auto"/>
                  <w:noWrap/>
                  <w:vAlign w:val="center"/>
                </w:tcPr>
                <w:p w14:paraId="7ECB82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283" w:type="dxa"/>
                  <w:tcBorders>
                    <w:top w:val="single" w:color="000000" w:sz="2" w:space="0"/>
                    <w:left w:val="single" w:color="000000" w:sz="2" w:space="0"/>
                    <w:bottom w:val="single" w:color="000000" w:sz="2" w:space="0"/>
                    <w:tl2br w:val="nil"/>
                    <w:tr2bl w:val="nil"/>
                  </w:tcBorders>
                  <w:shd w:val="clear" w:color="auto" w:fill="auto"/>
                  <w:noWrap/>
                  <w:vAlign w:val="center"/>
                </w:tcPr>
                <w:p w14:paraId="1DFC97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54E117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0.0028</w:t>
                  </w:r>
                </w:p>
              </w:tc>
              <w:tc>
                <w:tcPr>
                  <w:tcW w:w="1144" w:type="dxa"/>
                  <w:tcBorders>
                    <w:tl2br w:val="nil"/>
                    <w:tr2bl w:val="nil"/>
                  </w:tcBorders>
                  <w:shd w:val="clear" w:color="auto" w:fill="auto"/>
                  <w:noWrap/>
                  <w:vAlign w:val="center"/>
                </w:tcPr>
                <w:p w14:paraId="445DCC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c>
                <w:tcPr>
                  <w:tcW w:w="1346" w:type="dxa"/>
                  <w:vMerge w:val="continue"/>
                  <w:tcBorders>
                    <w:tl2br w:val="nil"/>
                    <w:tr2bl w:val="nil"/>
                  </w:tcBorders>
                  <w:shd w:val="clear" w:color="auto" w:fill="auto"/>
                  <w:noWrap/>
                  <w:vAlign w:val="center"/>
                </w:tcPr>
                <w:p w14:paraId="44192E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tcBorders>
                    <w:tl2br w:val="nil"/>
                    <w:tr2bl w:val="nil"/>
                  </w:tcBorders>
                  <w:shd w:val="clear" w:color="auto" w:fill="auto"/>
                  <w:vAlign w:val="center"/>
                </w:tcPr>
                <w:p w14:paraId="065F51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5E86FC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26AA4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15D7D2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60D116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0.0028</w:t>
                  </w:r>
                </w:p>
              </w:tc>
              <w:tc>
                <w:tcPr>
                  <w:tcW w:w="1005" w:type="dxa"/>
                  <w:tcBorders>
                    <w:tl2br w:val="nil"/>
                    <w:tr2bl w:val="nil"/>
                  </w:tcBorders>
                  <w:shd w:val="clear" w:color="auto" w:fill="auto"/>
                  <w:noWrap/>
                  <w:vAlign w:val="center"/>
                </w:tcPr>
                <w:p w14:paraId="5639F0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c>
                <w:tcPr>
                  <w:tcW w:w="1224" w:type="dxa"/>
                  <w:tcBorders>
                    <w:tl2br w:val="nil"/>
                    <w:tr2bl w:val="nil"/>
                  </w:tcBorders>
                  <w:shd w:val="clear" w:color="auto" w:fill="auto"/>
                  <w:vAlign w:val="center"/>
                </w:tcPr>
                <w:p w14:paraId="266D16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968" w:type="dxa"/>
                  <w:tcBorders>
                    <w:tl2br w:val="nil"/>
                    <w:tr2bl w:val="nil"/>
                  </w:tcBorders>
                  <w:shd w:val="clear" w:color="auto" w:fill="auto"/>
                  <w:vAlign w:val="center"/>
                </w:tcPr>
                <w:p w14:paraId="4038F8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1EADD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gridBefore w:val="1"/>
                <w:wBefore w:w="5" w:type="dxa"/>
                <w:trHeight w:val="397" w:hRule="atLeast"/>
              </w:trPr>
              <w:tc>
                <w:tcPr>
                  <w:tcW w:w="3744" w:type="dxa"/>
                  <w:gridSpan w:val="2"/>
                  <w:vMerge w:val="continue"/>
                  <w:tcBorders>
                    <w:tl2br w:val="nil"/>
                    <w:tr2bl w:val="nil"/>
                  </w:tcBorders>
                  <w:shd w:val="clear" w:color="auto" w:fill="auto"/>
                  <w:noWrap/>
                  <w:vAlign w:val="center"/>
                </w:tcPr>
                <w:p w14:paraId="2645A1CC">
                  <w:pPr>
                    <w:jc w:val="center"/>
                    <w:rPr>
                      <w:rFonts w:hint="default" w:ascii="Times New Roman" w:hAnsi="Times New Roman" w:eastAsia="宋体" w:cs="Times New Roman"/>
                      <w:i w:val="0"/>
                      <w:iCs w:val="0"/>
                      <w:color w:val="auto"/>
                      <w:sz w:val="21"/>
                      <w:szCs w:val="21"/>
                      <w:highlight w:val="none"/>
                      <w:u w:val="none"/>
                    </w:rPr>
                  </w:pPr>
                </w:p>
              </w:tc>
              <w:tc>
                <w:tcPr>
                  <w:tcW w:w="1606" w:type="dxa"/>
                  <w:tcBorders>
                    <w:bottom w:val="single" w:color="000000" w:sz="2" w:space="0"/>
                    <w:tl2br w:val="nil"/>
                    <w:tr2bl w:val="nil"/>
                  </w:tcBorders>
                  <w:shd w:val="clear" w:color="auto" w:fill="auto"/>
                  <w:vAlign w:val="center"/>
                </w:tcPr>
                <w:p w14:paraId="20798C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171" w:type="dxa"/>
                  <w:tcBorders>
                    <w:top w:val="single" w:color="000000" w:sz="2" w:space="0"/>
                    <w:bottom w:val="single" w:color="000000" w:sz="2" w:space="0"/>
                    <w:right w:val="single" w:color="000000" w:sz="2" w:space="0"/>
                    <w:tl2br w:val="nil"/>
                    <w:tr2bl w:val="nil"/>
                  </w:tcBorders>
                  <w:shd w:val="clear" w:color="auto" w:fill="auto"/>
                  <w:noWrap/>
                  <w:vAlign w:val="center"/>
                </w:tcPr>
                <w:p w14:paraId="42F7DB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283" w:type="dxa"/>
                  <w:tcBorders>
                    <w:top w:val="single" w:color="000000" w:sz="2" w:space="0"/>
                    <w:left w:val="single" w:color="000000" w:sz="2" w:space="0"/>
                    <w:bottom w:val="single" w:color="000000" w:sz="2" w:space="0"/>
                    <w:tl2br w:val="nil"/>
                    <w:tr2bl w:val="nil"/>
                  </w:tcBorders>
                  <w:shd w:val="clear" w:color="auto" w:fill="auto"/>
                  <w:noWrap/>
                  <w:vAlign w:val="center"/>
                </w:tcPr>
                <w:p w14:paraId="5A9B1B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00DBB9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0.006</w:t>
                  </w:r>
                </w:p>
              </w:tc>
              <w:tc>
                <w:tcPr>
                  <w:tcW w:w="1144" w:type="dxa"/>
                  <w:tcBorders>
                    <w:tl2br w:val="nil"/>
                    <w:tr2bl w:val="nil"/>
                  </w:tcBorders>
                  <w:shd w:val="clear" w:color="auto" w:fill="auto"/>
                  <w:noWrap/>
                  <w:vAlign w:val="center"/>
                </w:tcPr>
                <w:p w14:paraId="41A69E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1346" w:type="dxa"/>
                  <w:vMerge w:val="continue"/>
                  <w:tcBorders>
                    <w:tl2br w:val="nil"/>
                    <w:tr2bl w:val="nil"/>
                  </w:tcBorders>
                  <w:shd w:val="clear" w:color="auto" w:fill="auto"/>
                  <w:noWrap/>
                  <w:vAlign w:val="center"/>
                </w:tcPr>
                <w:p w14:paraId="09D82C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tcBorders>
                    <w:tl2br w:val="nil"/>
                    <w:tr2bl w:val="nil"/>
                  </w:tcBorders>
                  <w:shd w:val="clear" w:color="auto" w:fill="auto"/>
                  <w:vAlign w:val="center"/>
                </w:tcPr>
                <w:p w14:paraId="568254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6B1B6A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2601BF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7DBDAC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501DC7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w:t>
                  </w:r>
                </w:p>
              </w:tc>
              <w:tc>
                <w:tcPr>
                  <w:tcW w:w="1005" w:type="dxa"/>
                  <w:tcBorders>
                    <w:tl2br w:val="nil"/>
                    <w:tr2bl w:val="nil"/>
                  </w:tcBorders>
                  <w:shd w:val="clear" w:color="auto" w:fill="auto"/>
                  <w:noWrap/>
                  <w:vAlign w:val="center"/>
                </w:tcPr>
                <w:p w14:paraId="36775A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c>
                <w:tcPr>
                  <w:tcW w:w="1224" w:type="dxa"/>
                  <w:tcBorders>
                    <w:tl2br w:val="nil"/>
                    <w:tr2bl w:val="nil"/>
                  </w:tcBorders>
                  <w:shd w:val="clear" w:color="auto" w:fill="auto"/>
                  <w:vAlign w:val="center"/>
                </w:tcPr>
                <w:p w14:paraId="36DAFE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8" w:type="dxa"/>
                  <w:tcBorders>
                    <w:tl2br w:val="nil"/>
                    <w:tr2bl w:val="nil"/>
                  </w:tcBorders>
                  <w:shd w:val="clear" w:color="auto" w:fill="auto"/>
                  <w:vAlign w:val="center"/>
                </w:tcPr>
                <w:p w14:paraId="4569DF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4FCDB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Before w:val="1"/>
                <w:wBefore w:w="5" w:type="dxa"/>
                <w:trHeight w:val="397" w:hRule="atLeast"/>
              </w:trPr>
              <w:tc>
                <w:tcPr>
                  <w:tcW w:w="3744" w:type="dxa"/>
                  <w:gridSpan w:val="2"/>
                  <w:vMerge w:val="continue"/>
                  <w:tcBorders>
                    <w:tl2br w:val="nil"/>
                    <w:tr2bl w:val="nil"/>
                  </w:tcBorders>
                  <w:shd w:val="clear" w:color="auto" w:fill="auto"/>
                  <w:noWrap/>
                  <w:vAlign w:val="center"/>
                </w:tcPr>
                <w:p w14:paraId="25916A70">
                  <w:pPr>
                    <w:jc w:val="center"/>
                    <w:rPr>
                      <w:rFonts w:hint="default" w:ascii="Times New Roman" w:hAnsi="Times New Roman" w:eastAsia="宋体" w:cs="Times New Roman"/>
                      <w:i w:val="0"/>
                      <w:iCs w:val="0"/>
                      <w:color w:val="auto"/>
                      <w:sz w:val="21"/>
                      <w:szCs w:val="21"/>
                      <w:highlight w:val="none"/>
                      <w:u w:val="none"/>
                    </w:rPr>
                  </w:pPr>
                </w:p>
              </w:tc>
              <w:tc>
                <w:tcPr>
                  <w:tcW w:w="1606" w:type="dxa"/>
                  <w:tcBorders>
                    <w:top w:val="single" w:color="000000" w:sz="2" w:space="0"/>
                    <w:tl2br w:val="nil"/>
                    <w:tr2bl w:val="nil"/>
                  </w:tcBorders>
                  <w:shd w:val="clear" w:color="auto" w:fill="auto"/>
                  <w:vAlign w:val="center"/>
                </w:tcPr>
                <w:p w14:paraId="2A8877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臭气浓度</w:t>
                  </w:r>
                </w:p>
              </w:tc>
              <w:tc>
                <w:tcPr>
                  <w:tcW w:w="2171" w:type="dxa"/>
                  <w:tcBorders>
                    <w:top w:val="single" w:color="000000" w:sz="2" w:space="0"/>
                    <w:bottom w:val="single" w:color="000000" w:sz="2" w:space="0"/>
                    <w:right w:val="single" w:color="000000" w:sz="2" w:space="0"/>
                    <w:tl2br w:val="nil"/>
                    <w:tr2bl w:val="nil"/>
                  </w:tcBorders>
                  <w:shd w:val="clear" w:color="auto" w:fill="auto"/>
                  <w:noWrap/>
                  <w:vAlign w:val="center"/>
                </w:tcPr>
                <w:p w14:paraId="10E52C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283" w:type="dxa"/>
                  <w:tcBorders>
                    <w:top w:val="single" w:color="000000" w:sz="2" w:space="0"/>
                    <w:left w:val="single" w:color="000000" w:sz="2" w:space="0"/>
                    <w:bottom w:val="single" w:color="000000" w:sz="2" w:space="0"/>
                    <w:tl2br w:val="nil"/>
                    <w:tr2bl w:val="nil"/>
                  </w:tcBorders>
                  <w:shd w:val="clear" w:color="auto" w:fill="auto"/>
                  <w:noWrap/>
                  <w:vAlign w:val="center"/>
                </w:tcPr>
                <w:p w14:paraId="79056E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036" w:type="dxa"/>
                  <w:tcBorders>
                    <w:tl2br w:val="nil"/>
                    <w:tr2bl w:val="nil"/>
                  </w:tcBorders>
                  <w:shd w:val="clear" w:color="auto" w:fill="auto"/>
                  <w:noWrap/>
                  <w:vAlign w:val="center"/>
                </w:tcPr>
                <w:p w14:paraId="3F3218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144" w:type="dxa"/>
                  <w:tcBorders>
                    <w:tl2br w:val="nil"/>
                    <w:tr2bl w:val="nil"/>
                  </w:tcBorders>
                  <w:shd w:val="clear" w:color="auto" w:fill="auto"/>
                  <w:noWrap/>
                  <w:vAlign w:val="center"/>
                </w:tcPr>
                <w:p w14:paraId="289D92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346" w:type="dxa"/>
                  <w:vMerge w:val="continue"/>
                  <w:tcBorders>
                    <w:tl2br w:val="nil"/>
                    <w:tr2bl w:val="nil"/>
                  </w:tcBorders>
                  <w:shd w:val="clear" w:color="auto" w:fill="auto"/>
                  <w:noWrap/>
                  <w:vAlign w:val="center"/>
                </w:tcPr>
                <w:p w14:paraId="7D654A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1" w:type="dxa"/>
                  <w:tcBorders>
                    <w:tl2br w:val="nil"/>
                    <w:tr2bl w:val="nil"/>
                  </w:tcBorders>
                  <w:shd w:val="clear" w:color="auto" w:fill="auto"/>
                  <w:vAlign w:val="center"/>
                </w:tcPr>
                <w:p w14:paraId="47CB9B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67" w:type="dxa"/>
                  <w:tcBorders>
                    <w:tl2br w:val="nil"/>
                    <w:tr2bl w:val="nil"/>
                  </w:tcBorders>
                  <w:shd w:val="clear" w:color="auto" w:fill="auto"/>
                  <w:vAlign w:val="center"/>
                </w:tcPr>
                <w:p w14:paraId="730C4E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79C452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29" w:type="dxa"/>
                  <w:tcBorders>
                    <w:tl2br w:val="nil"/>
                    <w:tr2bl w:val="nil"/>
                  </w:tcBorders>
                  <w:shd w:val="clear" w:color="auto" w:fill="auto"/>
                  <w:noWrap/>
                  <w:vAlign w:val="center"/>
                </w:tcPr>
                <w:p w14:paraId="0675F9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144" w:type="dxa"/>
                  <w:tcBorders>
                    <w:tl2br w:val="nil"/>
                    <w:tr2bl w:val="nil"/>
                  </w:tcBorders>
                  <w:shd w:val="clear" w:color="auto" w:fill="auto"/>
                  <w:noWrap/>
                  <w:vAlign w:val="center"/>
                </w:tcPr>
                <w:p w14:paraId="2DDA29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005" w:type="dxa"/>
                  <w:tcBorders>
                    <w:tl2br w:val="nil"/>
                    <w:tr2bl w:val="nil"/>
                  </w:tcBorders>
                  <w:shd w:val="clear" w:color="auto" w:fill="auto"/>
                  <w:noWrap/>
                  <w:vAlign w:val="center"/>
                </w:tcPr>
                <w:p w14:paraId="737FA4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1224" w:type="dxa"/>
                  <w:tcBorders>
                    <w:tl2br w:val="nil"/>
                    <w:tr2bl w:val="nil"/>
                  </w:tcBorders>
                  <w:shd w:val="clear" w:color="auto" w:fill="auto"/>
                  <w:vAlign w:val="center"/>
                </w:tcPr>
                <w:p w14:paraId="619CF8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8" w:type="dxa"/>
                  <w:tcBorders>
                    <w:tl2br w:val="nil"/>
                    <w:tr2bl w:val="nil"/>
                  </w:tcBorders>
                  <w:shd w:val="clear" w:color="auto" w:fill="auto"/>
                  <w:vAlign w:val="center"/>
                </w:tcPr>
                <w:p w14:paraId="3E0FF0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14:paraId="24782079">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2、废气排放口基本信息及技术可行性分析</w:t>
            </w:r>
          </w:p>
          <w:p w14:paraId="745401E2">
            <w:pPr>
              <w:pStyle w:val="110"/>
              <w:snapToGrid w:val="0"/>
              <w:spacing w:beforeLines="0"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废气治理设施及排放口基本信息见下表：</w:t>
            </w:r>
          </w:p>
          <w:p w14:paraId="7C82B9C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cs="Times New Roman" w:eastAsiaTheme="minorEastAsia"/>
                <w:b/>
                <w:color w:val="auto"/>
                <w:sz w:val="24"/>
                <w:szCs w:val="24"/>
                <w:highlight w:val="none"/>
                <w:lang w:val="en-US" w:eastAsia="zh-CN"/>
              </w:rPr>
            </w:pPr>
            <w:r>
              <w:rPr>
                <w:rFonts w:hint="default" w:ascii="Times New Roman" w:hAnsi="Times New Roman" w:cs="Times New Roman" w:eastAsiaTheme="minorEastAsia"/>
                <w:b/>
                <w:color w:val="auto"/>
                <w:sz w:val="24"/>
                <w:szCs w:val="24"/>
                <w:highlight w:val="none"/>
                <w:lang w:val="en-US" w:eastAsia="zh-CN"/>
              </w:rPr>
              <w:t>本项目废气治理设施和排放口基本信息表</w:t>
            </w:r>
          </w:p>
          <w:tbl>
            <w:tblPr>
              <w:tblStyle w:val="38"/>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3"/>
              <w:gridCol w:w="2218"/>
              <w:gridCol w:w="4246"/>
              <w:gridCol w:w="2758"/>
              <w:gridCol w:w="2415"/>
              <w:gridCol w:w="1781"/>
              <w:gridCol w:w="1436"/>
              <w:gridCol w:w="1720"/>
              <w:gridCol w:w="1412"/>
              <w:gridCol w:w="1661"/>
            </w:tblGrid>
            <w:tr w14:paraId="40A9D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5" w:type="pct"/>
                  <w:vMerge w:val="restart"/>
                  <w:noWrap w:val="0"/>
                  <w:vAlign w:val="center"/>
                </w:tcPr>
                <w:p w14:paraId="2972D363">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编号</w:t>
                  </w:r>
                </w:p>
              </w:tc>
              <w:tc>
                <w:tcPr>
                  <w:tcW w:w="534" w:type="pct"/>
                  <w:vMerge w:val="restart"/>
                  <w:noWrap w:val="0"/>
                  <w:vAlign w:val="center"/>
                </w:tcPr>
                <w:p w14:paraId="2C624D68">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排放口名称</w:t>
                  </w:r>
                </w:p>
              </w:tc>
              <w:tc>
                <w:tcPr>
                  <w:tcW w:w="1023" w:type="pct"/>
                  <w:vMerge w:val="restart"/>
                  <w:noWrap w:val="0"/>
                  <w:vAlign w:val="center"/>
                </w:tcPr>
                <w:p w14:paraId="3D8BFE88">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污染物种类</w:t>
                  </w:r>
                </w:p>
              </w:tc>
              <w:tc>
                <w:tcPr>
                  <w:tcW w:w="664" w:type="pct"/>
                  <w:vMerge w:val="restart"/>
                  <w:tcBorders>
                    <w:right w:val="single" w:color="000000" w:sz="2" w:space="0"/>
                  </w:tcBorders>
                  <w:noWrap w:val="0"/>
                  <w:vAlign w:val="center"/>
                </w:tcPr>
                <w:p w14:paraId="37E01183">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污染防治设施工艺</w:t>
                  </w:r>
                </w:p>
              </w:tc>
              <w:tc>
                <w:tcPr>
                  <w:tcW w:w="581" w:type="pct"/>
                  <w:vMerge w:val="restart"/>
                  <w:tcBorders>
                    <w:left w:val="single" w:color="000000" w:sz="2" w:space="0"/>
                  </w:tcBorders>
                  <w:noWrap w:val="0"/>
                  <w:vAlign w:val="center"/>
                </w:tcPr>
                <w:p w14:paraId="667CBCA8">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是否为可行技术</w:t>
                  </w:r>
                </w:p>
              </w:tc>
              <w:tc>
                <w:tcPr>
                  <w:tcW w:w="775" w:type="pct"/>
                  <w:gridSpan w:val="2"/>
                  <w:noWrap w:val="0"/>
                  <w:vAlign w:val="center"/>
                </w:tcPr>
                <w:p w14:paraId="58C29EE0">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排放口地理坐标</w:t>
                  </w:r>
                </w:p>
              </w:tc>
              <w:tc>
                <w:tcPr>
                  <w:tcW w:w="414" w:type="pct"/>
                  <w:vMerge w:val="restart"/>
                  <w:noWrap w:val="0"/>
                  <w:vAlign w:val="center"/>
                </w:tcPr>
                <w:p w14:paraId="67FC7B02">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排气筒高度（m）</w:t>
                  </w:r>
                </w:p>
              </w:tc>
              <w:tc>
                <w:tcPr>
                  <w:tcW w:w="340" w:type="pct"/>
                  <w:vMerge w:val="restart"/>
                  <w:noWrap w:val="0"/>
                  <w:vAlign w:val="center"/>
                </w:tcPr>
                <w:p w14:paraId="417B25F6">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排气温度</w:t>
                  </w:r>
                </w:p>
                <w:p w14:paraId="4BDE1BAD">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400" w:type="pct"/>
                  <w:vMerge w:val="restart"/>
                  <w:noWrap w:val="0"/>
                  <w:vAlign w:val="center"/>
                </w:tcPr>
                <w:p w14:paraId="76C0006E">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排放口类型</w:t>
                  </w:r>
                </w:p>
              </w:tc>
            </w:tr>
            <w:tr w14:paraId="35F646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5" w:type="pct"/>
                  <w:vMerge w:val="continue"/>
                  <w:noWrap w:val="0"/>
                  <w:vAlign w:val="center"/>
                </w:tcPr>
                <w:p w14:paraId="267DDB5D">
                  <w:pPr>
                    <w:autoSpaceDE w:val="0"/>
                    <w:autoSpaceDN w:val="0"/>
                    <w:jc w:val="center"/>
                    <w:rPr>
                      <w:rFonts w:hint="default" w:ascii="Times New Roman" w:hAnsi="Times New Roman" w:cs="Times New Roman"/>
                      <w:color w:val="auto"/>
                      <w:sz w:val="21"/>
                      <w:szCs w:val="21"/>
                      <w:highlight w:val="none"/>
                    </w:rPr>
                  </w:pPr>
                </w:p>
              </w:tc>
              <w:tc>
                <w:tcPr>
                  <w:tcW w:w="534" w:type="pct"/>
                  <w:vMerge w:val="continue"/>
                  <w:noWrap w:val="0"/>
                  <w:vAlign w:val="center"/>
                </w:tcPr>
                <w:p w14:paraId="7B8ABA6D">
                  <w:pPr>
                    <w:autoSpaceDE w:val="0"/>
                    <w:autoSpaceDN w:val="0"/>
                    <w:jc w:val="center"/>
                    <w:rPr>
                      <w:rFonts w:hint="default" w:ascii="Times New Roman" w:hAnsi="Times New Roman" w:cs="Times New Roman"/>
                      <w:color w:val="auto"/>
                      <w:sz w:val="21"/>
                      <w:szCs w:val="21"/>
                      <w:highlight w:val="none"/>
                    </w:rPr>
                  </w:pPr>
                </w:p>
              </w:tc>
              <w:tc>
                <w:tcPr>
                  <w:tcW w:w="1023" w:type="pct"/>
                  <w:vMerge w:val="continue"/>
                  <w:noWrap w:val="0"/>
                  <w:vAlign w:val="center"/>
                </w:tcPr>
                <w:p w14:paraId="320A0DA6">
                  <w:pPr>
                    <w:autoSpaceDE w:val="0"/>
                    <w:autoSpaceDN w:val="0"/>
                    <w:jc w:val="center"/>
                    <w:rPr>
                      <w:rFonts w:hint="default" w:ascii="Times New Roman" w:hAnsi="Times New Roman" w:cs="Times New Roman"/>
                      <w:color w:val="auto"/>
                      <w:sz w:val="21"/>
                      <w:szCs w:val="21"/>
                      <w:highlight w:val="none"/>
                    </w:rPr>
                  </w:pPr>
                </w:p>
              </w:tc>
              <w:tc>
                <w:tcPr>
                  <w:tcW w:w="664" w:type="pct"/>
                  <w:vMerge w:val="continue"/>
                  <w:tcBorders>
                    <w:right w:val="single" w:color="000000" w:sz="2" w:space="0"/>
                  </w:tcBorders>
                  <w:noWrap w:val="0"/>
                  <w:vAlign w:val="center"/>
                </w:tcPr>
                <w:p w14:paraId="6B7AE0EE">
                  <w:pPr>
                    <w:pStyle w:val="84"/>
                    <w:jc w:val="center"/>
                    <w:rPr>
                      <w:rFonts w:hint="default" w:ascii="Times New Roman" w:hAnsi="Times New Roman" w:cs="Times New Roman"/>
                      <w:b/>
                      <w:color w:val="auto"/>
                      <w:sz w:val="21"/>
                      <w:szCs w:val="21"/>
                      <w:highlight w:val="none"/>
                    </w:rPr>
                  </w:pPr>
                </w:p>
              </w:tc>
              <w:tc>
                <w:tcPr>
                  <w:tcW w:w="581" w:type="pct"/>
                  <w:vMerge w:val="continue"/>
                  <w:tcBorders>
                    <w:left w:val="single" w:color="000000" w:sz="2" w:space="0"/>
                  </w:tcBorders>
                  <w:noWrap w:val="0"/>
                  <w:vAlign w:val="center"/>
                </w:tcPr>
                <w:p w14:paraId="273E3974">
                  <w:pPr>
                    <w:pStyle w:val="84"/>
                    <w:jc w:val="center"/>
                    <w:rPr>
                      <w:rFonts w:hint="default" w:ascii="Times New Roman" w:hAnsi="Times New Roman" w:cs="Times New Roman"/>
                      <w:b/>
                      <w:color w:val="auto"/>
                      <w:sz w:val="21"/>
                      <w:szCs w:val="21"/>
                      <w:highlight w:val="none"/>
                    </w:rPr>
                  </w:pPr>
                </w:p>
              </w:tc>
              <w:tc>
                <w:tcPr>
                  <w:tcW w:w="429" w:type="pct"/>
                  <w:noWrap w:val="0"/>
                  <w:vAlign w:val="center"/>
                </w:tcPr>
                <w:p w14:paraId="1D6FF95D">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经度/°E</w:t>
                  </w:r>
                </w:p>
              </w:tc>
              <w:tc>
                <w:tcPr>
                  <w:tcW w:w="346" w:type="pct"/>
                  <w:noWrap w:val="0"/>
                  <w:vAlign w:val="center"/>
                </w:tcPr>
                <w:p w14:paraId="4FC55CCF">
                  <w:pPr>
                    <w:pStyle w:val="84"/>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纬度/°N</w:t>
                  </w:r>
                </w:p>
              </w:tc>
              <w:tc>
                <w:tcPr>
                  <w:tcW w:w="414" w:type="pct"/>
                  <w:vMerge w:val="continue"/>
                  <w:noWrap w:val="0"/>
                  <w:vAlign w:val="center"/>
                </w:tcPr>
                <w:p w14:paraId="5B5A97F9">
                  <w:pPr>
                    <w:autoSpaceDE w:val="0"/>
                    <w:autoSpaceDN w:val="0"/>
                    <w:jc w:val="center"/>
                    <w:rPr>
                      <w:rFonts w:hint="default" w:ascii="Times New Roman" w:hAnsi="Times New Roman" w:cs="Times New Roman"/>
                      <w:color w:val="auto"/>
                      <w:sz w:val="21"/>
                      <w:szCs w:val="21"/>
                      <w:highlight w:val="none"/>
                    </w:rPr>
                  </w:pPr>
                </w:p>
              </w:tc>
              <w:tc>
                <w:tcPr>
                  <w:tcW w:w="340" w:type="pct"/>
                  <w:vMerge w:val="continue"/>
                  <w:noWrap w:val="0"/>
                  <w:vAlign w:val="center"/>
                </w:tcPr>
                <w:p w14:paraId="6F445CDE">
                  <w:pPr>
                    <w:autoSpaceDE w:val="0"/>
                    <w:autoSpaceDN w:val="0"/>
                    <w:jc w:val="center"/>
                    <w:rPr>
                      <w:rFonts w:hint="default" w:ascii="Times New Roman" w:hAnsi="Times New Roman" w:cs="Times New Roman"/>
                      <w:color w:val="auto"/>
                      <w:sz w:val="21"/>
                      <w:szCs w:val="21"/>
                      <w:highlight w:val="none"/>
                    </w:rPr>
                  </w:pPr>
                </w:p>
              </w:tc>
              <w:tc>
                <w:tcPr>
                  <w:tcW w:w="400" w:type="pct"/>
                  <w:vMerge w:val="continue"/>
                  <w:noWrap w:val="0"/>
                  <w:vAlign w:val="center"/>
                </w:tcPr>
                <w:p w14:paraId="67C32185">
                  <w:pPr>
                    <w:autoSpaceDE w:val="0"/>
                    <w:autoSpaceDN w:val="0"/>
                    <w:jc w:val="center"/>
                    <w:rPr>
                      <w:rFonts w:hint="default" w:ascii="Times New Roman" w:hAnsi="Times New Roman" w:cs="Times New Roman"/>
                      <w:color w:val="auto"/>
                      <w:sz w:val="21"/>
                      <w:szCs w:val="21"/>
                      <w:highlight w:val="none"/>
                    </w:rPr>
                  </w:pPr>
                </w:p>
              </w:tc>
            </w:tr>
            <w:tr w14:paraId="7FE267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5" w:type="pct"/>
                  <w:noWrap w:val="0"/>
                  <w:vAlign w:val="center"/>
                </w:tcPr>
                <w:p w14:paraId="74DE7B77">
                  <w:pPr>
                    <w:pStyle w:val="8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534" w:type="pct"/>
                  <w:noWrap w:val="0"/>
                  <w:vAlign w:val="center"/>
                </w:tcPr>
                <w:p w14:paraId="7023A7D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注塑废气</w:t>
                  </w:r>
                </w:p>
              </w:tc>
              <w:tc>
                <w:tcPr>
                  <w:tcW w:w="1023" w:type="pct"/>
                  <w:noWrap w:val="0"/>
                  <w:vAlign w:val="center"/>
                </w:tcPr>
                <w:p w14:paraId="2D4FE406">
                  <w:pPr>
                    <w:pStyle w:val="8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非甲烷总烃、臭气浓度</w:t>
                  </w:r>
                </w:p>
              </w:tc>
              <w:tc>
                <w:tcPr>
                  <w:tcW w:w="664" w:type="pct"/>
                  <w:tcBorders>
                    <w:right w:val="single" w:color="000000" w:sz="2" w:space="0"/>
                  </w:tcBorders>
                  <w:noWrap w:val="0"/>
                  <w:vAlign w:val="center"/>
                </w:tcPr>
                <w:p w14:paraId="1455A7D2">
                  <w:pPr>
                    <w:pStyle w:val="84"/>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二级活性炭吸附装置</w:t>
                  </w:r>
                </w:p>
              </w:tc>
              <w:tc>
                <w:tcPr>
                  <w:tcW w:w="581" w:type="pct"/>
                  <w:tcBorders>
                    <w:left w:val="single" w:color="000000" w:sz="2" w:space="0"/>
                  </w:tcBorders>
                  <w:noWrap w:val="0"/>
                  <w:vAlign w:val="center"/>
                </w:tcPr>
                <w:p w14:paraId="5A54B960">
                  <w:pPr>
                    <w:pStyle w:val="84"/>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429" w:type="pct"/>
                  <w:noWrap w:val="0"/>
                  <w:vAlign w:val="center"/>
                </w:tcPr>
                <w:p w14:paraId="70275F67">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113.40850</w:t>
                  </w:r>
                </w:p>
              </w:tc>
              <w:tc>
                <w:tcPr>
                  <w:tcW w:w="346" w:type="pct"/>
                  <w:noWrap w:val="0"/>
                  <w:vAlign w:val="center"/>
                </w:tcPr>
                <w:p w14:paraId="49CD97CA">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rPr>
                    <w:t>5.12574</w:t>
                  </w:r>
                </w:p>
              </w:tc>
              <w:tc>
                <w:tcPr>
                  <w:tcW w:w="414" w:type="pct"/>
                  <w:noWrap w:val="0"/>
                  <w:vAlign w:val="center"/>
                </w:tcPr>
                <w:p w14:paraId="35AA8CC4">
                  <w:pPr>
                    <w:pStyle w:val="8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340" w:type="pct"/>
                  <w:noWrap w:val="0"/>
                  <w:vAlign w:val="center"/>
                </w:tcPr>
                <w:p w14:paraId="4932B34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00" w:type="pct"/>
                  <w:noWrap w:val="0"/>
                  <w:vAlign w:val="center"/>
                </w:tcPr>
                <w:p w14:paraId="5BD1E11C">
                  <w:pPr>
                    <w:pStyle w:val="84"/>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r>
          </w:tbl>
          <w:p w14:paraId="75C7BB3E">
            <w:pPr>
              <w:pStyle w:val="110"/>
              <w:snapToGrid w:val="0"/>
              <w:spacing w:beforeLines="0" w:line="360" w:lineRule="auto"/>
              <w:ind w:firstLine="480" w:firstLineChars="0"/>
              <w:rPr>
                <w:rFonts w:hint="default" w:ascii="Times New Roman" w:hAnsi="Times New Roman" w:eastAsia="宋体" w:cs="Times New Roman"/>
                <w:color w:val="auto"/>
                <w:sz w:val="24"/>
                <w:szCs w:val="24"/>
                <w:highlight w:val="none"/>
                <w:lang w:eastAsia="zh-CN"/>
              </w:rPr>
            </w:pPr>
          </w:p>
          <w:p w14:paraId="28788236">
            <w:pPr>
              <w:pStyle w:val="110"/>
              <w:snapToGrid w:val="0"/>
              <w:spacing w:beforeLines="0" w:line="360" w:lineRule="auto"/>
              <w:ind w:firstLine="480" w:firstLineChars="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据《排污许可证申请与核发技术规范橡胶和塑料制品工业》（HJ1122-2020）表A.2塑料制品工艺排污单位废气污染防治可行性技术参数表，项目使用的活性炭吸附为推荐的可行性技术。因此本项目采用活性炭吸附装置处理有机废气可行。</w:t>
            </w:r>
          </w:p>
          <w:p w14:paraId="49F7862D">
            <w:pPr>
              <w:pStyle w:val="110"/>
              <w:snapToGrid w:val="0"/>
              <w:spacing w:beforeLines="0" w:line="360" w:lineRule="auto"/>
              <w:ind w:firstLine="480" w:firstLineChars="0"/>
              <w:rPr>
                <w:rFonts w:hint="default" w:ascii="Times New Roman" w:hAnsi="Times New Roman" w:cs="Times New Roman"/>
                <w:color w:val="auto"/>
                <w:highlight w:val="none"/>
              </w:rPr>
            </w:pPr>
          </w:p>
        </w:tc>
      </w:tr>
    </w:tbl>
    <w:p w14:paraId="58D55CE0">
      <w:pPr>
        <w:adjustRightInd w:val="0"/>
        <w:snapToGrid w:val="0"/>
        <w:jc w:val="center"/>
        <w:rPr>
          <w:rFonts w:hint="default" w:ascii="Times New Roman" w:hAnsi="Times New Roman" w:cs="Times New Roman"/>
          <w:bCs/>
          <w:color w:val="auto"/>
          <w:szCs w:val="21"/>
          <w:highlight w:val="none"/>
        </w:rPr>
        <w:sectPr>
          <w:pgSz w:w="23811" w:h="16838" w:orient="landscape"/>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06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8544"/>
      </w:tblGrid>
      <w:tr w14:paraId="25E22D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17" w:type="pct"/>
            <w:tcMar>
              <w:left w:w="28" w:type="dxa"/>
              <w:right w:w="28" w:type="dxa"/>
            </w:tcMar>
            <w:vAlign w:val="center"/>
          </w:tcPr>
          <w:p w14:paraId="14B5853E">
            <w:pPr>
              <w:adjustRightInd w:val="0"/>
              <w:snapToGrid w:val="0"/>
              <w:jc w:val="center"/>
              <w:rPr>
                <w:rFonts w:hint="default" w:ascii="Times New Roman" w:hAnsi="Times New Roman" w:cs="Times New Roman"/>
                <w:bCs/>
                <w:color w:val="auto"/>
                <w:szCs w:val="21"/>
                <w:highlight w:val="none"/>
              </w:rPr>
            </w:pPr>
          </w:p>
        </w:tc>
        <w:tc>
          <w:tcPr>
            <w:tcW w:w="4582" w:type="pct"/>
          </w:tcPr>
          <w:p w14:paraId="70AA7BA6">
            <w:pPr>
              <w:spacing w:line="360" w:lineRule="auto"/>
              <w:ind w:firstLine="482" w:firstLineChars="200"/>
              <w:rPr>
                <w:rFonts w:hint="default" w:ascii="Times New Roman" w:hAnsi="Times New Roman" w:cs="Times New Roman" w:eastAsiaTheme="minorEastAsia"/>
                <w:b/>
                <w:color w:val="auto"/>
                <w:sz w:val="24"/>
                <w:highlight w:val="none"/>
                <w:lang w:val="en-US" w:eastAsia="zh-CN"/>
              </w:rPr>
            </w:pPr>
            <w:r>
              <w:rPr>
                <w:rFonts w:hint="default" w:ascii="Times New Roman" w:hAnsi="Times New Roman" w:cs="Times New Roman" w:eastAsiaTheme="minorEastAsia"/>
                <w:b/>
                <w:color w:val="auto"/>
                <w:sz w:val="24"/>
                <w:highlight w:val="none"/>
                <w:lang w:val="en-US" w:eastAsia="zh-CN"/>
              </w:rPr>
              <w:t>3、无组织排放管控要求</w:t>
            </w:r>
          </w:p>
          <w:p w14:paraId="07E929AE">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VOCs物料储存无组织排放控制要求：</w:t>
            </w:r>
          </w:p>
          <w:p w14:paraId="70DE0AAA">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项目所用的物料均采用密封袋贮存于室内；危险废物经分类收集后用加厚胶袋盛装并进行密闭，暂存于专门的危废仓</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储存过程</w:t>
            </w:r>
            <w:r>
              <w:rPr>
                <w:rFonts w:hint="default" w:ascii="Times New Roman" w:hAnsi="Times New Roman" w:cs="Times New Roman"/>
                <w:color w:val="auto"/>
                <w:sz w:val="24"/>
                <w:highlight w:val="none"/>
                <w:lang w:eastAsia="zh-CN"/>
              </w:rPr>
              <w:t>基本</w:t>
            </w:r>
            <w:r>
              <w:rPr>
                <w:rFonts w:hint="default" w:ascii="Times New Roman" w:hAnsi="Times New Roman" w:cs="Times New Roman"/>
                <w:color w:val="auto"/>
                <w:sz w:val="24"/>
                <w:highlight w:val="none"/>
              </w:rPr>
              <w:t>无VOCs的产生。因此，项目符合</w:t>
            </w:r>
            <w:r>
              <w:rPr>
                <w:rFonts w:hint="default" w:ascii="Times New Roman" w:hAnsi="Times New Roman" w:cs="Times New Roman"/>
                <w:color w:val="auto"/>
                <w:sz w:val="24"/>
                <w:highlight w:val="none"/>
                <w:lang w:eastAsia="zh-CN"/>
              </w:rPr>
              <w:t>《挥发性有机物无组织排放控制标准》（GB37822</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2019）</w:t>
            </w:r>
            <w:r>
              <w:rPr>
                <w:rFonts w:hint="default" w:ascii="Times New Roman" w:hAnsi="Times New Roman" w:cs="Times New Roman"/>
                <w:color w:val="auto"/>
                <w:sz w:val="24"/>
                <w:highlight w:val="none"/>
              </w:rPr>
              <w:t>VOCs物料储存无组织排放控制要求。</w:t>
            </w:r>
          </w:p>
          <w:p w14:paraId="02D0A625">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VOCs物料转移和输送无组织排放控制要求：</w:t>
            </w:r>
          </w:p>
          <w:p w14:paraId="474E558C">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项目使用的原辅材料常温下不会挥发有机废气；危险废物经分类收集后用加厚胶袋密闭盛装后进行转移。因此，项目符合《挥发性有机物无组织排放控制标准》（GB37822</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2019）VOCs物料转移和输送无组织排放控制要求。</w:t>
            </w:r>
          </w:p>
          <w:p w14:paraId="14E5C293">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工艺过程VOCs无组织排放控制要求：</w:t>
            </w:r>
          </w:p>
          <w:p w14:paraId="3D8E776B">
            <w:pPr>
              <w:pageBreakBefore w:val="0"/>
              <w:wordWrap w:val="0"/>
              <w:overflowPunct/>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《挥发性有机物无组织排放控制标准》（GB37822</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2019）</w:t>
            </w:r>
            <w:r>
              <w:rPr>
                <w:rFonts w:hint="default" w:ascii="Times New Roman" w:hAnsi="Times New Roman" w:cs="Times New Roman"/>
                <w:color w:val="auto"/>
                <w:sz w:val="24"/>
                <w:highlight w:val="none"/>
                <w:lang w:val="en-US" w:eastAsia="zh-CN"/>
              </w:rPr>
              <w:t>要求无法密闭投加的，应在密闭空间内操作，或进行局部气体收集，废气应排至VOCs废气收集处理系统。本项目注塑塑料粒常温下不产生VOCs，封口胶、点胶剂常温下产生VOCs量较少，主要在注塑、UV固化工序产生。UV固化废气呈无组织排放；注塑气收集排至废气处理设施处理后通过30m高DA001排气筒排放，满足要求。</w:t>
            </w:r>
          </w:p>
          <w:p w14:paraId="242B332F">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敞开液面VOCs无组织排放控制要求：</w:t>
            </w:r>
          </w:p>
          <w:p w14:paraId="50344673">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项目生产过程中无含VOCs废水的排放。</w:t>
            </w:r>
          </w:p>
          <w:p w14:paraId="7F1E1A0D">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记录要求：企业拟建立台账，记录废气收集系统、VOCs处理设施的主要运行和维护信息，如运行时间、废气处理量、操作温度、停留时间、更换周期和更换量等关键运行参数。台账保存期限不少于5年。因此，项目符合VOCs无组织排放废气收集处理系统要求。</w:t>
            </w:r>
          </w:p>
          <w:p w14:paraId="28D50E6A">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4、</w:t>
            </w:r>
            <w:r>
              <w:rPr>
                <w:rFonts w:hint="default" w:ascii="Times New Roman" w:hAnsi="Times New Roman" w:cs="Times New Roman" w:eastAsiaTheme="minorEastAsia"/>
                <w:b/>
                <w:color w:val="auto"/>
                <w:sz w:val="24"/>
                <w:highlight w:val="none"/>
              </w:rPr>
              <w:t>监测计划</w:t>
            </w:r>
          </w:p>
          <w:p w14:paraId="21E2EB78">
            <w:pPr>
              <w:spacing w:line="360" w:lineRule="auto"/>
              <w:ind w:firstLine="480" w:firstLineChars="20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cs="Times New Roman"/>
                <w:b w:val="0"/>
                <w:bCs w:val="0"/>
                <w:color w:val="auto"/>
                <w:kern w:val="2"/>
                <w:sz w:val="24"/>
                <w:szCs w:val="24"/>
                <w:highlight w:val="none"/>
                <w:lang w:val="en-US" w:eastAsia="zh-CN" w:bidi="ar-SA"/>
              </w:rPr>
              <w:t>参考</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《排污单位自行监测技术指南总则》（HJ819-2017）、《排污许可证申请与核发技术规范橡胶和塑料制品工业》（HJ1122—2020）</w:t>
            </w:r>
            <w:r>
              <w:rPr>
                <w:rFonts w:hint="default" w:ascii="Times New Roman" w:hAnsi="Times New Roman" w:cs="Times New Roman"/>
                <w:b w:val="0"/>
                <w:bCs w:val="0"/>
                <w:color w:val="auto"/>
                <w:kern w:val="2"/>
                <w:sz w:val="24"/>
                <w:szCs w:val="24"/>
                <w:highlight w:val="none"/>
                <w:lang w:val="en-US" w:eastAsia="zh-CN" w:bidi="ar-SA"/>
              </w:rPr>
              <w:t>、《排污单位自行监测技术指南橡胶和塑料制品（HJ1207—2021）》、《排污许可证申请与核发技术规范电子工业》（HJ1031-2019）及《排污单位自行监测技术指南电子工业》（HJ1253-2022）</w:t>
            </w:r>
            <w:r>
              <w:rPr>
                <w:rFonts w:hint="default" w:ascii="Times New Roman" w:hAnsi="Times New Roman" w:eastAsia="宋体" w:cs="Times New Roman"/>
                <w:b w:val="0"/>
                <w:bCs w:val="0"/>
                <w:color w:val="auto"/>
                <w:kern w:val="2"/>
                <w:sz w:val="24"/>
                <w:szCs w:val="24"/>
                <w:highlight w:val="none"/>
                <w:lang w:val="en-US" w:eastAsia="zh-CN" w:bidi="ar-SA"/>
              </w:rPr>
              <w:t>，并结合项目运营期间污染排放特点，项目运营期废气监测计划如下表所示：</w:t>
            </w:r>
          </w:p>
          <w:p w14:paraId="6E190D93">
            <w:pPr>
              <w:spacing w:line="360" w:lineRule="auto"/>
              <w:ind w:firstLine="480" w:firstLineChars="200"/>
              <w:rPr>
                <w:rFonts w:hint="default" w:ascii="Times New Roman" w:hAnsi="Times New Roman" w:eastAsia="宋体" w:cs="Times New Roman"/>
                <w:b w:val="0"/>
                <w:bCs w:val="0"/>
                <w:color w:val="auto"/>
                <w:kern w:val="2"/>
                <w:sz w:val="24"/>
                <w:szCs w:val="24"/>
                <w:highlight w:val="none"/>
                <w:lang w:val="en-US" w:eastAsia="zh-CN" w:bidi="ar-SA"/>
              </w:rPr>
            </w:pPr>
          </w:p>
          <w:p w14:paraId="5CE55B4F">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项目大气污染物监测计划</w:t>
            </w:r>
          </w:p>
          <w:tbl>
            <w:tblPr>
              <w:tblStyle w:val="39"/>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9"/>
              <w:gridCol w:w="1523"/>
              <w:gridCol w:w="868"/>
              <w:gridCol w:w="4920"/>
            </w:tblGrid>
            <w:tr w14:paraId="1EC514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Align w:val="center"/>
                </w:tcPr>
                <w:p w14:paraId="271CD4B3">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监测点位</w:t>
                  </w:r>
                </w:p>
              </w:tc>
              <w:tc>
                <w:tcPr>
                  <w:tcW w:w="916" w:type="pct"/>
                  <w:vAlign w:val="center"/>
                </w:tcPr>
                <w:p w14:paraId="6B2C9E8D">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监测因子</w:t>
                  </w:r>
                </w:p>
              </w:tc>
              <w:tc>
                <w:tcPr>
                  <w:tcW w:w="522" w:type="pct"/>
                  <w:vAlign w:val="center"/>
                </w:tcPr>
                <w:p w14:paraId="5AE8FB40">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监测频次</w:t>
                  </w:r>
                </w:p>
              </w:tc>
              <w:tc>
                <w:tcPr>
                  <w:tcW w:w="2959" w:type="pct"/>
                  <w:vAlign w:val="center"/>
                </w:tcPr>
                <w:p w14:paraId="6306C1D7">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执行标准</w:t>
                  </w:r>
                </w:p>
              </w:tc>
            </w:tr>
            <w:tr w14:paraId="5A62B2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Merge w:val="restart"/>
                  <w:vAlign w:val="center"/>
                </w:tcPr>
                <w:p w14:paraId="50CA81A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DA001</w:t>
                  </w:r>
                </w:p>
              </w:tc>
              <w:tc>
                <w:tcPr>
                  <w:tcW w:w="916" w:type="pct"/>
                  <w:vAlign w:val="center"/>
                </w:tcPr>
                <w:p w14:paraId="09C1CC8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非甲烷总烃</w:t>
                  </w:r>
                  <w:r>
                    <w:rPr>
                      <w:rFonts w:hint="eastAsia" w:cs="Times New Roman"/>
                      <w:b w:val="0"/>
                      <w:bCs/>
                      <w:color w:val="auto"/>
                      <w:sz w:val="21"/>
                      <w:szCs w:val="21"/>
                      <w:highlight w:val="none"/>
                      <w:lang w:val="en-US" w:eastAsia="zh-CN"/>
                    </w:rPr>
                    <w:t>、苯乙烯、丙烯腈、1，3一丁二烯、甲苯、乙苯</w:t>
                  </w:r>
                </w:p>
              </w:tc>
              <w:tc>
                <w:tcPr>
                  <w:tcW w:w="522" w:type="pct"/>
                  <w:vAlign w:val="center"/>
                </w:tcPr>
                <w:p w14:paraId="51A16679">
                  <w:pPr>
                    <w:pStyle w:val="130"/>
                    <w:pageBreakBefore w:val="0"/>
                    <w:wordWrap w:val="0"/>
                    <w:overflowPunct/>
                    <w:bidi w:val="0"/>
                    <w:spacing w:line="240" w:lineRule="auto"/>
                    <w:ind w:firstLine="0" w:firstLineChars="0"/>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color w:val="auto"/>
                      <w:sz w:val="21"/>
                      <w:szCs w:val="21"/>
                      <w:highlight w:val="none"/>
                    </w:rPr>
                    <w:t>1次/</w:t>
                  </w: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2959" w:type="pct"/>
                  <w:vAlign w:val="center"/>
                </w:tcPr>
                <w:p w14:paraId="6140673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《合成树脂工业污染物排放标准》（GB31572-2015，含2024年修改单）表5污染物特别排放限值</w:t>
                  </w:r>
                </w:p>
              </w:tc>
            </w:tr>
            <w:tr w14:paraId="6301E6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Merge w:val="continue"/>
                  <w:vAlign w:val="center"/>
                </w:tcPr>
                <w:p w14:paraId="75E5A3F3">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916" w:type="pct"/>
                  <w:vAlign w:val="center"/>
                </w:tcPr>
                <w:p w14:paraId="3996AD6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22" w:type="pct"/>
                  <w:vAlign w:val="center"/>
                </w:tcPr>
                <w:p w14:paraId="34AF8853">
                  <w:pPr>
                    <w:pStyle w:val="130"/>
                    <w:pageBreakBefore w:val="0"/>
                    <w:wordWrap w:val="0"/>
                    <w:overflowPunct/>
                    <w:bidi w:val="0"/>
                    <w:spacing w:line="240" w:lineRule="auto"/>
                    <w:ind w:firstLine="0" w:firstLineChars="0"/>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color w:val="auto"/>
                      <w:sz w:val="21"/>
                      <w:szCs w:val="21"/>
                      <w:highlight w:val="none"/>
                    </w:rPr>
                    <w:t>1次/年</w:t>
                  </w:r>
                </w:p>
              </w:tc>
              <w:tc>
                <w:tcPr>
                  <w:tcW w:w="2959" w:type="pct"/>
                  <w:vAlign w:val="center"/>
                </w:tcPr>
                <w:p w14:paraId="6FA81AB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《恶臭污染物排放标准》（GB14554-93）表2恶臭污染物排放标准值</w:t>
                  </w:r>
                </w:p>
              </w:tc>
            </w:tr>
            <w:tr w14:paraId="786393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Align w:val="center"/>
                </w:tcPr>
                <w:p w14:paraId="3BC614C3">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厂区上风向界外（1个监测点）</w:t>
                  </w:r>
                </w:p>
              </w:tc>
              <w:tc>
                <w:tcPr>
                  <w:tcW w:w="916" w:type="pct"/>
                  <w:vMerge w:val="restart"/>
                  <w:vAlign w:val="center"/>
                </w:tcPr>
                <w:p w14:paraId="57277F9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颗粒物、非甲烷总烃、臭气浓度</w:t>
                  </w:r>
                </w:p>
              </w:tc>
              <w:tc>
                <w:tcPr>
                  <w:tcW w:w="522" w:type="pct"/>
                  <w:vAlign w:val="center"/>
                </w:tcPr>
                <w:p w14:paraId="788FC21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2959" w:type="pct"/>
                  <w:vMerge w:val="restart"/>
                  <w:vAlign w:val="center"/>
                </w:tcPr>
                <w:p w14:paraId="2AAFC3E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恶臭执行《恶臭污染物排放标准》（GB14554-93）二级标准新改扩建厂界标准值</w:t>
                  </w:r>
                  <w:r>
                    <w:rPr>
                      <w:rFonts w:hint="default" w:ascii="Times New Roman" w:hAnsi="Times New Roman" w:cs="Times New Roman"/>
                      <w:color w:val="auto"/>
                      <w:kern w:val="0"/>
                      <w:sz w:val="21"/>
                      <w:szCs w:val="21"/>
                      <w:highlight w:val="none"/>
                      <w:lang w:val="en-US" w:eastAsia="zh-CN" w:bidi="ar"/>
                    </w:rPr>
                    <w:t>；颗粒物、非甲烷总烃无组织执行《合成树脂工业污染物排放标准》（GB31572-2015，含2024年修改单）表9企业边界大气污染物浓度限值</w:t>
                  </w:r>
                </w:p>
              </w:tc>
            </w:tr>
            <w:tr w14:paraId="304149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Align w:val="center"/>
                </w:tcPr>
                <w:p w14:paraId="6E35178C">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厂区下风向界外（3个监测点）</w:t>
                  </w:r>
                </w:p>
              </w:tc>
              <w:tc>
                <w:tcPr>
                  <w:tcW w:w="916" w:type="pct"/>
                  <w:vMerge w:val="continue"/>
                  <w:vAlign w:val="center"/>
                </w:tcPr>
                <w:p w14:paraId="6CB5C09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522" w:type="pct"/>
                  <w:vAlign w:val="center"/>
                </w:tcPr>
                <w:p w14:paraId="6B7BEEE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2959" w:type="pct"/>
                  <w:vMerge w:val="continue"/>
                  <w:vAlign w:val="center"/>
                </w:tcPr>
                <w:p w14:paraId="7961FA3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r>
            <w:tr w14:paraId="5C610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1" w:type="pct"/>
                  <w:vAlign w:val="center"/>
                </w:tcPr>
                <w:p w14:paraId="1143744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厂区</w:t>
                  </w:r>
                  <w:r>
                    <w:rPr>
                      <w:rFonts w:hint="default" w:ascii="Times New Roman" w:hAnsi="Times New Roman" w:cs="Times New Roman"/>
                      <w:bCs/>
                      <w:color w:val="auto"/>
                      <w:sz w:val="21"/>
                      <w:szCs w:val="21"/>
                      <w:highlight w:val="none"/>
                      <w:lang w:val="en-US" w:eastAsia="zh-CN"/>
                    </w:rPr>
                    <w:t>内</w:t>
                  </w:r>
                </w:p>
                <w:p w14:paraId="315A818E">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（1个监测点）</w:t>
                  </w:r>
                </w:p>
              </w:tc>
              <w:tc>
                <w:tcPr>
                  <w:tcW w:w="916" w:type="pct"/>
                  <w:vAlign w:val="center"/>
                </w:tcPr>
                <w:p w14:paraId="310FE6B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非甲烷总烃</w:t>
                  </w:r>
                </w:p>
              </w:tc>
              <w:tc>
                <w:tcPr>
                  <w:tcW w:w="522" w:type="pct"/>
                  <w:vAlign w:val="center"/>
                </w:tcPr>
                <w:p w14:paraId="3D9D5DF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2959" w:type="pct"/>
                  <w:vAlign w:val="center"/>
                </w:tcPr>
                <w:p w14:paraId="51C2B4A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广东省《固定污染源挥发性有机物综合排放标准》（DB44/2367-2022）中表3厂区内VOCs无组织排放限值。</w:t>
                  </w:r>
                </w:p>
              </w:tc>
            </w:tr>
          </w:tbl>
          <w:p w14:paraId="1B3B3174">
            <w:pPr>
              <w:adjustRightInd w:val="0"/>
              <w:snapToGrid w:val="0"/>
              <w:spacing w:line="360" w:lineRule="auto"/>
              <w:ind w:firstLine="482" w:firstLineChars="200"/>
              <w:rPr>
                <w:rStyle w:val="72"/>
                <w:rFonts w:hint="default" w:ascii="Times New Roman" w:hAnsi="Times New Roman" w:cs="Times New Roman" w:eastAsiaTheme="minorEastAsia"/>
                <w:b/>
                <w:bCs/>
                <w:color w:val="auto"/>
                <w:kern w:val="0"/>
                <w:highlight w:val="none"/>
              </w:rPr>
            </w:pPr>
            <w:r>
              <w:rPr>
                <w:rStyle w:val="72"/>
                <w:rFonts w:hint="default" w:ascii="Times New Roman" w:hAnsi="Times New Roman" w:cs="Times New Roman"/>
                <w:b/>
                <w:bCs/>
                <w:color w:val="auto"/>
                <w:kern w:val="0"/>
                <w:highlight w:val="none"/>
                <w:lang w:val="en-US" w:eastAsia="zh-CN"/>
              </w:rPr>
              <w:t>5</w:t>
            </w:r>
            <w:r>
              <w:rPr>
                <w:rStyle w:val="72"/>
                <w:rFonts w:hint="default" w:ascii="Times New Roman" w:hAnsi="Times New Roman" w:cs="Times New Roman"/>
                <w:b/>
                <w:bCs/>
                <w:color w:val="auto"/>
                <w:kern w:val="0"/>
                <w:highlight w:val="none"/>
              </w:rPr>
              <w:t>、非正常污染源排放</w:t>
            </w:r>
          </w:p>
          <w:p w14:paraId="53CC325A">
            <w:pPr>
              <w:spacing w:line="360" w:lineRule="auto"/>
              <w:ind w:firstLine="480" w:firstLineChars="200"/>
              <w:rPr>
                <w:rFonts w:hint="default" w:ascii="Times New Roman" w:hAnsi="Times New Roman" w:cs="Times New Roman" w:eastAsiaTheme="minorEastAsia"/>
                <w:color w:val="auto"/>
                <w:kern w:val="0"/>
                <w:sz w:val="24"/>
                <w:highlight w:val="none"/>
                <w:lang w:eastAsia="zh-CN"/>
              </w:rPr>
            </w:pPr>
            <w:r>
              <w:rPr>
                <w:rFonts w:hint="default" w:ascii="Times New Roman" w:hAnsi="Times New Roman" w:cs="Times New Roman" w:eastAsiaTheme="minorEastAsia"/>
                <w:color w:val="auto"/>
                <w:kern w:val="0"/>
                <w:sz w:val="24"/>
                <w:highlight w:val="none"/>
              </w:rPr>
              <w:t>非正常排放是指生产过程中开停车（工、炉）、设备检修、工艺设备运转异常等非正常工况下的污染物排放，以及污染物排放控制措施达不到应有效率等情况下的排放。项目废气非正常工况排放主要为废气治理措施失效没有处理效果直接排放。废气非正常工况源强情况见</w:t>
            </w:r>
            <w:r>
              <w:rPr>
                <w:rFonts w:hint="default" w:ascii="Times New Roman" w:hAnsi="Times New Roman" w:cs="Times New Roman" w:eastAsiaTheme="minorEastAsia"/>
                <w:color w:val="auto"/>
                <w:kern w:val="0"/>
                <w:sz w:val="24"/>
                <w:highlight w:val="none"/>
                <w:lang w:val="en-US" w:eastAsia="zh-CN"/>
              </w:rPr>
              <w:t>下表：</w:t>
            </w:r>
          </w:p>
          <w:p w14:paraId="29DB7FAC">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废气非正常排放工况排放量核算表</w:t>
            </w:r>
          </w:p>
          <w:tbl>
            <w:tblPr>
              <w:tblStyle w:val="39"/>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127"/>
              <w:gridCol w:w="1323"/>
              <w:gridCol w:w="1279"/>
              <w:gridCol w:w="1106"/>
              <w:gridCol w:w="961"/>
              <w:gridCol w:w="742"/>
              <w:gridCol w:w="700"/>
            </w:tblGrid>
            <w:tr w14:paraId="6C035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5" w:type="pct"/>
                  <w:vAlign w:val="center"/>
                </w:tcPr>
                <w:p w14:paraId="10CBF8C4">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污染源</w:t>
                  </w:r>
                </w:p>
              </w:tc>
              <w:tc>
                <w:tcPr>
                  <w:tcW w:w="678" w:type="pct"/>
                  <w:vAlign w:val="center"/>
                </w:tcPr>
                <w:p w14:paraId="73167FAD">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非正常排放原因</w:t>
                  </w:r>
                </w:p>
              </w:tc>
              <w:tc>
                <w:tcPr>
                  <w:tcW w:w="796" w:type="pct"/>
                  <w:vAlign w:val="center"/>
                </w:tcPr>
                <w:p w14:paraId="1D00BD28">
                  <w:pPr>
                    <w:pStyle w:val="64"/>
                    <w:spacing w:before="24" w:after="24"/>
                    <w:jc w:val="center"/>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cs="Times New Roman"/>
                      <w:b/>
                      <w:color w:val="auto"/>
                      <w:kern w:val="0"/>
                      <w:sz w:val="21"/>
                      <w:szCs w:val="21"/>
                      <w:highlight w:val="none"/>
                      <w:lang w:val="en-US" w:eastAsia="zh-CN"/>
                    </w:rPr>
                    <w:t>污染物</w:t>
                  </w:r>
                </w:p>
              </w:tc>
              <w:tc>
                <w:tcPr>
                  <w:tcW w:w="769" w:type="pct"/>
                  <w:vAlign w:val="center"/>
                </w:tcPr>
                <w:p w14:paraId="1A8C57EF">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非正常排放浓度（mg/m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kern w:val="0"/>
                      <w:sz w:val="21"/>
                      <w:szCs w:val="21"/>
                      <w:highlight w:val="none"/>
                    </w:rPr>
                    <w:t>）</w:t>
                  </w:r>
                </w:p>
              </w:tc>
              <w:tc>
                <w:tcPr>
                  <w:tcW w:w="665" w:type="pct"/>
                  <w:vAlign w:val="center"/>
                </w:tcPr>
                <w:p w14:paraId="272D819C">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非正常排放速率（kg/h）</w:t>
                  </w:r>
                </w:p>
              </w:tc>
              <w:tc>
                <w:tcPr>
                  <w:tcW w:w="578" w:type="pct"/>
                  <w:vAlign w:val="center"/>
                </w:tcPr>
                <w:p w14:paraId="5E564E66">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单次持续时间/h</w:t>
                  </w:r>
                </w:p>
              </w:tc>
              <w:tc>
                <w:tcPr>
                  <w:tcW w:w="446" w:type="pct"/>
                  <w:vAlign w:val="center"/>
                </w:tcPr>
                <w:p w14:paraId="48A7FF34">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年发生频次/次</w:t>
                  </w:r>
                </w:p>
              </w:tc>
              <w:tc>
                <w:tcPr>
                  <w:tcW w:w="421" w:type="pct"/>
                  <w:vAlign w:val="center"/>
                </w:tcPr>
                <w:p w14:paraId="45DE8DB4">
                  <w:pPr>
                    <w:pStyle w:val="64"/>
                    <w:spacing w:before="24" w:after="24"/>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应对措施</w:t>
                  </w:r>
                </w:p>
              </w:tc>
            </w:tr>
            <w:tr w14:paraId="50C5E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5" w:type="pct"/>
                  <w:vMerge w:val="restart"/>
                  <w:vAlign w:val="center"/>
                </w:tcPr>
                <w:p w14:paraId="0B0F95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DA001</w:t>
                  </w:r>
                </w:p>
              </w:tc>
              <w:tc>
                <w:tcPr>
                  <w:tcW w:w="678" w:type="pct"/>
                  <w:vMerge w:val="restart"/>
                  <w:vAlign w:val="center"/>
                </w:tcPr>
                <w:p w14:paraId="143B60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废气处理设施故障，废气直接排放</w:t>
                  </w:r>
                </w:p>
              </w:tc>
              <w:tc>
                <w:tcPr>
                  <w:tcW w:w="796" w:type="pct"/>
                  <w:vAlign w:val="center"/>
                </w:tcPr>
                <w:p w14:paraId="705A87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1279" w:type="dxa"/>
                  <w:vAlign w:val="center"/>
                </w:tcPr>
                <w:p w14:paraId="3D7E63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3.525</w:t>
                  </w:r>
                </w:p>
              </w:tc>
              <w:tc>
                <w:tcPr>
                  <w:tcW w:w="1106" w:type="dxa"/>
                  <w:vAlign w:val="center"/>
                </w:tcPr>
                <w:p w14:paraId="1A4F1A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0.099</w:t>
                  </w:r>
                </w:p>
              </w:tc>
              <w:tc>
                <w:tcPr>
                  <w:tcW w:w="578" w:type="pct"/>
                  <w:vAlign w:val="center"/>
                </w:tcPr>
                <w:p w14:paraId="20AEA8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46" w:type="pct"/>
                  <w:vAlign w:val="center"/>
                </w:tcPr>
                <w:p w14:paraId="194945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21" w:type="pct"/>
                  <w:vMerge w:val="restart"/>
                  <w:vAlign w:val="center"/>
                </w:tcPr>
                <w:p w14:paraId="100EF8F7">
                  <w:pPr>
                    <w:pStyle w:val="64"/>
                    <w:spacing w:before="24" w:after="24"/>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立即停止</w:t>
                  </w:r>
                  <w:r>
                    <w:rPr>
                      <w:rFonts w:hint="default" w:ascii="Times New Roman" w:hAnsi="Times New Roman" w:cs="Times New Roman"/>
                      <w:color w:val="auto"/>
                      <w:kern w:val="0"/>
                      <w:sz w:val="21"/>
                      <w:szCs w:val="21"/>
                      <w:highlight w:val="none"/>
                      <w:lang w:val="en-US" w:eastAsia="zh-CN"/>
                    </w:rPr>
                    <w:t>生产，进行设备检修</w:t>
                  </w:r>
                </w:p>
              </w:tc>
            </w:tr>
            <w:tr w14:paraId="2E953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5" w:type="pct"/>
                  <w:vMerge w:val="continue"/>
                  <w:vAlign w:val="center"/>
                </w:tcPr>
                <w:p w14:paraId="533875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78" w:type="pct"/>
                  <w:vMerge w:val="continue"/>
                  <w:vAlign w:val="center"/>
                </w:tcPr>
                <w:p w14:paraId="5EE6F8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96" w:type="pct"/>
                  <w:vAlign w:val="center"/>
                </w:tcPr>
                <w:p w14:paraId="2B0B27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769" w:type="pct"/>
                  <w:vAlign w:val="center"/>
                </w:tcPr>
                <w:p w14:paraId="6DD4F7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665" w:type="pct"/>
                  <w:vAlign w:val="center"/>
                </w:tcPr>
                <w:p w14:paraId="051500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578" w:type="pct"/>
                  <w:vAlign w:val="center"/>
                </w:tcPr>
                <w:p w14:paraId="59BD1E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46" w:type="pct"/>
                  <w:vAlign w:val="center"/>
                </w:tcPr>
                <w:p w14:paraId="7CB833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21" w:type="pct"/>
                  <w:vMerge w:val="continue"/>
                  <w:vAlign w:val="center"/>
                </w:tcPr>
                <w:p w14:paraId="38E5AFE0">
                  <w:pPr>
                    <w:pStyle w:val="64"/>
                    <w:spacing w:before="24" w:after="24"/>
                    <w:jc w:val="center"/>
                    <w:rPr>
                      <w:rFonts w:hint="default" w:ascii="Times New Roman" w:hAnsi="Times New Roman" w:cs="Times New Roman"/>
                      <w:color w:val="auto"/>
                      <w:kern w:val="0"/>
                      <w:sz w:val="21"/>
                      <w:szCs w:val="21"/>
                      <w:highlight w:val="none"/>
                    </w:rPr>
                  </w:pPr>
                </w:p>
              </w:tc>
            </w:tr>
          </w:tbl>
          <w:p w14:paraId="67A812D7">
            <w:pPr>
              <w:adjustRightInd w:val="0"/>
              <w:snapToGrid w:val="0"/>
              <w:spacing w:line="360" w:lineRule="auto"/>
              <w:ind w:firstLine="482" w:firstLineChars="200"/>
              <w:rPr>
                <w:rStyle w:val="72"/>
                <w:rFonts w:hint="default" w:ascii="Times New Roman" w:hAnsi="Times New Roman" w:cs="Times New Roman"/>
                <w:b/>
                <w:bCs/>
                <w:color w:val="auto"/>
                <w:kern w:val="0"/>
                <w:highlight w:val="none"/>
              </w:rPr>
            </w:pPr>
            <w:r>
              <w:rPr>
                <w:rStyle w:val="72"/>
                <w:rFonts w:hint="default" w:ascii="Times New Roman" w:hAnsi="Times New Roman" w:cs="Times New Roman"/>
                <w:b/>
                <w:bCs/>
                <w:color w:val="auto"/>
                <w:kern w:val="0"/>
                <w:highlight w:val="none"/>
                <w:lang w:val="en-US" w:eastAsia="zh-CN"/>
              </w:rPr>
              <w:t>6</w:t>
            </w:r>
            <w:r>
              <w:rPr>
                <w:rStyle w:val="72"/>
                <w:rFonts w:hint="default" w:ascii="Times New Roman" w:hAnsi="Times New Roman" w:cs="Times New Roman"/>
                <w:b/>
                <w:bCs/>
                <w:color w:val="auto"/>
                <w:kern w:val="0"/>
                <w:highlight w:val="none"/>
              </w:rPr>
              <w:t>、大气污染源核算</w:t>
            </w:r>
          </w:p>
          <w:p w14:paraId="59B25B75">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大气污染物有组织排放量核算表</w:t>
            </w:r>
          </w:p>
          <w:p w14:paraId="5D240727">
            <w:pPr>
              <w:autoSpaceDE w:val="0"/>
              <w:autoSpaceDN w:val="0"/>
              <w:adjustRightInd w:val="0"/>
              <w:spacing w:before="5" w:line="20" w:lineRule="exact"/>
              <w:ind w:right="-20" w:firstLine="40"/>
              <w:rPr>
                <w:rFonts w:hint="default" w:ascii="Times New Roman" w:hAnsi="Times New Roman" w:eastAsia="Microsoft JhengHei" w:cs="Times New Roman"/>
                <w:color w:val="auto"/>
                <w:kern w:val="0"/>
                <w:sz w:val="2"/>
                <w:szCs w:val="2"/>
                <w:highlight w:val="none"/>
              </w:rPr>
            </w:pPr>
          </w:p>
          <w:tbl>
            <w:tblPr>
              <w:tblStyle w:val="3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0"/>
              <w:gridCol w:w="1387"/>
              <w:gridCol w:w="1736"/>
              <w:gridCol w:w="1606"/>
              <w:gridCol w:w="1302"/>
              <w:gridCol w:w="1557"/>
            </w:tblGrid>
            <w:tr w14:paraId="5542B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D520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18D4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1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C82A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9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5922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5BF3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核算排放速率（kg/h）</w:t>
                  </w:r>
                </w:p>
              </w:tc>
              <w:tc>
                <w:tcPr>
                  <w:tcW w:w="9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0BED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核算年排放量（t/a）</w:t>
                  </w:r>
                </w:p>
              </w:tc>
            </w:tr>
            <w:tr w14:paraId="76C05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1558C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一般排放口</w:t>
                  </w:r>
                </w:p>
              </w:tc>
            </w:tr>
            <w:tr w14:paraId="77A048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4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8914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B0C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DA001</w:t>
                  </w:r>
                </w:p>
              </w:tc>
              <w:tc>
                <w:tcPr>
                  <w:tcW w:w="1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D78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非甲烷总烃</w:t>
                  </w:r>
                </w:p>
              </w:tc>
              <w:tc>
                <w:tcPr>
                  <w:tcW w:w="16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AC8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u w:val="none"/>
                      <w:lang w:val="en-US" w:eastAsia="zh-CN" w:bidi="ar"/>
                    </w:rPr>
                    <w:t>0.881</w:t>
                  </w:r>
                </w:p>
              </w:tc>
              <w:tc>
                <w:tcPr>
                  <w:tcW w:w="13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062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0.025</w:t>
                  </w:r>
                </w:p>
              </w:tc>
              <w:tc>
                <w:tcPr>
                  <w:tcW w:w="15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335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0.045</w:t>
                  </w:r>
                </w:p>
              </w:tc>
            </w:tr>
            <w:tr w14:paraId="62BAE3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1E9CFC">
                  <w:pPr>
                    <w:jc w:val="center"/>
                    <w:rPr>
                      <w:rFonts w:hint="default" w:ascii="Times New Roman" w:hAnsi="Times New Roman" w:eastAsia="宋体" w:cs="Times New Roman"/>
                      <w:i w:val="0"/>
                      <w:iCs w:val="0"/>
                      <w:color w:val="auto"/>
                      <w:sz w:val="21"/>
                      <w:szCs w:val="21"/>
                      <w:highlight w:val="none"/>
                      <w:u w:val="none"/>
                    </w:rPr>
                  </w:pPr>
                </w:p>
              </w:tc>
              <w:tc>
                <w:tcPr>
                  <w:tcW w:w="8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D0A76">
                  <w:pPr>
                    <w:jc w:val="center"/>
                    <w:rPr>
                      <w:rFonts w:hint="default" w:ascii="Times New Roman" w:hAnsi="Times New Roman" w:eastAsia="宋体" w:cs="Times New Roman"/>
                      <w:i w:val="0"/>
                      <w:iCs w:val="0"/>
                      <w:color w:val="auto"/>
                      <w:sz w:val="21"/>
                      <w:szCs w:val="21"/>
                      <w:highlight w:val="none"/>
                      <w:u w:val="none"/>
                    </w:rPr>
                  </w:pPr>
                </w:p>
              </w:tc>
              <w:tc>
                <w:tcPr>
                  <w:tcW w:w="1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1F3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9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D5F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7FC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9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B0BC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r>
            <w:tr w14:paraId="76D5E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277"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6C98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有组织排放总计</w:t>
                  </w:r>
                </w:p>
              </w:tc>
              <w:tc>
                <w:tcPr>
                  <w:tcW w:w="278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BFF4E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9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7E81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0.045</w:t>
                  </w:r>
                </w:p>
              </w:tc>
            </w:tr>
            <w:tr w14:paraId="4A70E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277"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4C09C">
                  <w:pPr>
                    <w:jc w:val="center"/>
                    <w:rPr>
                      <w:rFonts w:hint="default" w:ascii="Times New Roman" w:hAnsi="Times New Roman" w:eastAsia="宋体" w:cs="Times New Roman"/>
                      <w:i w:val="0"/>
                      <w:iCs w:val="0"/>
                      <w:color w:val="auto"/>
                      <w:sz w:val="21"/>
                      <w:szCs w:val="21"/>
                      <w:highlight w:val="none"/>
                      <w:u w:val="none"/>
                    </w:rPr>
                  </w:pPr>
                </w:p>
              </w:tc>
              <w:tc>
                <w:tcPr>
                  <w:tcW w:w="278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588B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9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F7A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r>
          </w:tbl>
          <w:p w14:paraId="75415E34">
            <w:pPr>
              <w:rPr>
                <w:rFonts w:hint="default" w:ascii="Times New Roman" w:hAnsi="Times New Roman" w:cs="Times New Roman"/>
                <w:color w:val="auto"/>
                <w:highlight w:val="none"/>
              </w:rPr>
            </w:pPr>
          </w:p>
        </w:tc>
      </w:tr>
    </w:tbl>
    <w:p w14:paraId="60C0A110">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4"/>
        <w:gridCol w:w="13585"/>
      </w:tblGrid>
      <w:tr w14:paraId="150611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23" w:type="pct"/>
            <w:tcMar>
              <w:left w:w="28" w:type="dxa"/>
              <w:right w:w="28" w:type="dxa"/>
            </w:tcMar>
            <w:vAlign w:val="center"/>
          </w:tcPr>
          <w:p w14:paraId="584A9A70">
            <w:pPr>
              <w:adjustRightInd w:val="0"/>
              <w:snapToGrid w:val="0"/>
              <w:jc w:val="center"/>
              <w:rPr>
                <w:rFonts w:hint="default" w:ascii="Times New Roman" w:hAnsi="Times New Roman" w:cs="Times New Roman"/>
                <w:bCs/>
                <w:color w:val="auto"/>
                <w:szCs w:val="21"/>
                <w:highlight w:val="none"/>
              </w:rPr>
            </w:pPr>
          </w:p>
        </w:tc>
        <w:tc>
          <w:tcPr>
            <w:tcW w:w="4776" w:type="pct"/>
          </w:tcPr>
          <w:p w14:paraId="318B388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大气污染物无组织排放量核算表</w:t>
            </w:r>
          </w:p>
          <w:tbl>
            <w:tblPr>
              <w:tblStyle w:val="3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4"/>
              <w:gridCol w:w="1725"/>
              <w:gridCol w:w="1473"/>
              <w:gridCol w:w="1342"/>
              <w:gridCol w:w="1235"/>
              <w:gridCol w:w="3658"/>
              <w:gridCol w:w="1877"/>
              <w:gridCol w:w="1370"/>
            </w:tblGrid>
            <w:tr w14:paraId="14FBE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D4997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bookmarkStart w:id="32" w:name="_Hlk151399682"/>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6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E2BA5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5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FED3A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产污环节</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06475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4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1EE88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主要污染防治措施</w:t>
                  </w:r>
                </w:p>
              </w:tc>
              <w:tc>
                <w:tcPr>
                  <w:tcW w:w="207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C06BC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国家或地方污染物排放标准</w:t>
                  </w:r>
                </w:p>
              </w:tc>
              <w:tc>
                <w:tcPr>
                  <w:tcW w:w="51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D480B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年排放量（t/a）</w:t>
                  </w:r>
                </w:p>
              </w:tc>
            </w:tr>
            <w:tr w14:paraId="4C9FD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BAE69D">
                  <w:pPr>
                    <w:jc w:val="center"/>
                    <w:rPr>
                      <w:rFonts w:hint="default" w:ascii="Times New Roman" w:hAnsi="Times New Roman" w:eastAsia="宋体" w:cs="Times New Roman"/>
                      <w:b/>
                      <w:bCs/>
                      <w:i w:val="0"/>
                      <w:iCs w:val="0"/>
                      <w:color w:val="auto"/>
                      <w:sz w:val="21"/>
                      <w:szCs w:val="21"/>
                      <w:highlight w:val="none"/>
                      <w:u w:val="none"/>
                    </w:rPr>
                  </w:pP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41A652">
                  <w:pPr>
                    <w:jc w:val="center"/>
                    <w:rPr>
                      <w:rFonts w:hint="default" w:ascii="Times New Roman" w:hAnsi="Times New Roman" w:eastAsia="宋体" w:cs="Times New Roman"/>
                      <w:b/>
                      <w:bCs/>
                      <w:i w:val="0"/>
                      <w:iCs w:val="0"/>
                      <w:color w:val="auto"/>
                      <w:sz w:val="21"/>
                      <w:szCs w:val="21"/>
                      <w:highlight w:val="none"/>
                      <w:u w:val="none"/>
                    </w:rPr>
                  </w:pPr>
                </w:p>
              </w:tc>
              <w:tc>
                <w:tcPr>
                  <w:tcW w:w="5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68EF8">
                  <w:pPr>
                    <w:jc w:val="center"/>
                    <w:rPr>
                      <w:rFonts w:hint="default" w:ascii="Times New Roman" w:hAnsi="Times New Roman" w:eastAsia="宋体" w:cs="Times New Roman"/>
                      <w:b/>
                      <w:bCs/>
                      <w:i w:val="0"/>
                      <w:iCs w:val="0"/>
                      <w:color w:val="auto"/>
                      <w:sz w:val="21"/>
                      <w:szCs w:val="21"/>
                      <w:highlight w:val="none"/>
                      <w:u w:val="none"/>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664663">
                  <w:pPr>
                    <w:jc w:val="center"/>
                    <w:rPr>
                      <w:rFonts w:hint="default" w:ascii="Times New Roman" w:hAnsi="Times New Roman" w:eastAsia="宋体" w:cs="Times New Roman"/>
                      <w:b/>
                      <w:bCs/>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5F6420">
                  <w:pPr>
                    <w:jc w:val="center"/>
                    <w:rPr>
                      <w:rFonts w:hint="default" w:ascii="Times New Roman" w:hAnsi="Times New Roman" w:eastAsia="宋体" w:cs="Times New Roman"/>
                      <w:b/>
                      <w:bCs/>
                      <w:i w:val="0"/>
                      <w:iCs w:val="0"/>
                      <w:color w:val="auto"/>
                      <w:sz w:val="21"/>
                      <w:szCs w:val="21"/>
                      <w:highlight w:val="none"/>
                      <w:u w:val="none"/>
                    </w:rPr>
                  </w:pPr>
                </w:p>
              </w:tc>
              <w:tc>
                <w:tcPr>
                  <w:tcW w:w="1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C3598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标准名称</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0EEC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1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0B88E">
                  <w:pPr>
                    <w:jc w:val="center"/>
                    <w:rPr>
                      <w:rFonts w:hint="default" w:ascii="Times New Roman" w:hAnsi="Times New Roman" w:eastAsia="宋体" w:cs="Times New Roman"/>
                      <w:b/>
                      <w:bCs/>
                      <w:i w:val="0"/>
                      <w:iCs w:val="0"/>
                      <w:color w:val="auto"/>
                      <w:sz w:val="21"/>
                      <w:szCs w:val="21"/>
                      <w:highlight w:val="none"/>
                      <w:u w:val="none"/>
                    </w:rPr>
                  </w:pPr>
                </w:p>
              </w:tc>
            </w:tr>
            <w:tr w14:paraId="210DE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restart"/>
                  <w:tcBorders>
                    <w:top w:val="single" w:color="000000" w:sz="4" w:space="0"/>
                    <w:left w:val="single" w:color="000000" w:sz="4" w:space="0"/>
                    <w:right w:val="single" w:color="000000" w:sz="4" w:space="0"/>
                  </w:tcBorders>
                  <w:shd w:val="clear" w:color="auto" w:fill="auto"/>
                  <w:vAlign w:val="center"/>
                </w:tcPr>
                <w:p w14:paraId="261BE3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w:t>
                  </w:r>
                </w:p>
              </w:tc>
              <w:tc>
                <w:tcPr>
                  <w:tcW w:w="645" w:type="pct"/>
                  <w:vMerge w:val="restart"/>
                  <w:tcBorders>
                    <w:top w:val="single" w:color="000000" w:sz="4" w:space="0"/>
                    <w:left w:val="single" w:color="000000" w:sz="4" w:space="0"/>
                    <w:right w:val="single" w:color="000000" w:sz="4" w:space="0"/>
                  </w:tcBorders>
                  <w:shd w:val="clear" w:color="auto" w:fill="auto"/>
                  <w:vAlign w:val="center"/>
                </w:tcPr>
                <w:p w14:paraId="46463C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注塑</w:t>
                  </w:r>
                  <w:r>
                    <w:rPr>
                      <w:rFonts w:hint="default" w:ascii="Times New Roman" w:hAnsi="Times New Roman" w:eastAsia="宋体" w:cs="Times New Roman"/>
                      <w:i w:val="0"/>
                      <w:iCs w:val="0"/>
                      <w:color w:val="auto"/>
                      <w:kern w:val="0"/>
                      <w:sz w:val="21"/>
                      <w:szCs w:val="21"/>
                      <w:highlight w:val="none"/>
                      <w:u w:val="none"/>
                      <w:lang w:val="en-US" w:eastAsia="zh-CN" w:bidi="ar"/>
                    </w:rPr>
                    <w:t>车间</w:t>
                  </w:r>
                </w:p>
              </w:tc>
              <w:tc>
                <w:tcPr>
                  <w:tcW w:w="551" w:type="pct"/>
                  <w:vMerge w:val="restart"/>
                  <w:tcBorders>
                    <w:top w:val="single" w:color="000000" w:sz="4" w:space="0"/>
                    <w:left w:val="single" w:color="000000" w:sz="4" w:space="0"/>
                    <w:right w:val="single" w:color="000000" w:sz="4" w:space="0"/>
                  </w:tcBorders>
                  <w:shd w:val="clear" w:color="auto" w:fill="auto"/>
                  <w:vAlign w:val="center"/>
                </w:tcPr>
                <w:p w14:paraId="3D10AD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注塑</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6A7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非甲烷总烃</w:t>
                  </w:r>
                </w:p>
              </w:tc>
              <w:tc>
                <w:tcPr>
                  <w:tcW w:w="4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52FC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大气稀释扩散、绿化吸收</w:t>
                  </w:r>
                </w:p>
              </w:tc>
              <w:tc>
                <w:tcPr>
                  <w:tcW w:w="1368" w:type="pct"/>
                  <w:tcBorders>
                    <w:top w:val="single" w:color="000000" w:sz="4" w:space="0"/>
                    <w:left w:val="single" w:color="000000" w:sz="4" w:space="0"/>
                    <w:bottom w:val="single" w:color="000000" w:sz="2" w:space="0"/>
                    <w:right w:val="single" w:color="000000" w:sz="4" w:space="0"/>
                  </w:tcBorders>
                  <w:shd w:val="clear" w:color="auto" w:fill="auto"/>
                  <w:vAlign w:val="center"/>
                </w:tcPr>
                <w:p w14:paraId="71E46C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color w:val="auto"/>
                      <w:sz w:val="21"/>
                      <w:szCs w:val="21"/>
                      <w:highlight w:val="none"/>
                      <w:lang w:val="en-US" w:eastAsia="zh-CN"/>
                    </w:rPr>
                    <w:t>《合成树脂工业污染物排放标准》（GB31572-2015，含2024年修改单）</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9B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723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u w:val="none"/>
                      <w:lang w:val="en-US" w:eastAsia="zh-CN" w:bidi="ar"/>
                    </w:rPr>
                    <w:t>0.045</w:t>
                  </w:r>
                </w:p>
              </w:tc>
            </w:tr>
            <w:tr w14:paraId="1F3DD5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continue"/>
                  <w:tcBorders>
                    <w:left w:val="single" w:color="000000" w:sz="4" w:space="0"/>
                    <w:bottom w:val="single" w:color="000000" w:sz="4" w:space="0"/>
                    <w:right w:val="single" w:color="000000" w:sz="4" w:space="0"/>
                  </w:tcBorders>
                  <w:shd w:val="clear" w:color="auto" w:fill="auto"/>
                  <w:vAlign w:val="center"/>
                </w:tcPr>
                <w:p w14:paraId="41E99BC3">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45" w:type="pct"/>
                  <w:vMerge w:val="continue"/>
                  <w:tcBorders>
                    <w:left w:val="single" w:color="000000" w:sz="4" w:space="0"/>
                    <w:bottom w:val="single" w:color="000000" w:sz="4" w:space="0"/>
                    <w:right w:val="single" w:color="000000" w:sz="4" w:space="0"/>
                  </w:tcBorders>
                  <w:shd w:val="clear" w:color="auto" w:fill="auto"/>
                  <w:vAlign w:val="center"/>
                </w:tcPr>
                <w:p w14:paraId="28337CF7">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551" w:type="pct"/>
                  <w:vMerge w:val="continue"/>
                  <w:tcBorders>
                    <w:left w:val="single" w:color="000000" w:sz="4" w:space="0"/>
                    <w:bottom w:val="single" w:color="000000" w:sz="4" w:space="0"/>
                    <w:right w:val="single" w:color="000000" w:sz="4" w:space="0"/>
                  </w:tcBorders>
                  <w:shd w:val="clear" w:color="auto" w:fill="auto"/>
                  <w:vAlign w:val="center"/>
                </w:tcPr>
                <w:p w14:paraId="268FDE42">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3F534">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臭气浓度</w:t>
                  </w:r>
                </w:p>
              </w:tc>
              <w:tc>
                <w:tcPr>
                  <w:tcW w:w="462" w:type="pct"/>
                  <w:vMerge w:val="continue"/>
                  <w:tcBorders>
                    <w:left w:val="single" w:color="000000" w:sz="4" w:space="0"/>
                    <w:right w:val="single" w:color="000000" w:sz="4" w:space="0"/>
                  </w:tcBorders>
                  <w:shd w:val="clear" w:color="auto" w:fill="auto"/>
                  <w:vAlign w:val="center"/>
                </w:tcPr>
                <w:p w14:paraId="696536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68" w:type="pct"/>
                  <w:tcBorders>
                    <w:top w:val="single" w:color="000000" w:sz="2" w:space="0"/>
                    <w:left w:val="single" w:color="000000" w:sz="4" w:space="0"/>
                    <w:bottom w:val="single" w:color="000000" w:sz="2" w:space="0"/>
                    <w:right w:val="single" w:color="000000" w:sz="4" w:space="0"/>
                  </w:tcBorders>
                  <w:shd w:val="clear" w:color="auto" w:fill="auto"/>
                  <w:vAlign w:val="center"/>
                </w:tcPr>
                <w:p w14:paraId="3E466A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276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15F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r>
            <w:tr w14:paraId="4AFA0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restart"/>
                  <w:tcBorders>
                    <w:top w:val="single" w:color="000000" w:sz="4" w:space="0"/>
                    <w:left w:val="single" w:color="000000" w:sz="4" w:space="0"/>
                    <w:right w:val="single" w:color="000000" w:sz="4" w:space="0"/>
                  </w:tcBorders>
                  <w:shd w:val="clear" w:color="auto" w:fill="auto"/>
                  <w:vAlign w:val="center"/>
                </w:tcPr>
                <w:p w14:paraId="50BDF7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w:t>
                  </w:r>
                </w:p>
              </w:tc>
              <w:tc>
                <w:tcPr>
                  <w:tcW w:w="645" w:type="pct"/>
                  <w:vMerge w:val="restart"/>
                  <w:tcBorders>
                    <w:top w:val="single" w:color="000000" w:sz="4" w:space="0"/>
                    <w:left w:val="single" w:color="000000" w:sz="4" w:space="0"/>
                    <w:right w:val="single" w:color="000000" w:sz="4" w:space="0"/>
                  </w:tcBorders>
                  <w:shd w:val="clear" w:color="auto" w:fill="auto"/>
                  <w:vAlign w:val="center"/>
                </w:tcPr>
                <w:p w14:paraId="04A1C9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背光源车间</w:t>
                  </w:r>
                </w:p>
              </w:tc>
              <w:tc>
                <w:tcPr>
                  <w:tcW w:w="551" w:type="pct"/>
                  <w:vMerge w:val="restart"/>
                  <w:tcBorders>
                    <w:top w:val="single" w:color="000000" w:sz="4" w:space="0"/>
                    <w:left w:val="single" w:color="000000" w:sz="4" w:space="0"/>
                    <w:right w:val="single" w:color="000000" w:sz="4" w:space="0"/>
                  </w:tcBorders>
                  <w:shd w:val="clear" w:color="auto" w:fill="auto"/>
                  <w:vAlign w:val="center"/>
                </w:tcPr>
                <w:p w14:paraId="3A5DDC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固化</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1E1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VOCs</w:t>
                  </w: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B90EDF">
                  <w:pPr>
                    <w:jc w:val="center"/>
                    <w:rPr>
                      <w:rFonts w:hint="default" w:ascii="Times New Roman" w:hAnsi="Times New Roman" w:eastAsia="宋体" w:cs="Times New Roman"/>
                      <w:i w:val="0"/>
                      <w:iCs w:val="0"/>
                      <w:color w:val="auto"/>
                      <w:sz w:val="21"/>
                      <w:szCs w:val="21"/>
                      <w:highlight w:val="none"/>
                      <w:u w:val="none"/>
                    </w:rPr>
                  </w:pPr>
                </w:p>
              </w:tc>
              <w:tc>
                <w:tcPr>
                  <w:tcW w:w="1368" w:type="pct"/>
                  <w:tcBorders>
                    <w:top w:val="single" w:color="000000" w:sz="2" w:space="0"/>
                    <w:left w:val="single" w:color="000000" w:sz="4" w:space="0"/>
                    <w:bottom w:val="single" w:color="000000" w:sz="2" w:space="0"/>
                    <w:right w:val="single" w:color="000000" w:sz="4" w:space="0"/>
                  </w:tcBorders>
                  <w:shd w:val="clear" w:color="auto" w:fill="auto"/>
                  <w:vAlign w:val="center"/>
                </w:tcPr>
                <w:p w14:paraId="6CC1AEA5">
                  <w:pPr>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广东省《固定污染源挥发性有机物综合排放标准》（DB44/2367-2022）</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5AD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774E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0.00520</w:t>
                  </w:r>
                </w:p>
              </w:tc>
            </w:tr>
            <w:tr w14:paraId="63AE1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vMerge w:val="continue"/>
                  <w:tcBorders>
                    <w:left w:val="single" w:color="000000" w:sz="4" w:space="0"/>
                    <w:bottom w:val="single" w:color="000000" w:sz="4" w:space="0"/>
                    <w:right w:val="single" w:color="000000" w:sz="4" w:space="0"/>
                  </w:tcBorders>
                  <w:shd w:val="clear" w:color="auto" w:fill="auto"/>
                  <w:vAlign w:val="center"/>
                </w:tcPr>
                <w:p w14:paraId="159CB19C">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45" w:type="pct"/>
                  <w:vMerge w:val="continue"/>
                  <w:tcBorders>
                    <w:left w:val="single" w:color="000000" w:sz="4" w:space="0"/>
                    <w:bottom w:val="single" w:color="000000" w:sz="4" w:space="0"/>
                    <w:right w:val="single" w:color="000000" w:sz="4" w:space="0"/>
                  </w:tcBorders>
                  <w:shd w:val="clear" w:color="auto" w:fill="auto"/>
                  <w:vAlign w:val="center"/>
                </w:tcPr>
                <w:p w14:paraId="4E09BAE6">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p>
              </w:tc>
              <w:tc>
                <w:tcPr>
                  <w:tcW w:w="551" w:type="pct"/>
                  <w:vMerge w:val="continue"/>
                  <w:tcBorders>
                    <w:left w:val="single" w:color="000000" w:sz="4" w:space="0"/>
                    <w:bottom w:val="single" w:color="000000" w:sz="4" w:space="0"/>
                    <w:right w:val="single" w:color="000000" w:sz="4" w:space="0"/>
                  </w:tcBorders>
                  <w:shd w:val="clear" w:color="auto" w:fill="auto"/>
                  <w:vAlign w:val="center"/>
                </w:tcPr>
                <w:p w14:paraId="0614AF9A">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465A1">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臭气浓度</w:t>
                  </w: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2CB9E2">
                  <w:pPr>
                    <w:jc w:val="center"/>
                    <w:rPr>
                      <w:rFonts w:hint="default" w:ascii="Times New Roman" w:hAnsi="Times New Roman" w:eastAsia="宋体" w:cs="Times New Roman"/>
                      <w:i w:val="0"/>
                      <w:iCs w:val="0"/>
                      <w:color w:val="auto"/>
                      <w:sz w:val="21"/>
                      <w:szCs w:val="21"/>
                      <w:highlight w:val="none"/>
                      <w:u w:val="none"/>
                    </w:rPr>
                  </w:pPr>
                </w:p>
              </w:tc>
              <w:tc>
                <w:tcPr>
                  <w:tcW w:w="1368" w:type="pct"/>
                  <w:tcBorders>
                    <w:top w:val="single" w:color="000000" w:sz="2" w:space="0"/>
                    <w:left w:val="single" w:color="000000" w:sz="4" w:space="0"/>
                    <w:bottom w:val="single" w:color="000000" w:sz="2" w:space="0"/>
                    <w:right w:val="single" w:color="000000" w:sz="4" w:space="0"/>
                  </w:tcBorders>
                  <w:shd w:val="clear" w:color="auto" w:fill="auto"/>
                  <w:vAlign w:val="center"/>
                </w:tcPr>
                <w:p w14:paraId="2730182A">
                  <w:pPr>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《恶臭污染物排放标准》（GB14554-93）</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2F3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5D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r>
            <w:tr w14:paraId="0E1D7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4FD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3</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719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液晶屏车间</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4904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切割、</w:t>
                  </w:r>
                  <w:r>
                    <w:rPr>
                      <w:rFonts w:hint="eastAsia" w:cs="Times New Roman"/>
                      <w:i w:val="0"/>
                      <w:iCs w:val="0"/>
                      <w:color w:val="auto"/>
                      <w:kern w:val="0"/>
                      <w:sz w:val="21"/>
                      <w:szCs w:val="21"/>
                      <w:highlight w:val="none"/>
                      <w:u w:val="none"/>
                      <w:lang w:val="en-US" w:eastAsia="zh-CN" w:bidi="ar"/>
                    </w:rPr>
                    <w:t>打粒、</w:t>
                  </w:r>
                  <w:r>
                    <w:rPr>
                      <w:rFonts w:hint="default" w:ascii="Times New Roman" w:hAnsi="Times New Roman" w:cs="Times New Roman"/>
                      <w:i w:val="0"/>
                      <w:iCs w:val="0"/>
                      <w:color w:val="auto"/>
                      <w:kern w:val="0"/>
                      <w:sz w:val="21"/>
                      <w:szCs w:val="21"/>
                      <w:highlight w:val="none"/>
                      <w:u w:val="none"/>
                      <w:lang w:val="en-US" w:eastAsia="zh-CN" w:bidi="ar"/>
                    </w:rPr>
                    <w:t>磨边</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2427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2DF919">
                  <w:pPr>
                    <w:jc w:val="center"/>
                    <w:rPr>
                      <w:rFonts w:hint="default" w:ascii="Times New Roman" w:hAnsi="Times New Roman" w:eastAsia="宋体" w:cs="Times New Roman"/>
                      <w:i w:val="0"/>
                      <w:iCs w:val="0"/>
                      <w:color w:val="auto"/>
                      <w:sz w:val="21"/>
                      <w:szCs w:val="21"/>
                      <w:highlight w:val="none"/>
                      <w:u w:val="none"/>
                    </w:rPr>
                  </w:pPr>
                </w:p>
              </w:tc>
              <w:tc>
                <w:tcPr>
                  <w:tcW w:w="1368" w:type="pct"/>
                  <w:tcBorders>
                    <w:top w:val="single" w:color="000000" w:sz="2" w:space="0"/>
                    <w:left w:val="single" w:color="000000" w:sz="4" w:space="0"/>
                    <w:bottom w:val="single" w:color="000000" w:sz="2" w:space="0"/>
                    <w:right w:val="single" w:color="000000" w:sz="4" w:space="0"/>
                  </w:tcBorders>
                  <w:shd w:val="clear" w:color="auto" w:fill="auto"/>
                  <w:vAlign w:val="center"/>
                </w:tcPr>
                <w:p w14:paraId="34AB6C32">
                  <w:pPr>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广东省《大气污染物排放限值》（DB44/27-2001）</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566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95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r>
            <w:tr w14:paraId="1A0FD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20A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EAE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注塑车间</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96A9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破碎</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732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947830">
                  <w:pPr>
                    <w:jc w:val="center"/>
                    <w:rPr>
                      <w:rFonts w:hint="default" w:ascii="Times New Roman" w:hAnsi="Times New Roman" w:eastAsia="宋体" w:cs="Times New Roman"/>
                      <w:i w:val="0"/>
                      <w:iCs w:val="0"/>
                      <w:color w:val="auto"/>
                      <w:sz w:val="21"/>
                      <w:szCs w:val="21"/>
                      <w:highlight w:val="none"/>
                      <w:u w:val="none"/>
                    </w:rPr>
                  </w:pPr>
                </w:p>
              </w:tc>
              <w:tc>
                <w:tcPr>
                  <w:tcW w:w="1368" w:type="pct"/>
                  <w:tcBorders>
                    <w:top w:val="single" w:color="000000" w:sz="2" w:space="0"/>
                    <w:left w:val="single" w:color="000000" w:sz="4" w:space="0"/>
                    <w:bottom w:val="single" w:color="000000" w:sz="2" w:space="0"/>
                    <w:right w:val="single" w:color="000000" w:sz="4" w:space="0"/>
                  </w:tcBorders>
                  <w:shd w:val="clear" w:color="auto" w:fill="auto"/>
                  <w:vAlign w:val="center"/>
                </w:tcPr>
                <w:p w14:paraId="3EC8AC03">
                  <w:pPr>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color w:val="auto"/>
                      <w:sz w:val="21"/>
                      <w:szCs w:val="21"/>
                      <w:highlight w:val="none"/>
                      <w:lang w:val="en-US" w:eastAsia="zh-CN"/>
                    </w:rPr>
                    <w:t>《合成树脂工业污染物排放标准》（GB31572-2015，含2024年修改单）</w:t>
                  </w:r>
                </w:p>
              </w:tc>
              <w:tc>
                <w:tcPr>
                  <w:tcW w:w="7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6AB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EC3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r>
            <w:tr w14:paraId="6D8F8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954" w:type="pct"/>
                  <w:gridSpan w:val="4"/>
                  <w:vMerge w:val="restart"/>
                  <w:tcBorders>
                    <w:top w:val="single" w:color="000000" w:sz="4" w:space="0"/>
                    <w:left w:val="single" w:color="000000" w:sz="4" w:space="0"/>
                    <w:right w:val="single" w:color="000000" w:sz="4" w:space="0"/>
                  </w:tcBorders>
                  <w:shd w:val="clear" w:color="auto" w:fill="auto"/>
                  <w:vAlign w:val="center"/>
                </w:tcPr>
                <w:p w14:paraId="00C93F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无组织排放总计</w:t>
                  </w:r>
                </w:p>
              </w:tc>
              <w:tc>
                <w:tcPr>
                  <w:tcW w:w="25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B4F0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B54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45</w:t>
                  </w:r>
                </w:p>
              </w:tc>
            </w:tr>
            <w:tr w14:paraId="04E59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954" w:type="pct"/>
                  <w:gridSpan w:val="4"/>
                  <w:vMerge w:val="continue"/>
                  <w:tcBorders>
                    <w:left w:val="single" w:color="000000" w:sz="4" w:space="0"/>
                    <w:right w:val="single" w:color="000000" w:sz="4" w:space="0"/>
                  </w:tcBorders>
                  <w:shd w:val="clear" w:color="auto" w:fill="auto"/>
                  <w:vAlign w:val="center"/>
                </w:tcPr>
                <w:p w14:paraId="773C8B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5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B2C5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VOCs</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208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0.00520</w:t>
                  </w:r>
                </w:p>
              </w:tc>
            </w:tr>
            <w:tr w14:paraId="4F9868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954" w:type="pct"/>
                  <w:gridSpan w:val="4"/>
                  <w:vMerge w:val="continue"/>
                  <w:tcBorders>
                    <w:left w:val="single" w:color="000000" w:sz="4" w:space="0"/>
                    <w:right w:val="single" w:color="000000" w:sz="4" w:space="0"/>
                  </w:tcBorders>
                  <w:shd w:val="clear" w:color="auto" w:fill="auto"/>
                  <w:vAlign w:val="top"/>
                </w:tcPr>
                <w:p w14:paraId="6E71737A">
                  <w:pPr>
                    <w:jc w:val="center"/>
                    <w:rPr>
                      <w:rFonts w:hint="default" w:ascii="Times New Roman" w:hAnsi="Times New Roman" w:eastAsia="宋体" w:cs="Times New Roman"/>
                      <w:i w:val="0"/>
                      <w:iCs w:val="0"/>
                      <w:color w:val="auto"/>
                      <w:sz w:val="21"/>
                      <w:szCs w:val="21"/>
                      <w:highlight w:val="none"/>
                      <w:u w:val="none"/>
                    </w:rPr>
                  </w:pPr>
                </w:p>
              </w:tc>
              <w:tc>
                <w:tcPr>
                  <w:tcW w:w="25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BC6C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3C1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r>
            <w:tr w14:paraId="45755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1954" w:type="pct"/>
                  <w:gridSpan w:val="4"/>
                  <w:vMerge w:val="continue"/>
                  <w:tcBorders>
                    <w:left w:val="single" w:color="000000" w:sz="4" w:space="0"/>
                    <w:bottom w:val="single" w:color="000000" w:sz="4" w:space="0"/>
                    <w:right w:val="single" w:color="000000" w:sz="4" w:space="0"/>
                  </w:tcBorders>
                  <w:shd w:val="clear" w:color="auto" w:fill="auto"/>
                  <w:vAlign w:val="top"/>
                </w:tcPr>
                <w:p w14:paraId="541172FF">
                  <w:pPr>
                    <w:jc w:val="center"/>
                    <w:rPr>
                      <w:rFonts w:hint="default" w:ascii="Times New Roman" w:hAnsi="Times New Roman" w:eastAsia="宋体" w:cs="Times New Roman"/>
                      <w:i w:val="0"/>
                      <w:iCs w:val="0"/>
                      <w:color w:val="auto"/>
                      <w:sz w:val="21"/>
                      <w:szCs w:val="21"/>
                      <w:highlight w:val="none"/>
                      <w:u w:val="none"/>
                    </w:rPr>
                  </w:pPr>
                </w:p>
              </w:tc>
              <w:tc>
                <w:tcPr>
                  <w:tcW w:w="25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9C7D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B8A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r>
          </w:tbl>
          <w:p w14:paraId="14AD0644">
            <w:pPr>
              <w:pStyle w:val="62"/>
              <w:numPr>
                <w:ilvl w:val="4"/>
                <w:numId w:val="0"/>
              </w:numPr>
              <w:spacing w:before="24" w:after="24"/>
              <w:ind w:left="840" w:leftChars="0"/>
              <w:jc w:val="both"/>
              <w:rPr>
                <w:rFonts w:hint="default" w:ascii="Times New Roman" w:hAnsi="Times New Roman" w:cs="Times New Roman"/>
                <w:color w:val="auto"/>
                <w:kern w:val="0"/>
                <w:sz w:val="24"/>
                <w:szCs w:val="24"/>
                <w:highlight w:val="none"/>
              </w:rPr>
            </w:pPr>
          </w:p>
          <w:p w14:paraId="084693B6">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bookmarkStart w:id="33" w:name="_Hlk157611516"/>
            <w:r>
              <w:rPr>
                <w:rFonts w:hint="default" w:ascii="Times New Roman" w:hAnsi="Times New Roman" w:eastAsia="宋体" w:cs="Times New Roman"/>
                <w:b/>
                <w:bCs/>
                <w:color w:val="auto"/>
                <w:sz w:val="21"/>
                <w:szCs w:val="21"/>
                <w:highlight w:val="none"/>
                <w:lang w:val="en-US" w:eastAsia="zh-CN"/>
              </w:rPr>
              <w:t>大气污染物年排放量核算表</w:t>
            </w:r>
          </w:p>
          <w:bookmarkEnd w:id="32"/>
          <w:bookmarkEnd w:id="33"/>
          <w:tbl>
            <w:tblPr>
              <w:tblStyle w:val="3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84"/>
              <w:gridCol w:w="3778"/>
              <w:gridCol w:w="2695"/>
              <w:gridCol w:w="2848"/>
              <w:gridCol w:w="2559"/>
            </w:tblGrid>
            <w:tr w14:paraId="26019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0704B">
                  <w:pPr>
                    <w:keepNext w:val="0"/>
                    <w:keepLines w:val="0"/>
                    <w:widowControl/>
                    <w:suppressLineNumbers w:val="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F595B">
                  <w:pPr>
                    <w:keepNext w:val="0"/>
                    <w:keepLines w:val="0"/>
                    <w:widowControl/>
                    <w:suppressLineNumbers w:val="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10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27BD6">
                  <w:pPr>
                    <w:keepNext w:val="0"/>
                    <w:keepLines w:val="0"/>
                    <w:widowControl/>
                    <w:suppressLineNumbers w:val="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有组织排放量（t/a）</w:t>
                  </w:r>
                </w:p>
              </w:tc>
              <w:tc>
                <w:tcPr>
                  <w:tcW w:w="10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AAFE74">
                  <w:pPr>
                    <w:keepNext w:val="0"/>
                    <w:keepLines w:val="0"/>
                    <w:widowControl/>
                    <w:suppressLineNumbers w:val="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无组织排放量（t/a）</w:t>
                  </w:r>
                </w:p>
              </w:tc>
              <w:tc>
                <w:tcPr>
                  <w:tcW w:w="9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BF921">
                  <w:pPr>
                    <w:keepNext w:val="0"/>
                    <w:keepLines w:val="0"/>
                    <w:widowControl/>
                    <w:suppressLineNumbers w:val="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合计年排放量（t/a）</w:t>
                  </w:r>
                </w:p>
              </w:tc>
            </w:tr>
            <w:tr w14:paraId="112B8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739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0D2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26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2B92D">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0.0450</w:t>
                  </w:r>
                </w:p>
              </w:tc>
              <w:tc>
                <w:tcPr>
                  <w:tcW w:w="2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4FF81">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0.0450</w:t>
                  </w:r>
                </w:p>
              </w:tc>
              <w:tc>
                <w:tcPr>
                  <w:tcW w:w="25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A68FC">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0.0900</w:t>
                  </w:r>
                </w:p>
              </w:tc>
            </w:tr>
            <w:tr w14:paraId="5EF17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86B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93D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VOCs</w:t>
                  </w:r>
                </w:p>
              </w:tc>
              <w:tc>
                <w:tcPr>
                  <w:tcW w:w="26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B5A94">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2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CD96D">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c>
                <w:tcPr>
                  <w:tcW w:w="25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1B6D0">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0.0052</w:t>
                  </w:r>
                </w:p>
              </w:tc>
            </w:tr>
            <w:tr w14:paraId="3E8E7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D79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B15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6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E3221">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2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59008">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c>
                <w:tcPr>
                  <w:tcW w:w="25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47E68">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0.0003</w:t>
                  </w:r>
                </w:p>
              </w:tc>
            </w:tr>
            <w:tr w14:paraId="64815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4DE8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973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0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D0E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10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267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9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C71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r>
          </w:tbl>
          <w:p w14:paraId="667975B1">
            <w:pPr>
              <w:spacing w:line="360" w:lineRule="auto"/>
              <w:ind w:firstLine="482" w:firstLineChars="200"/>
              <w:rPr>
                <w:rFonts w:hint="default" w:ascii="Times New Roman" w:hAnsi="Times New Roman" w:cs="Times New Roman" w:eastAsiaTheme="minorEastAsia"/>
                <w:b/>
                <w:color w:val="auto"/>
                <w:sz w:val="24"/>
                <w:highlight w:val="none"/>
              </w:rPr>
            </w:pPr>
          </w:p>
          <w:p w14:paraId="52277479">
            <w:pPr>
              <w:pageBreakBefore w:val="0"/>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w:t>
            </w:r>
            <w:r>
              <w:rPr>
                <w:rFonts w:hint="default" w:ascii="Times New Roman" w:hAnsi="Times New Roman" w:cs="Times New Roman"/>
                <w:color w:val="auto"/>
                <w:sz w:val="24"/>
                <w:highlight w:val="none"/>
                <w:lang w:val="en-US" w:eastAsia="zh-CN"/>
              </w:rPr>
              <w:t>上文分析</w:t>
            </w:r>
            <w:r>
              <w:rPr>
                <w:rFonts w:hint="default" w:ascii="Times New Roman" w:hAnsi="Times New Roman" w:cs="Times New Roman"/>
                <w:color w:val="auto"/>
                <w:sz w:val="24"/>
                <w:highlight w:val="none"/>
              </w:rPr>
              <w:t>可知，项目严格控制</w:t>
            </w:r>
            <w:r>
              <w:rPr>
                <w:rFonts w:hint="default" w:ascii="Times New Roman" w:hAnsi="Times New Roman" w:cs="Times New Roman"/>
                <w:color w:val="auto"/>
                <w:sz w:val="24"/>
                <w:highlight w:val="none"/>
                <w:lang w:val="en-US" w:eastAsia="zh-CN"/>
              </w:rPr>
              <w:t>有机</w:t>
            </w:r>
            <w:r>
              <w:rPr>
                <w:rFonts w:hint="default" w:ascii="Times New Roman" w:hAnsi="Times New Roman" w:cs="Times New Roman"/>
                <w:color w:val="auto"/>
                <w:sz w:val="24"/>
                <w:highlight w:val="none"/>
              </w:rPr>
              <w:t>废气排放，</w:t>
            </w:r>
            <w:r>
              <w:rPr>
                <w:rFonts w:hint="default" w:ascii="Times New Roman" w:hAnsi="Times New Roman" w:cs="Times New Roman"/>
                <w:color w:val="auto"/>
                <w:sz w:val="24"/>
                <w:highlight w:val="none"/>
                <w:lang w:val="en-US" w:eastAsia="zh-CN"/>
              </w:rPr>
              <w:t>注塑产生的非甲烷总烃有组织排放符合《合成树脂工业污染物排放标准》（GB31572-2015，含2024年修改单）表5污染物特别排放限值；无组织符合表9企业边界大气污染物浓度限值。</w:t>
            </w:r>
          </w:p>
          <w:p w14:paraId="5C0BA7F1">
            <w:pPr>
              <w:pageBreakBefore w:val="0"/>
              <w:wordWrap w:val="0"/>
              <w:overflowPunct/>
              <w:bidi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封口、点胶固化产生的</w:t>
            </w:r>
            <w:r>
              <w:rPr>
                <w:rFonts w:hint="default" w:ascii="Times New Roman" w:hAnsi="Times New Roman" w:eastAsia="宋体" w:cs="Times New Roman"/>
                <w:color w:val="auto"/>
                <w:sz w:val="24"/>
                <w:highlight w:val="none"/>
                <w:lang w:val="en-US" w:eastAsia="zh-CN"/>
              </w:rPr>
              <w:t>VOCs</w:t>
            </w:r>
            <w:r>
              <w:rPr>
                <w:rFonts w:hint="default" w:ascii="Times New Roman" w:hAnsi="Times New Roman" w:cs="Times New Roman"/>
                <w:color w:val="auto"/>
                <w:sz w:val="24"/>
                <w:highlight w:val="none"/>
                <w:lang w:val="en-US" w:eastAsia="zh-CN"/>
              </w:rPr>
              <w:t>无组织排放符合</w:t>
            </w:r>
            <w:r>
              <w:rPr>
                <w:rFonts w:hint="default" w:ascii="Times New Roman" w:hAnsi="Times New Roman" w:eastAsia="宋体" w:cs="Times New Roman"/>
                <w:color w:val="auto"/>
                <w:sz w:val="24"/>
                <w:highlight w:val="none"/>
              </w:rPr>
              <w:t>广东省《固定污染源挥发性有机物综合排放标准》</w:t>
            </w:r>
            <w:r>
              <w:rPr>
                <w:rFonts w:hint="default" w:ascii="Times New Roman" w:hAnsi="Times New Roman" w:cs="Times New Roman"/>
                <w:color w:val="auto"/>
                <w:sz w:val="24"/>
                <w:highlight w:val="none"/>
                <w:lang w:val="en-US" w:eastAsia="zh-CN"/>
              </w:rPr>
              <w:t>符合</w:t>
            </w:r>
            <w:r>
              <w:rPr>
                <w:rFonts w:hint="default" w:ascii="Times New Roman" w:hAnsi="Times New Roman" w:eastAsia="宋体" w:cs="Times New Roman"/>
                <w:color w:val="auto"/>
                <w:sz w:val="24"/>
                <w:highlight w:val="none"/>
              </w:rPr>
              <w:t>表3厂区内VOCs无组织排放限值</w:t>
            </w:r>
            <w:r>
              <w:rPr>
                <w:rFonts w:hint="default" w:ascii="Times New Roman" w:hAnsi="Times New Roman" w:cs="Times New Roman"/>
                <w:color w:val="auto"/>
                <w:sz w:val="24"/>
                <w:highlight w:val="none"/>
                <w:lang w:eastAsia="zh-CN"/>
              </w:rPr>
              <w:t>。</w:t>
            </w:r>
          </w:p>
          <w:p w14:paraId="3197F2A5">
            <w:pPr>
              <w:pageBreakBefore w:val="0"/>
              <w:wordWrap w:val="0"/>
              <w:overflowPunct/>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颗粒物无组织排放符合广东省《大气污染物排放限值》（DB44/27-2001）第二时段无组织排放标准及《合成树脂工业污染物排放标准》（GB31572-2015，含2024年修改单）表9企业边界大气污染物浓度限值的较严者限值。</w:t>
            </w:r>
          </w:p>
          <w:p w14:paraId="23AB337C">
            <w:pPr>
              <w:pageBreakBefore w:val="0"/>
              <w:wordWrap w:val="0"/>
              <w:overflowPunct/>
              <w:bidi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项目臭气浓度有组织排放小于2000（无量纲），符合《恶臭污染物排放标准》（GB14554-93）表2恶臭污染物排放标准值要求；通过加强车间密闭管理，臭气浓度无组织排放符合《恶臭污染物排放标准》（GB14554-93）表1恶臭污染物厂界新扩改建二级标准值要求</w:t>
            </w:r>
            <w:r>
              <w:rPr>
                <w:rFonts w:hint="default" w:ascii="Times New Roman" w:hAnsi="Times New Roman" w:cs="Times New Roman"/>
                <w:color w:val="auto"/>
                <w:sz w:val="24"/>
                <w:highlight w:val="none"/>
                <w:lang w:eastAsia="zh-CN"/>
              </w:rPr>
              <w:t>。</w:t>
            </w:r>
          </w:p>
          <w:p w14:paraId="485F00F6">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三、噪声</w:t>
            </w:r>
          </w:p>
          <w:p w14:paraId="3DE6F424">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1、噪声源强</w:t>
            </w:r>
          </w:p>
          <w:p w14:paraId="50B5EC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eastAsiaTheme="minorEastAsia"/>
                <w:color w:val="auto"/>
                <w:sz w:val="24"/>
                <w:highlight w:val="none"/>
              </w:rPr>
              <w:t>项目营运期噪声源主要为各种机械设备使用及车辆行驶等，产生噪声值约为65～9</w:t>
            </w:r>
            <w:r>
              <w:rPr>
                <w:rFonts w:hint="default" w:ascii="Times New Roman" w:hAnsi="Times New Roman" w:cs="Times New Roman" w:eastAsiaTheme="minorEastAsia"/>
                <w:color w:val="auto"/>
                <w:sz w:val="24"/>
                <w:highlight w:val="none"/>
                <w:lang w:val="en-US" w:eastAsia="zh-CN"/>
              </w:rPr>
              <w:t>5</w:t>
            </w:r>
            <w:r>
              <w:rPr>
                <w:rFonts w:hint="default" w:ascii="Times New Roman" w:hAnsi="Times New Roman" w:cs="Times New Roman" w:eastAsiaTheme="minorEastAsia"/>
                <w:color w:val="auto"/>
                <w:sz w:val="24"/>
                <w:highlight w:val="none"/>
              </w:rPr>
              <w:t>dB（A）。</w:t>
            </w:r>
            <w:r>
              <w:rPr>
                <w:rFonts w:hint="default" w:ascii="Times New Roman" w:hAnsi="Times New Roman" w:cs="Times New Roman"/>
                <w:color w:val="auto"/>
                <w:sz w:val="24"/>
                <w:szCs w:val="24"/>
                <w:highlight w:val="none"/>
              </w:rPr>
              <w:t>企业对生产过程中产生的噪声采取了设备基础减振、加装消音器以及厂房隔声等降噪措施，有效</w:t>
            </w:r>
            <w:r>
              <w:rPr>
                <w:rFonts w:hint="default" w:ascii="Times New Roman" w:hAnsi="Times New Roman" w:cs="Times New Roman"/>
                <w:color w:val="auto"/>
                <w:sz w:val="24"/>
                <w:szCs w:val="24"/>
                <w:highlight w:val="none"/>
                <w:lang w:val="en-US" w:eastAsia="zh-CN"/>
              </w:rPr>
              <w:t>地</w:t>
            </w:r>
            <w:r>
              <w:rPr>
                <w:rFonts w:hint="default" w:ascii="Times New Roman" w:hAnsi="Times New Roman" w:cs="Times New Roman"/>
                <w:color w:val="auto"/>
                <w:sz w:val="24"/>
                <w:szCs w:val="24"/>
                <w:highlight w:val="none"/>
              </w:rPr>
              <w:t>控制噪声对周围环境的影响，降噪效果在15～25dB(A)之间。</w:t>
            </w:r>
          </w:p>
          <w:p w14:paraId="6A39A5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color w:val="auto"/>
                <w:kern w:val="0"/>
                <w:sz w:val="24"/>
                <w:szCs w:val="24"/>
                <w:highlight w:val="none"/>
                <w:lang w:val="en-US" w:eastAsia="zh-CN"/>
              </w:rPr>
            </w:pPr>
            <w:r>
              <w:rPr>
                <w:rFonts w:hint="default" w:ascii="Times New Roman" w:hAnsi="Times New Roman" w:cs="Times New Roman"/>
                <w:color w:val="auto"/>
                <w:sz w:val="24"/>
                <w:szCs w:val="24"/>
                <w:highlight w:val="none"/>
                <w:lang w:val="en-US" w:eastAsia="zh-CN"/>
              </w:rPr>
              <w:t>本</w:t>
            </w:r>
            <w:r>
              <w:rPr>
                <w:rFonts w:hint="default" w:ascii="Times New Roman" w:hAnsi="Times New Roman" w:cs="Times New Roman"/>
                <w:color w:val="auto"/>
                <w:sz w:val="24"/>
                <w:szCs w:val="24"/>
                <w:highlight w:val="none"/>
                <w:lang w:eastAsia="zh-CN"/>
              </w:rPr>
              <w:t>项目</w:t>
            </w:r>
            <w:r>
              <w:rPr>
                <w:rFonts w:hint="default" w:ascii="Times New Roman" w:hAnsi="Times New Roman" w:cs="Times New Roman"/>
                <w:color w:val="auto"/>
                <w:sz w:val="24"/>
                <w:szCs w:val="24"/>
                <w:highlight w:val="none"/>
              </w:rPr>
              <w:t>室外、室内噪声源如下所示：</w:t>
            </w:r>
          </w:p>
          <w:p w14:paraId="05B64D8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cs="Times New Roman" w:eastAsiaTheme="minorEastAsia"/>
                <w:b/>
                <w:color w:val="auto"/>
                <w:sz w:val="24"/>
                <w:szCs w:val="24"/>
                <w:highlight w:val="none"/>
                <w:lang w:val="en-GB" w:eastAsia="zh-CN"/>
              </w:rPr>
            </w:pPr>
            <w:r>
              <w:rPr>
                <w:rFonts w:hint="default" w:ascii="Times New Roman" w:hAnsi="Times New Roman" w:eastAsia="宋体" w:cs="Times New Roman"/>
                <w:b/>
                <w:bCs/>
                <w:color w:val="auto"/>
                <w:sz w:val="21"/>
                <w:szCs w:val="21"/>
                <w:highlight w:val="none"/>
                <w:lang w:val="en-US" w:eastAsia="zh-CN"/>
              </w:rPr>
              <w:t>项目室内主要噪声设备源强一览表</w:t>
            </w:r>
          </w:p>
          <w:tbl>
            <w:tblPr>
              <w:tblStyle w:val="38"/>
              <w:tblW w:w="4992" w:type="pct"/>
              <w:tblInd w:w="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fixed"/>
              <w:tblCellMar>
                <w:top w:w="0" w:type="dxa"/>
                <w:left w:w="108" w:type="dxa"/>
                <w:bottom w:w="0" w:type="dxa"/>
                <w:right w:w="108" w:type="dxa"/>
              </w:tblCellMar>
            </w:tblPr>
            <w:tblGrid>
              <w:gridCol w:w="1149"/>
              <w:gridCol w:w="1771"/>
              <w:gridCol w:w="850"/>
              <w:gridCol w:w="952"/>
              <w:gridCol w:w="821"/>
              <w:gridCol w:w="821"/>
              <w:gridCol w:w="780"/>
              <w:gridCol w:w="660"/>
              <w:gridCol w:w="478"/>
              <w:gridCol w:w="502"/>
              <w:gridCol w:w="674"/>
              <w:gridCol w:w="893"/>
              <w:gridCol w:w="636"/>
              <w:gridCol w:w="829"/>
              <w:gridCol w:w="791"/>
              <w:gridCol w:w="738"/>
            </w:tblGrid>
            <w:tr w14:paraId="4599EE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blHeader/>
              </w:trPr>
              <w:tc>
                <w:tcPr>
                  <w:tcW w:w="430" w:type="pct"/>
                  <w:vMerge w:val="restart"/>
                  <w:tcBorders>
                    <w:tl2br w:val="nil"/>
                    <w:tr2bl w:val="nil"/>
                  </w:tcBorders>
                  <w:shd w:val="clear" w:color="auto" w:fill="auto"/>
                  <w:vAlign w:val="center"/>
                </w:tcPr>
                <w:p w14:paraId="5B4E047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建筑物名称</w:t>
                  </w:r>
                </w:p>
              </w:tc>
              <w:tc>
                <w:tcPr>
                  <w:tcW w:w="663" w:type="pct"/>
                  <w:vMerge w:val="restart"/>
                  <w:tcBorders>
                    <w:tl2br w:val="nil"/>
                    <w:tr2bl w:val="nil"/>
                  </w:tcBorders>
                  <w:shd w:val="clear" w:color="auto" w:fill="auto"/>
                  <w:vAlign w:val="center"/>
                </w:tcPr>
                <w:p w14:paraId="29BA35F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声源名称</w:t>
                  </w:r>
                </w:p>
              </w:tc>
              <w:tc>
                <w:tcPr>
                  <w:tcW w:w="318" w:type="pct"/>
                  <w:vMerge w:val="restart"/>
                  <w:tcBorders>
                    <w:tl2br w:val="nil"/>
                    <w:tr2bl w:val="nil"/>
                  </w:tcBorders>
                  <w:shd w:val="clear" w:color="auto" w:fill="auto"/>
                  <w:vAlign w:val="center"/>
                </w:tcPr>
                <w:p w14:paraId="0B88473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数量（台）</w:t>
                  </w:r>
                </w:p>
              </w:tc>
              <w:tc>
                <w:tcPr>
                  <w:tcW w:w="356" w:type="pct"/>
                  <w:vMerge w:val="restart"/>
                  <w:tcBorders>
                    <w:tl2br w:val="nil"/>
                    <w:tr2bl w:val="nil"/>
                  </w:tcBorders>
                  <w:shd w:val="clear" w:color="auto" w:fill="auto"/>
                  <w:vAlign w:val="center"/>
                </w:tcPr>
                <w:p w14:paraId="2A14B10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单台设备声压级/dB（A）</w:t>
                  </w:r>
                </w:p>
              </w:tc>
              <w:tc>
                <w:tcPr>
                  <w:tcW w:w="307" w:type="pct"/>
                  <w:vMerge w:val="restart"/>
                  <w:tcBorders>
                    <w:tl2br w:val="nil"/>
                    <w:tr2bl w:val="nil"/>
                  </w:tcBorders>
                  <w:shd w:val="clear" w:color="auto" w:fill="auto"/>
                  <w:vAlign w:val="center"/>
                </w:tcPr>
                <w:p w14:paraId="4674E20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多台设备声压级dB(A)</w:t>
                  </w:r>
                </w:p>
              </w:tc>
              <w:tc>
                <w:tcPr>
                  <w:tcW w:w="307" w:type="pct"/>
                  <w:vMerge w:val="restart"/>
                  <w:tcBorders>
                    <w:tl2br w:val="nil"/>
                    <w:tr2bl w:val="nil"/>
                  </w:tcBorders>
                  <w:shd w:val="clear" w:color="auto" w:fill="auto"/>
                  <w:vAlign w:val="center"/>
                </w:tcPr>
                <w:p w14:paraId="562D9D1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距声源距离/m</w:t>
                  </w:r>
                </w:p>
              </w:tc>
              <w:tc>
                <w:tcPr>
                  <w:tcW w:w="292" w:type="pct"/>
                  <w:vMerge w:val="restart"/>
                  <w:tcBorders>
                    <w:tl2br w:val="nil"/>
                    <w:tr2bl w:val="nil"/>
                  </w:tcBorders>
                  <w:shd w:val="clear" w:color="auto" w:fill="auto"/>
                  <w:vAlign w:val="center"/>
                </w:tcPr>
                <w:p w14:paraId="6D839DA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声源控制措施</w:t>
                  </w:r>
                </w:p>
              </w:tc>
              <w:tc>
                <w:tcPr>
                  <w:tcW w:w="614" w:type="pct"/>
                  <w:gridSpan w:val="3"/>
                  <w:tcBorders>
                    <w:tl2br w:val="nil"/>
                    <w:tr2bl w:val="nil"/>
                  </w:tcBorders>
                  <w:shd w:val="clear" w:color="auto" w:fill="auto"/>
                  <w:vAlign w:val="center"/>
                </w:tcPr>
                <w:p w14:paraId="1F372DD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空间相对位置/m</w:t>
                  </w:r>
                </w:p>
              </w:tc>
              <w:tc>
                <w:tcPr>
                  <w:tcW w:w="252" w:type="pct"/>
                  <w:vMerge w:val="restart"/>
                  <w:tcBorders>
                    <w:tl2br w:val="nil"/>
                    <w:tr2bl w:val="nil"/>
                  </w:tcBorders>
                  <w:shd w:val="clear" w:color="auto" w:fill="auto"/>
                  <w:vAlign w:val="center"/>
                </w:tcPr>
                <w:p w14:paraId="6DA8CF3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距室内边界距离/m</w:t>
                  </w:r>
                </w:p>
              </w:tc>
              <w:tc>
                <w:tcPr>
                  <w:tcW w:w="334" w:type="pct"/>
                  <w:vMerge w:val="restart"/>
                  <w:tcBorders>
                    <w:tl2br w:val="nil"/>
                    <w:tr2bl w:val="nil"/>
                  </w:tcBorders>
                  <w:shd w:val="clear" w:color="auto" w:fill="auto"/>
                  <w:vAlign w:val="center"/>
                </w:tcPr>
                <w:p w14:paraId="71D0453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室内边界声级/dB（A）</w:t>
                  </w:r>
                </w:p>
              </w:tc>
              <w:tc>
                <w:tcPr>
                  <w:tcW w:w="238" w:type="pct"/>
                  <w:vMerge w:val="restart"/>
                  <w:tcBorders>
                    <w:tl2br w:val="nil"/>
                    <w:tr2bl w:val="nil"/>
                  </w:tcBorders>
                  <w:shd w:val="clear" w:color="auto" w:fill="auto"/>
                  <w:vAlign w:val="center"/>
                </w:tcPr>
                <w:p w14:paraId="6F8912C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运行时段</w:t>
                  </w:r>
                </w:p>
              </w:tc>
              <w:tc>
                <w:tcPr>
                  <w:tcW w:w="310" w:type="pct"/>
                  <w:vMerge w:val="restart"/>
                  <w:tcBorders>
                    <w:tl2br w:val="nil"/>
                    <w:tr2bl w:val="nil"/>
                  </w:tcBorders>
                  <w:shd w:val="clear" w:color="auto" w:fill="auto"/>
                  <w:vAlign w:val="center"/>
                </w:tcPr>
                <w:p w14:paraId="6141951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建筑物插入损失/dB（A）</w:t>
                  </w:r>
                </w:p>
              </w:tc>
              <w:tc>
                <w:tcPr>
                  <w:tcW w:w="572" w:type="pct"/>
                  <w:gridSpan w:val="2"/>
                  <w:tcBorders>
                    <w:tl2br w:val="nil"/>
                    <w:tr2bl w:val="nil"/>
                  </w:tcBorders>
                  <w:shd w:val="clear" w:color="auto" w:fill="auto"/>
                  <w:vAlign w:val="center"/>
                </w:tcPr>
                <w:p w14:paraId="66D039E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建筑物外噪声</w:t>
                  </w:r>
                </w:p>
              </w:tc>
            </w:tr>
            <w:tr w14:paraId="5FD707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blHeader/>
              </w:trPr>
              <w:tc>
                <w:tcPr>
                  <w:tcW w:w="430" w:type="pct"/>
                  <w:vMerge w:val="continue"/>
                  <w:tcBorders>
                    <w:tl2br w:val="nil"/>
                    <w:tr2bl w:val="nil"/>
                  </w:tcBorders>
                  <w:shd w:val="clear" w:color="auto" w:fill="auto"/>
                  <w:vAlign w:val="center"/>
                </w:tcPr>
                <w:p w14:paraId="1C4C770B">
                  <w:pPr>
                    <w:jc w:val="center"/>
                    <w:rPr>
                      <w:rFonts w:hint="default" w:ascii="Times New Roman" w:hAnsi="Times New Roman" w:eastAsia="宋体" w:cs="Times New Roman"/>
                      <w:b/>
                      <w:bCs/>
                      <w:i w:val="0"/>
                      <w:iCs w:val="0"/>
                      <w:color w:val="auto"/>
                      <w:sz w:val="21"/>
                      <w:szCs w:val="21"/>
                      <w:highlight w:val="none"/>
                      <w:u w:val="none"/>
                    </w:rPr>
                  </w:pPr>
                </w:p>
              </w:tc>
              <w:tc>
                <w:tcPr>
                  <w:tcW w:w="663" w:type="pct"/>
                  <w:vMerge w:val="continue"/>
                  <w:tcBorders>
                    <w:tl2br w:val="nil"/>
                    <w:tr2bl w:val="nil"/>
                  </w:tcBorders>
                  <w:shd w:val="clear" w:color="auto" w:fill="auto"/>
                  <w:vAlign w:val="center"/>
                </w:tcPr>
                <w:p w14:paraId="559EC4F0">
                  <w:pPr>
                    <w:jc w:val="center"/>
                    <w:rPr>
                      <w:rFonts w:hint="default" w:ascii="Times New Roman" w:hAnsi="Times New Roman" w:eastAsia="宋体" w:cs="Times New Roman"/>
                      <w:b/>
                      <w:bCs/>
                      <w:i w:val="0"/>
                      <w:iCs w:val="0"/>
                      <w:color w:val="auto"/>
                      <w:sz w:val="21"/>
                      <w:szCs w:val="21"/>
                      <w:highlight w:val="none"/>
                      <w:u w:val="none"/>
                    </w:rPr>
                  </w:pPr>
                </w:p>
              </w:tc>
              <w:tc>
                <w:tcPr>
                  <w:tcW w:w="318" w:type="pct"/>
                  <w:vMerge w:val="continue"/>
                  <w:tcBorders>
                    <w:tl2br w:val="nil"/>
                    <w:tr2bl w:val="nil"/>
                  </w:tcBorders>
                  <w:shd w:val="clear" w:color="auto" w:fill="auto"/>
                  <w:vAlign w:val="center"/>
                </w:tcPr>
                <w:p w14:paraId="6B5E59E5">
                  <w:pPr>
                    <w:jc w:val="center"/>
                    <w:rPr>
                      <w:rFonts w:hint="default" w:ascii="Times New Roman" w:hAnsi="Times New Roman" w:eastAsia="宋体" w:cs="Times New Roman"/>
                      <w:b/>
                      <w:bCs/>
                      <w:i w:val="0"/>
                      <w:iCs w:val="0"/>
                      <w:color w:val="auto"/>
                      <w:sz w:val="21"/>
                      <w:szCs w:val="21"/>
                      <w:highlight w:val="none"/>
                      <w:u w:val="none"/>
                    </w:rPr>
                  </w:pPr>
                </w:p>
              </w:tc>
              <w:tc>
                <w:tcPr>
                  <w:tcW w:w="356" w:type="pct"/>
                  <w:vMerge w:val="continue"/>
                  <w:tcBorders>
                    <w:tl2br w:val="nil"/>
                    <w:tr2bl w:val="nil"/>
                  </w:tcBorders>
                  <w:shd w:val="clear" w:color="auto" w:fill="auto"/>
                  <w:vAlign w:val="center"/>
                </w:tcPr>
                <w:p w14:paraId="59605C27">
                  <w:pPr>
                    <w:jc w:val="center"/>
                    <w:rPr>
                      <w:rFonts w:hint="default" w:ascii="Times New Roman" w:hAnsi="Times New Roman" w:eastAsia="宋体" w:cs="Times New Roman"/>
                      <w:b/>
                      <w:bCs/>
                      <w:i w:val="0"/>
                      <w:iCs w:val="0"/>
                      <w:color w:val="auto"/>
                      <w:sz w:val="21"/>
                      <w:szCs w:val="21"/>
                      <w:highlight w:val="none"/>
                      <w:u w:val="none"/>
                    </w:rPr>
                  </w:pPr>
                </w:p>
              </w:tc>
              <w:tc>
                <w:tcPr>
                  <w:tcW w:w="307" w:type="pct"/>
                  <w:vMerge w:val="continue"/>
                  <w:tcBorders>
                    <w:tl2br w:val="nil"/>
                    <w:tr2bl w:val="nil"/>
                  </w:tcBorders>
                  <w:shd w:val="clear" w:color="auto" w:fill="auto"/>
                  <w:vAlign w:val="center"/>
                </w:tcPr>
                <w:p w14:paraId="51ADC33D">
                  <w:pPr>
                    <w:jc w:val="center"/>
                    <w:rPr>
                      <w:rFonts w:hint="default" w:ascii="Times New Roman" w:hAnsi="Times New Roman" w:eastAsia="宋体" w:cs="Times New Roman"/>
                      <w:b/>
                      <w:bCs/>
                      <w:i w:val="0"/>
                      <w:iCs w:val="0"/>
                      <w:color w:val="auto"/>
                      <w:sz w:val="21"/>
                      <w:szCs w:val="21"/>
                      <w:highlight w:val="none"/>
                      <w:u w:val="none"/>
                    </w:rPr>
                  </w:pPr>
                </w:p>
              </w:tc>
              <w:tc>
                <w:tcPr>
                  <w:tcW w:w="307" w:type="pct"/>
                  <w:vMerge w:val="continue"/>
                  <w:tcBorders>
                    <w:tl2br w:val="nil"/>
                    <w:tr2bl w:val="nil"/>
                  </w:tcBorders>
                  <w:shd w:val="clear" w:color="auto" w:fill="auto"/>
                  <w:vAlign w:val="center"/>
                </w:tcPr>
                <w:p w14:paraId="0EE8F24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292" w:type="pct"/>
                  <w:vMerge w:val="continue"/>
                  <w:tcBorders>
                    <w:tl2br w:val="nil"/>
                    <w:tr2bl w:val="nil"/>
                  </w:tcBorders>
                  <w:shd w:val="clear" w:color="auto" w:fill="auto"/>
                  <w:vAlign w:val="center"/>
                </w:tcPr>
                <w:p w14:paraId="44705C22">
                  <w:pPr>
                    <w:jc w:val="center"/>
                    <w:rPr>
                      <w:rFonts w:hint="default" w:ascii="Times New Roman" w:hAnsi="Times New Roman" w:eastAsia="宋体" w:cs="Times New Roman"/>
                      <w:b/>
                      <w:bCs/>
                      <w:i w:val="0"/>
                      <w:iCs w:val="0"/>
                      <w:color w:val="auto"/>
                      <w:sz w:val="21"/>
                      <w:szCs w:val="21"/>
                      <w:highlight w:val="none"/>
                      <w:u w:val="none"/>
                    </w:rPr>
                  </w:pPr>
                </w:p>
              </w:tc>
              <w:tc>
                <w:tcPr>
                  <w:tcW w:w="247" w:type="pct"/>
                  <w:tcBorders>
                    <w:tl2br w:val="nil"/>
                    <w:tr2bl w:val="nil"/>
                  </w:tcBorders>
                  <w:shd w:val="clear" w:color="auto" w:fill="auto"/>
                  <w:vAlign w:val="center"/>
                </w:tcPr>
                <w:p w14:paraId="417B8DC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179" w:type="pct"/>
                  <w:tcBorders>
                    <w:tl2br w:val="nil"/>
                    <w:tr2bl w:val="nil"/>
                  </w:tcBorders>
                  <w:shd w:val="clear" w:color="auto" w:fill="auto"/>
                  <w:vAlign w:val="center"/>
                </w:tcPr>
                <w:p w14:paraId="64D1D5E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188" w:type="pct"/>
                  <w:tcBorders>
                    <w:tl2br w:val="nil"/>
                    <w:tr2bl w:val="nil"/>
                  </w:tcBorders>
                  <w:shd w:val="clear" w:color="auto" w:fill="auto"/>
                  <w:vAlign w:val="center"/>
                </w:tcPr>
                <w:p w14:paraId="0C69E22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Z</w:t>
                  </w:r>
                </w:p>
              </w:tc>
              <w:tc>
                <w:tcPr>
                  <w:tcW w:w="252" w:type="pct"/>
                  <w:vMerge w:val="continue"/>
                  <w:tcBorders>
                    <w:tl2br w:val="nil"/>
                    <w:tr2bl w:val="nil"/>
                  </w:tcBorders>
                  <w:shd w:val="clear" w:color="auto" w:fill="auto"/>
                  <w:vAlign w:val="center"/>
                </w:tcPr>
                <w:p w14:paraId="2B632B4D">
                  <w:pPr>
                    <w:jc w:val="center"/>
                    <w:rPr>
                      <w:rFonts w:hint="default" w:ascii="Times New Roman" w:hAnsi="Times New Roman" w:eastAsia="宋体" w:cs="Times New Roman"/>
                      <w:b/>
                      <w:bCs/>
                      <w:i w:val="0"/>
                      <w:iCs w:val="0"/>
                      <w:color w:val="auto"/>
                      <w:sz w:val="21"/>
                      <w:szCs w:val="21"/>
                      <w:highlight w:val="none"/>
                      <w:u w:val="none"/>
                    </w:rPr>
                  </w:pPr>
                </w:p>
              </w:tc>
              <w:tc>
                <w:tcPr>
                  <w:tcW w:w="334" w:type="pct"/>
                  <w:vMerge w:val="continue"/>
                  <w:tcBorders>
                    <w:tl2br w:val="nil"/>
                    <w:tr2bl w:val="nil"/>
                  </w:tcBorders>
                  <w:shd w:val="clear" w:color="auto" w:fill="auto"/>
                  <w:vAlign w:val="center"/>
                </w:tcPr>
                <w:p w14:paraId="3DA5D77B">
                  <w:pPr>
                    <w:jc w:val="center"/>
                    <w:rPr>
                      <w:rFonts w:hint="default" w:ascii="Times New Roman" w:hAnsi="Times New Roman" w:eastAsia="宋体" w:cs="Times New Roman"/>
                      <w:b/>
                      <w:bCs/>
                      <w:i w:val="0"/>
                      <w:iCs w:val="0"/>
                      <w:color w:val="auto"/>
                      <w:sz w:val="21"/>
                      <w:szCs w:val="21"/>
                      <w:highlight w:val="none"/>
                      <w:u w:val="none"/>
                    </w:rPr>
                  </w:pPr>
                </w:p>
              </w:tc>
              <w:tc>
                <w:tcPr>
                  <w:tcW w:w="238" w:type="pct"/>
                  <w:vMerge w:val="continue"/>
                  <w:tcBorders>
                    <w:tl2br w:val="nil"/>
                    <w:tr2bl w:val="nil"/>
                  </w:tcBorders>
                  <w:shd w:val="clear" w:color="auto" w:fill="auto"/>
                  <w:vAlign w:val="center"/>
                </w:tcPr>
                <w:p w14:paraId="4E75DBC2">
                  <w:pPr>
                    <w:jc w:val="center"/>
                    <w:rPr>
                      <w:rFonts w:hint="default" w:ascii="Times New Roman" w:hAnsi="Times New Roman" w:eastAsia="宋体" w:cs="Times New Roman"/>
                      <w:b/>
                      <w:bCs/>
                      <w:i w:val="0"/>
                      <w:iCs w:val="0"/>
                      <w:color w:val="auto"/>
                      <w:sz w:val="21"/>
                      <w:szCs w:val="21"/>
                      <w:highlight w:val="none"/>
                      <w:u w:val="none"/>
                    </w:rPr>
                  </w:pPr>
                </w:p>
              </w:tc>
              <w:tc>
                <w:tcPr>
                  <w:tcW w:w="310" w:type="pct"/>
                  <w:vMerge w:val="continue"/>
                  <w:tcBorders>
                    <w:tl2br w:val="nil"/>
                    <w:tr2bl w:val="nil"/>
                  </w:tcBorders>
                  <w:shd w:val="clear" w:color="auto" w:fill="auto"/>
                  <w:vAlign w:val="center"/>
                </w:tcPr>
                <w:p w14:paraId="0FEDE3C6">
                  <w:pPr>
                    <w:jc w:val="center"/>
                    <w:rPr>
                      <w:rFonts w:hint="default" w:ascii="Times New Roman" w:hAnsi="Times New Roman" w:eastAsia="宋体" w:cs="Times New Roman"/>
                      <w:b/>
                      <w:bCs/>
                      <w:i w:val="0"/>
                      <w:iCs w:val="0"/>
                      <w:color w:val="auto"/>
                      <w:sz w:val="21"/>
                      <w:szCs w:val="21"/>
                      <w:highlight w:val="none"/>
                      <w:u w:val="none"/>
                    </w:rPr>
                  </w:pPr>
                </w:p>
              </w:tc>
              <w:tc>
                <w:tcPr>
                  <w:tcW w:w="296" w:type="pct"/>
                  <w:tcBorders>
                    <w:tl2br w:val="nil"/>
                    <w:tr2bl w:val="nil"/>
                  </w:tcBorders>
                  <w:shd w:val="clear" w:color="auto" w:fill="auto"/>
                  <w:vAlign w:val="center"/>
                </w:tcPr>
                <w:p w14:paraId="3F2DC22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声压级/dB（A）</w:t>
                  </w:r>
                </w:p>
              </w:tc>
              <w:tc>
                <w:tcPr>
                  <w:tcW w:w="276" w:type="pct"/>
                  <w:tcBorders>
                    <w:tl2br w:val="nil"/>
                    <w:tr2bl w:val="nil"/>
                  </w:tcBorders>
                  <w:shd w:val="clear" w:color="auto" w:fill="auto"/>
                  <w:vAlign w:val="center"/>
                </w:tcPr>
                <w:p w14:paraId="54B469F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建筑物外距离</w:t>
                  </w:r>
                </w:p>
              </w:tc>
            </w:tr>
            <w:tr w14:paraId="5E3D4E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restart"/>
                  <w:tcBorders>
                    <w:tl2br w:val="nil"/>
                    <w:tr2bl w:val="nil"/>
                  </w:tcBorders>
                  <w:shd w:val="clear" w:color="auto" w:fill="auto"/>
                  <w:noWrap/>
                  <w:vAlign w:val="center"/>
                </w:tcPr>
                <w:p w14:paraId="5872AD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生产车间一层</w:t>
                  </w:r>
                </w:p>
              </w:tc>
              <w:tc>
                <w:tcPr>
                  <w:tcW w:w="663" w:type="pct"/>
                  <w:tcBorders>
                    <w:tl2br w:val="nil"/>
                    <w:tr2bl w:val="nil"/>
                  </w:tcBorders>
                  <w:shd w:val="clear" w:color="auto" w:fill="auto"/>
                  <w:vAlign w:val="center"/>
                </w:tcPr>
                <w:p w14:paraId="5FA2E2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上料机</w:t>
                  </w:r>
                </w:p>
              </w:tc>
              <w:tc>
                <w:tcPr>
                  <w:tcW w:w="318" w:type="pct"/>
                  <w:tcBorders>
                    <w:tl2br w:val="nil"/>
                    <w:tr2bl w:val="nil"/>
                  </w:tcBorders>
                  <w:shd w:val="clear" w:color="auto" w:fill="auto"/>
                  <w:vAlign w:val="center"/>
                </w:tcPr>
                <w:p w14:paraId="1B268DA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56" w:type="pct"/>
                  <w:tcBorders>
                    <w:tl2br w:val="nil"/>
                    <w:tr2bl w:val="nil"/>
                  </w:tcBorders>
                  <w:shd w:val="clear" w:color="auto" w:fill="auto"/>
                  <w:noWrap/>
                  <w:vAlign w:val="center"/>
                </w:tcPr>
                <w:p w14:paraId="3AD3722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18C8E532">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71.8</w:t>
                  </w:r>
                </w:p>
              </w:tc>
              <w:tc>
                <w:tcPr>
                  <w:tcW w:w="307" w:type="pct"/>
                  <w:tcBorders>
                    <w:tl2br w:val="nil"/>
                    <w:tr2bl w:val="nil"/>
                  </w:tcBorders>
                  <w:shd w:val="clear" w:color="auto" w:fill="auto"/>
                  <w:noWrap/>
                  <w:vAlign w:val="center"/>
                </w:tcPr>
                <w:p w14:paraId="4C8E50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restart"/>
                  <w:tcBorders>
                    <w:tl2br w:val="nil"/>
                    <w:tr2bl w:val="nil"/>
                  </w:tcBorders>
                  <w:shd w:val="clear" w:color="auto" w:fill="auto"/>
                  <w:vAlign w:val="center"/>
                </w:tcPr>
                <w:p w14:paraId="1DAB8BA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厂房隔声、消声、</w:t>
                  </w:r>
                  <w:r>
                    <w:rPr>
                      <w:rFonts w:hint="eastAsia" w:cs="Times New Roman"/>
                      <w:b w:val="0"/>
                      <w:bCs w:val="0"/>
                      <w:i w:val="0"/>
                      <w:iCs w:val="0"/>
                      <w:color w:val="auto"/>
                      <w:kern w:val="0"/>
                      <w:sz w:val="21"/>
                      <w:szCs w:val="21"/>
                      <w:highlight w:val="none"/>
                      <w:u w:val="none"/>
                      <w:lang w:val="en-US" w:eastAsia="zh-CN" w:bidi="ar"/>
                    </w:rPr>
                    <w:t>减振</w:t>
                  </w:r>
                </w:p>
              </w:tc>
              <w:tc>
                <w:tcPr>
                  <w:tcW w:w="247" w:type="pct"/>
                  <w:tcBorders>
                    <w:tl2br w:val="nil"/>
                    <w:tr2bl w:val="nil"/>
                  </w:tcBorders>
                  <w:shd w:val="clear" w:color="auto" w:fill="auto"/>
                  <w:noWrap/>
                  <w:vAlign w:val="center"/>
                </w:tcPr>
                <w:p w14:paraId="2B56F4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w:t>
                  </w:r>
                </w:p>
              </w:tc>
              <w:tc>
                <w:tcPr>
                  <w:tcW w:w="179" w:type="pct"/>
                  <w:tcBorders>
                    <w:tl2br w:val="nil"/>
                    <w:tr2bl w:val="nil"/>
                  </w:tcBorders>
                  <w:shd w:val="clear" w:color="auto" w:fill="auto"/>
                  <w:noWrap/>
                  <w:vAlign w:val="center"/>
                </w:tcPr>
                <w:p w14:paraId="723425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6B2CD9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79B8B2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34" w:type="pct"/>
                  <w:tcBorders>
                    <w:tl2br w:val="nil"/>
                    <w:tr2bl w:val="nil"/>
                  </w:tcBorders>
                  <w:shd w:val="clear" w:color="auto" w:fill="auto"/>
                  <w:vAlign w:val="center"/>
                </w:tcPr>
                <w:p w14:paraId="3ACA2D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68</w:t>
                  </w:r>
                </w:p>
              </w:tc>
              <w:tc>
                <w:tcPr>
                  <w:tcW w:w="238" w:type="pct"/>
                  <w:tcBorders>
                    <w:tl2br w:val="nil"/>
                    <w:tr2bl w:val="nil"/>
                  </w:tcBorders>
                  <w:shd w:val="clear" w:color="auto" w:fill="auto"/>
                  <w:noWrap/>
                  <w:vAlign w:val="center"/>
                </w:tcPr>
                <w:p w14:paraId="3B50931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4ADB01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A607D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37</w:t>
                  </w:r>
                </w:p>
              </w:tc>
              <w:tc>
                <w:tcPr>
                  <w:tcW w:w="276" w:type="pct"/>
                  <w:tcBorders>
                    <w:tl2br w:val="nil"/>
                    <w:tr2bl w:val="nil"/>
                  </w:tcBorders>
                  <w:shd w:val="clear" w:color="auto" w:fill="auto"/>
                  <w:noWrap/>
                  <w:vAlign w:val="center"/>
                </w:tcPr>
                <w:p w14:paraId="00B8955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09A23B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7FCFDDAA">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1193CC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上料烘烤机</w:t>
                  </w:r>
                </w:p>
              </w:tc>
              <w:tc>
                <w:tcPr>
                  <w:tcW w:w="318" w:type="pct"/>
                  <w:tcBorders>
                    <w:tl2br w:val="nil"/>
                    <w:tr2bl w:val="nil"/>
                  </w:tcBorders>
                  <w:shd w:val="clear" w:color="auto" w:fill="auto"/>
                  <w:vAlign w:val="center"/>
                </w:tcPr>
                <w:p w14:paraId="7139FA5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356" w:type="pct"/>
                  <w:tcBorders>
                    <w:tl2br w:val="nil"/>
                    <w:tr2bl w:val="nil"/>
                  </w:tcBorders>
                  <w:shd w:val="clear" w:color="auto" w:fill="auto"/>
                  <w:noWrap/>
                  <w:vAlign w:val="center"/>
                </w:tcPr>
                <w:p w14:paraId="242882C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00BA05FA">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74.0</w:t>
                  </w:r>
                </w:p>
              </w:tc>
              <w:tc>
                <w:tcPr>
                  <w:tcW w:w="307" w:type="pct"/>
                  <w:tcBorders>
                    <w:tl2br w:val="nil"/>
                    <w:tr2bl w:val="nil"/>
                  </w:tcBorders>
                  <w:shd w:val="clear" w:color="auto" w:fill="auto"/>
                  <w:noWrap/>
                  <w:vAlign w:val="center"/>
                </w:tcPr>
                <w:p w14:paraId="6A4ACA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70567AB2">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1D8B30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w:t>
                  </w:r>
                </w:p>
              </w:tc>
              <w:tc>
                <w:tcPr>
                  <w:tcW w:w="179" w:type="pct"/>
                  <w:tcBorders>
                    <w:tl2br w:val="nil"/>
                    <w:tr2bl w:val="nil"/>
                  </w:tcBorders>
                  <w:shd w:val="clear" w:color="auto" w:fill="auto"/>
                  <w:noWrap/>
                  <w:vAlign w:val="center"/>
                </w:tcPr>
                <w:p w14:paraId="23424CA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188" w:type="pct"/>
                  <w:tcBorders>
                    <w:tl2br w:val="nil"/>
                    <w:tr2bl w:val="nil"/>
                  </w:tcBorders>
                  <w:shd w:val="clear" w:color="auto" w:fill="auto"/>
                  <w:noWrap/>
                  <w:vAlign w:val="center"/>
                </w:tcPr>
                <w:p w14:paraId="176A58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22BD34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34" w:type="pct"/>
                  <w:tcBorders>
                    <w:tl2br w:val="nil"/>
                    <w:tr2bl w:val="nil"/>
                  </w:tcBorders>
                  <w:shd w:val="clear" w:color="auto" w:fill="auto"/>
                  <w:vAlign w:val="center"/>
                </w:tcPr>
                <w:p w14:paraId="0AB5400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w:t>
                  </w:r>
                </w:p>
              </w:tc>
              <w:tc>
                <w:tcPr>
                  <w:tcW w:w="238" w:type="pct"/>
                  <w:tcBorders>
                    <w:tl2br w:val="nil"/>
                    <w:tr2bl w:val="nil"/>
                  </w:tcBorders>
                  <w:shd w:val="clear" w:color="auto" w:fill="auto"/>
                  <w:noWrap/>
                  <w:vAlign w:val="center"/>
                </w:tcPr>
                <w:p w14:paraId="604DC5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6181CED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E85B8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39</w:t>
                  </w:r>
                </w:p>
              </w:tc>
              <w:tc>
                <w:tcPr>
                  <w:tcW w:w="276" w:type="pct"/>
                  <w:tcBorders>
                    <w:tl2br w:val="nil"/>
                    <w:tr2bl w:val="nil"/>
                  </w:tcBorders>
                  <w:shd w:val="clear" w:color="auto" w:fill="auto"/>
                  <w:noWrap/>
                  <w:vAlign w:val="center"/>
                </w:tcPr>
                <w:p w14:paraId="55C3D4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15BCC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0D07B5E0">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4C4DEE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模</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温台</w:t>
                  </w:r>
                </w:p>
              </w:tc>
              <w:tc>
                <w:tcPr>
                  <w:tcW w:w="318" w:type="pct"/>
                  <w:tcBorders>
                    <w:tl2br w:val="nil"/>
                    <w:tr2bl w:val="nil"/>
                  </w:tcBorders>
                  <w:shd w:val="clear" w:color="auto" w:fill="auto"/>
                  <w:vAlign w:val="center"/>
                </w:tcPr>
                <w:p w14:paraId="261DCA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56" w:type="pct"/>
                  <w:tcBorders>
                    <w:tl2br w:val="nil"/>
                    <w:tr2bl w:val="nil"/>
                  </w:tcBorders>
                  <w:shd w:val="clear" w:color="auto" w:fill="auto"/>
                  <w:noWrap/>
                  <w:vAlign w:val="center"/>
                </w:tcPr>
                <w:p w14:paraId="6FF665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2BC0CFBE">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71.8</w:t>
                  </w:r>
                </w:p>
              </w:tc>
              <w:tc>
                <w:tcPr>
                  <w:tcW w:w="307" w:type="pct"/>
                  <w:tcBorders>
                    <w:tl2br w:val="nil"/>
                    <w:tr2bl w:val="nil"/>
                  </w:tcBorders>
                  <w:shd w:val="clear" w:color="auto" w:fill="auto"/>
                  <w:noWrap/>
                  <w:vAlign w:val="center"/>
                </w:tcPr>
                <w:p w14:paraId="75B191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5A10B52D">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0E3EC1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179" w:type="pct"/>
                  <w:tcBorders>
                    <w:tl2br w:val="nil"/>
                    <w:tr2bl w:val="nil"/>
                  </w:tcBorders>
                  <w:shd w:val="clear" w:color="auto" w:fill="auto"/>
                  <w:noWrap/>
                  <w:vAlign w:val="center"/>
                </w:tcPr>
                <w:p w14:paraId="087EF4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w:t>
                  </w:r>
                </w:p>
              </w:tc>
              <w:tc>
                <w:tcPr>
                  <w:tcW w:w="188" w:type="pct"/>
                  <w:tcBorders>
                    <w:tl2br w:val="nil"/>
                    <w:tr2bl w:val="nil"/>
                  </w:tcBorders>
                  <w:shd w:val="clear" w:color="auto" w:fill="auto"/>
                  <w:noWrap/>
                  <w:vAlign w:val="center"/>
                </w:tcPr>
                <w:p w14:paraId="64CBBA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10B9009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34" w:type="pct"/>
                  <w:tcBorders>
                    <w:tl2br w:val="nil"/>
                    <w:tr2bl w:val="nil"/>
                  </w:tcBorders>
                  <w:shd w:val="clear" w:color="auto" w:fill="auto"/>
                  <w:vAlign w:val="center"/>
                </w:tcPr>
                <w:p w14:paraId="52CA9A1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68</w:t>
                  </w:r>
                </w:p>
              </w:tc>
              <w:tc>
                <w:tcPr>
                  <w:tcW w:w="238" w:type="pct"/>
                  <w:tcBorders>
                    <w:tl2br w:val="nil"/>
                    <w:tr2bl w:val="nil"/>
                  </w:tcBorders>
                  <w:shd w:val="clear" w:color="auto" w:fill="auto"/>
                  <w:noWrap/>
                  <w:vAlign w:val="center"/>
                </w:tcPr>
                <w:p w14:paraId="7FB26D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062F8F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7CA300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37</w:t>
                  </w:r>
                </w:p>
              </w:tc>
              <w:tc>
                <w:tcPr>
                  <w:tcW w:w="276" w:type="pct"/>
                  <w:tcBorders>
                    <w:tl2br w:val="nil"/>
                    <w:tr2bl w:val="nil"/>
                  </w:tcBorders>
                  <w:shd w:val="clear" w:color="auto" w:fill="auto"/>
                  <w:noWrap/>
                  <w:vAlign w:val="center"/>
                </w:tcPr>
                <w:p w14:paraId="582D806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69CAC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4171181D">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133612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注塑机</w:t>
                  </w:r>
                </w:p>
              </w:tc>
              <w:tc>
                <w:tcPr>
                  <w:tcW w:w="318" w:type="pct"/>
                  <w:tcBorders>
                    <w:tl2br w:val="nil"/>
                    <w:tr2bl w:val="nil"/>
                  </w:tcBorders>
                  <w:shd w:val="clear" w:color="auto" w:fill="auto"/>
                  <w:vAlign w:val="center"/>
                </w:tcPr>
                <w:p w14:paraId="34031F9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356" w:type="pct"/>
                  <w:tcBorders>
                    <w:tl2br w:val="nil"/>
                    <w:tr2bl w:val="nil"/>
                  </w:tcBorders>
                  <w:shd w:val="clear" w:color="auto" w:fill="auto"/>
                  <w:noWrap/>
                  <w:vAlign w:val="center"/>
                </w:tcPr>
                <w:p w14:paraId="0ADDE2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85</w:t>
                  </w:r>
                </w:p>
              </w:tc>
              <w:tc>
                <w:tcPr>
                  <w:tcW w:w="307" w:type="pct"/>
                  <w:tcBorders>
                    <w:tl2br w:val="nil"/>
                    <w:tr2bl w:val="nil"/>
                  </w:tcBorders>
                  <w:shd w:val="clear" w:color="auto" w:fill="auto"/>
                  <w:noWrap/>
                  <w:vAlign w:val="center"/>
                </w:tcPr>
                <w:p w14:paraId="0C511AF6">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99.0</w:t>
                  </w:r>
                </w:p>
              </w:tc>
              <w:tc>
                <w:tcPr>
                  <w:tcW w:w="307" w:type="pct"/>
                  <w:tcBorders>
                    <w:tl2br w:val="nil"/>
                    <w:tr2bl w:val="nil"/>
                  </w:tcBorders>
                  <w:shd w:val="clear" w:color="auto" w:fill="auto"/>
                  <w:noWrap/>
                  <w:vAlign w:val="center"/>
                </w:tcPr>
                <w:p w14:paraId="32894F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3D115686">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7498E7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79" w:type="pct"/>
                  <w:tcBorders>
                    <w:tl2br w:val="nil"/>
                    <w:tr2bl w:val="nil"/>
                  </w:tcBorders>
                  <w:shd w:val="clear" w:color="auto" w:fill="auto"/>
                  <w:noWrap/>
                  <w:vAlign w:val="center"/>
                </w:tcPr>
                <w:p w14:paraId="19E0920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74A4B8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446CC2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01B0560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91</w:t>
                  </w:r>
                </w:p>
              </w:tc>
              <w:tc>
                <w:tcPr>
                  <w:tcW w:w="238" w:type="pct"/>
                  <w:tcBorders>
                    <w:tl2br w:val="nil"/>
                    <w:tr2bl w:val="nil"/>
                  </w:tcBorders>
                  <w:shd w:val="clear" w:color="auto" w:fill="auto"/>
                  <w:noWrap/>
                  <w:vAlign w:val="center"/>
                </w:tcPr>
                <w:p w14:paraId="5566675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578B47C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4F6A18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276" w:type="pct"/>
                  <w:tcBorders>
                    <w:tl2br w:val="nil"/>
                    <w:tr2bl w:val="nil"/>
                  </w:tcBorders>
                  <w:shd w:val="clear" w:color="auto" w:fill="auto"/>
                  <w:noWrap/>
                  <w:vAlign w:val="center"/>
                </w:tcPr>
                <w:p w14:paraId="0827E44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CF3DD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2ABD01A1">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506DB2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收料机</w:t>
                  </w:r>
                </w:p>
              </w:tc>
              <w:tc>
                <w:tcPr>
                  <w:tcW w:w="318" w:type="pct"/>
                  <w:tcBorders>
                    <w:tl2br w:val="nil"/>
                    <w:tr2bl w:val="nil"/>
                  </w:tcBorders>
                  <w:shd w:val="clear" w:color="auto" w:fill="auto"/>
                  <w:vAlign w:val="center"/>
                </w:tcPr>
                <w:p w14:paraId="36BCC47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56" w:type="pct"/>
                  <w:tcBorders>
                    <w:tl2br w:val="nil"/>
                    <w:tr2bl w:val="nil"/>
                  </w:tcBorders>
                  <w:shd w:val="clear" w:color="auto" w:fill="auto"/>
                  <w:noWrap/>
                  <w:vAlign w:val="center"/>
                </w:tcPr>
                <w:p w14:paraId="5303C3F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1FF199AB">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71.8</w:t>
                  </w:r>
                </w:p>
              </w:tc>
              <w:tc>
                <w:tcPr>
                  <w:tcW w:w="307" w:type="pct"/>
                  <w:tcBorders>
                    <w:tl2br w:val="nil"/>
                    <w:tr2bl w:val="nil"/>
                  </w:tcBorders>
                  <w:shd w:val="clear" w:color="auto" w:fill="auto"/>
                  <w:noWrap/>
                  <w:vAlign w:val="center"/>
                </w:tcPr>
                <w:p w14:paraId="44CE8D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3C41768A">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3A55792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18</w:t>
                  </w:r>
                </w:p>
              </w:tc>
              <w:tc>
                <w:tcPr>
                  <w:tcW w:w="179" w:type="pct"/>
                  <w:tcBorders>
                    <w:tl2br w:val="nil"/>
                    <w:tr2bl w:val="nil"/>
                  </w:tcBorders>
                  <w:shd w:val="clear" w:color="auto" w:fill="auto"/>
                  <w:noWrap/>
                  <w:vAlign w:val="center"/>
                </w:tcPr>
                <w:p w14:paraId="47A266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88" w:type="pct"/>
                  <w:tcBorders>
                    <w:tl2br w:val="nil"/>
                    <w:tr2bl w:val="nil"/>
                  </w:tcBorders>
                  <w:shd w:val="clear" w:color="auto" w:fill="auto"/>
                  <w:noWrap/>
                  <w:vAlign w:val="center"/>
                </w:tcPr>
                <w:p w14:paraId="1C0970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421C06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334" w:type="pct"/>
                  <w:tcBorders>
                    <w:tl2br w:val="nil"/>
                    <w:tr2bl w:val="nil"/>
                  </w:tcBorders>
                  <w:shd w:val="clear" w:color="auto" w:fill="auto"/>
                  <w:vAlign w:val="center"/>
                </w:tcPr>
                <w:p w14:paraId="22FABE5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64</w:t>
                  </w:r>
                </w:p>
              </w:tc>
              <w:tc>
                <w:tcPr>
                  <w:tcW w:w="238" w:type="pct"/>
                  <w:tcBorders>
                    <w:tl2br w:val="nil"/>
                    <w:tr2bl w:val="nil"/>
                  </w:tcBorders>
                  <w:shd w:val="clear" w:color="auto" w:fill="auto"/>
                  <w:noWrap/>
                  <w:vAlign w:val="center"/>
                </w:tcPr>
                <w:p w14:paraId="719601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623DE0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1D474C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33</w:t>
                  </w:r>
                </w:p>
              </w:tc>
              <w:tc>
                <w:tcPr>
                  <w:tcW w:w="276" w:type="pct"/>
                  <w:tcBorders>
                    <w:tl2br w:val="nil"/>
                    <w:tr2bl w:val="nil"/>
                  </w:tcBorders>
                  <w:shd w:val="clear" w:color="auto" w:fill="auto"/>
                  <w:noWrap/>
                  <w:vAlign w:val="center"/>
                </w:tcPr>
                <w:p w14:paraId="710B37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3D6838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61CCB602">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08EE5B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空压机</w:t>
                  </w:r>
                </w:p>
              </w:tc>
              <w:tc>
                <w:tcPr>
                  <w:tcW w:w="318" w:type="pct"/>
                  <w:tcBorders>
                    <w:tl2br w:val="nil"/>
                    <w:tr2bl w:val="nil"/>
                  </w:tcBorders>
                  <w:shd w:val="clear" w:color="auto" w:fill="auto"/>
                  <w:vAlign w:val="center"/>
                </w:tcPr>
                <w:p w14:paraId="2FAE51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56" w:type="pct"/>
                  <w:tcBorders>
                    <w:tl2br w:val="nil"/>
                    <w:tr2bl w:val="nil"/>
                  </w:tcBorders>
                  <w:shd w:val="clear" w:color="auto" w:fill="auto"/>
                  <w:noWrap/>
                  <w:vAlign w:val="center"/>
                </w:tcPr>
                <w:p w14:paraId="1377BB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7EFD1315">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78.0</w:t>
                  </w:r>
                </w:p>
              </w:tc>
              <w:tc>
                <w:tcPr>
                  <w:tcW w:w="307" w:type="pct"/>
                  <w:tcBorders>
                    <w:tl2br w:val="nil"/>
                    <w:tr2bl w:val="nil"/>
                  </w:tcBorders>
                  <w:shd w:val="clear" w:color="auto" w:fill="auto"/>
                  <w:noWrap/>
                  <w:vAlign w:val="center"/>
                </w:tcPr>
                <w:p w14:paraId="77CF5B0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422E24C0">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2F65E4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35</w:t>
                  </w:r>
                </w:p>
              </w:tc>
              <w:tc>
                <w:tcPr>
                  <w:tcW w:w="179" w:type="pct"/>
                  <w:tcBorders>
                    <w:tl2br w:val="nil"/>
                    <w:tr2bl w:val="nil"/>
                  </w:tcBorders>
                  <w:shd w:val="clear" w:color="auto" w:fill="auto"/>
                  <w:noWrap/>
                  <w:vAlign w:val="center"/>
                </w:tcPr>
                <w:p w14:paraId="06B13E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310904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4333D5F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34" w:type="pct"/>
                  <w:tcBorders>
                    <w:tl2br w:val="nil"/>
                    <w:tr2bl w:val="nil"/>
                  </w:tcBorders>
                  <w:shd w:val="clear" w:color="auto" w:fill="auto"/>
                  <w:vAlign w:val="center"/>
                </w:tcPr>
                <w:p w14:paraId="0D9CA37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78</w:t>
                  </w:r>
                </w:p>
              </w:tc>
              <w:tc>
                <w:tcPr>
                  <w:tcW w:w="238" w:type="pct"/>
                  <w:tcBorders>
                    <w:tl2br w:val="nil"/>
                    <w:tr2bl w:val="nil"/>
                  </w:tcBorders>
                  <w:shd w:val="clear" w:color="auto" w:fill="auto"/>
                  <w:noWrap/>
                  <w:vAlign w:val="center"/>
                </w:tcPr>
                <w:p w14:paraId="062968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6F69DD2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C688F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47</w:t>
                  </w:r>
                </w:p>
              </w:tc>
              <w:tc>
                <w:tcPr>
                  <w:tcW w:w="276" w:type="pct"/>
                  <w:tcBorders>
                    <w:tl2br w:val="nil"/>
                    <w:tr2bl w:val="nil"/>
                  </w:tcBorders>
                  <w:shd w:val="clear" w:color="auto" w:fill="auto"/>
                  <w:noWrap/>
                  <w:vAlign w:val="center"/>
                </w:tcPr>
                <w:p w14:paraId="3192720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4E8638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09748788">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3B42DB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裁切机</w:t>
                  </w:r>
                </w:p>
              </w:tc>
              <w:tc>
                <w:tcPr>
                  <w:tcW w:w="318" w:type="pct"/>
                  <w:tcBorders>
                    <w:tl2br w:val="nil"/>
                    <w:tr2bl w:val="nil"/>
                  </w:tcBorders>
                  <w:shd w:val="clear" w:color="auto" w:fill="auto"/>
                  <w:vAlign w:val="center"/>
                </w:tcPr>
                <w:p w14:paraId="54E10E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356" w:type="pct"/>
                  <w:tcBorders>
                    <w:tl2br w:val="nil"/>
                    <w:tr2bl w:val="nil"/>
                  </w:tcBorders>
                  <w:shd w:val="clear" w:color="auto" w:fill="auto"/>
                  <w:noWrap/>
                  <w:vAlign w:val="center"/>
                </w:tcPr>
                <w:p w14:paraId="427369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3375D3FD">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89.0</w:t>
                  </w:r>
                </w:p>
              </w:tc>
              <w:tc>
                <w:tcPr>
                  <w:tcW w:w="307" w:type="pct"/>
                  <w:tcBorders>
                    <w:tl2br w:val="nil"/>
                    <w:tr2bl w:val="nil"/>
                  </w:tcBorders>
                  <w:shd w:val="clear" w:color="auto" w:fill="auto"/>
                  <w:noWrap/>
                  <w:vAlign w:val="center"/>
                </w:tcPr>
                <w:p w14:paraId="08A277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126D6B2F">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10042D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45</w:t>
                  </w:r>
                </w:p>
              </w:tc>
              <w:tc>
                <w:tcPr>
                  <w:tcW w:w="179" w:type="pct"/>
                  <w:tcBorders>
                    <w:tl2br w:val="nil"/>
                    <w:tr2bl w:val="nil"/>
                  </w:tcBorders>
                  <w:shd w:val="clear" w:color="auto" w:fill="auto"/>
                  <w:noWrap/>
                  <w:vAlign w:val="center"/>
                </w:tcPr>
                <w:p w14:paraId="123DEDF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4A65188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04739C9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5DEAF2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83</w:t>
                  </w:r>
                </w:p>
              </w:tc>
              <w:tc>
                <w:tcPr>
                  <w:tcW w:w="238" w:type="pct"/>
                  <w:tcBorders>
                    <w:tl2br w:val="nil"/>
                    <w:tr2bl w:val="nil"/>
                  </w:tcBorders>
                  <w:shd w:val="clear" w:color="auto" w:fill="auto"/>
                  <w:noWrap/>
                  <w:vAlign w:val="center"/>
                </w:tcPr>
                <w:p w14:paraId="6EC6A4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5FFF6E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14A9AC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52</w:t>
                  </w:r>
                </w:p>
              </w:tc>
              <w:tc>
                <w:tcPr>
                  <w:tcW w:w="276" w:type="pct"/>
                  <w:tcBorders>
                    <w:tl2br w:val="nil"/>
                    <w:tr2bl w:val="nil"/>
                  </w:tcBorders>
                  <w:shd w:val="clear" w:color="auto" w:fill="auto"/>
                  <w:noWrap/>
                  <w:vAlign w:val="center"/>
                </w:tcPr>
                <w:p w14:paraId="3D8B9E1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01BC97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0128039C">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4DEF143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碎料机</w:t>
                  </w:r>
                </w:p>
              </w:tc>
              <w:tc>
                <w:tcPr>
                  <w:tcW w:w="318" w:type="pct"/>
                  <w:tcBorders>
                    <w:tl2br w:val="nil"/>
                    <w:tr2bl w:val="nil"/>
                  </w:tcBorders>
                  <w:shd w:val="clear" w:color="auto" w:fill="auto"/>
                  <w:vAlign w:val="center"/>
                </w:tcPr>
                <w:p w14:paraId="5F68F54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356" w:type="pct"/>
                  <w:tcBorders>
                    <w:tl2br w:val="nil"/>
                    <w:tr2bl w:val="nil"/>
                  </w:tcBorders>
                  <w:shd w:val="clear" w:color="auto" w:fill="auto"/>
                  <w:noWrap/>
                  <w:vAlign w:val="center"/>
                </w:tcPr>
                <w:p w14:paraId="3FCB54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95</w:t>
                  </w:r>
                </w:p>
              </w:tc>
              <w:tc>
                <w:tcPr>
                  <w:tcW w:w="307" w:type="pct"/>
                  <w:tcBorders>
                    <w:tl2br w:val="nil"/>
                    <w:tr2bl w:val="nil"/>
                  </w:tcBorders>
                  <w:shd w:val="clear" w:color="auto" w:fill="auto"/>
                  <w:noWrap/>
                  <w:vAlign w:val="center"/>
                </w:tcPr>
                <w:p w14:paraId="215F9FF6">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102.0</w:t>
                  </w:r>
                </w:p>
              </w:tc>
              <w:tc>
                <w:tcPr>
                  <w:tcW w:w="307" w:type="pct"/>
                  <w:tcBorders>
                    <w:tl2br w:val="nil"/>
                    <w:tr2bl w:val="nil"/>
                  </w:tcBorders>
                  <w:shd w:val="clear" w:color="auto" w:fill="auto"/>
                  <w:noWrap/>
                  <w:vAlign w:val="center"/>
                </w:tcPr>
                <w:p w14:paraId="2390EC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2F318752">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0CDA3DA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45</w:t>
                  </w:r>
                </w:p>
              </w:tc>
              <w:tc>
                <w:tcPr>
                  <w:tcW w:w="179" w:type="pct"/>
                  <w:tcBorders>
                    <w:tl2br w:val="nil"/>
                    <w:tr2bl w:val="nil"/>
                  </w:tcBorders>
                  <w:shd w:val="clear" w:color="auto" w:fill="auto"/>
                  <w:noWrap/>
                  <w:vAlign w:val="center"/>
                </w:tcPr>
                <w:p w14:paraId="378855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88" w:type="pct"/>
                  <w:tcBorders>
                    <w:tl2br w:val="nil"/>
                    <w:tr2bl w:val="nil"/>
                  </w:tcBorders>
                  <w:shd w:val="clear" w:color="auto" w:fill="auto"/>
                  <w:noWrap/>
                  <w:vAlign w:val="center"/>
                </w:tcPr>
                <w:p w14:paraId="095426B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52" w:type="pct"/>
                  <w:tcBorders>
                    <w:tl2br w:val="nil"/>
                    <w:tr2bl w:val="nil"/>
                  </w:tcBorders>
                  <w:shd w:val="clear" w:color="auto" w:fill="auto"/>
                  <w:noWrap/>
                  <w:vAlign w:val="center"/>
                </w:tcPr>
                <w:p w14:paraId="2969F4C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10E6C01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92</w:t>
                  </w:r>
                </w:p>
              </w:tc>
              <w:tc>
                <w:tcPr>
                  <w:tcW w:w="238" w:type="pct"/>
                  <w:tcBorders>
                    <w:tl2br w:val="nil"/>
                    <w:tr2bl w:val="nil"/>
                  </w:tcBorders>
                  <w:shd w:val="clear" w:color="auto" w:fill="auto"/>
                  <w:noWrap/>
                  <w:vAlign w:val="center"/>
                </w:tcPr>
                <w:p w14:paraId="4FF5BB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7A603A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B72A0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61</w:t>
                  </w:r>
                </w:p>
              </w:tc>
              <w:tc>
                <w:tcPr>
                  <w:tcW w:w="276" w:type="pct"/>
                  <w:tcBorders>
                    <w:tl2br w:val="nil"/>
                    <w:tr2bl w:val="nil"/>
                  </w:tcBorders>
                  <w:shd w:val="clear" w:color="auto" w:fill="auto"/>
                  <w:noWrap/>
                  <w:vAlign w:val="center"/>
                </w:tcPr>
                <w:p w14:paraId="48CE52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4A017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restart"/>
                  <w:tcBorders>
                    <w:tl2br w:val="nil"/>
                    <w:tr2bl w:val="nil"/>
                  </w:tcBorders>
                  <w:shd w:val="clear" w:color="auto" w:fill="auto"/>
                  <w:vAlign w:val="center"/>
                </w:tcPr>
                <w:p w14:paraId="6E3A80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生产车间二层</w:t>
                  </w:r>
                </w:p>
              </w:tc>
              <w:tc>
                <w:tcPr>
                  <w:tcW w:w="663" w:type="pct"/>
                  <w:tcBorders>
                    <w:tl2br w:val="nil"/>
                    <w:tr2bl w:val="nil"/>
                  </w:tcBorders>
                  <w:shd w:val="clear" w:color="auto" w:fill="auto"/>
                  <w:vAlign w:val="center"/>
                </w:tcPr>
                <w:p w14:paraId="6035D81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切割机</w:t>
                  </w:r>
                </w:p>
              </w:tc>
              <w:tc>
                <w:tcPr>
                  <w:tcW w:w="318" w:type="pct"/>
                  <w:tcBorders>
                    <w:tl2br w:val="nil"/>
                    <w:tr2bl w:val="nil"/>
                  </w:tcBorders>
                  <w:shd w:val="clear" w:color="auto" w:fill="auto"/>
                  <w:vAlign w:val="center"/>
                </w:tcPr>
                <w:p w14:paraId="6D718F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023A0D3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w:t>
                  </w:r>
                </w:p>
              </w:tc>
              <w:tc>
                <w:tcPr>
                  <w:tcW w:w="307" w:type="pct"/>
                  <w:tcBorders>
                    <w:tl2br w:val="nil"/>
                    <w:tr2bl w:val="nil"/>
                  </w:tcBorders>
                  <w:shd w:val="clear" w:color="auto" w:fill="auto"/>
                  <w:noWrap/>
                  <w:vAlign w:val="center"/>
                </w:tcPr>
                <w:p w14:paraId="7403E548">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80.0</w:t>
                  </w:r>
                </w:p>
              </w:tc>
              <w:tc>
                <w:tcPr>
                  <w:tcW w:w="307" w:type="pct"/>
                  <w:tcBorders>
                    <w:tl2br w:val="nil"/>
                    <w:tr2bl w:val="nil"/>
                  </w:tcBorders>
                  <w:shd w:val="clear" w:color="auto" w:fill="auto"/>
                  <w:noWrap/>
                  <w:vAlign w:val="center"/>
                </w:tcPr>
                <w:p w14:paraId="39CA0C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restart"/>
                  <w:tcBorders>
                    <w:tl2br w:val="nil"/>
                    <w:tr2bl w:val="nil"/>
                  </w:tcBorders>
                  <w:shd w:val="clear" w:color="auto" w:fill="auto"/>
                  <w:vAlign w:val="center"/>
                </w:tcPr>
                <w:p w14:paraId="2337100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厂房隔声、消声、</w:t>
                  </w:r>
                  <w:r>
                    <w:rPr>
                      <w:rFonts w:hint="eastAsia" w:cs="Times New Roman"/>
                      <w:b w:val="0"/>
                      <w:bCs w:val="0"/>
                      <w:i w:val="0"/>
                      <w:iCs w:val="0"/>
                      <w:color w:val="auto"/>
                      <w:kern w:val="0"/>
                      <w:sz w:val="21"/>
                      <w:szCs w:val="21"/>
                      <w:highlight w:val="none"/>
                      <w:u w:val="none"/>
                      <w:lang w:val="en-US" w:eastAsia="zh-CN" w:bidi="ar"/>
                    </w:rPr>
                    <w:t>减振</w:t>
                  </w:r>
                </w:p>
              </w:tc>
              <w:tc>
                <w:tcPr>
                  <w:tcW w:w="247" w:type="pct"/>
                  <w:tcBorders>
                    <w:tl2br w:val="nil"/>
                    <w:tr2bl w:val="nil"/>
                  </w:tcBorders>
                  <w:shd w:val="clear" w:color="auto" w:fill="auto"/>
                  <w:noWrap/>
                  <w:vAlign w:val="center"/>
                </w:tcPr>
                <w:p w14:paraId="131C84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-39</w:t>
                  </w:r>
                </w:p>
              </w:tc>
              <w:tc>
                <w:tcPr>
                  <w:tcW w:w="179" w:type="pct"/>
                  <w:tcBorders>
                    <w:tl2br w:val="nil"/>
                    <w:tr2bl w:val="nil"/>
                  </w:tcBorders>
                  <w:shd w:val="clear" w:color="auto" w:fill="auto"/>
                  <w:noWrap/>
                  <w:vAlign w:val="center"/>
                </w:tcPr>
                <w:p w14:paraId="6CA1FF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p>
              </w:tc>
              <w:tc>
                <w:tcPr>
                  <w:tcW w:w="188" w:type="pct"/>
                  <w:tcBorders>
                    <w:tl2br w:val="nil"/>
                    <w:tr2bl w:val="nil"/>
                  </w:tcBorders>
                  <w:shd w:val="clear" w:color="auto" w:fill="auto"/>
                  <w:noWrap/>
                  <w:vAlign w:val="center"/>
                </w:tcPr>
                <w:p w14:paraId="12C8AA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0611A59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252CE21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74</w:t>
                  </w:r>
                </w:p>
              </w:tc>
              <w:tc>
                <w:tcPr>
                  <w:tcW w:w="238" w:type="pct"/>
                  <w:tcBorders>
                    <w:tl2br w:val="nil"/>
                    <w:tr2bl w:val="nil"/>
                  </w:tcBorders>
                  <w:shd w:val="clear" w:color="auto" w:fill="auto"/>
                  <w:noWrap/>
                  <w:vAlign w:val="center"/>
                </w:tcPr>
                <w:p w14:paraId="3D55FA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5A8E84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11301E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43</w:t>
                  </w:r>
                </w:p>
              </w:tc>
              <w:tc>
                <w:tcPr>
                  <w:tcW w:w="276" w:type="pct"/>
                  <w:tcBorders>
                    <w:tl2br w:val="nil"/>
                    <w:tr2bl w:val="nil"/>
                  </w:tcBorders>
                  <w:shd w:val="clear" w:color="auto" w:fill="auto"/>
                  <w:noWrap/>
                  <w:vAlign w:val="center"/>
                </w:tcPr>
                <w:p w14:paraId="498233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1BD5DC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6C7FE1CD">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5F2F895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灌晶机</w:t>
                  </w:r>
                </w:p>
              </w:tc>
              <w:tc>
                <w:tcPr>
                  <w:tcW w:w="318" w:type="pct"/>
                  <w:tcBorders>
                    <w:tl2br w:val="nil"/>
                    <w:tr2bl w:val="nil"/>
                  </w:tcBorders>
                  <w:shd w:val="clear" w:color="auto" w:fill="auto"/>
                  <w:vAlign w:val="center"/>
                </w:tcPr>
                <w:p w14:paraId="64C301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0A76C6D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307" w:type="pct"/>
                  <w:tcBorders>
                    <w:tl2br w:val="nil"/>
                    <w:tr2bl w:val="nil"/>
                  </w:tcBorders>
                  <w:shd w:val="clear" w:color="auto" w:fill="auto"/>
                  <w:noWrap/>
                  <w:vAlign w:val="center"/>
                </w:tcPr>
                <w:p w14:paraId="47846040">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65.0</w:t>
                  </w:r>
                </w:p>
              </w:tc>
              <w:tc>
                <w:tcPr>
                  <w:tcW w:w="307" w:type="pct"/>
                  <w:tcBorders>
                    <w:tl2br w:val="nil"/>
                    <w:tr2bl w:val="nil"/>
                  </w:tcBorders>
                  <w:shd w:val="clear" w:color="auto" w:fill="auto"/>
                  <w:noWrap/>
                  <w:vAlign w:val="center"/>
                </w:tcPr>
                <w:p w14:paraId="716352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693F1C5F">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29E784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-37</w:t>
                  </w:r>
                </w:p>
              </w:tc>
              <w:tc>
                <w:tcPr>
                  <w:tcW w:w="179" w:type="pct"/>
                  <w:tcBorders>
                    <w:tl2br w:val="nil"/>
                    <w:tr2bl w:val="nil"/>
                  </w:tcBorders>
                  <w:shd w:val="clear" w:color="auto" w:fill="auto"/>
                  <w:noWrap/>
                  <w:vAlign w:val="center"/>
                </w:tcPr>
                <w:p w14:paraId="388EC6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w:t>
                  </w:r>
                </w:p>
              </w:tc>
              <w:tc>
                <w:tcPr>
                  <w:tcW w:w="188" w:type="pct"/>
                  <w:tcBorders>
                    <w:tl2br w:val="nil"/>
                    <w:tr2bl w:val="nil"/>
                  </w:tcBorders>
                  <w:shd w:val="clear" w:color="auto" w:fill="auto"/>
                  <w:noWrap/>
                  <w:vAlign w:val="center"/>
                </w:tcPr>
                <w:p w14:paraId="1B06AD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61AB06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1CAFAFF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59</w:t>
                  </w:r>
                </w:p>
              </w:tc>
              <w:tc>
                <w:tcPr>
                  <w:tcW w:w="238" w:type="pct"/>
                  <w:tcBorders>
                    <w:tl2br w:val="nil"/>
                    <w:tr2bl w:val="nil"/>
                  </w:tcBorders>
                  <w:shd w:val="clear" w:color="auto" w:fill="auto"/>
                  <w:noWrap/>
                  <w:vAlign w:val="center"/>
                </w:tcPr>
                <w:p w14:paraId="2EA2B36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6A3DCE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27785E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28</w:t>
                  </w:r>
                </w:p>
              </w:tc>
              <w:tc>
                <w:tcPr>
                  <w:tcW w:w="276" w:type="pct"/>
                  <w:tcBorders>
                    <w:tl2br w:val="nil"/>
                    <w:tr2bl w:val="nil"/>
                  </w:tcBorders>
                  <w:shd w:val="clear" w:color="auto" w:fill="auto"/>
                  <w:noWrap/>
                  <w:vAlign w:val="center"/>
                </w:tcPr>
                <w:p w14:paraId="3C77A9C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677E9C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65DD208F">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30F8DE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UV封口机</w:t>
                  </w:r>
                </w:p>
              </w:tc>
              <w:tc>
                <w:tcPr>
                  <w:tcW w:w="318" w:type="pct"/>
                  <w:tcBorders>
                    <w:tl2br w:val="nil"/>
                    <w:tr2bl w:val="nil"/>
                  </w:tcBorders>
                  <w:shd w:val="clear" w:color="auto" w:fill="auto"/>
                  <w:vAlign w:val="center"/>
                </w:tcPr>
                <w:p w14:paraId="75F8D43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64713F9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46285587">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75.0</w:t>
                  </w:r>
                </w:p>
              </w:tc>
              <w:tc>
                <w:tcPr>
                  <w:tcW w:w="307" w:type="pct"/>
                  <w:tcBorders>
                    <w:tl2br w:val="nil"/>
                    <w:tr2bl w:val="nil"/>
                  </w:tcBorders>
                  <w:shd w:val="clear" w:color="auto" w:fill="auto"/>
                  <w:noWrap/>
                  <w:vAlign w:val="center"/>
                </w:tcPr>
                <w:p w14:paraId="4952BB0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2D4069D5">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6E802C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-36</w:t>
                  </w:r>
                </w:p>
              </w:tc>
              <w:tc>
                <w:tcPr>
                  <w:tcW w:w="179" w:type="pct"/>
                  <w:tcBorders>
                    <w:tl2br w:val="nil"/>
                    <w:tr2bl w:val="nil"/>
                  </w:tcBorders>
                  <w:shd w:val="clear" w:color="auto" w:fill="auto"/>
                  <w:noWrap/>
                  <w:vAlign w:val="center"/>
                </w:tcPr>
                <w:p w14:paraId="02DEE4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35E6BA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218C8F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1E434E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69</w:t>
                  </w:r>
                </w:p>
              </w:tc>
              <w:tc>
                <w:tcPr>
                  <w:tcW w:w="238" w:type="pct"/>
                  <w:tcBorders>
                    <w:tl2br w:val="nil"/>
                    <w:tr2bl w:val="nil"/>
                  </w:tcBorders>
                  <w:shd w:val="clear" w:color="auto" w:fill="auto"/>
                  <w:noWrap/>
                  <w:vAlign w:val="center"/>
                </w:tcPr>
                <w:p w14:paraId="27E1FD0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2805F2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BCCB3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38</w:t>
                  </w:r>
                </w:p>
              </w:tc>
              <w:tc>
                <w:tcPr>
                  <w:tcW w:w="276" w:type="pct"/>
                  <w:tcBorders>
                    <w:tl2br w:val="nil"/>
                    <w:tr2bl w:val="nil"/>
                  </w:tcBorders>
                  <w:shd w:val="clear" w:color="auto" w:fill="auto"/>
                  <w:noWrap/>
                  <w:vAlign w:val="center"/>
                </w:tcPr>
                <w:p w14:paraId="6AE22C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2AB339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2C9388CE">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7445A2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专用平整机</w:t>
                  </w:r>
                </w:p>
              </w:tc>
              <w:tc>
                <w:tcPr>
                  <w:tcW w:w="318" w:type="pct"/>
                  <w:tcBorders>
                    <w:tl2br w:val="nil"/>
                    <w:tr2bl w:val="nil"/>
                  </w:tcBorders>
                  <w:shd w:val="clear" w:color="auto" w:fill="auto"/>
                  <w:vAlign w:val="center"/>
                </w:tcPr>
                <w:p w14:paraId="184063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56" w:type="pct"/>
                  <w:tcBorders>
                    <w:tl2br w:val="nil"/>
                    <w:tr2bl w:val="nil"/>
                  </w:tcBorders>
                  <w:shd w:val="clear" w:color="auto" w:fill="auto"/>
                  <w:noWrap/>
                  <w:vAlign w:val="center"/>
                </w:tcPr>
                <w:p w14:paraId="6A57A4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307" w:type="pct"/>
                  <w:tcBorders>
                    <w:tl2br w:val="nil"/>
                    <w:tr2bl w:val="nil"/>
                  </w:tcBorders>
                  <w:shd w:val="clear" w:color="auto" w:fill="auto"/>
                  <w:noWrap/>
                  <w:vAlign w:val="center"/>
                </w:tcPr>
                <w:p w14:paraId="5E19A5BD">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68.0</w:t>
                  </w:r>
                </w:p>
              </w:tc>
              <w:tc>
                <w:tcPr>
                  <w:tcW w:w="307" w:type="pct"/>
                  <w:tcBorders>
                    <w:tl2br w:val="nil"/>
                    <w:tr2bl w:val="nil"/>
                  </w:tcBorders>
                  <w:shd w:val="clear" w:color="auto" w:fill="auto"/>
                  <w:noWrap/>
                  <w:vAlign w:val="center"/>
                </w:tcPr>
                <w:p w14:paraId="5D5CDB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73BAB110">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405392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-23</w:t>
                  </w:r>
                </w:p>
              </w:tc>
              <w:tc>
                <w:tcPr>
                  <w:tcW w:w="179" w:type="pct"/>
                  <w:tcBorders>
                    <w:tl2br w:val="nil"/>
                    <w:tr2bl w:val="nil"/>
                  </w:tcBorders>
                  <w:shd w:val="clear" w:color="auto" w:fill="auto"/>
                  <w:noWrap/>
                  <w:vAlign w:val="center"/>
                </w:tcPr>
                <w:p w14:paraId="0F5579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88" w:type="pct"/>
                  <w:tcBorders>
                    <w:tl2br w:val="nil"/>
                    <w:tr2bl w:val="nil"/>
                  </w:tcBorders>
                  <w:shd w:val="clear" w:color="auto" w:fill="auto"/>
                  <w:noWrap/>
                  <w:vAlign w:val="center"/>
                </w:tcPr>
                <w:p w14:paraId="064BF0B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7244B7A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4209DB1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62</w:t>
                  </w:r>
                </w:p>
              </w:tc>
              <w:tc>
                <w:tcPr>
                  <w:tcW w:w="238" w:type="pct"/>
                  <w:tcBorders>
                    <w:tl2br w:val="nil"/>
                    <w:tr2bl w:val="nil"/>
                  </w:tcBorders>
                  <w:shd w:val="clear" w:color="auto" w:fill="auto"/>
                  <w:noWrap/>
                  <w:vAlign w:val="center"/>
                </w:tcPr>
                <w:p w14:paraId="67E283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2ABA2C0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2770521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31</w:t>
                  </w:r>
                </w:p>
              </w:tc>
              <w:tc>
                <w:tcPr>
                  <w:tcW w:w="276" w:type="pct"/>
                  <w:tcBorders>
                    <w:tl2br w:val="nil"/>
                    <w:tr2bl w:val="nil"/>
                  </w:tcBorders>
                  <w:shd w:val="clear" w:color="auto" w:fill="auto"/>
                  <w:noWrap/>
                  <w:vAlign w:val="center"/>
                </w:tcPr>
                <w:p w14:paraId="2A7CF1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4DC3C1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2511B1F9">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43007C9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UV固化机</w:t>
                  </w:r>
                </w:p>
              </w:tc>
              <w:tc>
                <w:tcPr>
                  <w:tcW w:w="318" w:type="pct"/>
                  <w:tcBorders>
                    <w:tl2br w:val="nil"/>
                    <w:tr2bl w:val="nil"/>
                  </w:tcBorders>
                  <w:shd w:val="clear" w:color="auto" w:fill="auto"/>
                  <w:vAlign w:val="center"/>
                </w:tcPr>
                <w:p w14:paraId="2E5236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22C80A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307" w:type="pct"/>
                  <w:tcBorders>
                    <w:tl2br w:val="nil"/>
                    <w:tr2bl w:val="nil"/>
                  </w:tcBorders>
                  <w:shd w:val="clear" w:color="auto" w:fill="auto"/>
                  <w:noWrap/>
                  <w:vAlign w:val="center"/>
                </w:tcPr>
                <w:p w14:paraId="3052DEA6">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65.0</w:t>
                  </w:r>
                </w:p>
              </w:tc>
              <w:tc>
                <w:tcPr>
                  <w:tcW w:w="307" w:type="pct"/>
                  <w:tcBorders>
                    <w:tl2br w:val="nil"/>
                    <w:tr2bl w:val="nil"/>
                  </w:tcBorders>
                  <w:shd w:val="clear" w:color="auto" w:fill="auto"/>
                  <w:noWrap/>
                  <w:vAlign w:val="center"/>
                </w:tcPr>
                <w:p w14:paraId="0F2DE84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0056512A">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2CD8A5C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179" w:type="pct"/>
                  <w:tcBorders>
                    <w:tl2br w:val="nil"/>
                    <w:tr2bl w:val="nil"/>
                  </w:tcBorders>
                  <w:shd w:val="clear" w:color="auto" w:fill="auto"/>
                  <w:noWrap/>
                  <w:vAlign w:val="center"/>
                </w:tcPr>
                <w:p w14:paraId="799A757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88" w:type="pct"/>
                  <w:tcBorders>
                    <w:tl2br w:val="nil"/>
                    <w:tr2bl w:val="nil"/>
                  </w:tcBorders>
                  <w:shd w:val="clear" w:color="auto" w:fill="auto"/>
                  <w:noWrap/>
                  <w:vAlign w:val="center"/>
                </w:tcPr>
                <w:p w14:paraId="23642FA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62A7FC1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34" w:type="pct"/>
                  <w:tcBorders>
                    <w:tl2br w:val="nil"/>
                    <w:tr2bl w:val="nil"/>
                  </w:tcBorders>
                  <w:shd w:val="clear" w:color="auto" w:fill="auto"/>
                  <w:vAlign w:val="center"/>
                </w:tcPr>
                <w:p w14:paraId="64EF02D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238" w:type="pct"/>
                  <w:tcBorders>
                    <w:tl2br w:val="nil"/>
                    <w:tr2bl w:val="nil"/>
                  </w:tcBorders>
                  <w:shd w:val="clear" w:color="auto" w:fill="auto"/>
                  <w:noWrap/>
                  <w:vAlign w:val="center"/>
                </w:tcPr>
                <w:p w14:paraId="4B67085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791F67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A3FB2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34</w:t>
                  </w:r>
                </w:p>
              </w:tc>
              <w:tc>
                <w:tcPr>
                  <w:tcW w:w="276" w:type="pct"/>
                  <w:tcBorders>
                    <w:tl2br w:val="nil"/>
                    <w:tr2bl w:val="nil"/>
                  </w:tcBorders>
                  <w:shd w:val="clear" w:color="auto" w:fill="auto"/>
                  <w:noWrap/>
                  <w:vAlign w:val="center"/>
                </w:tcPr>
                <w:p w14:paraId="49AB8B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4D76A2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13E97A99">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D8BEC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打粒机</w:t>
                  </w:r>
                </w:p>
              </w:tc>
              <w:tc>
                <w:tcPr>
                  <w:tcW w:w="318" w:type="pct"/>
                  <w:tcBorders>
                    <w:tl2br w:val="nil"/>
                    <w:tr2bl w:val="nil"/>
                  </w:tcBorders>
                  <w:shd w:val="clear" w:color="auto" w:fill="auto"/>
                  <w:vAlign w:val="center"/>
                </w:tcPr>
                <w:p w14:paraId="1BECCB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3D06016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52535F59">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75.0</w:t>
                  </w:r>
                </w:p>
              </w:tc>
              <w:tc>
                <w:tcPr>
                  <w:tcW w:w="307" w:type="pct"/>
                  <w:tcBorders>
                    <w:tl2br w:val="nil"/>
                    <w:tr2bl w:val="nil"/>
                  </w:tcBorders>
                  <w:shd w:val="clear" w:color="auto" w:fill="auto"/>
                  <w:noWrap/>
                  <w:vAlign w:val="center"/>
                </w:tcPr>
                <w:p w14:paraId="112948C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5A3E9C09">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02F7BF3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179" w:type="pct"/>
                  <w:tcBorders>
                    <w:tl2br w:val="nil"/>
                    <w:tr2bl w:val="nil"/>
                  </w:tcBorders>
                  <w:shd w:val="clear" w:color="auto" w:fill="auto"/>
                  <w:noWrap/>
                  <w:vAlign w:val="center"/>
                </w:tcPr>
                <w:p w14:paraId="6BD4802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1D48795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1F5EAF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73159C3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69</w:t>
                  </w:r>
                </w:p>
              </w:tc>
              <w:tc>
                <w:tcPr>
                  <w:tcW w:w="238" w:type="pct"/>
                  <w:tcBorders>
                    <w:tl2br w:val="nil"/>
                    <w:tr2bl w:val="nil"/>
                  </w:tcBorders>
                  <w:shd w:val="clear" w:color="auto" w:fill="auto"/>
                  <w:noWrap/>
                  <w:vAlign w:val="center"/>
                </w:tcPr>
                <w:p w14:paraId="576290E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29A89EE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3D1D8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38</w:t>
                  </w:r>
                </w:p>
              </w:tc>
              <w:tc>
                <w:tcPr>
                  <w:tcW w:w="276" w:type="pct"/>
                  <w:tcBorders>
                    <w:tl2br w:val="nil"/>
                    <w:tr2bl w:val="nil"/>
                  </w:tcBorders>
                  <w:shd w:val="clear" w:color="auto" w:fill="auto"/>
                  <w:noWrap/>
                  <w:vAlign w:val="center"/>
                </w:tcPr>
                <w:p w14:paraId="6E40E6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035AD9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794039C4">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F8CCC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磨边机</w:t>
                  </w:r>
                </w:p>
              </w:tc>
              <w:tc>
                <w:tcPr>
                  <w:tcW w:w="318" w:type="pct"/>
                  <w:tcBorders>
                    <w:tl2br w:val="nil"/>
                    <w:tr2bl w:val="nil"/>
                  </w:tcBorders>
                  <w:shd w:val="clear" w:color="auto" w:fill="auto"/>
                  <w:vAlign w:val="center"/>
                </w:tcPr>
                <w:p w14:paraId="78C0EB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0F2FAF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62187FF4">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75.0</w:t>
                  </w:r>
                </w:p>
              </w:tc>
              <w:tc>
                <w:tcPr>
                  <w:tcW w:w="307" w:type="pct"/>
                  <w:tcBorders>
                    <w:tl2br w:val="nil"/>
                    <w:tr2bl w:val="nil"/>
                  </w:tcBorders>
                  <w:shd w:val="clear" w:color="auto" w:fill="auto"/>
                  <w:noWrap/>
                  <w:vAlign w:val="center"/>
                </w:tcPr>
                <w:p w14:paraId="002674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6A3E9F7A">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7900309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-14</w:t>
                  </w:r>
                </w:p>
              </w:tc>
              <w:tc>
                <w:tcPr>
                  <w:tcW w:w="179" w:type="pct"/>
                  <w:tcBorders>
                    <w:tl2br w:val="nil"/>
                    <w:tr2bl w:val="nil"/>
                  </w:tcBorders>
                  <w:shd w:val="clear" w:color="auto" w:fill="auto"/>
                  <w:noWrap/>
                  <w:vAlign w:val="center"/>
                </w:tcPr>
                <w:p w14:paraId="4ABDB5C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88" w:type="pct"/>
                  <w:tcBorders>
                    <w:tl2br w:val="nil"/>
                    <w:tr2bl w:val="nil"/>
                  </w:tcBorders>
                  <w:shd w:val="clear" w:color="auto" w:fill="auto"/>
                  <w:noWrap/>
                  <w:vAlign w:val="center"/>
                </w:tcPr>
                <w:p w14:paraId="331849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28DEE41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4D5A4CC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69</w:t>
                  </w:r>
                </w:p>
              </w:tc>
              <w:tc>
                <w:tcPr>
                  <w:tcW w:w="238" w:type="pct"/>
                  <w:tcBorders>
                    <w:tl2br w:val="nil"/>
                    <w:tr2bl w:val="nil"/>
                  </w:tcBorders>
                  <w:shd w:val="clear" w:color="auto" w:fill="auto"/>
                  <w:noWrap/>
                  <w:vAlign w:val="center"/>
                </w:tcPr>
                <w:p w14:paraId="28B2665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394840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3C9173A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38</w:t>
                  </w:r>
                </w:p>
              </w:tc>
              <w:tc>
                <w:tcPr>
                  <w:tcW w:w="276" w:type="pct"/>
                  <w:tcBorders>
                    <w:tl2br w:val="nil"/>
                    <w:tr2bl w:val="nil"/>
                  </w:tcBorders>
                  <w:shd w:val="clear" w:color="auto" w:fill="auto"/>
                  <w:noWrap/>
                  <w:vAlign w:val="center"/>
                </w:tcPr>
                <w:p w14:paraId="7113769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4E717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35EAD753">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5CB0C5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清洗机（水洗机）</w:t>
                  </w:r>
                </w:p>
              </w:tc>
              <w:tc>
                <w:tcPr>
                  <w:tcW w:w="318" w:type="pct"/>
                  <w:tcBorders>
                    <w:tl2br w:val="nil"/>
                    <w:tr2bl w:val="nil"/>
                  </w:tcBorders>
                  <w:shd w:val="clear" w:color="auto" w:fill="auto"/>
                  <w:vAlign w:val="center"/>
                </w:tcPr>
                <w:p w14:paraId="535C8D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61E6F70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307" w:type="pct"/>
                  <w:tcBorders>
                    <w:tl2br w:val="nil"/>
                    <w:tr2bl w:val="nil"/>
                  </w:tcBorders>
                  <w:shd w:val="clear" w:color="auto" w:fill="auto"/>
                  <w:noWrap/>
                  <w:vAlign w:val="center"/>
                </w:tcPr>
                <w:p w14:paraId="05DDE35E">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65.0</w:t>
                  </w:r>
                </w:p>
              </w:tc>
              <w:tc>
                <w:tcPr>
                  <w:tcW w:w="307" w:type="pct"/>
                  <w:tcBorders>
                    <w:tl2br w:val="nil"/>
                    <w:tr2bl w:val="nil"/>
                  </w:tcBorders>
                  <w:shd w:val="clear" w:color="auto" w:fill="auto"/>
                  <w:noWrap/>
                  <w:vAlign w:val="center"/>
                </w:tcPr>
                <w:p w14:paraId="5C903BA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13124DD1">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5130BDD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79" w:type="pct"/>
                  <w:tcBorders>
                    <w:tl2br w:val="nil"/>
                    <w:tr2bl w:val="nil"/>
                  </w:tcBorders>
                  <w:shd w:val="clear" w:color="auto" w:fill="auto"/>
                  <w:noWrap/>
                  <w:vAlign w:val="center"/>
                </w:tcPr>
                <w:p w14:paraId="04AACB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w:t>
                  </w:r>
                </w:p>
              </w:tc>
              <w:tc>
                <w:tcPr>
                  <w:tcW w:w="188" w:type="pct"/>
                  <w:tcBorders>
                    <w:tl2br w:val="nil"/>
                    <w:tr2bl w:val="nil"/>
                  </w:tcBorders>
                  <w:shd w:val="clear" w:color="auto" w:fill="auto"/>
                  <w:noWrap/>
                  <w:vAlign w:val="center"/>
                </w:tcPr>
                <w:p w14:paraId="22CD0B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2E236E2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34" w:type="pct"/>
                  <w:tcBorders>
                    <w:tl2br w:val="nil"/>
                    <w:tr2bl w:val="nil"/>
                  </w:tcBorders>
                  <w:shd w:val="clear" w:color="auto" w:fill="auto"/>
                  <w:vAlign w:val="center"/>
                </w:tcPr>
                <w:p w14:paraId="6CCBE9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61</w:t>
                  </w:r>
                </w:p>
              </w:tc>
              <w:tc>
                <w:tcPr>
                  <w:tcW w:w="238" w:type="pct"/>
                  <w:tcBorders>
                    <w:tl2br w:val="nil"/>
                    <w:tr2bl w:val="nil"/>
                  </w:tcBorders>
                  <w:shd w:val="clear" w:color="auto" w:fill="auto"/>
                  <w:noWrap/>
                  <w:vAlign w:val="center"/>
                </w:tcPr>
                <w:p w14:paraId="1A6AB5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3AA1614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2499C1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30</w:t>
                  </w:r>
                </w:p>
              </w:tc>
              <w:tc>
                <w:tcPr>
                  <w:tcW w:w="276" w:type="pct"/>
                  <w:tcBorders>
                    <w:tl2br w:val="nil"/>
                    <w:tr2bl w:val="nil"/>
                  </w:tcBorders>
                  <w:shd w:val="clear" w:color="auto" w:fill="auto"/>
                  <w:noWrap/>
                  <w:vAlign w:val="center"/>
                </w:tcPr>
                <w:p w14:paraId="3DC8B1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A4457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1410F9DB">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2774C3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烤箱（水洗烘干）</w:t>
                  </w:r>
                </w:p>
              </w:tc>
              <w:tc>
                <w:tcPr>
                  <w:tcW w:w="318" w:type="pct"/>
                  <w:tcBorders>
                    <w:tl2br w:val="nil"/>
                    <w:tr2bl w:val="nil"/>
                  </w:tcBorders>
                  <w:shd w:val="clear" w:color="auto" w:fill="auto"/>
                  <w:vAlign w:val="center"/>
                </w:tcPr>
                <w:p w14:paraId="4920C73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56" w:type="pct"/>
                  <w:tcBorders>
                    <w:tl2br w:val="nil"/>
                    <w:tr2bl w:val="nil"/>
                  </w:tcBorders>
                  <w:shd w:val="clear" w:color="auto" w:fill="auto"/>
                  <w:noWrap/>
                  <w:vAlign w:val="center"/>
                </w:tcPr>
                <w:p w14:paraId="103779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532BA680">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63.0</w:t>
                  </w:r>
                </w:p>
              </w:tc>
              <w:tc>
                <w:tcPr>
                  <w:tcW w:w="307" w:type="pct"/>
                  <w:tcBorders>
                    <w:tl2br w:val="nil"/>
                    <w:tr2bl w:val="nil"/>
                  </w:tcBorders>
                  <w:shd w:val="clear" w:color="auto" w:fill="auto"/>
                  <w:noWrap/>
                  <w:vAlign w:val="center"/>
                </w:tcPr>
                <w:p w14:paraId="02A800C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6B1AE426">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49650BE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79" w:type="pct"/>
                  <w:tcBorders>
                    <w:tl2br w:val="nil"/>
                    <w:tr2bl w:val="nil"/>
                  </w:tcBorders>
                  <w:shd w:val="clear" w:color="auto" w:fill="auto"/>
                  <w:noWrap/>
                  <w:vAlign w:val="center"/>
                </w:tcPr>
                <w:p w14:paraId="7E063C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w:t>
                  </w:r>
                </w:p>
              </w:tc>
              <w:tc>
                <w:tcPr>
                  <w:tcW w:w="188" w:type="pct"/>
                  <w:tcBorders>
                    <w:tl2br w:val="nil"/>
                    <w:tr2bl w:val="nil"/>
                  </w:tcBorders>
                  <w:shd w:val="clear" w:color="auto" w:fill="auto"/>
                  <w:noWrap/>
                  <w:vAlign w:val="center"/>
                </w:tcPr>
                <w:p w14:paraId="5A1F8D8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740758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34" w:type="pct"/>
                  <w:tcBorders>
                    <w:tl2br w:val="nil"/>
                    <w:tr2bl w:val="nil"/>
                  </w:tcBorders>
                  <w:shd w:val="clear" w:color="auto" w:fill="auto"/>
                  <w:vAlign w:val="center"/>
                </w:tcPr>
                <w:p w14:paraId="3320004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63</w:t>
                  </w:r>
                </w:p>
              </w:tc>
              <w:tc>
                <w:tcPr>
                  <w:tcW w:w="238" w:type="pct"/>
                  <w:tcBorders>
                    <w:tl2br w:val="nil"/>
                    <w:tr2bl w:val="nil"/>
                  </w:tcBorders>
                  <w:shd w:val="clear" w:color="auto" w:fill="auto"/>
                  <w:noWrap/>
                  <w:vAlign w:val="center"/>
                </w:tcPr>
                <w:p w14:paraId="737EACD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1C7B143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65FC728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32</w:t>
                  </w:r>
                </w:p>
              </w:tc>
              <w:tc>
                <w:tcPr>
                  <w:tcW w:w="276" w:type="pct"/>
                  <w:tcBorders>
                    <w:tl2br w:val="nil"/>
                    <w:tr2bl w:val="nil"/>
                  </w:tcBorders>
                  <w:shd w:val="clear" w:color="auto" w:fill="auto"/>
                  <w:noWrap/>
                  <w:vAlign w:val="center"/>
                </w:tcPr>
                <w:p w14:paraId="671092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14A36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30FD22B0">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77B81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电测机</w:t>
                  </w:r>
                </w:p>
              </w:tc>
              <w:tc>
                <w:tcPr>
                  <w:tcW w:w="318" w:type="pct"/>
                  <w:tcBorders>
                    <w:tl2br w:val="nil"/>
                    <w:tr2bl w:val="nil"/>
                  </w:tcBorders>
                  <w:shd w:val="clear" w:color="auto" w:fill="auto"/>
                  <w:vAlign w:val="center"/>
                </w:tcPr>
                <w:p w14:paraId="077D50E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199CE8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59637FB6">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60.0</w:t>
                  </w:r>
                </w:p>
              </w:tc>
              <w:tc>
                <w:tcPr>
                  <w:tcW w:w="307" w:type="pct"/>
                  <w:tcBorders>
                    <w:tl2br w:val="nil"/>
                    <w:tr2bl w:val="nil"/>
                  </w:tcBorders>
                  <w:shd w:val="clear" w:color="auto" w:fill="auto"/>
                  <w:noWrap/>
                  <w:vAlign w:val="center"/>
                </w:tcPr>
                <w:p w14:paraId="795D821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7E41B294">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1BF5D5E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-12</w:t>
                  </w:r>
                </w:p>
              </w:tc>
              <w:tc>
                <w:tcPr>
                  <w:tcW w:w="179" w:type="pct"/>
                  <w:tcBorders>
                    <w:tl2br w:val="nil"/>
                    <w:tr2bl w:val="nil"/>
                  </w:tcBorders>
                  <w:shd w:val="clear" w:color="auto" w:fill="auto"/>
                  <w:noWrap/>
                  <w:vAlign w:val="center"/>
                </w:tcPr>
                <w:p w14:paraId="445F8F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w:t>
                  </w:r>
                </w:p>
              </w:tc>
              <w:tc>
                <w:tcPr>
                  <w:tcW w:w="188" w:type="pct"/>
                  <w:tcBorders>
                    <w:tl2br w:val="nil"/>
                    <w:tr2bl w:val="nil"/>
                  </w:tcBorders>
                  <w:shd w:val="clear" w:color="auto" w:fill="auto"/>
                  <w:noWrap/>
                  <w:vAlign w:val="center"/>
                </w:tcPr>
                <w:p w14:paraId="7B173D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562F13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43A8A1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54</w:t>
                  </w:r>
                </w:p>
              </w:tc>
              <w:tc>
                <w:tcPr>
                  <w:tcW w:w="238" w:type="pct"/>
                  <w:tcBorders>
                    <w:tl2br w:val="nil"/>
                    <w:tr2bl w:val="nil"/>
                  </w:tcBorders>
                  <w:shd w:val="clear" w:color="auto" w:fill="auto"/>
                  <w:noWrap/>
                  <w:vAlign w:val="center"/>
                </w:tcPr>
                <w:p w14:paraId="155777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20840DB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34E0405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23</w:t>
                  </w:r>
                </w:p>
              </w:tc>
              <w:tc>
                <w:tcPr>
                  <w:tcW w:w="276" w:type="pct"/>
                  <w:tcBorders>
                    <w:tl2br w:val="nil"/>
                    <w:tr2bl w:val="nil"/>
                  </w:tcBorders>
                  <w:shd w:val="clear" w:color="auto" w:fill="auto"/>
                  <w:noWrap/>
                  <w:vAlign w:val="center"/>
                </w:tcPr>
                <w:p w14:paraId="6370B34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589B1D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6383A052">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2C0F92B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切片机</w:t>
                  </w:r>
                </w:p>
              </w:tc>
              <w:tc>
                <w:tcPr>
                  <w:tcW w:w="318" w:type="pct"/>
                  <w:tcBorders>
                    <w:tl2br w:val="nil"/>
                    <w:tr2bl w:val="nil"/>
                  </w:tcBorders>
                  <w:shd w:val="clear" w:color="auto" w:fill="auto"/>
                  <w:vAlign w:val="center"/>
                </w:tcPr>
                <w:p w14:paraId="05F8A9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23DE8D3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482C84C2">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75.0</w:t>
                  </w:r>
                </w:p>
              </w:tc>
              <w:tc>
                <w:tcPr>
                  <w:tcW w:w="307" w:type="pct"/>
                  <w:tcBorders>
                    <w:tl2br w:val="nil"/>
                    <w:tr2bl w:val="nil"/>
                  </w:tcBorders>
                  <w:shd w:val="clear" w:color="auto" w:fill="auto"/>
                  <w:noWrap/>
                  <w:vAlign w:val="center"/>
                </w:tcPr>
                <w:p w14:paraId="0E148E1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4BB8B9F1">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67F615D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-13</w:t>
                  </w:r>
                </w:p>
              </w:tc>
              <w:tc>
                <w:tcPr>
                  <w:tcW w:w="179" w:type="pct"/>
                  <w:tcBorders>
                    <w:tl2br w:val="nil"/>
                    <w:tr2bl w:val="nil"/>
                  </w:tcBorders>
                  <w:shd w:val="clear" w:color="auto" w:fill="auto"/>
                  <w:noWrap/>
                  <w:vAlign w:val="center"/>
                </w:tcPr>
                <w:p w14:paraId="3B519E4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526572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48022D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0B3B49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69</w:t>
                  </w:r>
                </w:p>
              </w:tc>
              <w:tc>
                <w:tcPr>
                  <w:tcW w:w="238" w:type="pct"/>
                  <w:tcBorders>
                    <w:tl2br w:val="nil"/>
                    <w:tr2bl w:val="nil"/>
                  </w:tcBorders>
                  <w:shd w:val="clear" w:color="auto" w:fill="auto"/>
                  <w:noWrap/>
                  <w:vAlign w:val="center"/>
                </w:tcPr>
                <w:p w14:paraId="6332346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74D15EC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8411DE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38</w:t>
                  </w:r>
                </w:p>
              </w:tc>
              <w:tc>
                <w:tcPr>
                  <w:tcW w:w="276" w:type="pct"/>
                  <w:tcBorders>
                    <w:tl2br w:val="nil"/>
                    <w:tr2bl w:val="nil"/>
                  </w:tcBorders>
                  <w:shd w:val="clear" w:color="auto" w:fill="auto"/>
                  <w:noWrap/>
                  <w:vAlign w:val="center"/>
                </w:tcPr>
                <w:p w14:paraId="778180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FB6D7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12E79E3C">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368A6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贴偏光片机</w:t>
                  </w:r>
                </w:p>
              </w:tc>
              <w:tc>
                <w:tcPr>
                  <w:tcW w:w="318" w:type="pct"/>
                  <w:tcBorders>
                    <w:tl2br w:val="nil"/>
                    <w:tr2bl w:val="nil"/>
                  </w:tcBorders>
                  <w:shd w:val="clear" w:color="auto" w:fill="auto"/>
                  <w:vAlign w:val="center"/>
                </w:tcPr>
                <w:p w14:paraId="7A25C19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356" w:type="pct"/>
                  <w:tcBorders>
                    <w:tl2br w:val="nil"/>
                    <w:tr2bl w:val="nil"/>
                  </w:tcBorders>
                  <w:shd w:val="clear" w:color="auto" w:fill="auto"/>
                  <w:noWrap/>
                  <w:vAlign w:val="center"/>
                </w:tcPr>
                <w:p w14:paraId="6B72225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w:t>
                  </w:r>
                </w:p>
              </w:tc>
              <w:tc>
                <w:tcPr>
                  <w:tcW w:w="307" w:type="pct"/>
                  <w:tcBorders>
                    <w:tl2br w:val="nil"/>
                    <w:tr2bl w:val="nil"/>
                  </w:tcBorders>
                  <w:shd w:val="clear" w:color="auto" w:fill="auto"/>
                  <w:noWrap/>
                  <w:vAlign w:val="center"/>
                </w:tcPr>
                <w:p w14:paraId="2F8BFCE9">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80.0</w:t>
                  </w:r>
                </w:p>
              </w:tc>
              <w:tc>
                <w:tcPr>
                  <w:tcW w:w="307" w:type="pct"/>
                  <w:tcBorders>
                    <w:tl2br w:val="nil"/>
                    <w:tr2bl w:val="nil"/>
                  </w:tcBorders>
                  <w:shd w:val="clear" w:color="auto" w:fill="auto"/>
                  <w:noWrap/>
                  <w:vAlign w:val="center"/>
                </w:tcPr>
                <w:p w14:paraId="6A6755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1976F1BD">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793A2DC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-14</w:t>
                  </w:r>
                </w:p>
              </w:tc>
              <w:tc>
                <w:tcPr>
                  <w:tcW w:w="179" w:type="pct"/>
                  <w:tcBorders>
                    <w:tl2br w:val="nil"/>
                    <w:tr2bl w:val="nil"/>
                  </w:tcBorders>
                  <w:shd w:val="clear" w:color="auto" w:fill="auto"/>
                  <w:noWrap/>
                  <w:vAlign w:val="center"/>
                </w:tcPr>
                <w:p w14:paraId="0F9E76A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88" w:type="pct"/>
                  <w:tcBorders>
                    <w:tl2br w:val="nil"/>
                    <w:tr2bl w:val="nil"/>
                  </w:tcBorders>
                  <w:shd w:val="clear" w:color="auto" w:fill="auto"/>
                  <w:noWrap/>
                  <w:vAlign w:val="center"/>
                </w:tcPr>
                <w:p w14:paraId="32EEE64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31E5ABA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34" w:type="pct"/>
                  <w:tcBorders>
                    <w:tl2br w:val="nil"/>
                    <w:tr2bl w:val="nil"/>
                  </w:tcBorders>
                  <w:shd w:val="clear" w:color="auto" w:fill="auto"/>
                  <w:vAlign w:val="center"/>
                </w:tcPr>
                <w:p w14:paraId="7170D92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74</w:t>
                  </w:r>
                </w:p>
              </w:tc>
              <w:tc>
                <w:tcPr>
                  <w:tcW w:w="238" w:type="pct"/>
                  <w:tcBorders>
                    <w:tl2br w:val="nil"/>
                    <w:tr2bl w:val="nil"/>
                  </w:tcBorders>
                  <w:shd w:val="clear" w:color="auto" w:fill="auto"/>
                  <w:noWrap/>
                  <w:vAlign w:val="center"/>
                </w:tcPr>
                <w:p w14:paraId="4720DC6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45341D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4ECE81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43</w:t>
                  </w:r>
                </w:p>
              </w:tc>
              <w:tc>
                <w:tcPr>
                  <w:tcW w:w="276" w:type="pct"/>
                  <w:tcBorders>
                    <w:tl2br w:val="nil"/>
                    <w:tr2bl w:val="nil"/>
                  </w:tcBorders>
                  <w:shd w:val="clear" w:color="auto" w:fill="auto"/>
                  <w:noWrap/>
                  <w:vAlign w:val="center"/>
                </w:tcPr>
                <w:p w14:paraId="7E20345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0CB417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5AB2622A">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C35A4F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消泡机</w:t>
                  </w:r>
                </w:p>
              </w:tc>
              <w:tc>
                <w:tcPr>
                  <w:tcW w:w="318" w:type="pct"/>
                  <w:tcBorders>
                    <w:tl2br w:val="nil"/>
                    <w:tr2bl w:val="nil"/>
                  </w:tcBorders>
                  <w:shd w:val="clear" w:color="auto" w:fill="auto"/>
                  <w:vAlign w:val="center"/>
                </w:tcPr>
                <w:p w14:paraId="39959D4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29AAA44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34E51337">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60.0</w:t>
                  </w:r>
                </w:p>
              </w:tc>
              <w:tc>
                <w:tcPr>
                  <w:tcW w:w="307" w:type="pct"/>
                  <w:tcBorders>
                    <w:tl2br w:val="nil"/>
                    <w:tr2bl w:val="nil"/>
                  </w:tcBorders>
                  <w:shd w:val="clear" w:color="auto" w:fill="auto"/>
                  <w:noWrap/>
                  <w:vAlign w:val="center"/>
                </w:tcPr>
                <w:p w14:paraId="3B5DAA0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10BDFB79">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3120EE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79" w:type="pct"/>
                  <w:tcBorders>
                    <w:tl2br w:val="nil"/>
                    <w:tr2bl w:val="nil"/>
                  </w:tcBorders>
                  <w:shd w:val="clear" w:color="auto" w:fill="auto"/>
                  <w:noWrap/>
                  <w:vAlign w:val="center"/>
                </w:tcPr>
                <w:p w14:paraId="083EE4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88" w:type="pct"/>
                  <w:tcBorders>
                    <w:tl2br w:val="nil"/>
                    <w:tr2bl w:val="nil"/>
                  </w:tcBorders>
                  <w:shd w:val="clear" w:color="auto" w:fill="auto"/>
                  <w:noWrap/>
                  <w:vAlign w:val="center"/>
                </w:tcPr>
                <w:p w14:paraId="129667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7C8C3BE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7201988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238" w:type="pct"/>
                  <w:tcBorders>
                    <w:tl2br w:val="nil"/>
                    <w:tr2bl w:val="nil"/>
                  </w:tcBorders>
                  <w:shd w:val="clear" w:color="auto" w:fill="auto"/>
                  <w:noWrap/>
                  <w:vAlign w:val="center"/>
                </w:tcPr>
                <w:p w14:paraId="0FBC30B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787B56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32E43B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19</w:t>
                  </w:r>
                </w:p>
              </w:tc>
              <w:tc>
                <w:tcPr>
                  <w:tcW w:w="276" w:type="pct"/>
                  <w:tcBorders>
                    <w:tl2br w:val="nil"/>
                    <w:tr2bl w:val="nil"/>
                  </w:tcBorders>
                  <w:shd w:val="clear" w:color="auto" w:fill="auto"/>
                  <w:noWrap/>
                  <w:vAlign w:val="center"/>
                </w:tcPr>
                <w:p w14:paraId="3A4C17B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06B65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5DEF97AA">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3EEC9AB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点胶线</w:t>
                  </w:r>
                </w:p>
              </w:tc>
              <w:tc>
                <w:tcPr>
                  <w:tcW w:w="318" w:type="pct"/>
                  <w:tcBorders>
                    <w:tl2br w:val="nil"/>
                    <w:tr2bl w:val="nil"/>
                  </w:tcBorders>
                  <w:shd w:val="clear" w:color="auto" w:fill="auto"/>
                  <w:vAlign w:val="center"/>
                </w:tcPr>
                <w:p w14:paraId="3D51CD7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56" w:type="pct"/>
                  <w:tcBorders>
                    <w:tl2br w:val="nil"/>
                    <w:tr2bl w:val="nil"/>
                  </w:tcBorders>
                  <w:shd w:val="clear" w:color="auto" w:fill="auto"/>
                  <w:noWrap/>
                  <w:vAlign w:val="center"/>
                </w:tcPr>
                <w:p w14:paraId="2C09FDD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65</w:t>
                  </w:r>
                </w:p>
              </w:tc>
              <w:tc>
                <w:tcPr>
                  <w:tcW w:w="307" w:type="pct"/>
                  <w:tcBorders>
                    <w:tl2br w:val="nil"/>
                    <w:tr2bl w:val="nil"/>
                  </w:tcBorders>
                  <w:shd w:val="clear" w:color="auto" w:fill="auto"/>
                  <w:noWrap/>
                  <w:vAlign w:val="center"/>
                </w:tcPr>
                <w:p w14:paraId="73367488">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68.0</w:t>
                  </w:r>
                </w:p>
              </w:tc>
              <w:tc>
                <w:tcPr>
                  <w:tcW w:w="307" w:type="pct"/>
                  <w:tcBorders>
                    <w:tl2br w:val="nil"/>
                    <w:tr2bl w:val="nil"/>
                  </w:tcBorders>
                  <w:shd w:val="clear" w:color="auto" w:fill="auto"/>
                  <w:noWrap/>
                  <w:vAlign w:val="center"/>
                </w:tcPr>
                <w:p w14:paraId="1173A0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121EA208">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2A0FDD3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p>
              </w:tc>
              <w:tc>
                <w:tcPr>
                  <w:tcW w:w="179" w:type="pct"/>
                  <w:tcBorders>
                    <w:tl2br w:val="nil"/>
                    <w:tr2bl w:val="nil"/>
                  </w:tcBorders>
                  <w:shd w:val="clear" w:color="auto" w:fill="auto"/>
                  <w:noWrap/>
                  <w:vAlign w:val="center"/>
                </w:tcPr>
                <w:p w14:paraId="0BDC8AE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188" w:type="pct"/>
                  <w:tcBorders>
                    <w:tl2br w:val="nil"/>
                    <w:tr2bl w:val="nil"/>
                  </w:tcBorders>
                  <w:shd w:val="clear" w:color="auto" w:fill="auto"/>
                  <w:noWrap/>
                  <w:vAlign w:val="center"/>
                </w:tcPr>
                <w:p w14:paraId="45CAA54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7995C63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3F6F870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58</w:t>
                  </w:r>
                </w:p>
              </w:tc>
              <w:tc>
                <w:tcPr>
                  <w:tcW w:w="238" w:type="pct"/>
                  <w:tcBorders>
                    <w:tl2br w:val="nil"/>
                    <w:tr2bl w:val="nil"/>
                  </w:tcBorders>
                  <w:shd w:val="clear" w:color="auto" w:fill="auto"/>
                  <w:noWrap/>
                  <w:vAlign w:val="center"/>
                </w:tcPr>
                <w:p w14:paraId="1716D9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6D028E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63CE6E1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27</w:t>
                  </w:r>
                </w:p>
              </w:tc>
              <w:tc>
                <w:tcPr>
                  <w:tcW w:w="276" w:type="pct"/>
                  <w:tcBorders>
                    <w:tl2br w:val="nil"/>
                    <w:tr2bl w:val="nil"/>
                  </w:tcBorders>
                  <w:shd w:val="clear" w:color="auto" w:fill="auto"/>
                  <w:noWrap/>
                  <w:vAlign w:val="center"/>
                </w:tcPr>
                <w:p w14:paraId="7DA5E8C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579499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vAlign w:val="center"/>
                </w:tcPr>
                <w:p w14:paraId="6041A0A4">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0F541EE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电测机</w:t>
                  </w:r>
                </w:p>
              </w:tc>
              <w:tc>
                <w:tcPr>
                  <w:tcW w:w="318" w:type="pct"/>
                  <w:tcBorders>
                    <w:tl2br w:val="nil"/>
                    <w:tr2bl w:val="nil"/>
                  </w:tcBorders>
                  <w:shd w:val="clear" w:color="auto" w:fill="auto"/>
                  <w:vAlign w:val="center"/>
                </w:tcPr>
                <w:p w14:paraId="52A51A0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356" w:type="pct"/>
                  <w:tcBorders>
                    <w:tl2br w:val="nil"/>
                    <w:tr2bl w:val="nil"/>
                  </w:tcBorders>
                  <w:shd w:val="clear" w:color="auto" w:fill="auto"/>
                  <w:noWrap/>
                  <w:vAlign w:val="center"/>
                </w:tcPr>
                <w:p w14:paraId="343BA01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1F98D7A8">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60.0</w:t>
                  </w:r>
                </w:p>
              </w:tc>
              <w:tc>
                <w:tcPr>
                  <w:tcW w:w="307" w:type="pct"/>
                  <w:tcBorders>
                    <w:tl2br w:val="nil"/>
                    <w:tr2bl w:val="nil"/>
                  </w:tcBorders>
                  <w:shd w:val="clear" w:color="auto" w:fill="auto"/>
                  <w:noWrap/>
                  <w:vAlign w:val="center"/>
                </w:tcPr>
                <w:p w14:paraId="09C9C1B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51D0193E">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0814E8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-12</w:t>
                  </w:r>
                </w:p>
              </w:tc>
              <w:tc>
                <w:tcPr>
                  <w:tcW w:w="179" w:type="pct"/>
                  <w:tcBorders>
                    <w:tl2br w:val="nil"/>
                    <w:tr2bl w:val="nil"/>
                  </w:tcBorders>
                  <w:shd w:val="clear" w:color="auto" w:fill="auto"/>
                  <w:noWrap/>
                  <w:vAlign w:val="center"/>
                </w:tcPr>
                <w:p w14:paraId="0BBC3F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88" w:type="pct"/>
                  <w:tcBorders>
                    <w:tl2br w:val="nil"/>
                    <w:tr2bl w:val="nil"/>
                  </w:tcBorders>
                  <w:shd w:val="clear" w:color="auto" w:fill="auto"/>
                  <w:noWrap/>
                  <w:vAlign w:val="center"/>
                </w:tcPr>
                <w:p w14:paraId="66F8E34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52" w:type="pct"/>
                  <w:tcBorders>
                    <w:tl2br w:val="nil"/>
                    <w:tr2bl w:val="nil"/>
                  </w:tcBorders>
                  <w:shd w:val="clear" w:color="auto" w:fill="auto"/>
                  <w:noWrap/>
                  <w:vAlign w:val="center"/>
                </w:tcPr>
                <w:p w14:paraId="3E192B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49AEF5E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238" w:type="pct"/>
                  <w:tcBorders>
                    <w:tl2br w:val="nil"/>
                    <w:tr2bl w:val="nil"/>
                  </w:tcBorders>
                  <w:shd w:val="clear" w:color="auto" w:fill="auto"/>
                  <w:noWrap/>
                  <w:vAlign w:val="center"/>
                </w:tcPr>
                <w:p w14:paraId="56D72E6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4E436D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796DD9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19</w:t>
                  </w:r>
                </w:p>
              </w:tc>
              <w:tc>
                <w:tcPr>
                  <w:tcW w:w="276" w:type="pct"/>
                  <w:tcBorders>
                    <w:tl2br w:val="nil"/>
                    <w:tr2bl w:val="nil"/>
                  </w:tcBorders>
                  <w:shd w:val="clear" w:color="auto" w:fill="auto"/>
                  <w:noWrap/>
                  <w:vAlign w:val="center"/>
                </w:tcPr>
                <w:p w14:paraId="59554F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17C334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restart"/>
                  <w:tcBorders>
                    <w:tl2br w:val="nil"/>
                    <w:tr2bl w:val="nil"/>
                  </w:tcBorders>
                  <w:shd w:val="clear" w:color="auto" w:fill="auto"/>
                  <w:noWrap/>
                  <w:vAlign w:val="center"/>
                </w:tcPr>
                <w:p w14:paraId="7A37F9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生产车间三层</w:t>
                  </w:r>
                </w:p>
              </w:tc>
              <w:tc>
                <w:tcPr>
                  <w:tcW w:w="663" w:type="pct"/>
                  <w:tcBorders>
                    <w:tl2br w:val="nil"/>
                    <w:tr2bl w:val="nil"/>
                  </w:tcBorders>
                  <w:shd w:val="clear" w:color="auto" w:fill="auto"/>
                  <w:vAlign w:val="center"/>
                </w:tcPr>
                <w:p w14:paraId="5CE397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覆膜机</w:t>
                  </w:r>
                </w:p>
              </w:tc>
              <w:tc>
                <w:tcPr>
                  <w:tcW w:w="318" w:type="pct"/>
                  <w:tcBorders>
                    <w:tl2br w:val="nil"/>
                    <w:tr2bl w:val="nil"/>
                  </w:tcBorders>
                  <w:shd w:val="clear" w:color="auto" w:fill="auto"/>
                  <w:vAlign w:val="center"/>
                </w:tcPr>
                <w:p w14:paraId="406A956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356" w:type="pct"/>
                  <w:tcBorders>
                    <w:tl2br w:val="nil"/>
                    <w:tr2bl w:val="nil"/>
                  </w:tcBorders>
                  <w:shd w:val="clear" w:color="auto" w:fill="auto"/>
                  <w:noWrap/>
                  <w:vAlign w:val="center"/>
                </w:tcPr>
                <w:p w14:paraId="59220CF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47846DA3">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89.0</w:t>
                  </w:r>
                </w:p>
              </w:tc>
              <w:tc>
                <w:tcPr>
                  <w:tcW w:w="307" w:type="pct"/>
                  <w:tcBorders>
                    <w:tl2br w:val="nil"/>
                    <w:tr2bl w:val="nil"/>
                  </w:tcBorders>
                  <w:shd w:val="clear" w:color="auto" w:fill="auto"/>
                  <w:noWrap/>
                  <w:vAlign w:val="center"/>
                </w:tcPr>
                <w:p w14:paraId="661F8D6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restart"/>
                  <w:tcBorders>
                    <w:tl2br w:val="nil"/>
                    <w:tr2bl w:val="nil"/>
                  </w:tcBorders>
                  <w:shd w:val="clear" w:color="auto" w:fill="auto"/>
                  <w:vAlign w:val="center"/>
                </w:tcPr>
                <w:p w14:paraId="6A156A5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厂房隔声、消声、</w:t>
                  </w:r>
                  <w:r>
                    <w:rPr>
                      <w:rFonts w:hint="eastAsia" w:cs="Times New Roman"/>
                      <w:b w:val="0"/>
                      <w:bCs w:val="0"/>
                      <w:i w:val="0"/>
                      <w:iCs w:val="0"/>
                      <w:color w:val="auto"/>
                      <w:kern w:val="0"/>
                      <w:sz w:val="21"/>
                      <w:szCs w:val="21"/>
                      <w:highlight w:val="none"/>
                      <w:u w:val="none"/>
                      <w:lang w:val="en-US" w:eastAsia="zh-CN" w:bidi="ar"/>
                    </w:rPr>
                    <w:t>减振</w:t>
                  </w:r>
                </w:p>
              </w:tc>
              <w:tc>
                <w:tcPr>
                  <w:tcW w:w="247" w:type="pct"/>
                  <w:tcBorders>
                    <w:tl2br w:val="nil"/>
                    <w:tr2bl w:val="nil"/>
                  </w:tcBorders>
                  <w:shd w:val="clear" w:color="auto" w:fill="auto"/>
                  <w:noWrap/>
                  <w:vAlign w:val="center"/>
                </w:tcPr>
                <w:p w14:paraId="5435BC3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-35</w:t>
                  </w:r>
                </w:p>
              </w:tc>
              <w:tc>
                <w:tcPr>
                  <w:tcW w:w="179" w:type="pct"/>
                  <w:tcBorders>
                    <w:tl2br w:val="nil"/>
                    <w:tr2bl w:val="nil"/>
                  </w:tcBorders>
                  <w:shd w:val="clear" w:color="auto" w:fill="auto"/>
                  <w:noWrap/>
                  <w:vAlign w:val="center"/>
                </w:tcPr>
                <w:p w14:paraId="3984225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w:t>
                  </w:r>
                </w:p>
              </w:tc>
              <w:tc>
                <w:tcPr>
                  <w:tcW w:w="188" w:type="pct"/>
                  <w:tcBorders>
                    <w:tl2br w:val="nil"/>
                    <w:tr2bl w:val="nil"/>
                  </w:tcBorders>
                  <w:shd w:val="clear" w:color="auto" w:fill="auto"/>
                  <w:noWrap/>
                  <w:vAlign w:val="center"/>
                </w:tcPr>
                <w:p w14:paraId="4A0805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1D26CD0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321EEB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79</w:t>
                  </w:r>
                </w:p>
              </w:tc>
              <w:tc>
                <w:tcPr>
                  <w:tcW w:w="238" w:type="pct"/>
                  <w:tcBorders>
                    <w:tl2br w:val="nil"/>
                    <w:tr2bl w:val="nil"/>
                  </w:tcBorders>
                  <w:shd w:val="clear" w:color="auto" w:fill="auto"/>
                  <w:noWrap/>
                  <w:vAlign w:val="center"/>
                </w:tcPr>
                <w:p w14:paraId="4374A4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3E7371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DA76D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48</w:t>
                  </w:r>
                </w:p>
              </w:tc>
              <w:tc>
                <w:tcPr>
                  <w:tcW w:w="276" w:type="pct"/>
                  <w:tcBorders>
                    <w:tl2br w:val="nil"/>
                    <w:tr2bl w:val="nil"/>
                  </w:tcBorders>
                  <w:shd w:val="clear" w:color="auto" w:fill="auto"/>
                  <w:noWrap/>
                  <w:vAlign w:val="center"/>
                </w:tcPr>
                <w:p w14:paraId="3C6031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1AF0FA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4F68CCC2">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38F2971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套板机</w:t>
                  </w:r>
                </w:p>
              </w:tc>
              <w:tc>
                <w:tcPr>
                  <w:tcW w:w="318" w:type="pct"/>
                  <w:tcBorders>
                    <w:tl2br w:val="nil"/>
                    <w:tr2bl w:val="nil"/>
                  </w:tcBorders>
                  <w:shd w:val="clear" w:color="auto" w:fill="auto"/>
                  <w:vAlign w:val="center"/>
                </w:tcPr>
                <w:p w14:paraId="4F8598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56" w:type="pct"/>
                  <w:tcBorders>
                    <w:tl2br w:val="nil"/>
                    <w:tr2bl w:val="nil"/>
                  </w:tcBorders>
                  <w:shd w:val="clear" w:color="auto" w:fill="auto"/>
                  <w:noWrap/>
                  <w:vAlign w:val="center"/>
                </w:tcPr>
                <w:p w14:paraId="0F2E45E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w:t>
                  </w:r>
                </w:p>
              </w:tc>
              <w:tc>
                <w:tcPr>
                  <w:tcW w:w="307" w:type="pct"/>
                  <w:tcBorders>
                    <w:tl2br w:val="nil"/>
                    <w:tr2bl w:val="nil"/>
                  </w:tcBorders>
                  <w:shd w:val="clear" w:color="auto" w:fill="auto"/>
                  <w:noWrap/>
                  <w:vAlign w:val="center"/>
                </w:tcPr>
                <w:p w14:paraId="00654A48">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81.8</w:t>
                  </w:r>
                </w:p>
              </w:tc>
              <w:tc>
                <w:tcPr>
                  <w:tcW w:w="307" w:type="pct"/>
                  <w:tcBorders>
                    <w:tl2br w:val="nil"/>
                    <w:tr2bl w:val="nil"/>
                  </w:tcBorders>
                  <w:shd w:val="clear" w:color="auto" w:fill="auto"/>
                  <w:noWrap/>
                  <w:vAlign w:val="center"/>
                </w:tcPr>
                <w:p w14:paraId="25300B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63E16F7D">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12F7D38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179" w:type="pct"/>
                  <w:tcBorders>
                    <w:tl2br w:val="nil"/>
                    <w:tr2bl w:val="nil"/>
                  </w:tcBorders>
                  <w:shd w:val="clear" w:color="auto" w:fill="auto"/>
                  <w:noWrap/>
                  <w:vAlign w:val="center"/>
                </w:tcPr>
                <w:p w14:paraId="133E1C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11</w:t>
                  </w:r>
                </w:p>
              </w:tc>
              <w:tc>
                <w:tcPr>
                  <w:tcW w:w="188" w:type="pct"/>
                  <w:tcBorders>
                    <w:tl2br w:val="nil"/>
                    <w:tr2bl w:val="nil"/>
                  </w:tcBorders>
                  <w:shd w:val="clear" w:color="auto" w:fill="auto"/>
                  <w:noWrap/>
                  <w:vAlign w:val="center"/>
                </w:tcPr>
                <w:p w14:paraId="298980A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5D2F955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7CF13CC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72</w:t>
                  </w:r>
                </w:p>
              </w:tc>
              <w:tc>
                <w:tcPr>
                  <w:tcW w:w="238" w:type="pct"/>
                  <w:tcBorders>
                    <w:tl2br w:val="nil"/>
                    <w:tr2bl w:val="nil"/>
                  </w:tcBorders>
                  <w:shd w:val="clear" w:color="auto" w:fill="auto"/>
                  <w:noWrap/>
                  <w:vAlign w:val="center"/>
                </w:tcPr>
                <w:p w14:paraId="07B76BD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5BFC5B0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33B6EC9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41</w:t>
                  </w:r>
                </w:p>
              </w:tc>
              <w:tc>
                <w:tcPr>
                  <w:tcW w:w="276" w:type="pct"/>
                  <w:tcBorders>
                    <w:tl2br w:val="nil"/>
                    <w:tr2bl w:val="nil"/>
                  </w:tcBorders>
                  <w:shd w:val="clear" w:color="auto" w:fill="auto"/>
                  <w:noWrap/>
                  <w:vAlign w:val="center"/>
                </w:tcPr>
                <w:p w14:paraId="6E08F49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F554A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1CEC00E2">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1CDEA3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膜切机</w:t>
                  </w:r>
                </w:p>
              </w:tc>
              <w:tc>
                <w:tcPr>
                  <w:tcW w:w="318" w:type="pct"/>
                  <w:tcBorders>
                    <w:tl2br w:val="nil"/>
                    <w:tr2bl w:val="nil"/>
                  </w:tcBorders>
                  <w:shd w:val="clear" w:color="auto" w:fill="auto"/>
                  <w:vAlign w:val="center"/>
                </w:tcPr>
                <w:p w14:paraId="09C3FD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356" w:type="pct"/>
                  <w:tcBorders>
                    <w:tl2br w:val="nil"/>
                    <w:tr2bl w:val="nil"/>
                  </w:tcBorders>
                  <w:shd w:val="clear" w:color="auto" w:fill="auto"/>
                  <w:noWrap/>
                  <w:vAlign w:val="center"/>
                </w:tcPr>
                <w:p w14:paraId="6573D08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3D3193FA">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83.5</w:t>
                  </w:r>
                </w:p>
              </w:tc>
              <w:tc>
                <w:tcPr>
                  <w:tcW w:w="307" w:type="pct"/>
                  <w:tcBorders>
                    <w:tl2br w:val="nil"/>
                    <w:tr2bl w:val="nil"/>
                  </w:tcBorders>
                  <w:shd w:val="clear" w:color="auto" w:fill="auto"/>
                  <w:noWrap/>
                  <w:vAlign w:val="center"/>
                </w:tcPr>
                <w:p w14:paraId="3E3ADA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30337C05">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38FB297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-11</w:t>
                  </w:r>
                </w:p>
              </w:tc>
              <w:tc>
                <w:tcPr>
                  <w:tcW w:w="179" w:type="pct"/>
                  <w:tcBorders>
                    <w:tl2br w:val="nil"/>
                    <w:tr2bl w:val="nil"/>
                  </w:tcBorders>
                  <w:shd w:val="clear" w:color="auto" w:fill="auto"/>
                  <w:noWrap/>
                  <w:vAlign w:val="center"/>
                </w:tcPr>
                <w:p w14:paraId="4205DF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188" w:type="pct"/>
                  <w:tcBorders>
                    <w:tl2br w:val="nil"/>
                    <w:tr2bl w:val="nil"/>
                  </w:tcBorders>
                  <w:shd w:val="clear" w:color="auto" w:fill="auto"/>
                  <w:noWrap/>
                  <w:vAlign w:val="center"/>
                </w:tcPr>
                <w:p w14:paraId="0340748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4E3B9C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736E835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74</w:t>
                  </w:r>
                </w:p>
              </w:tc>
              <w:tc>
                <w:tcPr>
                  <w:tcW w:w="238" w:type="pct"/>
                  <w:tcBorders>
                    <w:tl2br w:val="nil"/>
                    <w:tr2bl w:val="nil"/>
                  </w:tcBorders>
                  <w:shd w:val="clear" w:color="auto" w:fill="auto"/>
                  <w:noWrap/>
                  <w:vAlign w:val="center"/>
                </w:tcPr>
                <w:p w14:paraId="4A6E86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01A74D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4CFBEC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43</w:t>
                  </w:r>
                </w:p>
              </w:tc>
              <w:tc>
                <w:tcPr>
                  <w:tcW w:w="276" w:type="pct"/>
                  <w:tcBorders>
                    <w:tl2br w:val="nil"/>
                    <w:tr2bl w:val="nil"/>
                  </w:tcBorders>
                  <w:shd w:val="clear" w:color="auto" w:fill="auto"/>
                  <w:noWrap/>
                  <w:vAlign w:val="center"/>
                </w:tcPr>
                <w:p w14:paraId="75A56D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5BA51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2D92F705">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37851D8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贴膜机</w:t>
                  </w:r>
                </w:p>
              </w:tc>
              <w:tc>
                <w:tcPr>
                  <w:tcW w:w="318" w:type="pct"/>
                  <w:tcBorders>
                    <w:tl2br w:val="nil"/>
                    <w:tr2bl w:val="nil"/>
                  </w:tcBorders>
                  <w:shd w:val="clear" w:color="auto" w:fill="auto"/>
                  <w:vAlign w:val="center"/>
                </w:tcPr>
                <w:p w14:paraId="41AEE9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30</w:t>
                  </w:r>
                </w:p>
              </w:tc>
              <w:tc>
                <w:tcPr>
                  <w:tcW w:w="356" w:type="pct"/>
                  <w:tcBorders>
                    <w:tl2br w:val="nil"/>
                    <w:tr2bl w:val="nil"/>
                  </w:tcBorders>
                  <w:shd w:val="clear" w:color="auto" w:fill="auto"/>
                  <w:noWrap/>
                  <w:vAlign w:val="center"/>
                </w:tcPr>
                <w:p w14:paraId="63C8CD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04578EF2">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89.8</w:t>
                  </w:r>
                </w:p>
              </w:tc>
              <w:tc>
                <w:tcPr>
                  <w:tcW w:w="307" w:type="pct"/>
                  <w:tcBorders>
                    <w:tl2br w:val="nil"/>
                    <w:tr2bl w:val="nil"/>
                  </w:tcBorders>
                  <w:shd w:val="clear" w:color="auto" w:fill="auto"/>
                  <w:noWrap/>
                  <w:vAlign w:val="center"/>
                </w:tcPr>
                <w:p w14:paraId="15AFF95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052AB0EB">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6DBF828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-14</w:t>
                  </w:r>
                </w:p>
              </w:tc>
              <w:tc>
                <w:tcPr>
                  <w:tcW w:w="179" w:type="pct"/>
                  <w:tcBorders>
                    <w:tl2br w:val="nil"/>
                    <w:tr2bl w:val="nil"/>
                  </w:tcBorders>
                  <w:shd w:val="clear" w:color="auto" w:fill="auto"/>
                  <w:noWrap/>
                  <w:vAlign w:val="center"/>
                </w:tcPr>
                <w:p w14:paraId="65BE4E4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5CA4F9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5E3172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0FC2B30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w:t>
                  </w:r>
                </w:p>
              </w:tc>
              <w:tc>
                <w:tcPr>
                  <w:tcW w:w="238" w:type="pct"/>
                  <w:tcBorders>
                    <w:tl2br w:val="nil"/>
                    <w:tr2bl w:val="nil"/>
                  </w:tcBorders>
                  <w:shd w:val="clear" w:color="auto" w:fill="auto"/>
                  <w:noWrap/>
                  <w:vAlign w:val="center"/>
                </w:tcPr>
                <w:p w14:paraId="21F3EB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09AB18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16A532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49</w:t>
                  </w:r>
                </w:p>
              </w:tc>
              <w:tc>
                <w:tcPr>
                  <w:tcW w:w="276" w:type="pct"/>
                  <w:tcBorders>
                    <w:tl2br w:val="nil"/>
                    <w:tr2bl w:val="nil"/>
                  </w:tcBorders>
                  <w:shd w:val="clear" w:color="auto" w:fill="auto"/>
                  <w:noWrap/>
                  <w:vAlign w:val="center"/>
                </w:tcPr>
                <w:p w14:paraId="26CC23E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74A725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4D5B3357">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7644F8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测试电源机器</w:t>
                  </w:r>
                </w:p>
              </w:tc>
              <w:tc>
                <w:tcPr>
                  <w:tcW w:w="318" w:type="pct"/>
                  <w:tcBorders>
                    <w:tl2br w:val="nil"/>
                    <w:tr2bl w:val="nil"/>
                  </w:tcBorders>
                  <w:shd w:val="clear" w:color="auto" w:fill="auto"/>
                  <w:vAlign w:val="center"/>
                </w:tcPr>
                <w:p w14:paraId="2979C7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w:t>
                  </w:r>
                </w:p>
              </w:tc>
              <w:tc>
                <w:tcPr>
                  <w:tcW w:w="356" w:type="pct"/>
                  <w:tcBorders>
                    <w:tl2br w:val="nil"/>
                    <w:tr2bl w:val="nil"/>
                  </w:tcBorders>
                  <w:shd w:val="clear" w:color="auto" w:fill="auto"/>
                  <w:vAlign w:val="center"/>
                </w:tcPr>
                <w:p w14:paraId="312445F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42E74B7C">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71.8</w:t>
                  </w:r>
                </w:p>
              </w:tc>
              <w:tc>
                <w:tcPr>
                  <w:tcW w:w="307" w:type="pct"/>
                  <w:tcBorders>
                    <w:tl2br w:val="nil"/>
                    <w:tr2bl w:val="nil"/>
                  </w:tcBorders>
                  <w:shd w:val="clear" w:color="auto" w:fill="auto"/>
                  <w:noWrap/>
                  <w:vAlign w:val="center"/>
                </w:tcPr>
                <w:p w14:paraId="56BE2D6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0EDD481A">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3F1C2AE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-12</w:t>
                  </w:r>
                </w:p>
              </w:tc>
              <w:tc>
                <w:tcPr>
                  <w:tcW w:w="179" w:type="pct"/>
                  <w:tcBorders>
                    <w:tl2br w:val="nil"/>
                    <w:tr2bl w:val="nil"/>
                  </w:tcBorders>
                  <w:shd w:val="clear" w:color="auto" w:fill="auto"/>
                  <w:noWrap/>
                  <w:vAlign w:val="center"/>
                </w:tcPr>
                <w:p w14:paraId="0EFB32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88" w:type="pct"/>
                  <w:tcBorders>
                    <w:tl2br w:val="nil"/>
                    <w:tr2bl w:val="nil"/>
                  </w:tcBorders>
                  <w:shd w:val="clear" w:color="auto" w:fill="auto"/>
                  <w:noWrap/>
                  <w:vAlign w:val="center"/>
                </w:tcPr>
                <w:p w14:paraId="0A1DB1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6BEBC71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6DA1609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62</w:t>
                  </w:r>
                </w:p>
              </w:tc>
              <w:tc>
                <w:tcPr>
                  <w:tcW w:w="238" w:type="pct"/>
                  <w:tcBorders>
                    <w:tl2br w:val="nil"/>
                    <w:tr2bl w:val="nil"/>
                  </w:tcBorders>
                  <w:shd w:val="clear" w:color="auto" w:fill="auto"/>
                  <w:noWrap/>
                  <w:vAlign w:val="center"/>
                </w:tcPr>
                <w:p w14:paraId="286602E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2F0C59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0B625C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31</w:t>
                  </w:r>
                </w:p>
              </w:tc>
              <w:tc>
                <w:tcPr>
                  <w:tcW w:w="276" w:type="pct"/>
                  <w:tcBorders>
                    <w:tl2br w:val="nil"/>
                    <w:tr2bl w:val="nil"/>
                  </w:tcBorders>
                  <w:shd w:val="clear" w:color="auto" w:fill="auto"/>
                  <w:noWrap/>
                  <w:vAlign w:val="center"/>
                </w:tcPr>
                <w:p w14:paraId="5700B5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2464FD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07F51853">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6A510C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空压机</w:t>
                  </w:r>
                </w:p>
              </w:tc>
              <w:tc>
                <w:tcPr>
                  <w:tcW w:w="318" w:type="pct"/>
                  <w:tcBorders>
                    <w:tl2br w:val="nil"/>
                    <w:tr2bl w:val="nil"/>
                  </w:tcBorders>
                  <w:shd w:val="clear" w:color="auto" w:fill="auto"/>
                  <w:vAlign w:val="center"/>
                </w:tcPr>
                <w:p w14:paraId="4F80D5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356" w:type="pct"/>
                  <w:tcBorders>
                    <w:tl2br w:val="nil"/>
                    <w:tr2bl w:val="nil"/>
                  </w:tcBorders>
                  <w:shd w:val="clear" w:color="auto" w:fill="auto"/>
                  <w:vAlign w:val="center"/>
                </w:tcPr>
                <w:p w14:paraId="018951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75</w:t>
                  </w:r>
                </w:p>
              </w:tc>
              <w:tc>
                <w:tcPr>
                  <w:tcW w:w="307" w:type="pct"/>
                  <w:tcBorders>
                    <w:tl2br w:val="nil"/>
                    <w:tr2bl w:val="nil"/>
                  </w:tcBorders>
                  <w:shd w:val="clear" w:color="auto" w:fill="auto"/>
                  <w:noWrap/>
                  <w:vAlign w:val="center"/>
                </w:tcPr>
                <w:p w14:paraId="6A7C584F">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78.0</w:t>
                  </w:r>
                </w:p>
              </w:tc>
              <w:tc>
                <w:tcPr>
                  <w:tcW w:w="307" w:type="pct"/>
                  <w:tcBorders>
                    <w:tl2br w:val="nil"/>
                    <w:tr2bl w:val="nil"/>
                  </w:tcBorders>
                  <w:shd w:val="clear" w:color="auto" w:fill="auto"/>
                  <w:noWrap/>
                  <w:vAlign w:val="center"/>
                </w:tcPr>
                <w:p w14:paraId="669865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6EAB936E">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7A0CAD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57</w:t>
                  </w:r>
                </w:p>
              </w:tc>
              <w:tc>
                <w:tcPr>
                  <w:tcW w:w="179" w:type="pct"/>
                  <w:tcBorders>
                    <w:tl2br w:val="nil"/>
                    <w:tr2bl w:val="nil"/>
                  </w:tcBorders>
                  <w:shd w:val="clear" w:color="auto" w:fill="auto"/>
                  <w:noWrap/>
                  <w:vAlign w:val="center"/>
                </w:tcPr>
                <w:p w14:paraId="7E8C35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9</w:t>
                  </w:r>
                </w:p>
              </w:tc>
              <w:tc>
                <w:tcPr>
                  <w:tcW w:w="188" w:type="pct"/>
                  <w:tcBorders>
                    <w:tl2br w:val="nil"/>
                    <w:tr2bl w:val="nil"/>
                  </w:tcBorders>
                  <w:shd w:val="clear" w:color="auto" w:fill="auto"/>
                  <w:noWrap/>
                  <w:vAlign w:val="center"/>
                </w:tcPr>
                <w:p w14:paraId="762E188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77E8CA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59368A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68</w:t>
                  </w:r>
                </w:p>
              </w:tc>
              <w:tc>
                <w:tcPr>
                  <w:tcW w:w="238" w:type="pct"/>
                  <w:tcBorders>
                    <w:tl2br w:val="nil"/>
                    <w:tr2bl w:val="nil"/>
                  </w:tcBorders>
                  <w:shd w:val="clear" w:color="auto" w:fill="auto"/>
                  <w:noWrap/>
                  <w:vAlign w:val="center"/>
                </w:tcPr>
                <w:p w14:paraId="4996DE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5C95B3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52B16A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37</w:t>
                  </w:r>
                </w:p>
              </w:tc>
              <w:tc>
                <w:tcPr>
                  <w:tcW w:w="276" w:type="pct"/>
                  <w:tcBorders>
                    <w:tl2br w:val="nil"/>
                    <w:tr2bl w:val="nil"/>
                  </w:tcBorders>
                  <w:shd w:val="clear" w:color="auto" w:fill="auto"/>
                  <w:noWrap/>
                  <w:vAlign w:val="center"/>
                </w:tcPr>
                <w:p w14:paraId="4B4BEA3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r w14:paraId="63A0B3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97" w:hRule="atLeast"/>
              </w:trPr>
              <w:tc>
                <w:tcPr>
                  <w:tcW w:w="430" w:type="pct"/>
                  <w:vMerge w:val="continue"/>
                  <w:tcBorders>
                    <w:tl2br w:val="nil"/>
                    <w:tr2bl w:val="nil"/>
                  </w:tcBorders>
                  <w:shd w:val="clear" w:color="auto" w:fill="auto"/>
                  <w:noWrap/>
                  <w:vAlign w:val="center"/>
                </w:tcPr>
                <w:p w14:paraId="31728E84">
                  <w:pPr>
                    <w:jc w:val="center"/>
                    <w:rPr>
                      <w:rFonts w:hint="default" w:ascii="Times New Roman" w:hAnsi="Times New Roman" w:eastAsia="宋体" w:cs="Times New Roman"/>
                      <w:b w:val="0"/>
                      <w:bCs w:val="0"/>
                      <w:i w:val="0"/>
                      <w:iCs w:val="0"/>
                      <w:color w:val="auto"/>
                      <w:sz w:val="21"/>
                      <w:szCs w:val="21"/>
                      <w:highlight w:val="none"/>
                      <w:u w:val="none"/>
                    </w:rPr>
                  </w:pPr>
                </w:p>
              </w:tc>
              <w:tc>
                <w:tcPr>
                  <w:tcW w:w="663" w:type="pct"/>
                  <w:tcBorders>
                    <w:tl2br w:val="nil"/>
                    <w:tr2bl w:val="nil"/>
                  </w:tcBorders>
                  <w:shd w:val="clear" w:color="auto" w:fill="auto"/>
                  <w:vAlign w:val="center"/>
                </w:tcPr>
                <w:p w14:paraId="5ED8F65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收料机</w:t>
                  </w:r>
                </w:p>
              </w:tc>
              <w:tc>
                <w:tcPr>
                  <w:tcW w:w="318" w:type="pct"/>
                  <w:tcBorders>
                    <w:tl2br w:val="nil"/>
                    <w:tr2bl w:val="nil"/>
                  </w:tcBorders>
                  <w:shd w:val="clear" w:color="auto" w:fill="auto"/>
                  <w:vAlign w:val="center"/>
                </w:tcPr>
                <w:p w14:paraId="58CCBB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356" w:type="pct"/>
                  <w:tcBorders>
                    <w:tl2br w:val="nil"/>
                    <w:tr2bl w:val="nil"/>
                  </w:tcBorders>
                  <w:shd w:val="clear" w:color="auto" w:fill="auto"/>
                  <w:vAlign w:val="center"/>
                </w:tcPr>
                <w:p w14:paraId="2EB266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307" w:type="pct"/>
                  <w:tcBorders>
                    <w:tl2br w:val="nil"/>
                    <w:tr2bl w:val="nil"/>
                  </w:tcBorders>
                  <w:shd w:val="clear" w:color="auto" w:fill="auto"/>
                  <w:noWrap/>
                  <w:vAlign w:val="center"/>
                </w:tcPr>
                <w:p w14:paraId="19CA9885">
                  <w:pPr>
                    <w:keepNext w:val="0"/>
                    <w:keepLines w:val="0"/>
                    <w:widowControl/>
                    <w:suppressLineNumbers w:val="0"/>
                    <w:jc w:val="center"/>
                    <w:textAlignment w:val="bottom"/>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70.0</w:t>
                  </w:r>
                </w:p>
              </w:tc>
              <w:tc>
                <w:tcPr>
                  <w:tcW w:w="307" w:type="pct"/>
                  <w:tcBorders>
                    <w:tl2br w:val="nil"/>
                    <w:tr2bl w:val="nil"/>
                  </w:tcBorders>
                  <w:shd w:val="clear" w:color="auto" w:fill="auto"/>
                  <w:noWrap/>
                  <w:vAlign w:val="center"/>
                </w:tcPr>
                <w:p w14:paraId="17C511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92" w:type="pct"/>
                  <w:vMerge w:val="continue"/>
                  <w:tcBorders>
                    <w:tl2br w:val="nil"/>
                    <w:tr2bl w:val="nil"/>
                  </w:tcBorders>
                  <w:shd w:val="clear" w:color="auto" w:fill="auto"/>
                  <w:vAlign w:val="center"/>
                </w:tcPr>
                <w:p w14:paraId="3B176722">
                  <w:pPr>
                    <w:jc w:val="center"/>
                    <w:rPr>
                      <w:rFonts w:hint="default" w:ascii="Times New Roman" w:hAnsi="Times New Roman" w:eastAsia="宋体" w:cs="Times New Roman"/>
                      <w:b w:val="0"/>
                      <w:bCs w:val="0"/>
                      <w:i w:val="0"/>
                      <w:iCs w:val="0"/>
                      <w:color w:val="auto"/>
                      <w:sz w:val="21"/>
                      <w:szCs w:val="21"/>
                      <w:highlight w:val="none"/>
                      <w:u w:val="none"/>
                    </w:rPr>
                  </w:pPr>
                </w:p>
              </w:tc>
              <w:tc>
                <w:tcPr>
                  <w:tcW w:w="247" w:type="pct"/>
                  <w:tcBorders>
                    <w:tl2br w:val="nil"/>
                    <w:tr2bl w:val="nil"/>
                  </w:tcBorders>
                  <w:shd w:val="clear" w:color="auto" w:fill="auto"/>
                  <w:noWrap/>
                  <w:vAlign w:val="center"/>
                </w:tcPr>
                <w:p w14:paraId="21A7B5F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17</w:t>
                  </w:r>
                </w:p>
              </w:tc>
              <w:tc>
                <w:tcPr>
                  <w:tcW w:w="179" w:type="pct"/>
                  <w:tcBorders>
                    <w:tl2br w:val="nil"/>
                    <w:tr2bl w:val="nil"/>
                  </w:tcBorders>
                  <w:shd w:val="clear" w:color="auto" w:fill="auto"/>
                  <w:noWrap/>
                  <w:vAlign w:val="center"/>
                </w:tcPr>
                <w:p w14:paraId="16E3046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w:t>
                  </w:r>
                </w:p>
              </w:tc>
              <w:tc>
                <w:tcPr>
                  <w:tcW w:w="188" w:type="pct"/>
                  <w:tcBorders>
                    <w:tl2br w:val="nil"/>
                    <w:tr2bl w:val="nil"/>
                  </w:tcBorders>
                  <w:shd w:val="clear" w:color="auto" w:fill="auto"/>
                  <w:noWrap/>
                  <w:vAlign w:val="center"/>
                </w:tcPr>
                <w:p w14:paraId="3561936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252" w:type="pct"/>
                  <w:tcBorders>
                    <w:tl2br w:val="nil"/>
                    <w:tr2bl w:val="nil"/>
                  </w:tcBorders>
                  <w:shd w:val="clear" w:color="auto" w:fill="auto"/>
                  <w:noWrap/>
                  <w:vAlign w:val="center"/>
                </w:tcPr>
                <w:p w14:paraId="6995383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334" w:type="pct"/>
                  <w:tcBorders>
                    <w:tl2br w:val="nil"/>
                    <w:tr2bl w:val="nil"/>
                  </w:tcBorders>
                  <w:shd w:val="clear" w:color="auto" w:fill="auto"/>
                  <w:vAlign w:val="center"/>
                </w:tcPr>
                <w:p w14:paraId="152E4C5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60</w:t>
                  </w:r>
                </w:p>
              </w:tc>
              <w:tc>
                <w:tcPr>
                  <w:tcW w:w="238" w:type="pct"/>
                  <w:tcBorders>
                    <w:tl2br w:val="nil"/>
                    <w:tr2bl w:val="nil"/>
                  </w:tcBorders>
                  <w:shd w:val="clear" w:color="auto" w:fill="auto"/>
                  <w:noWrap/>
                  <w:vAlign w:val="center"/>
                </w:tcPr>
                <w:p w14:paraId="4D9CCB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昼间</w:t>
                  </w:r>
                </w:p>
              </w:tc>
              <w:tc>
                <w:tcPr>
                  <w:tcW w:w="310" w:type="pct"/>
                  <w:tcBorders>
                    <w:tl2br w:val="nil"/>
                    <w:tr2bl w:val="nil"/>
                  </w:tcBorders>
                  <w:shd w:val="clear" w:color="auto" w:fill="auto"/>
                  <w:vAlign w:val="center"/>
                </w:tcPr>
                <w:p w14:paraId="0EF14B5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w:t>
                  </w:r>
                </w:p>
              </w:tc>
              <w:tc>
                <w:tcPr>
                  <w:tcW w:w="296" w:type="pct"/>
                  <w:tcBorders>
                    <w:tl2br w:val="nil"/>
                    <w:tr2bl w:val="nil"/>
                  </w:tcBorders>
                  <w:shd w:val="clear" w:color="auto" w:fill="auto"/>
                  <w:noWrap/>
                  <w:vAlign w:val="center"/>
                </w:tcPr>
                <w:p w14:paraId="1EBC01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29</w:t>
                  </w:r>
                </w:p>
              </w:tc>
              <w:tc>
                <w:tcPr>
                  <w:tcW w:w="276" w:type="pct"/>
                  <w:tcBorders>
                    <w:tl2br w:val="nil"/>
                    <w:tr2bl w:val="nil"/>
                  </w:tcBorders>
                  <w:shd w:val="clear" w:color="auto" w:fill="auto"/>
                  <w:noWrap/>
                  <w:vAlign w:val="center"/>
                </w:tcPr>
                <w:p w14:paraId="730D50E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r>
          </w:tbl>
          <w:p w14:paraId="165133ED">
            <w:pPr>
              <w:adjustRightInd w:val="0"/>
              <w:snapToGrid w:val="0"/>
              <w:spacing w:line="360" w:lineRule="auto"/>
              <w:ind w:firstLine="420" w:firstLineChars="200"/>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注：项目以</w:t>
            </w:r>
            <w:r>
              <w:rPr>
                <w:rFonts w:hint="default" w:ascii="Times New Roman" w:hAnsi="Times New Roman" w:cs="Times New Roman"/>
                <w:b w:val="0"/>
                <w:bCs w:val="0"/>
                <w:color w:val="auto"/>
                <w:sz w:val="21"/>
                <w:szCs w:val="21"/>
                <w:highlight w:val="none"/>
                <w:lang w:val="en-US" w:eastAsia="zh-CN"/>
              </w:rPr>
              <w:t>生产厂房</w:t>
            </w:r>
            <w:r>
              <w:rPr>
                <w:rFonts w:hint="default" w:ascii="Times New Roman" w:hAnsi="Times New Roman" w:cs="Times New Roman"/>
                <w:b w:val="0"/>
                <w:bCs w:val="0"/>
                <w:color w:val="auto"/>
                <w:sz w:val="21"/>
                <w:szCs w:val="21"/>
                <w:highlight w:val="none"/>
              </w:rPr>
              <w:t>中心为坐标原点（0，0）。</w:t>
            </w:r>
          </w:p>
          <w:p w14:paraId="3E8BC94A">
            <w:pPr>
              <w:pStyle w:val="2"/>
              <w:rPr>
                <w:rFonts w:hint="default" w:ascii="Times New Roman" w:hAnsi="Times New Roman" w:cs="Times New Roman"/>
                <w:color w:val="auto"/>
              </w:rPr>
            </w:pPr>
          </w:p>
          <w:p w14:paraId="7F4094C5">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项目室外主要噪声设备源强一览表</w:t>
            </w:r>
          </w:p>
          <w:tbl>
            <w:tblPr>
              <w:tblStyle w:val="38"/>
              <w:tblW w:w="4998"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fixed"/>
              <w:tblCellMar>
                <w:top w:w="0" w:type="dxa"/>
                <w:left w:w="108" w:type="dxa"/>
                <w:bottom w:w="0" w:type="dxa"/>
                <w:right w:w="108" w:type="dxa"/>
              </w:tblCellMar>
            </w:tblPr>
            <w:tblGrid>
              <w:gridCol w:w="1214"/>
              <w:gridCol w:w="1409"/>
              <w:gridCol w:w="1016"/>
              <w:gridCol w:w="1214"/>
              <w:gridCol w:w="1217"/>
              <w:gridCol w:w="1214"/>
              <w:gridCol w:w="1214"/>
              <w:gridCol w:w="1214"/>
              <w:gridCol w:w="1214"/>
              <w:gridCol w:w="1219"/>
              <w:gridCol w:w="1214"/>
            </w:tblGrid>
            <w:tr w14:paraId="2BAED0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85" w:hRule="atLeast"/>
              </w:trPr>
              <w:tc>
                <w:tcPr>
                  <w:tcW w:w="454" w:type="pct"/>
                  <w:vMerge w:val="restart"/>
                  <w:tcBorders>
                    <w:tl2br w:val="nil"/>
                    <w:tr2bl w:val="nil"/>
                  </w:tcBorders>
                  <w:shd w:val="clear" w:color="auto" w:fill="auto"/>
                  <w:vAlign w:val="center"/>
                </w:tcPr>
                <w:p w14:paraId="298E30F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建筑物名称</w:t>
                  </w:r>
                </w:p>
              </w:tc>
              <w:tc>
                <w:tcPr>
                  <w:tcW w:w="527" w:type="pct"/>
                  <w:vMerge w:val="restart"/>
                  <w:tcBorders>
                    <w:tl2br w:val="nil"/>
                    <w:tr2bl w:val="nil"/>
                  </w:tcBorders>
                  <w:shd w:val="clear" w:color="auto" w:fill="auto"/>
                  <w:vAlign w:val="center"/>
                </w:tcPr>
                <w:p w14:paraId="4077ACC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声源名称</w:t>
                  </w:r>
                </w:p>
              </w:tc>
              <w:tc>
                <w:tcPr>
                  <w:tcW w:w="380" w:type="pct"/>
                  <w:vMerge w:val="restart"/>
                  <w:tcBorders>
                    <w:tl2br w:val="nil"/>
                    <w:tr2bl w:val="nil"/>
                  </w:tcBorders>
                  <w:shd w:val="clear" w:color="auto" w:fill="auto"/>
                  <w:vAlign w:val="center"/>
                </w:tcPr>
                <w:p w14:paraId="25C5FCB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数量（套）</w:t>
                  </w:r>
                </w:p>
              </w:tc>
              <w:tc>
                <w:tcPr>
                  <w:tcW w:w="909" w:type="pct"/>
                  <w:gridSpan w:val="2"/>
                  <w:tcBorders>
                    <w:tl2br w:val="nil"/>
                    <w:tr2bl w:val="nil"/>
                  </w:tcBorders>
                  <w:shd w:val="clear" w:color="auto" w:fill="auto"/>
                  <w:vAlign w:val="center"/>
                </w:tcPr>
                <w:p w14:paraId="02A6A1A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声源源强</w:t>
                  </w:r>
                </w:p>
              </w:tc>
              <w:tc>
                <w:tcPr>
                  <w:tcW w:w="454" w:type="pct"/>
                  <w:vMerge w:val="restart"/>
                  <w:tcBorders>
                    <w:tl2br w:val="nil"/>
                    <w:tr2bl w:val="nil"/>
                  </w:tcBorders>
                  <w:shd w:val="clear" w:color="auto" w:fill="auto"/>
                  <w:vAlign w:val="center"/>
                </w:tcPr>
                <w:p w14:paraId="3FC1FC0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多台设备声压级dB(A)</w:t>
                  </w:r>
                </w:p>
              </w:tc>
              <w:tc>
                <w:tcPr>
                  <w:tcW w:w="454" w:type="pct"/>
                  <w:vMerge w:val="restart"/>
                  <w:tcBorders>
                    <w:tl2br w:val="nil"/>
                    <w:tr2bl w:val="nil"/>
                  </w:tcBorders>
                  <w:shd w:val="clear" w:color="auto" w:fill="auto"/>
                  <w:vAlign w:val="center"/>
                </w:tcPr>
                <w:p w14:paraId="7090187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声源控制措施</w:t>
                  </w:r>
                </w:p>
              </w:tc>
              <w:tc>
                <w:tcPr>
                  <w:tcW w:w="1364" w:type="pct"/>
                  <w:gridSpan w:val="3"/>
                  <w:tcBorders>
                    <w:tl2br w:val="nil"/>
                    <w:tr2bl w:val="nil"/>
                  </w:tcBorders>
                  <w:shd w:val="clear" w:color="auto" w:fill="auto"/>
                  <w:vAlign w:val="center"/>
                </w:tcPr>
                <w:p w14:paraId="70A6104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空间相对位置</w:t>
                  </w:r>
                </w:p>
              </w:tc>
              <w:tc>
                <w:tcPr>
                  <w:tcW w:w="454" w:type="pct"/>
                  <w:vMerge w:val="restart"/>
                  <w:tcBorders>
                    <w:tl2br w:val="nil"/>
                    <w:tr2bl w:val="nil"/>
                  </w:tcBorders>
                  <w:shd w:val="clear" w:color="auto" w:fill="auto"/>
                  <w:vAlign w:val="center"/>
                </w:tcPr>
                <w:p w14:paraId="07B4163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运行时段</w:t>
                  </w:r>
                </w:p>
              </w:tc>
            </w:tr>
            <w:tr w14:paraId="1BEB2C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525" w:hRule="atLeast"/>
              </w:trPr>
              <w:tc>
                <w:tcPr>
                  <w:tcW w:w="454" w:type="pct"/>
                  <w:vMerge w:val="continue"/>
                  <w:tcBorders>
                    <w:tl2br w:val="nil"/>
                    <w:tr2bl w:val="nil"/>
                  </w:tcBorders>
                  <w:shd w:val="clear" w:color="auto" w:fill="auto"/>
                  <w:vAlign w:val="center"/>
                </w:tcPr>
                <w:p w14:paraId="05F7282A">
                  <w:pPr>
                    <w:jc w:val="center"/>
                    <w:rPr>
                      <w:rFonts w:hint="default" w:ascii="Times New Roman" w:hAnsi="Times New Roman" w:eastAsia="宋体" w:cs="Times New Roman"/>
                      <w:b/>
                      <w:bCs/>
                      <w:i w:val="0"/>
                      <w:iCs w:val="0"/>
                      <w:color w:val="auto"/>
                      <w:sz w:val="21"/>
                      <w:szCs w:val="21"/>
                      <w:highlight w:val="none"/>
                      <w:u w:val="none"/>
                    </w:rPr>
                  </w:pPr>
                </w:p>
              </w:tc>
              <w:tc>
                <w:tcPr>
                  <w:tcW w:w="527" w:type="pct"/>
                  <w:vMerge w:val="continue"/>
                  <w:tcBorders>
                    <w:tl2br w:val="nil"/>
                    <w:tr2bl w:val="nil"/>
                  </w:tcBorders>
                  <w:shd w:val="clear" w:color="auto" w:fill="auto"/>
                  <w:vAlign w:val="center"/>
                </w:tcPr>
                <w:p w14:paraId="5B8C387E">
                  <w:pPr>
                    <w:jc w:val="center"/>
                    <w:rPr>
                      <w:rFonts w:hint="default" w:ascii="Times New Roman" w:hAnsi="Times New Roman" w:eastAsia="宋体" w:cs="Times New Roman"/>
                      <w:b/>
                      <w:bCs/>
                      <w:i w:val="0"/>
                      <w:iCs w:val="0"/>
                      <w:color w:val="auto"/>
                      <w:sz w:val="21"/>
                      <w:szCs w:val="21"/>
                      <w:highlight w:val="none"/>
                      <w:u w:val="none"/>
                    </w:rPr>
                  </w:pPr>
                </w:p>
              </w:tc>
              <w:tc>
                <w:tcPr>
                  <w:tcW w:w="380" w:type="pct"/>
                  <w:vMerge w:val="continue"/>
                  <w:tcBorders>
                    <w:tl2br w:val="nil"/>
                    <w:tr2bl w:val="nil"/>
                  </w:tcBorders>
                  <w:shd w:val="clear" w:color="auto" w:fill="auto"/>
                  <w:vAlign w:val="center"/>
                </w:tcPr>
                <w:p w14:paraId="2243C733">
                  <w:pPr>
                    <w:jc w:val="center"/>
                    <w:rPr>
                      <w:rFonts w:hint="default" w:ascii="Times New Roman" w:hAnsi="Times New Roman" w:eastAsia="宋体" w:cs="Times New Roman"/>
                      <w:b/>
                      <w:bCs/>
                      <w:i w:val="0"/>
                      <w:iCs w:val="0"/>
                      <w:color w:val="auto"/>
                      <w:sz w:val="21"/>
                      <w:szCs w:val="21"/>
                      <w:highlight w:val="none"/>
                      <w:u w:val="none"/>
                    </w:rPr>
                  </w:pPr>
                </w:p>
              </w:tc>
              <w:tc>
                <w:tcPr>
                  <w:tcW w:w="454" w:type="pct"/>
                  <w:tcBorders>
                    <w:tl2br w:val="nil"/>
                    <w:tr2bl w:val="nil"/>
                  </w:tcBorders>
                  <w:shd w:val="clear" w:color="auto" w:fill="auto"/>
                  <w:vAlign w:val="center"/>
                </w:tcPr>
                <w:p w14:paraId="2B9432A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声压级dB(A)</w:t>
                  </w:r>
                </w:p>
              </w:tc>
              <w:tc>
                <w:tcPr>
                  <w:tcW w:w="454" w:type="pct"/>
                  <w:tcBorders>
                    <w:tl2br w:val="nil"/>
                    <w:tr2bl w:val="nil"/>
                  </w:tcBorders>
                  <w:shd w:val="clear" w:color="auto" w:fill="auto"/>
                  <w:vAlign w:val="center"/>
                </w:tcPr>
                <w:p w14:paraId="12FE3EF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距声源距离/m</w:t>
                  </w:r>
                </w:p>
              </w:tc>
              <w:tc>
                <w:tcPr>
                  <w:tcW w:w="454" w:type="pct"/>
                  <w:vMerge w:val="continue"/>
                  <w:tcBorders>
                    <w:tl2br w:val="nil"/>
                    <w:tr2bl w:val="nil"/>
                  </w:tcBorders>
                  <w:shd w:val="clear" w:color="auto" w:fill="auto"/>
                  <w:vAlign w:val="center"/>
                </w:tcPr>
                <w:p w14:paraId="3E78D17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454" w:type="pct"/>
                  <w:vMerge w:val="continue"/>
                  <w:tcBorders>
                    <w:tl2br w:val="nil"/>
                    <w:tr2bl w:val="nil"/>
                  </w:tcBorders>
                  <w:shd w:val="clear" w:color="auto" w:fill="auto"/>
                  <w:vAlign w:val="center"/>
                </w:tcPr>
                <w:p w14:paraId="47C8B60F">
                  <w:pPr>
                    <w:jc w:val="center"/>
                    <w:rPr>
                      <w:rFonts w:hint="default" w:ascii="Times New Roman" w:hAnsi="Times New Roman" w:eastAsia="宋体" w:cs="Times New Roman"/>
                      <w:b/>
                      <w:bCs/>
                      <w:i w:val="0"/>
                      <w:iCs w:val="0"/>
                      <w:color w:val="auto"/>
                      <w:sz w:val="21"/>
                      <w:szCs w:val="21"/>
                      <w:highlight w:val="none"/>
                      <w:u w:val="none"/>
                    </w:rPr>
                  </w:pPr>
                </w:p>
              </w:tc>
              <w:tc>
                <w:tcPr>
                  <w:tcW w:w="454" w:type="pct"/>
                  <w:tcBorders>
                    <w:tl2br w:val="nil"/>
                    <w:tr2bl w:val="nil"/>
                  </w:tcBorders>
                  <w:shd w:val="clear" w:color="auto" w:fill="auto"/>
                  <w:vAlign w:val="center"/>
                </w:tcPr>
                <w:p w14:paraId="2343227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454" w:type="pct"/>
                  <w:tcBorders>
                    <w:tl2br w:val="nil"/>
                    <w:tr2bl w:val="nil"/>
                  </w:tcBorders>
                  <w:shd w:val="clear" w:color="auto" w:fill="auto"/>
                  <w:vAlign w:val="center"/>
                </w:tcPr>
                <w:p w14:paraId="39371F3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455" w:type="pct"/>
                  <w:tcBorders>
                    <w:tl2br w:val="nil"/>
                    <w:tr2bl w:val="nil"/>
                  </w:tcBorders>
                  <w:shd w:val="clear" w:color="auto" w:fill="auto"/>
                  <w:vAlign w:val="center"/>
                </w:tcPr>
                <w:p w14:paraId="1608272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Z</w:t>
                  </w:r>
                </w:p>
              </w:tc>
              <w:tc>
                <w:tcPr>
                  <w:tcW w:w="454" w:type="pct"/>
                  <w:vMerge w:val="continue"/>
                  <w:tcBorders>
                    <w:tl2br w:val="nil"/>
                    <w:tr2bl w:val="nil"/>
                  </w:tcBorders>
                  <w:shd w:val="clear" w:color="auto" w:fill="auto"/>
                  <w:vAlign w:val="center"/>
                </w:tcPr>
                <w:p w14:paraId="305B16BE">
                  <w:pPr>
                    <w:jc w:val="center"/>
                    <w:rPr>
                      <w:rFonts w:hint="default" w:ascii="Times New Roman" w:hAnsi="Times New Roman" w:eastAsia="宋体" w:cs="Times New Roman"/>
                      <w:b/>
                      <w:bCs/>
                      <w:i w:val="0"/>
                      <w:iCs w:val="0"/>
                      <w:color w:val="auto"/>
                      <w:sz w:val="21"/>
                      <w:szCs w:val="21"/>
                      <w:highlight w:val="none"/>
                      <w:u w:val="none"/>
                    </w:rPr>
                  </w:pPr>
                </w:p>
              </w:tc>
            </w:tr>
            <w:tr w14:paraId="364386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376" w:hRule="atLeast"/>
              </w:trPr>
              <w:tc>
                <w:tcPr>
                  <w:tcW w:w="454" w:type="pct"/>
                  <w:vMerge w:val="restart"/>
                  <w:tcBorders>
                    <w:tl2br w:val="nil"/>
                    <w:tr2bl w:val="nil"/>
                  </w:tcBorders>
                  <w:shd w:val="clear" w:color="auto" w:fill="auto"/>
                  <w:vAlign w:val="center"/>
                </w:tcPr>
                <w:p w14:paraId="371884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室外</w:t>
                  </w:r>
                </w:p>
              </w:tc>
              <w:tc>
                <w:tcPr>
                  <w:tcW w:w="527" w:type="pct"/>
                  <w:tcBorders>
                    <w:tl2br w:val="nil"/>
                    <w:tr2bl w:val="nil"/>
                  </w:tcBorders>
                  <w:shd w:val="clear" w:color="auto" w:fill="auto"/>
                  <w:vAlign w:val="center"/>
                </w:tcPr>
                <w:p w14:paraId="397CF6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二级活性炭吸附装置系统</w:t>
                  </w:r>
                </w:p>
              </w:tc>
              <w:tc>
                <w:tcPr>
                  <w:tcW w:w="380" w:type="pct"/>
                  <w:tcBorders>
                    <w:tl2br w:val="nil"/>
                    <w:tr2bl w:val="nil"/>
                  </w:tcBorders>
                  <w:shd w:val="clear" w:color="auto" w:fill="auto"/>
                  <w:vAlign w:val="center"/>
                </w:tcPr>
                <w:p w14:paraId="4D2F1D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54" w:type="pct"/>
                  <w:tcBorders>
                    <w:tl2br w:val="nil"/>
                    <w:tr2bl w:val="nil"/>
                  </w:tcBorders>
                  <w:shd w:val="clear" w:color="auto" w:fill="auto"/>
                  <w:vAlign w:val="center"/>
                </w:tcPr>
                <w:p w14:paraId="014FD7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454" w:type="pct"/>
                  <w:tcBorders>
                    <w:tl2br w:val="nil"/>
                    <w:tr2bl w:val="nil"/>
                  </w:tcBorders>
                  <w:shd w:val="clear" w:color="auto" w:fill="auto"/>
                  <w:vAlign w:val="center"/>
                </w:tcPr>
                <w:p w14:paraId="15F47D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54" w:type="pct"/>
                  <w:tcBorders>
                    <w:tl2br w:val="nil"/>
                    <w:tr2bl w:val="nil"/>
                  </w:tcBorders>
                  <w:shd w:val="clear" w:color="auto" w:fill="auto"/>
                  <w:vAlign w:val="center"/>
                </w:tcPr>
                <w:p w14:paraId="49CFB1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454" w:type="pct"/>
                  <w:vMerge w:val="restart"/>
                  <w:tcBorders>
                    <w:tl2br w:val="nil"/>
                    <w:tr2bl w:val="nil"/>
                  </w:tcBorders>
                  <w:shd w:val="clear" w:color="auto" w:fill="auto"/>
                  <w:vAlign w:val="center"/>
                </w:tcPr>
                <w:p w14:paraId="6A29E0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减振</w:t>
                  </w:r>
                  <w:r>
                    <w:rPr>
                      <w:rFonts w:hint="default" w:ascii="Times New Roman" w:hAnsi="Times New Roman" w:eastAsia="宋体" w:cs="Times New Roman"/>
                      <w:i w:val="0"/>
                      <w:iCs w:val="0"/>
                      <w:color w:val="auto"/>
                      <w:kern w:val="0"/>
                      <w:sz w:val="21"/>
                      <w:szCs w:val="21"/>
                      <w:highlight w:val="none"/>
                      <w:u w:val="none"/>
                      <w:lang w:val="en-US" w:eastAsia="zh-CN" w:bidi="ar"/>
                    </w:rPr>
                    <w:t>、距离衰减</w:t>
                  </w:r>
                </w:p>
              </w:tc>
              <w:tc>
                <w:tcPr>
                  <w:tcW w:w="454" w:type="pct"/>
                  <w:tcBorders>
                    <w:tl2br w:val="nil"/>
                    <w:tr2bl w:val="nil"/>
                  </w:tcBorders>
                  <w:shd w:val="clear" w:color="auto" w:fill="auto"/>
                  <w:vAlign w:val="center"/>
                </w:tcPr>
                <w:p w14:paraId="11F19C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454" w:type="pct"/>
                  <w:tcBorders>
                    <w:tl2br w:val="nil"/>
                    <w:tr2bl w:val="nil"/>
                  </w:tcBorders>
                  <w:shd w:val="clear" w:color="auto" w:fill="auto"/>
                  <w:vAlign w:val="center"/>
                </w:tcPr>
                <w:p w14:paraId="13B5DE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w:t>
                  </w:r>
                </w:p>
              </w:tc>
              <w:tc>
                <w:tcPr>
                  <w:tcW w:w="455" w:type="pct"/>
                  <w:tcBorders>
                    <w:tl2br w:val="nil"/>
                    <w:tr2bl w:val="nil"/>
                  </w:tcBorders>
                  <w:shd w:val="clear" w:color="auto" w:fill="auto"/>
                  <w:vAlign w:val="center"/>
                </w:tcPr>
                <w:p w14:paraId="66FBCF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454" w:type="pct"/>
                  <w:tcBorders>
                    <w:tl2br w:val="nil"/>
                    <w:tr2bl w:val="nil"/>
                  </w:tcBorders>
                  <w:shd w:val="clear" w:color="auto" w:fill="auto"/>
                  <w:vAlign w:val="center"/>
                </w:tcPr>
                <w:p w14:paraId="16AA83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r>
            <w:tr w14:paraId="7AB7CE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198" w:hRule="atLeast"/>
              </w:trPr>
              <w:tc>
                <w:tcPr>
                  <w:tcW w:w="454" w:type="pct"/>
                  <w:vMerge w:val="continue"/>
                  <w:tcBorders>
                    <w:tl2br w:val="nil"/>
                    <w:tr2bl w:val="nil"/>
                  </w:tcBorders>
                  <w:shd w:val="clear" w:color="auto" w:fill="auto"/>
                  <w:vAlign w:val="center"/>
                </w:tcPr>
                <w:p w14:paraId="0BBCB2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27" w:type="pct"/>
                  <w:tcBorders>
                    <w:tl2br w:val="nil"/>
                    <w:tr2bl w:val="nil"/>
                  </w:tcBorders>
                  <w:shd w:val="clear" w:color="auto" w:fill="auto"/>
                  <w:vAlign w:val="center"/>
                </w:tcPr>
                <w:p w14:paraId="4D62FCC5">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冷却塔</w:t>
                  </w:r>
                </w:p>
              </w:tc>
              <w:tc>
                <w:tcPr>
                  <w:tcW w:w="380" w:type="pct"/>
                  <w:tcBorders>
                    <w:tl2br w:val="nil"/>
                    <w:tr2bl w:val="nil"/>
                  </w:tcBorders>
                  <w:shd w:val="clear" w:color="auto" w:fill="auto"/>
                  <w:vAlign w:val="center"/>
                </w:tcPr>
                <w:p w14:paraId="0A4624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54" w:type="pct"/>
                  <w:tcBorders>
                    <w:tl2br w:val="nil"/>
                    <w:tr2bl w:val="nil"/>
                  </w:tcBorders>
                  <w:shd w:val="clear" w:color="auto" w:fill="auto"/>
                  <w:vAlign w:val="center"/>
                </w:tcPr>
                <w:p w14:paraId="1590B0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75</w:t>
                  </w:r>
                </w:p>
              </w:tc>
              <w:tc>
                <w:tcPr>
                  <w:tcW w:w="454" w:type="pct"/>
                  <w:tcBorders>
                    <w:tl2br w:val="nil"/>
                    <w:tr2bl w:val="nil"/>
                  </w:tcBorders>
                  <w:shd w:val="clear" w:color="auto" w:fill="auto"/>
                  <w:vAlign w:val="center"/>
                </w:tcPr>
                <w:p w14:paraId="5D272E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54" w:type="pct"/>
                  <w:tcBorders>
                    <w:tl2br w:val="nil"/>
                    <w:tr2bl w:val="nil"/>
                  </w:tcBorders>
                  <w:shd w:val="clear" w:color="auto" w:fill="auto"/>
                  <w:vAlign w:val="center"/>
                </w:tcPr>
                <w:p w14:paraId="738D86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75</w:t>
                  </w:r>
                </w:p>
              </w:tc>
              <w:tc>
                <w:tcPr>
                  <w:tcW w:w="454" w:type="pct"/>
                  <w:vMerge w:val="continue"/>
                  <w:tcBorders>
                    <w:tl2br w:val="nil"/>
                    <w:tr2bl w:val="nil"/>
                  </w:tcBorders>
                  <w:shd w:val="clear" w:color="auto" w:fill="auto"/>
                  <w:vAlign w:val="center"/>
                </w:tcPr>
                <w:p w14:paraId="1CEB28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54" w:type="pct"/>
                  <w:tcBorders>
                    <w:tl2br w:val="nil"/>
                    <w:tr2bl w:val="nil"/>
                  </w:tcBorders>
                  <w:shd w:val="clear" w:color="auto" w:fill="auto"/>
                  <w:vAlign w:val="center"/>
                </w:tcPr>
                <w:p w14:paraId="64258C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49</w:t>
                  </w:r>
                </w:p>
              </w:tc>
              <w:tc>
                <w:tcPr>
                  <w:tcW w:w="454" w:type="pct"/>
                  <w:tcBorders>
                    <w:tl2br w:val="nil"/>
                    <w:tr2bl w:val="nil"/>
                  </w:tcBorders>
                  <w:shd w:val="clear" w:color="auto" w:fill="auto"/>
                  <w:vAlign w:val="center"/>
                </w:tcPr>
                <w:p w14:paraId="6A26DA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17</w:t>
                  </w:r>
                </w:p>
              </w:tc>
              <w:tc>
                <w:tcPr>
                  <w:tcW w:w="455" w:type="pct"/>
                  <w:tcBorders>
                    <w:tl2br w:val="nil"/>
                    <w:tr2bl w:val="nil"/>
                  </w:tcBorders>
                  <w:shd w:val="clear" w:color="auto" w:fill="auto"/>
                  <w:vAlign w:val="center"/>
                </w:tcPr>
                <w:p w14:paraId="47AA04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454" w:type="pct"/>
                  <w:tcBorders>
                    <w:tl2br w:val="nil"/>
                    <w:tr2bl w:val="nil"/>
                  </w:tcBorders>
                  <w:shd w:val="clear" w:color="auto" w:fill="auto"/>
                  <w:vAlign w:val="center"/>
                </w:tcPr>
                <w:p w14:paraId="433BBA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r>
          </w:tbl>
          <w:p w14:paraId="0D1C3846">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 w:val="21"/>
                <w:szCs w:val="21"/>
                <w:highlight w:val="none"/>
              </w:rPr>
              <w:t>注：项目以</w:t>
            </w:r>
            <w:r>
              <w:rPr>
                <w:rFonts w:hint="default" w:ascii="Times New Roman" w:hAnsi="Times New Roman" w:cs="Times New Roman"/>
                <w:b w:val="0"/>
                <w:bCs w:val="0"/>
                <w:color w:val="auto"/>
                <w:sz w:val="21"/>
                <w:szCs w:val="21"/>
                <w:highlight w:val="none"/>
                <w:lang w:val="en-US" w:eastAsia="zh-CN"/>
              </w:rPr>
              <w:t>生产厂房</w:t>
            </w:r>
            <w:r>
              <w:rPr>
                <w:rFonts w:hint="default" w:ascii="Times New Roman" w:hAnsi="Times New Roman" w:cs="Times New Roman"/>
                <w:b w:val="0"/>
                <w:bCs w:val="0"/>
                <w:color w:val="auto"/>
                <w:sz w:val="21"/>
                <w:szCs w:val="21"/>
                <w:highlight w:val="none"/>
              </w:rPr>
              <w:t>中心为坐标原点（0，0）。</w:t>
            </w:r>
          </w:p>
        </w:tc>
      </w:tr>
    </w:tbl>
    <w:p w14:paraId="1654AC44">
      <w:pPr>
        <w:adjustRightInd w:val="0"/>
        <w:snapToGrid w:val="0"/>
        <w:spacing w:line="360" w:lineRule="auto"/>
        <w:rPr>
          <w:rFonts w:hint="default" w:ascii="Times New Roman" w:hAnsi="Times New Roman" w:cs="Times New Roman"/>
          <w:b/>
          <w:color w:val="auto"/>
          <w:kern w:val="0"/>
          <w:sz w:val="28"/>
          <w:szCs w:val="28"/>
          <w:highlight w:val="none"/>
        </w:rPr>
        <w:sectPr>
          <w:pgSz w:w="16840" w:h="11907" w:orient="landscape"/>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8"/>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
        <w:gridCol w:w="9486"/>
      </w:tblGrid>
      <w:tr w14:paraId="1407C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63" w:hRule="atLeast"/>
          <w:jc w:val="center"/>
        </w:trPr>
        <w:tc>
          <w:tcPr>
            <w:tcW w:w="213" w:type="pct"/>
            <w:tcMar>
              <w:left w:w="28" w:type="dxa"/>
              <w:right w:w="28" w:type="dxa"/>
            </w:tcMar>
            <w:vAlign w:val="center"/>
          </w:tcPr>
          <w:p w14:paraId="5642AE04">
            <w:pPr>
              <w:adjustRightInd w:val="0"/>
              <w:snapToGrid w:val="0"/>
              <w:jc w:val="center"/>
              <w:rPr>
                <w:rFonts w:hint="default" w:ascii="Times New Roman" w:hAnsi="Times New Roman" w:cs="Times New Roman"/>
                <w:bCs/>
                <w:color w:val="auto"/>
                <w:szCs w:val="21"/>
                <w:highlight w:val="none"/>
              </w:rPr>
            </w:pPr>
          </w:p>
        </w:tc>
        <w:tc>
          <w:tcPr>
            <w:tcW w:w="4786" w:type="pct"/>
          </w:tcPr>
          <w:p w14:paraId="70006E5D">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2、噪声污染防治措施</w:t>
            </w:r>
          </w:p>
          <w:p w14:paraId="3613ACC9">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本项目将从声源和噪声传播途径两个环节上着手降低噪声。具体措施有：</w:t>
            </w:r>
          </w:p>
          <w:p w14:paraId="3F9267F6">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选用低噪声设备，对高噪声设备进行隔音、吸音处理；</w:t>
            </w:r>
          </w:p>
          <w:p w14:paraId="6EAFB94A">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对产生机械噪声的设备，在设备与基础之间安装减</w:t>
            </w:r>
            <w:r>
              <w:rPr>
                <w:rFonts w:hint="default" w:ascii="Times New Roman" w:hAnsi="Times New Roman" w:cs="Times New Roman"/>
                <w:color w:val="auto"/>
                <w:kern w:val="0"/>
                <w:sz w:val="24"/>
                <w:highlight w:val="none"/>
                <w:lang w:val="en-US" w:eastAsia="zh-CN"/>
              </w:rPr>
              <w:t>振</w:t>
            </w:r>
            <w:r>
              <w:rPr>
                <w:rFonts w:hint="default" w:ascii="Times New Roman" w:hAnsi="Times New Roman" w:eastAsia="宋体" w:cs="Times New Roman"/>
                <w:color w:val="auto"/>
                <w:kern w:val="0"/>
                <w:sz w:val="24"/>
                <w:highlight w:val="none"/>
              </w:rPr>
              <w:t>装置；</w:t>
            </w:r>
          </w:p>
          <w:p w14:paraId="39183DC6">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3</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总图布置尽量将噪声大的噪声源远离厂界和敏感点，通过距离衰减降噪；</w:t>
            </w:r>
          </w:p>
          <w:p w14:paraId="07F06A72">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4</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加强设备的维修保养，使设备处于最佳工作状态，杜绝因设备不正常运转时产生的高噪声现象；</w:t>
            </w:r>
          </w:p>
          <w:p w14:paraId="04F3D1B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合理安排生产时间，避免在休息时间进行高噪声设备的操作</w:t>
            </w:r>
            <w:r>
              <w:rPr>
                <w:rFonts w:hint="default" w:ascii="Times New Roman" w:hAnsi="Times New Roman" w:cs="Times New Roman"/>
                <w:color w:val="auto"/>
                <w:sz w:val="24"/>
                <w:highlight w:val="none"/>
              </w:rPr>
              <w:t>。</w:t>
            </w:r>
          </w:p>
          <w:p w14:paraId="43B27684">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噪声预测</w:t>
            </w:r>
          </w:p>
          <w:p w14:paraId="3803D73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根据《环境影响评价技术导则声环境》（HJ2.4-2021）附录A和附录B的模式进行预测。</w:t>
            </w:r>
          </w:p>
          <w:p w14:paraId="67D0BF1D">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（1）室外声源在预测点产生的声级计算模型基本公式（附录A.2）</w:t>
            </w:r>
          </w:p>
          <w:p w14:paraId="497E49B0">
            <w:pPr>
              <w:bidi w:val="0"/>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户外声传播衰减包括几何发散（Adiv）、大气吸收（Aatm）、地面效应（</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gr</w:t>
            </w:r>
            <w:r>
              <w:rPr>
                <w:rFonts w:hint="default" w:ascii="Times New Roman" w:hAnsi="Times New Roman" w:eastAsia="宋体" w:cs="Times New Roman"/>
                <w:color w:val="auto"/>
                <w:sz w:val="24"/>
                <w:szCs w:val="24"/>
                <w:highlight w:val="none"/>
              </w:rPr>
              <w:t>）、障碍物屏蔽（</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bar</w:t>
            </w:r>
            <w:r>
              <w:rPr>
                <w:rFonts w:hint="default" w:ascii="Times New Roman" w:hAnsi="Times New Roman" w:eastAsia="宋体" w:cs="Times New Roman"/>
                <w:color w:val="auto"/>
                <w:sz w:val="24"/>
                <w:szCs w:val="24"/>
                <w:highlight w:val="none"/>
              </w:rPr>
              <w:t>）、其他多方面效应（</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misc</w:t>
            </w:r>
            <w:r>
              <w:rPr>
                <w:rFonts w:hint="default" w:ascii="Times New Roman" w:hAnsi="Times New Roman" w:eastAsia="宋体" w:cs="Times New Roman"/>
                <w:color w:val="auto"/>
                <w:sz w:val="24"/>
                <w:szCs w:val="24"/>
                <w:highlight w:val="none"/>
              </w:rPr>
              <w:t>）引起的衰减。</w:t>
            </w:r>
          </w:p>
          <w:p w14:paraId="1058007B">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在环境影响评价中，应根据声源声功率级或参考位置处的声压级、户外声传播衰减，计算预测点的声级，分别按式（A.1）或式（A.2）计算。</w:t>
            </w:r>
          </w:p>
          <w:p w14:paraId="4E1F7383">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D</w:t>
            </w:r>
            <w:r>
              <w:rPr>
                <w:rFonts w:hint="default" w:ascii="Times New Roman" w:hAnsi="Times New Roman" w:eastAsia="宋体" w:cs="Times New Roman"/>
                <w:i/>
                <w:iCs/>
                <w:color w:val="auto"/>
                <w:sz w:val="24"/>
                <w:szCs w:val="24"/>
                <w:highlight w:val="none"/>
                <w:vertAlign w:val="subscript"/>
              </w:rPr>
              <w:t>c</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div</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atm</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gr</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bar</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misc</w:t>
            </w:r>
            <w:r>
              <w:rPr>
                <w:rFonts w:hint="default" w:ascii="Times New Roman" w:hAnsi="Times New Roman" w:eastAsia="宋体" w:cs="Times New Roman"/>
                <w:color w:val="auto"/>
                <w:sz w:val="24"/>
                <w:szCs w:val="24"/>
                <w:highlight w:val="none"/>
              </w:rPr>
              <w:t>)(A.1)</w:t>
            </w:r>
          </w:p>
          <w:p w14:paraId="3F2BF366">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743A5F5D">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—预测点处声压级，dB；</w:t>
            </w:r>
          </w:p>
          <w:p w14:paraId="0ABDD8B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—由点声源产生的声功率级（A计权或倍频带），dB；</w:t>
            </w:r>
          </w:p>
          <w:p w14:paraId="333C5332">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D</w:t>
            </w:r>
            <w:r>
              <w:rPr>
                <w:rFonts w:hint="default" w:ascii="Times New Roman" w:hAnsi="Times New Roman" w:eastAsia="宋体" w:cs="Times New Roman"/>
                <w:i/>
                <w:iCs/>
                <w:color w:val="auto"/>
                <w:sz w:val="24"/>
                <w:szCs w:val="24"/>
                <w:highlight w:val="none"/>
                <w:vertAlign w:val="subscript"/>
              </w:rPr>
              <w:t>c</w:t>
            </w:r>
            <w:r>
              <w:rPr>
                <w:rFonts w:hint="default" w:ascii="Times New Roman" w:hAnsi="Times New Roman" w:eastAsia="宋体" w:cs="Times New Roman"/>
                <w:color w:val="auto"/>
                <w:sz w:val="24"/>
                <w:szCs w:val="24"/>
                <w:highlight w:val="none"/>
              </w:rPr>
              <w:t>—指向性校正，它描述声源的等效连续声压级与产生声功率级</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的全向点声源在规定方向的声级的偏差程度，dB；</w:t>
            </w:r>
          </w:p>
          <w:p w14:paraId="20B4839C">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div</w:t>
            </w:r>
            <w:r>
              <w:rPr>
                <w:rFonts w:hint="default" w:ascii="Times New Roman" w:hAnsi="Times New Roman" w:eastAsia="宋体" w:cs="Times New Roman"/>
                <w:color w:val="auto"/>
                <w:sz w:val="24"/>
                <w:szCs w:val="24"/>
                <w:highlight w:val="none"/>
              </w:rPr>
              <w:t>—几何发散引起的衰减，dB；</w:t>
            </w:r>
          </w:p>
          <w:p w14:paraId="765EC87B">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atm</w:t>
            </w:r>
            <w:r>
              <w:rPr>
                <w:rFonts w:hint="default" w:ascii="Times New Roman" w:hAnsi="Times New Roman" w:eastAsia="宋体" w:cs="Times New Roman"/>
                <w:color w:val="auto"/>
                <w:sz w:val="24"/>
                <w:szCs w:val="24"/>
                <w:highlight w:val="none"/>
              </w:rPr>
              <w:t>—大气吸收引起的衰减，dB；</w:t>
            </w:r>
          </w:p>
          <w:p w14:paraId="5087640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gr</w:t>
            </w:r>
            <w:r>
              <w:rPr>
                <w:rFonts w:hint="default" w:ascii="Times New Roman" w:hAnsi="Times New Roman" w:eastAsia="宋体" w:cs="Times New Roman"/>
                <w:color w:val="auto"/>
                <w:sz w:val="24"/>
                <w:szCs w:val="24"/>
                <w:highlight w:val="none"/>
              </w:rPr>
              <w:t>—地面效应引起的衰减，dB；</w:t>
            </w:r>
          </w:p>
          <w:p w14:paraId="321E2CE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bar</w:t>
            </w:r>
            <w:r>
              <w:rPr>
                <w:rFonts w:hint="default" w:ascii="Times New Roman" w:hAnsi="Times New Roman" w:eastAsia="宋体" w:cs="Times New Roman"/>
                <w:color w:val="auto"/>
                <w:sz w:val="24"/>
                <w:szCs w:val="24"/>
                <w:highlight w:val="none"/>
              </w:rPr>
              <w:t>—障碍物屏蔽引起的衰减，dB；</w:t>
            </w:r>
          </w:p>
          <w:p w14:paraId="12AFF384">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misc</w:t>
            </w:r>
            <w:r>
              <w:rPr>
                <w:rFonts w:hint="default" w:ascii="Times New Roman" w:hAnsi="Times New Roman" w:eastAsia="宋体" w:cs="Times New Roman"/>
                <w:color w:val="auto"/>
                <w:sz w:val="24"/>
                <w:szCs w:val="24"/>
                <w:highlight w:val="none"/>
              </w:rPr>
              <w:t>—其他多方面效应引起的衰减，dB。</w:t>
            </w:r>
          </w:p>
          <w:p w14:paraId="61CC4681">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i/>
                <w:iCs/>
                <w:color w:val="auto"/>
                <w:sz w:val="24"/>
                <w:szCs w:val="24"/>
                <w:highlight w:val="none"/>
                <w:vertAlign w:val="subscript"/>
              </w:rPr>
              <w:t>0</w:t>
            </w:r>
            <w:r>
              <w:rPr>
                <w:rFonts w:hint="default" w:ascii="Times New Roman" w:hAnsi="Times New Roman" w:eastAsia="宋体" w:cs="Times New Roman"/>
                <w:i/>
                <w:iCs/>
                <w:color w:val="auto"/>
                <w:sz w:val="24"/>
                <w:szCs w:val="24"/>
                <w:highlight w:val="none"/>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D</w:t>
            </w:r>
            <w:r>
              <w:rPr>
                <w:rFonts w:hint="default" w:ascii="Times New Roman" w:hAnsi="Times New Roman" w:eastAsia="宋体" w:cs="Times New Roman"/>
                <w:i/>
                <w:iCs/>
                <w:color w:val="auto"/>
                <w:sz w:val="24"/>
                <w:szCs w:val="24"/>
                <w:highlight w:val="none"/>
                <w:vertAlign w:val="subscript"/>
              </w:rPr>
              <w:t>c</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div</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atm</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gr</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bar</w:t>
            </w: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misc</w:t>
            </w:r>
            <w:r>
              <w:rPr>
                <w:rFonts w:hint="default" w:ascii="Times New Roman" w:hAnsi="Times New Roman" w:eastAsia="宋体" w:cs="Times New Roman"/>
                <w:color w:val="auto"/>
                <w:sz w:val="24"/>
                <w:szCs w:val="24"/>
                <w:highlight w:val="none"/>
              </w:rPr>
              <w:t>)(A.2)</w:t>
            </w:r>
          </w:p>
          <w:p w14:paraId="73FD6307">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5228EE3E">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—预测点处声压级，dB；</w:t>
            </w:r>
          </w:p>
          <w:p w14:paraId="785E4DD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i/>
                <w:iCs/>
                <w:color w:val="auto"/>
                <w:sz w:val="24"/>
                <w:szCs w:val="24"/>
                <w:highlight w:val="none"/>
                <w:vertAlign w:val="subscript"/>
              </w:rPr>
              <w:t>0</w:t>
            </w:r>
            <w:r>
              <w:rPr>
                <w:rFonts w:hint="default" w:ascii="Times New Roman" w:hAnsi="Times New Roman" w:eastAsia="宋体" w:cs="Times New Roman"/>
                <w:i/>
                <w:iCs/>
                <w:color w:val="auto"/>
                <w:sz w:val="24"/>
                <w:szCs w:val="24"/>
                <w:highlight w:val="none"/>
              </w:rPr>
              <w:t>)</w:t>
            </w:r>
            <w:r>
              <w:rPr>
                <w:rFonts w:hint="default" w:ascii="Times New Roman" w:hAnsi="Times New Roman" w:eastAsia="宋体" w:cs="Times New Roman"/>
                <w:color w:val="auto"/>
                <w:sz w:val="24"/>
                <w:szCs w:val="24"/>
                <w:highlight w:val="none"/>
              </w:rPr>
              <w:t>—参考位置r</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处的声压级，dB；</w:t>
            </w:r>
          </w:p>
          <w:p w14:paraId="48DE667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D</w:t>
            </w:r>
            <w:r>
              <w:rPr>
                <w:rFonts w:hint="default" w:ascii="Times New Roman" w:hAnsi="Times New Roman" w:eastAsia="宋体" w:cs="Times New Roman"/>
                <w:i/>
                <w:iCs/>
                <w:color w:val="auto"/>
                <w:sz w:val="24"/>
                <w:szCs w:val="24"/>
                <w:highlight w:val="none"/>
                <w:vertAlign w:val="subscript"/>
              </w:rPr>
              <w:t>c</w:t>
            </w:r>
            <w:r>
              <w:rPr>
                <w:rFonts w:hint="default" w:ascii="Times New Roman" w:hAnsi="Times New Roman" w:eastAsia="宋体" w:cs="Times New Roman"/>
                <w:color w:val="auto"/>
                <w:sz w:val="24"/>
                <w:szCs w:val="24"/>
                <w:highlight w:val="none"/>
              </w:rPr>
              <w:t>—指向性校正，它描述声源的等效连续声压级与产生声功率级</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的全向点声源在规定方向的声级的偏差程度，dB；</w:t>
            </w:r>
          </w:p>
          <w:p w14:paraId="5C6889C4">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div</w:t>
            </w:r>
            <w:r>
              <w:rPr>
                <w:rFonts w:hint="default" w:ascii="Times New Roman" w:hAnsi="Times New Roman" w:eastAsia="宋体" w:cs="Times New Roman"/>
                <w:color w:val="auto"/>
                <w:sz w:val="24"/>
                <w:szCs w:val="24"/>
                <w:highlight w:val="none"/>
              </w:rPr>
              <w:t>—几何发散引起的衰减，dB；</w:t>
            </w:r>
          </w:p>
          <w:p w14:paraId="349F5F58">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atm</w:t>
            </w:r>
            <w:r>
              <w:rPr>
                <w:rFonts w:hint="default" w:ascii="Times New Roman" w:hAnsi="Times New Roman" w:eastAsia="宋体" w:cs="Times New Roman"/>
                <w:color w:val="auto"/>
                <w:sz w:val="24"/>
                <w:szCs w:val="24"/>
                <w:highlight w:val="none"/>
              </w:rPr>
              <w:t>—大气吸收引起的衰减，dB；</w:t>
            </w:r>
          </w:p>
          <w:p w14:paraId="5B0C2C3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gr</w:t>
            </w:r>
            <w:r>
              <w:rPr>
                <w:rFonts w:hint="default" w:ascii="Times New Roman" w:hAnsi="Times New Roman" w:eastAsia="宋体" w:cs="Times New Roman"/>
                <w:color w:val="auto"/>
                <w:sz w:val="24"/>
                <w:szCs w:val="24"/>
                <w:highlight w:val="none"/>
              </w:rPr>
              <w:t>—地面效应引起的衰减，dB；</w:t>
            </w:r>
          </w:p>
          <w:p w14:paraId="193937C9">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bar</w:t>
            </w:r>
            <w:r>
              <w:rPr>
                <w:rFonts w:hint="default" w:ascii="Times New Roman" w:hAnsi="Times New Roman" w:eastAsia="宋体" w:cs="Times New Roman"/>
                <w:color w:val="auto"/>
                <w:sz w:val="24"/>
                <w:szCs w:val="24"/>
                <w:highlight w:val="none"/>
              </w:rPr>
              <w:t>—障碍物屏蔽引起的衰减，dB；</w:t>
            </w:r>
          </w:p>
          <w:p w14:paraId="7973DBC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misc</w:t>
            </w:r>
            <w:r>
              <w:rPr>
                <w:rFonts w:hint="default" w:ascii="Times New Roman" w:hAnsi="Times New Roman" w:eastAsia="宋体" w:cs="Times New Roman"/>
                <w:color w:val="auto"/>
                <w:sz w:val="24"/>
                <w:szCs w:val="24"/>
                <w:highlight w:val="none"/>
              </w:rPr>
              <w:t>—其他多方面效应引起的衰减，dB。</w:t>
            </w:r>
          </w:p>
          <w:p w14:paraId="37B4B27B">
            <w:pPr>
              <w:numPr>
                <w:ilvl w:val="0"/>
                <w:numId w:val="13"/>
              </w:num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预测点的A声级</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可按式（A.3）计算，即将8个倍频带声压级合成，计算出预测点的A声级[</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w:t>
            </w:r>
          </w:p>
          <w:p w14:paraId="659E2968">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760855" cy="422275"/>
                  <wp:effectExtent l="0" t="0" r="10795" b="15875"/>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29"/>
                          <a:stretch>
                            <a:fillRect/>
                          </a:stretch>
                        </pic:blipFill>
                        <pic:spPr>
                          <a:xfrm>
                            <a:off x="0" y="0"/>
                            <a:ext cx="1760855" cy="422275"/>
                          </a:xfrm>
                          <a:prstGeom prst="rect">
                            <a:avLst/>
                          </a:prstGeom>
                          <a:noFill/>
                          <a:ln>
                            <a:noFill/>
                          </a:ln>
                        </pic:spPr>
                      </pic:pic>
                    </a:graphicData>
                  </a:graphic>
                </wp:inline>
              </w:drawing>
            </w:r>
            <w:r>
              <w:rPr>
                <w:rFonts w:hint="default" w:ascii="Times New Roman" w:hAnsi="Times New Roman" w:eastAsia="宋体" w:cs="Times New Roman"/>
                <w:color w:val="auto"/>
                <w:kern w:val="0"/>
                <w:sz w:val="24"/>
                <w:szCs w:val="24"/>
                <w:highlight w:val="none"/>
              </w:rPr>
              <w:t>（A.3）</w:t>
            </w:r>
          </w:p>
          <w:p w14:paraId="07DE7C27">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1FA4916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—距声源</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处的A声级，dB（A）；</w:t>
            </w:r>
          </w:p>
          <w:p w14:paraId="236A92C7">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pi</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—预测点（</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）处，第</w:t>
            </w:r>
            <w:r>
              <w:rPr>
                <w:rFonts w:hint="default" w:ascii="Times New Roman" w:hAnsi="Times New Roman" w:eastAsia="宋体" w:cs="Times New Roman"/>
                <w:i/>
                <w:iCs/>
                <w:color w:val="auto"/>
                <w:sz w:val="24"/>
                <w:szCs w:val="24"/>
                <w:highlight w:val="none"/>
              </w:rPr>
              <w:t>i</w:t>
            </w:r>
            <w:r>
              <w:rPr>
                <w:rFonts w:hint="default" w:ascii="Times New Roman" w:hAnsi="Times New Roman" w:eastAsia="宋体" w:cs="Times New Roman"/>
                <w:color w:val="auto"/>
                <w:sz w:val="24"/>
                <w:szCs w:val="24"/>
                <w:highlight w:val="none"/>
              </w:rPr>
              <w:t>倍频带声压级，dB；</w:t>
            </w:r>
          </w:p>
          <w:p w14:paraId="20CFFFEE">
            <w:pPr>
              <w:spacing w:line="360" w:lineRule="auto"/>
              <w:ind w:firstLine="480"/>
              <w:rPr>
                <w:rFonts w:hint="default" w:ascii="Times New Roman" w:hAnsi="Times New Roman" w:eastAsia="宋体" w:cs="Times New Roman"/>
                <w:i/>
                <w:iCs/>
                <w:color w:val="auto"/>
                <w:sz w:val="24"/>
                <w:szCs w:val="24"/>
                <w:highlight w:val="none"/>
              </w:rPr>
            </w:pPr>
            <w:r>
              <w:rPr>
                <w:rFonts w:hint="default" w:ascii="Times New Roman" w:hAnsi="Times New Roman" w:eastAsia="宋体" w:cs="Times New Roman"/>
                <w:i/>
                <w:iCs/>
                <w:color w:val="auto"/>
                <w:sz w:val="24"/>
                <w:szCs w:val="24"/>
                <w:highlight w:val="none"/>
              </w:rPr>
              <w:t>△Li</w:t>
            </w:r>
            <w:r>
              <w:rPr>
                <w:rFonts w:hint="default" w:ascii="Times New Roman" w:hAnsi="Times New Roman" w:eastAsia="宋体" w:cs="Times New Roman"/>
                <w:color w:val="auto"/>
                <w:sz w:val="24"/>
                <w:szCs w:val="24"/>
                <w:highlight w:val="none"/>
              </w:rPr>
              <w:t>—第</w:t>
            </w:r>
            <w:r>
              <w:rPr>
                <w:rFonts w:hint="default" w:ascii="Times New Roman" w:hAnsi="Times New Roman" w:eastAsia="宋体" w:cs="Times New Roman"/>
                <w:i/>
                <w:iCs/>
                <w:color w:val="auto"/>
                <w:sz w:val="24"/>
                <w:szCs w:val="24"/>
                <w:highlight w:val="none"/>
              </w:rPr>
              <w:t>i</w:t>
            </w:r>
            <w:r>
              <w:rPr>
                <w:rFonts w:hint="default" w:ascii="Times New Roman" w:hAnsi="Times New Roman" w:eastAsia="宋体" w:cs="Times New Roman"/>
                <w:color w:val="auto"/>
                <w:sz w:val="24"/>
                <w:szCs w:val="24"/>
                <w:highlight w:val="none"/>
              </w:rPr>
              <w:t>倍频带的A计权网络修正值，dB。</w:t>
            </w:r>
          </w:p>
          <w:p w14:paraId="716FD8A9">
            <w:pPr>
              <w:numPr>
                <w:ilvl w:val="0"/>
                <w:numId w:val="13"/>
              </w:num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在只考虑几何发散衰减时，可按式（A.4）计算。</w:t>
            </w:r>
          </w:p>
          <w:p w14:paraId="367994C7">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270000" cy="248285"/>
                  <wp:effectExtent l="0" t="0" r="6350" b="18415"/>
                  <wp:docPr id="1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
                          <pic:cNvPicPr>
                            <a:picLocks noChangeAspect="1"/>
                          </pic:cNvPicPr>
                        </pic:nvPicPr>
                        <pic:blipFill>
                          <a:blip r:embed="rId30"/>
                          <a:stretch>
                            <a:fillRect/>
                          </a:stretch>
                        </pic:blipFill>
                        <pic:spPr>
                          <a:xfrm>
                            <a:off x="0" y="0"/>
                            <a:ext cx="1270000" cy="24828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（A.4）</w:t>
            </w:r>
          </w:p>
          <w:p w14:paraId="46C2544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4CF0517D">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—距声源</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处的A声级，dB（A）；</w:t>
            </w:r>
          </w:p>
          <w:p w14:paraId="2E21F00E">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i/>
                <w:iCs/>
                <w:color w:val="auto"/>
                <w:sz w:val="24"/>
                <w:szCs w:val="24"/>
                <w:highlight w:val="none"/>
                <w:vertAlign w:val="subscript"/>
              </w:rPr>
              <w:t>0</w:t>
            </w:r>
            <w:r>
              <w:rPr>
                <w:rFonts w:hint="default" w:ascii="Times New Roman" w:hAnsi="Times New Roman" w:eastAsia="宋体" w:cs="Times New Roman"/>
                <w:i/>
                <w:iCs/>
                <w:color w:val="auto"/>
                <w:sz w:val="24"/>
                <w:szCs w:val="24"/>
                <w:highlight w:val="none"/>
              </w:rPr>
              <w:t>)</w:t>
            </w:r>
            <w:r>
              <w:rPr>
                <w:rFonts w:hint="default" w:ascii="Times New Roman" w:hAnsi="Times New Roman" w:eastAsia="宋体" w:cs="Times New Roman"/>
                <w:color w:val="auto"/>
                <w:sz w:val="24"/>
                <w:szCs w:val="24"/>
                <w:highlight w:val="none"/>
              </w:rPr>
              <w:t>—参考位置</w:t>
            </w: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i/>
                <w:iCs/>
                <w:color w:val="auto"/>
                <w:sz w:val="24"/>
                <w:szCs w:val="24"/>
                <w:highlight w:val="none"/>
                <w:vertAlign w:val="subscript"/>
              </w:rPr>
              <w:t>0</w:t>
            </w:r>
            <w:r>
              <w:rPr>
                <w:rFonts w:hint="default" w:ascii="Times New Roman" w:hAnsi="Times New Roman" w:eastAsia="宋体" w:cs="Times New Roman"/>
                <w:color w:val="auto"/>
                <w:sz w:val="24"/>
                <w:szCs w:val="24"/>
                <w:highlight w:val="none"/>
              </w:rPr>
              <w:t>的A声级，dB（A）；</w:t>
            </w:r>
          </w:p>
          <w:p w14:paraId="26640929">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A</w:t>
            </w:r>
            <w:r>
              <w:rPr>
                <w:rFonts w:hint="default" w:ascii="Times New Roman" w:hAnsi="Times New Roman" w:eastAsia="宋体" w:cs="Times New Roman"/>
                <w:i/>
                <w:iCs/>
                <w:color w:val="auto"/>
                <w:sz w:val="24"/>
                <w:szCs w:val="24"/>
                <w:highlight w:val="none"/>
                <w:vertAlign w:val="subscript"/>
              </w:rPr>
              <w:t>div</w:t>
            </w:r>
            <w:r>
              <w:rPr>
                <w:rFonts w:hint="default" w:ascii="Times New Roman" w:hAnsi="Times New Roman" w:eastAsia="宋体" w:cs="Times New Roman"/>
                <w:color w:val="auto"/>
                <w:sz w:val="24"/>
                <w:szCs w:val="24"/>
                <w:highlight w:val="none"/>
              </w:rPr>
              <w:t>—几何发散引起的衰减，dB。</w:t>
            </w:r>
          </w:p>
          <w:p w14:paraId="308DE362">
            <w:pPr>
              <w:spacing w:line="360" w:lineRule="auto"/>
              <w:ind w:firstLine="48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以上公式中衰减项计算按HJ2.4-2021正文A.3相关模式进行计算。</w:t>
            </w:r>
          </w:p>
          <w:p w14:paraId="0A1A2872">
            <w:pPr>
              <w:numPr>
                <w:ilvl w:val="0"/>
                <w:numId w:val="14"/>
              </w:numPr>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室内声源等效室外声源声功率级计算方法（附录B.1.3）</w:t>
            </w:r>
          </w:p>
          <w:p w14:paraId="1936B1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如图B.1所示，声源位于室内，室内声源可采用等效室外声源声功率级法进行计算。设靠近开口处（或窗户）室内、室外某倍频带的声压级或A声级分别为</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w:t>
            </w:r>
            <w:r>
              <w:rPr>
                <w:rFonts w:hint="default" w:ascii="Times New Roman" w:hAnsi="Times New Roman" w:eastAsia="宋体" w:cs="Times New Roman"/>
                <w:color w:val="auto"/>
                <w:sz w:val="24"/>
                <w:szCs w:val="24"/>
                <w:highlight w:val="none"/>
              </w:rPr>
              <w:t>和</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p2</w:t>
            </w:r>
            <w:r>
              <w:rPr>
                <w:rFonts w:hint="default" w:ascii="Times New Roman" w:hAnsi="Times New Roman" w:eastAsia="宋体" w:cs="Times New Roman"/>
                <w:color w:val="auto"/>
                <w:sz w:val="24"/>
                <w:szCs w:val="24"/>
                <w:highlight w:val="none"/>
              </w:rPr>
              <w:t>。若声源所在室内声场为近似扩散声场，则室外的倍频带声压级可按式（B.1）近似求出：</w:t>
            </w:r>
          </w:p>
          <w:p w14:paraId="64C625CE">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468755" cy="267970"/>
                  <wp:effectExtent l="0" t="0" r="17145" b="17780"/>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31"/>
                          <a:srcRect r="12897"/>
                          <a:stretch>
                            <a:fillRect/>
                          </a:stretch>
                        </pic:blipFill>
                        <pic:spPr>
                          <a:xfrm>
                            <a:off x="0" y="0"/>
                            <a:ext cx="1468755" cy="267970"/>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（B.1）</w:t>
            </w:r>
          </w:p>
          <w:p w14:paraId="7D406635">
            <w:pPr>
              <w:spacing w:line="360" w:lineRule="auto"/>
              <w:ind w:firstLine="480"/>
              <w:rPr>
                <w:rFonts w:hint="default" w:ascii="Times New Roman" w:hAnsi="Times New Roman" w:eastAsia="宋体" w:cs="Times New Roman"/>
                <w:color w:val="auto"/>
                <w:sz w:val="24"/>
                <w:szCs w:val="24"/>
                <w:highlight w:val="none"/>
              </w:rPr>
            </w:pPr>
          </w:p>
          <w:p w14:paraId="3070858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718ACE40">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w:t>
            </w:r>
            <w:r>
              <w:rPr>
                <w:rFonts w:hint="default" w:ascii="Times New Roman" w:hAnsi="Times New Roman" w:eastAsia="宋体" w:cs="Times New Roman"/>
                <w:color w:val="auto"/>
                <w:sz w:val="24"/>
                <w:szCs w:val="24"/>
                <w:highlight w:val="none"/>
              </w:rPr>
              <w:t>—靠近开口处（或窗户）室内某倍频带的声压级或A声级，dB；</w:t>
            </w:r>
          </w:p>
          <w:p w14:paraId="10567E09">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p2</w:t>
            </w:r>
            <w:r>
              <w:rPr>
                <w:rFonts w:hint="default" w:ascii="Times New Roman" w:hAnsi="Times New Roman" w:eastAsia="宋体" w:cs="Times New Roman"/>
                <w:color w:val="auto"/>
                <w:sz w:val="24"/>
                <w:szCs w:val="24"/>
                <w:highlight w:val="none"/>
              </w:rPr>
              <w:t>—靠近开口处（或窗户）室外某倍频带的声压级或A声级，dB；</w:t>
            </w:r>
          </w:p>
          <w:p w14:paraId="4041FB8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TL</w:t>
            </w:r>
            <w:r>
              <w:rPr>
                <w:rFonts w:hint="default" w:ascii="Times New Roman" w:hAnsi="Times New Roman" w:eastAsia="宋体" w:cs="Times New Roman"/>
                <w:color w:val="auto"/>
                <w:sz w:val="24"/>
                <w:szCs w:val="24"/>
                <w:highlight w:val="none"/>
              </w:rPr>
              <w:t>—隔墙（或窗户）倍频带或A声级的隔声量，dB。</w:t>
            </w:r>
          </w:p>
          <w:p w14:paraId="33C615F3">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610995" cy="760730"/>
                  <wp:effectExtent l="0" t="0" r="8255" b="1270"/>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pic:cNvPicPr>
                        </pic:nvPicPr>
                        <pic:blipFill>
                          <a:blip r:embed="rId32"/>
                          <a:stretch>
                            <a:fillRect/>
                          </a:stretch>
                        </pic:blipFill>
                        <pic:spPr>
                          <a:xfrm>
                            <a:off x="0" y="0"/>
                            <a:ext cx="1610995" cy="760730"/>
                          </a:xfrm>
                          <a:prstGeom prst="rect">
                            <a:avLst/>
                          </a:prstGeom>
                          <a:noFill/>
                          <a:ln>
                            <a:noFill/>
                          </a:ln>
                        </pic:spPr>
                      </pic:pic>
                    </a:graphicData>
                  </a:graphic>
                </wp:inline>
              </w:drawing>
            </w:r>
          </w:p>
          <w:p w14:paraId="0FF584CC">
            <w:pPr>
              <w:bidi w:val="0"/>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图B.1室内声源等效为室外声源图例</w:t>
            </w:r>
          </w:p>
          <w:p w14:paraId="3F49EF0E">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也可按式（B.2）计算某一室内声源靠近围护结构处产生的倍频带声压级或A声级：</w:t>
            </w:r>
          </w:p>
          <w:p w14:paraId="61EAFB85">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301115" cy="325120"/>
                  <wp:effectExtent l="0" t="0" r="13335" b="17780"/>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33"/>
                          <a:stretch>
                            <a:fillRect/>
                          </a:stretch>
                        </pic:blipFill>
                        <pic:spPr>
                          <a:xfrm>
                            <a:off x="0" y="0"/>
                            <a:ext cx="1301115" cy="325120"/>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（B.2）</w:t>
            </w:r>
          </w:p>
          <w:p w14:paraId="57AD5E44">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10CDFFFF">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w:t>
            </w:r>
            <w:r>
              <w:rPr>
                <w:rFonts w:hint="default" w:ascii="Times New Roman" w:hAnsi="Times New Roman" w:eastAsia="宋体" w:cs="Times New Roman"/>
                <w:color w:val="auto"/>
                <w:sz w:val="24"/>
                <w:szCs w:val="24"/>
                <w:highlight w:val="none"/>
              </w:rPr>
              <w:t>—靠近开口处（或窗户）室内某倍频带的声压级或A声级，dB；</w:t>
            </w:r>
          </w:p>
          <w:p w14:paraId="186A5AB8">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—点声源声功率级（A计权或倍频带），dB；</w:t>
            </w:r>
          </w:p>
          <w:p w14:paraId="035D269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Q</w:t>
            </w:r>
            <w:r>
              <w:rPr>
                <w:rFonts w:hint="default" w:ascii="Times New Roman" w:hAnsi="Times New Roman" w:eastAsia="宋体" w:cs="Times New Roman"/>
                <w:color w:val="auto"/>
                <w:sz w:val="24"/>
                <w:szCs w:val="24"/>
                <w:highlight w:val="none"/>
              </w:rPr>
              <w:t>—指向性因数；通常对无指向性声源，当声源放在房间中心时，</w:t>
            </w:r>
            <w:r>
              <w:rPr>
                <w:rFonts w:hint="default" w:ascii="Times New Roman" w:hAnsi="Times New Roman" w:eastAsia="宋体" w:cs="Times New Roman"/>
                <w:i/>
                <w:iCs/>
                <w:color w:val="auto"/>
                <w:sz w:val="24"/>
                <w:szCs w:val="24"/>
                <w:highlight w:val="none"/>
              </w:rPr>
              <w:t>Q</w:t>
            </w:r>
            <w:r>
              <w:rPr>
                <w:rFonts w:hint="default" w:ascii="Times New Roman" w:hAnsi="Times New Roman" w:eastAsia="宋体" w:cs="Times New Roman"/>
                <w:color w:val="auto"/>
                <w:sz w:val="24"/>
                <w:szCs w:val="24"/>
                <w:highlight w:val="none"/>
              </w:rPr>
              <w:t>=1；当放在一面墙的中心时，</w:t>
            </w:r>
            <w:r>
              <w:rPr>
                <w:rFonts w:hint="default" w:ascii="Times New Roman" w:hAnsi="Times New Roman" w:eastAsia="宋体" w:cs="Times New Roman"/>
                <w:i/>
                <w:iCs/>
                <w:color w:val="auto"/>
                <w:sz w:val="24"/>
                <w:szCs w:val="24"/>
                <w:highlight w:val="none"/>
              </w:rPr>
              <w:t>Q</w:t>
            </w:r>
            <w:r>
              <w:rPr>
                <w:rFonts w:hint="default" w:ascii="Times New Roman" w:hAnsi="Times New Roman" w:eastAsia="宋体" w:cs="Times New Roman"/>
                <w:color w:val="auto"/>
                <w:sz w:val="24"/>
                <w:szCs w:val="24"/>
                <w:highlight w:val="none"/>
              </w:rPr>
              <w:t>=2；当放在两面墙夹角处时，</w:t>
            </w:r>
            <w:r>
              <w:rPr>
                <w:rFonts w:hint="default" w:ascii="Times New Roman" w:hAnsi="Times New Roman" w:eastAsia="宋体" w:cs="Times New Roman"/>
                <w:i/>
                <w:iCs/>
                <w:color w:val="auto"/>
                <w:sz w:val="24"/>
                <w:szCs w:val="24"/>
                <w:highlight w:val="none"/>
              </w:rPr>
              <w:t>Q</w:t>
            </w:r>
            <w:r>
              <w:rPr>
                <w:rFonts w:hint="default" w:ascii="Times New Roman" w:hAnsi="Times New Roman" w:eastAsia="宋体" w:cs="Times New Roman"/>
                <w:color w:val="auto"/>
                <w:sz w:val="24"/>
                <w:szCs w:val="24"/>
                <w:highlight w:val="none"/>
              </w:rPr>
              <w:t>=4；当放在三面墙夹角处时，</w:t>
            </w:r>
            <w:r>
              <w:rPr>
                <w:rFonts w:hint="default" w:ascii="Times New Roman" w:hAnsi="Times New Roman" w:eastAsia="宋体" w:cs="Times New Roman"/>
                <w:i/>
                <w:iCs/>
                <w:color w:val="auto"/>
                <w:sz w:val="24"/>
                <w:szCs w:val="24"/>
                <w:highlight w:val="none"/>
              </w:rPr>
              <w:t>Q</w:t>
            </w:r>
            <w:r>
              <w:rPr>
                <w:rFonts w:hint="default" w:ascii="Times New Roman" w:hAnsi="Times New Roman" w:eastAsia="宋体" w:cs="Times New Roman"/>
                <w:color w:val="auto"/>
                <w:sz w:val="24"/>
                <w:szCs w:val="24"/>
                <w:highlight w:val="none"/>
              </w:rPr>
              <w:t>=8；</w:t>
            </w:r>
          </w:p>
          <w:p w14:paraId="53659A51">
            <w:pPr>
              <w:spacing w:line="360" w:lineRule="auto"/>
              <w:ind w:firstLine="480"/>
              <w:rPr>
                <w:rFonts w:hint="default" w:ascii="Times New Roman" w:hAnsi="Times New Roman" w:eastAsia="宋体" w:cs="Times New Roman"/>
                <w:iCs/>
                <w:color w:val="auto"/>
                <w:sz w:val="24"/>
                <w:szCs w:val="24"/>
                <w:highlight w:val="none"/>
              </w:rPr>
            </w:pP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color w:val="auto"/>
                <w:sz w:val="24"/>
                <w:szCs w:val="24"/>
                <w:highlight w:val="none"/>
              </w:rPr>
              <w:t>—房间常数；</w:t>
            </w:r>
            <w:r>
              <w:rPr>
                <w:rFonts w:hint="default" w:ascii="Times New Roman" w:hAnsi="Times New Roman" w:eastAsia="宋体" w:cs="Times New Roman"/>
                <w:color w:val="auto"/>
                <w:sz w:val="24"/>
                <w:szCs w:val="24"/>
                <w:highlight w:val="none"/>
              </w:rPr>
              <w:drawing>
                <wp:inline distT="0" distB="0" distL="114300" distR="114300">
                  <wp:extent cx="746125" cy="165735"/>
                  <wp:effectExtent l="0" t="0" r="15875" b="5715"/>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34"/>
                          <a:stretch>
                            <a:fillRect/>
                          </a:stretch>
                        </pic:blipFill>
                        <pic:spPr>
                          <a:xfrm>
                            <a:off x="0" y="0"/>
                            <a:ext cx="746125" cy="165735"/>
                          </a:xfrm>
                          <a:prstGeom prst="rect">
                            <a:avLst/>
                          </a:prstGeom>
                          <a:noFill/>
                          <a:ln>
                            <a:noFill/>
                          </a:ln>
                        </pic:spPr>
                      </pic:pic>
                    </a:graphicData>
                  </a:graphic>
                </wp:inline>
              </w:drawing>
            </w:r>
            <w:r>
              <w:rPr>
                <w:rFonts w:hint="default" w:ascii="Times New Roman" w:hAnsi="Times New Roman" w:eastAsia="宋体" w:cs="Times New Roman"/>
                <w:iCs/>
                <w:color w:val="auto"/>
                <w:sz w:val="24"/>
                <w:szCs w:val="24"/>
                <w:highlight w:val="none"/>
              </w:rPr>
              <w:t>，</w:t>
            </w:r>
            <w:r>
              <w:rPr>
                <w:rFonts w:hint="default" w:ascii="Times New Roman" w:hAnsi="Times New Roman" w:eastAsia="宋体" w:cs="Times New Roman"/>
                <w:i/>
                <w:iCs/>
                <w:color w:val="auto"/>
                <w:sz w:val="24"/>
                <w:szCs w:val="24"/>
                <w:highlight w:val="none"/>
              </w:rPr>
              <w:t>S</w:t>
            </w:r>
            <w:r>
              <w:rPr>
                <w:rFonts w:hint="default" w:ascii="Times New Roman" w:hAnsi="Times New Roman" w:eastAsia="宋体" w:cs="Times New Roman"/>
                <w:iCs/>
                <w:color w:val="auto"/>
                <w:sz w:val="24"/>
                <w:szCs w:val="24"/>
                <w:highlight w:val="none"/>
              </w:rPr>
              <w:t>为房间内表面面积，m</w:t>
            </w:r>
            <w:r>
              <w:rPr>
                <w:rFonts w:hint="default" w:ascii="Times New Roman" w:hAnsi="Times New Roman" w:eastAsia="宋体" w:cs="Times New Roman"/>
                <w:iCs/>
                <w:color w:val="auto"/>
                <w:sz w:val="24"/>
                <w:szCs w:val="24"/>
                <w:highlight w:val="none"/>
                <w:vertAlign w:val="superscript"/>
              </w:rPr>
              <w:t>2</w:t>
            </w:r>
            <w:r>
              <w:rPr>
                <w:rFonts w:hint="default" w:ascii="Times New Roman" w:hAnsi="Times New Roman" w:eastAsia="宋体" w:cs="Times New Roman"/>
                <w:iCs/>
                <w:color w:val="auto"/>
                <w:sz w:val="24"/>
                <w:szCs w:val="24"/>
                <w:highlight w:val="none"/>
              </w:rPr>
              <w:t>；α为平均吸声系数；</w:t>
            </w:r>
          </w:p>
          <w:p w14:paraId="50185580">
            <w:pPr>
              <w:spacing w:line="360" w:lineRule="auto"/>
              <w:ind w:firstLine="480"/>
              <w:rPr>
                <w:rFonts w:hint="default" w:ascii="Times New Roman" w:hAnsi="Times New Roman" w:eastAsia="宋体" w:cs="Times New Roman"/>
                <w:iCs/>
                <w:color w:val="auto"/>
                <w:sz w:val="24"/>
                <w:szCs w:val="24"/>
                <w:highlight w:val="none"/>
              </w:rPr>
            </w:pPr>
            <w:r>
              <w:rPr>
                <w:rFonts w:hint="default" w:ascii="Times New Roman" w:hAnsi="Times New Roman" w:eastAsia="宋体" w:cs="Times New Roman"/>
                <w:i/>
                <w:iCs/>
                <w:color w:val="auto"/>
                <w:sz w:val="24"/>
                <w:szCs w:val="24"/>
                <w:highlight w:val="none"/>
              </w:rPr>
              <w:t>r</w:t>
            </w:r>
            <w:r>
              <w:rPr>
                <w:rFonts w:hint="default" w:ascii="Times New Roman" w:hAnsi="Times New Roman" w:eastAsia="宋体" w:cs="Times New Roman"/>
                <w:iCs/>
                <w:color w:val="auto"/>
                <w:sz w:val="24"/>
                <w:szCs w:val="24"/>
                <w:highlight w:val="none"/>
              </w:rPr>
              <w:t>—声源到靠近围护结构某点处的距离，m。</w:t>
            </w:r>
          </w:p>
          <w:p w14:paraId="3993B697">
            <w:pPr>
              <w:spacing w:line="360" w:lineRule="auto"/>
              <w:ind w:firstLine="480"/>
              <w:rPr>
                <w:rFonts w:hint="default" w:ascii="Times New Roman" w:hAnsi="Times New Roman" w:eastAsia="宋体" w:cs="Times New Roman"/>
                <w:iCs/>
                <w:color w:val="auto"/>
                <w:sz w:val="24"/>
                <w:szCs w:val="24"/>
                <w:highlight w:val="none"/>
              </w:rPr>
            </w:pPr>
            <w:r>
              <w:rPr>
                <w:rFonts w:hint="default" w:ascii="Times New Roman" w:hAnsi="Times New Roman" w:eastAsia="宋体" w:cs="Times New Roman"/>
                <w:iCs/>
                <w:color w:val="auto"/>
                <w:sz w:val="24"/>
                <w:szCs w:val="24"/>
                <w:highlight w:val="none"/>
              </w:rPr>
              <w:t>然后按式（B.3）计算出所有室内声源在围护机构处产生的i倍频带叠加声压级：</w:t>
            </w:r>
          </w:p>
          <w:p w14:paraId="23285A07">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750060" cy="494665"/>
                  <wp:effectExtent l="0" t="0" r="2540" b="635"/>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35"/>
                          <a:stretch>
                            <a:fillRect/>
                          </a:stretch>
                        </pic:blipFill>
                        <pic:spPr>
                          <a:xfrm>
                            <a:off x="0" y="0"/>
                            <a:ext cx="1750060" cy="49466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（B.3）</w:t>
            </w:r>
          </w:p>
          <w:p w14:paraId="14AE88E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13AD39DF">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p1i</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—靠近围护结构处室内N个声源i倍频带的叠加声压级，dB；</w:t>
            </w:r>
          </w:p>
          <w:p w14:paraId="24D3624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p1ij</w:t>
            </w:r>
            <w:r>
              <w:rPr>
                <w:rFonts w:hint="default" w:ascii="Times New Roman" w:hAnsi="Times New Roman" w:eastAsia="宋体" w:cs="Times New Roman"/>
                <w:color w:val="auto"/>
                <w:sz w:val="24"/>
                <w:szCs w:val="24"/>
                <w:highlight w:val="none"/>
              </w:rPr>
              <w:t>—室内j声源i倍频带的声压级，dB；</w:t>
            </w:r>
          </w:p>
          <w:p w14:paraId="4DD3FA8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N—室内声源总数。</w:t>
            </w:r>
          </w:p>
          <w:p w14:paraId="512FC226">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在室内近似为扩散场时，按式（B.4）计算出靠近室外围护结构处的声压级：</w:t>
            </w:r>
          </w:p>
          <w:p w14:paraId="503E534B">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p2i</w:t>
            </w:r>
            <w:r>
              <w:rPr>
                <w:rFonts w:hint="default" w:ascii="Times New Roman" w:hAnsi="Times New Roman" w:eastAsia="宋体" w:cs="Times New Roman"/>
                <w:i/>
                <w:iCs/>
                <w:color w:val="auto"/>
                <w:sz w:val="24"/>
                <w:szCs w:val="24"/>
                <w:highlight w:val="none"/>
              </w:rPr>
              <w:t>（T）=L</w:t>
            </w:r>
            <w:r>
              <w:rPr>
                <w:rFonts w:hint="default" w:ascii="Times New Roman" w:hAnsi="Times New Roman" w:eastAsia="宋体" w:cs="Times New Roman"/>
                <w:i/>
                <w:iCs/>
                <w:color w:val="auto"/>
                <w:sz w:val="24"/>
                <w:szCs w:val="24"/>
                <w:highlight w:val="none"/>
                <w:vertAlign w:val="subscript"/>
              </w:rPr>
              <w:t>p1i</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iCs/>
                <w:color w:val="auto"/>
                <w:sz w:val="24"/>
                <w:szCs w:val="24"/>
                <w:highlight w:val="none"/>
              </w:rPr>
              <w:t>TL</w:t>
            </w:r>
            <w:r>
              <w:rPr>
                <w:rFonts w:hint="default" w:ascii="Times New Roman" w:hAnsi="Times New Roman" w:eastAsia="宋体" w:cs="Times New Roman"/>
                <w:i/>
                <w:iCs/>
                <w:color w:val="auto"/>
                <w:sz w:val="24"/>
                <w:szCs w:val="24"/>
                <w:highlight w:val="none"/>
                <w:vertAlign w:val="subscript"/>
              </w:rPr>
              <w:t>i</w:t>
            </w:r>
            <w:r>
              <w:rPr>
                <w:rFonts w:hint="default" w:ascii="Times New Roman" w:hAnsi="Times New Roman" w:eastAsia="宋体" w:cs="Times New Roman"/>
                <w:color w:val="auto"/>
                <w:sz w:val="24"/>
                <w:szCs w:val="24"/>
                <w:highlight w:val="none"/>
              </w:rPr>
              <w:t>+6）（B.4）</w:t>
            </w:r>
          </w:p>
          <w:p w14:paraId="0977BC28">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2707C2E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p2i</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—靠近围护结构处室外N个声源i倍频带的叠加声压级，dB；</w:t>
            </w:r>
          </w:p>
          <w:p w14:paraId="4B0755E8">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p1i</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—靠近围护结构处室内N个声源i倍频带的叠加声压级，dB；</w:t>
            </w:r>
          </w:p>
          <w:p w14:paraId="2BC6F56F">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TL</w:t>
            </w:r>
            <w:r>
              <w:rPr>
                <w:rFonts w:hint="default" w:ascii="Times New Roman" w:hAnsi="Times New Roman" w:eastAsia="宋体" w:cs="Times New Roman"/>
                <w:i/>
                <w:iCs/>
                <w:color w:val="auto"/>
                <w:sz w:val="24"/>
                <w:szCs w:val="24"/>
                <w:highlight w:val="none"/>
                <w:vertAlign w:val="subscript"/>
              </w:rPr>
              <w:t>i</w:t>
            </w:r>
            <w:r>
              <w:rPr>
                <w:rFonts w:hint="default" w:ascii="Times New Roman" w:hAnsi="Times New Roman" w:eastAsia="宋体" w:cs="Times New Roman"/>
                <w:color w:val="auto"/>
                <w:sz w:val="24"/>
                <w:szCs w:val="24"/>
                <w:highlight w:val="none"/>
              </w:rPr>
              <w:t>—围护结构i倍频带的隔声量，dB。</w:t>
            </w:r>
          </w:p>
          <w:p w14:paraId="0B2EDA4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然后按式（B.5）将室外声源的声压级和透过面积换算成等效的室外声源，计算出中心位置位于透声面积（</w:t>
            </w:r>
            <w:r>
              <w:rPr>
                <w:rFonts w:hint="default" w:ascii="Times New Roman" w:hAnsi="Times New Roman" w:eastAsia="宋体" w:cs="Times New Roman"/>
                <w:i/>
                <w:iCs/>
                <w:color w:val="auto"/>
                <w:sz w:val="24"/>
                <w:szCs w:val="24"/>
                <w:highlight w:val="none"/>
              </w:rPr>
              <w:t>S</w:t>
            </w:r>
            <w:r>
              <w:rPr>
                <w:rFonts w:hint="default" w:ascii="Times New Roman" w:hAnsi="Times New Roman" w:eastAsia="宋体" w:cs="Times New Roman"/>
                <w:color w:val="auto"/>
                <w:sz w:val="24"/>
                <w:szCs w:val="24"/>
                <w:highlight w:val="none"/>
              </w:rPr>
              <w:t>）处的等效声源的倍频带声功率级。</w:t>
            </w:r>
          </w:p>
          <w:p w14:paraId="5661121E">
            <w:pPr>
              <w:spacing w:line="360" w:lineRule="auto"/>
              <w:ind w:firstLine="480"/>
              <w:jc w:val="center"/>
              <w:rPr>
                <w:rFonts w:hint="default" w:ascii="Times New Roman" w:hAnsi="Times New Roman" w:eastAsia="宋体" w:cs="Times New Roman"/>
                <w:iCs/>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259205" cy="200025"/>
                  <wp:effectExtent l="0" t="0" r="17145" b="9525"/>
                  <wp:docPr id="1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0"/>
                          <pic:cNvPicPr>
                            <a:picLocks noChangeAspect="1"/>
                          </pic:cNvPicPr>
                        </pic:nvPicPr>
                        <pic:blipFill>
                          <a:blip r:embed="rId36"/>
                          <a:stretch>
                            <a:fillRect/>
                          </a:stretch>
                        </pic:blipFill>
                        <pic:spPr>
                          <a:xfrm>
                            <a:off x="0" y="0"/>
                            <a:ext cx="1259205" cy="20002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（B.5）</w:t>
            </w:r>
          </w:p>
          <w:p w14:paraId="48EFB3F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0268F585">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w</w:t>
            </w:r>
            <w:r>
              <w:rPr>
                <w:rFonts w:hint="default" w:ascii="Times New Roman" w:hAnsi="Times New Roman" w:eastAsia="宋体" w:cs="Times New Roman"/>
                <w:color w:val="auto"/>
                <w:sz w:val="24"/>
                <w:szCs w:val="24"/>
                <w:highlight w:val="none"/>
              </w:rPr>
              <w:t>—中心位置位于透声面积（</w:t>
            </w:r>
            <w:r>
              <w:rPr>
                <w:rFonts w:hint="default" w:ascii="Times New Roman" w:hAnsi="Times New Roman" w:eastAsia="宋体" w:cs="Times New Roman"/>
                <w:i/>
                <w:iCs/>
                <w:color w:val="auto"/>
                <w:sz w:val="24"/>
                <w:szCs w:val="24"/>
                <w:highlight w:val="none"/>
              </w:rPr>
              <w:t>S</w:t>
            </w:r>
            <w:r>
              <w:rPr>
                <w:rFonts w:hint="default" w:ascii="Times New Roman" w:hAnsi="Times New Roman" w:eastAsia="宋体" w:cs="Times New Roman"/>
                <w:color w:val="auto"/>
                <w:sz w:val="24"/>
                <w:szCs w:val="24"/>
                <w:highlight w:val="none"/>
              </w:rPr>
              <w:t>）处的等效声源的倍频带声功率级，dB；</w:t>
            </w:r>
          </w:p>
          <w:p w14:paraId="37680926">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p2</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—靠近围护结构处室外声源的声压级，dB；</w:t>
            </w:r>
          </w:p>
          <w:p w14:paraId="7E179137">
            <w:pPr>
              <w:spacing w:line="360" w:lineRule="auto"/>
              <w:ind w:firstLine="480"/>
              <w:rPr>
                <w:rFonts w:hint="default" w:ascii="Times New Roman" w:hAnsi="Times New Roman" w:eastAsia="宋体" w:cs="Times New Roman"/>
                <w:iCs/>
                <w:color w:val="auto"/>
                <w:sz w:val="24"/>
                <w:szCs w:val="24"/>
                <w:highlight w:val="none"/>
              </w:rPr>
            </w:pPr>
            <w:r>
              <w:rPr>
                <w:rFonts w:hint="default" w:ascii="Times New Roman" w:hAnsi="Times New Roman" w:eastAsia="宋体" w:cs="Times New Roman"/>
                <w:i/>
                <w:iCs/>
                <w:color w:val="auto"/>
                <w:sz w:val="24"/>
                <w:szCs w:val="24"/>
                <w:highlight w:val="none"/>
              </w:rPr>
              <w:t>S</w:t>
            </w:r>
            <w:r>
              <w:rPr>
                <w:rFonts w:hint="default" w:ascii="Times New Roman" w:hAnsi="Times New Roman" w:eastAsia="宋体" w:cs="Times New Roman"/>
                <w:color w:val="auto"/>
                <w:sz w:val="24"/>
                <w:szCs w:val="24"/>
                <w:highlight w:val="none"/>
              </w:rPr>
              <w:t>—透声面积，</w:t>
            </w:r>
            <w:r>
              <w:rPr>
                <w:rFonts w:hint="default" w:ascii="Times New Roman" w:hAnsi="Times New Roman" w:eastAsia="宋体" w:cs="Times New Roman"/>
                <w:iCs/>
                <w:color w:val="auto"/>
                <w:sz w:val="24"/>
                <w:szCs w:val="24"/>
                <w:highlight w:val="none"/>
              </w:rPr>
              <w:t>m</w:t>
            </w:r>
            <w:r>
              <w:rPr>
                <w:rFonts w:hint="default" w:ascii="Times New Roman" w:hAnsi="Times New Roman" w:eastAsia="宋体" w:cs="Times New Roman"/>
                <w:iCs/>
                <w:color w:val="auto"/>
                <w:sz w:val="24"/>
                <w:szCs w:val="24"/>
                <w:highlight w:val="none"/>
                <w:vertAlign w:val="superscript"/>
              </w:rPr>
              <w:t>2</w:t>
            </w:r>
            <w:r>
              <w:rPr>
                <w:rFonts w:hint="default" w:ascii="Times New Roman" w:hAnsi="Times New Roman" w:eastAsia="宋体" w:cs="Times New Roman"/>
                <w:iCs/>
                <w:color w:val="auto"/>
                <w:sz w:val="24"/>
                <w:szCs w:val="24"/>
                <w:highlight w:val="none"/>
              </w:rPr>
              <w:t>。1</w:t>
            </w:r>
          </w:p>
          <w:p w14:paraId="7BBB8B8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Cs/>
                <w:color w:val="auto"/>
                <w:sz w:val="24"/>
                <w:szCs w:val="24"/>
                <w:highlight w:val="none"/>
              </w:rPr>
              <w:t>然后按室外声源预测方法计算预测点处的A声级。</w:t>
            </w:r>
          </w:p>
          <w:p w14:paraId="7E4951D6">
            <w:pPr>
              <w:numPr>
                <w:ilvl w:val="0"/>
                <w:numId w:val="14"/>
              </w:numPr>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工业企业噪声计算（附录B.1.5）</w:t>
            </w:r>
          </w:p>
          <w:p w14:paraId="3A5855DB">
            <w:pPr>
              <w:bidi w:val="0"/>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设第i个室外声源在预测点产生的A声级为LAi，在T时间内该声源工作时间为ti；第j个等效室外声源在预测点产生的A声级为</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Aj</w:t>
            </w:r>
            <w:r>
              <w:rPr>
                <w:rFonts w:hint="default" w:ascii="Times New Roman" w:hAnsi="Times New Roman" w:eastAsia="宋体" w:cs="Times New Roman"/>
                <w:color w:val="auto"/>
                <w:sz w:val="24"/>
                <w:szCs w:val="24"/>
                <w:highlight w:val="none"/>
              </w:rPr>
              <w:t>，在</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时间内该声源工作时间为</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i/>
                <w:iCs/>
                <w:color w:val="auto"/>
                <w:sz w:val="24"/>
                <w:szCs w:val="24"/>
                <w:highlight w:val="none"/>
                <w:vertAlign w:val="subscript"/>
              </w:rPr>
              <w:t>j</w:t>
            </w:r>
            <w:r>
              <w:rPr>
                <w:rFonts w:hint="default" w:ascii="Times New Roman" w:hAnsi="Times New Roman" w:eastAsia="宋体" w:cs="Times New Roman"/>
                <w:color w:val="auto"/>
                <w:sz w:val="24"/>
                <w:szCs w:val="24"/>
                <w:highlight w:val="none"/>
              </w:rPr>
              <w:t>，则拟建工程声源对预测点产生的贡献值（</w:t>
            </w: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eqg</w:t>
            </w:r>
            <w:r>
              <w:rPr>
                <w:rFonts w:hint="default" w:ascii="Times New Roman" w:hAnsi="Times New Roman" w:eastAsia="宋体" w:cs="Times New Roman"/>
                <w:color w:val="auto"/>
                <w:sz w:val="24"/>
                <w:szCs w:val="24"/>
                <w:highlight w:val="none"/>
              </w:rPr>
              <w:t>）为：</w:t>
            </w:r>
          </w:p>
          <w:p w14:paraId="04893A0D">
            <w:pPr>
              <w:spacing w:line="360" w:lineRule="auto"/>
              <w:ind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337435" cy="427990"/>
                  <wp:effectExtent l="0" t="0" r="5715" b="10160"/>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37"/>
                          <a:stretch>
                            <a:fillRect/>
                          </a:stretch>
                        </pic:blipFill>
                        <pic:spPr>
                          <a:xfrm>
                            <a:off x="0" y="0"/>
                            <a:ext cx="2337435" cy="427990"/>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（B.6）</w:t>
            </w:r>
          </w:p>
          <w:p w14:paraId="6B2887DE">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28F62B9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L</w:t>
            </w:r>
            <w:r>
              <w:rPr>
                <w:rFonts w:hint="default" w:ascii="Times New Roman" w:hAnsi="Times New Roman" w:eastAsia="宋体" w:cs="Times New Roman"/>
                <w:i/>
                <w:iCs/>
                <w:color w:val="auto"/>
                <w:sz w:val="24"/>
                <w:szCs w:val="24"/>
                <w:highlight w:val="none"/>
                <w:vertAlign w:val="subscript"/>
              </w:rPr>
              <w:t>eqg</w:t>
            </w:r>
            <w:r>
              <w:rPr>
                <w:rFonts w:hint="default" w:ascii="Times New Roman" w:hAnsi="Times New Roman" w:eastAsia="宋体" w:cs="Times New Roman"/>
                <w:color w:val="auto"/>
                <w:sz w:val="24"/>
                <w:szCs w:val="24"/>
                <w:highlight w:val="none"/>
              </w:rPr>
              <w:t>—建设项目声源在预测点产生的噪声贡献值，dB；</w:t>
            </w:r>
          </w:p>
          <w:p w14:paraId="67BA6D72">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—用于计算等效声级的时间，s；</w:t>
            </w:r>
          </w:p>
          <w:p w14:paraId="562AFB4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N</w:t>
            </w:r>
            <w:r>
              <w:rPr>
                <w:rFonts w:hint="default" w:ascii="Times New Roman" w:hAnsi="Times New Roman" w:eastAsia="宋体" w:cs="Times New Roman"/>
                <w:color w:val="auto"/>
                <w:sz w:val="24"/>
                <w:szCs w:val="24"/>
                <w:highlight w:val="none"/>
              </w:rPr>
              <w:t>—室外声源个数；</w:t>
            </w:r>
          </w:p>
          <w:p w14:paraId="4748B91A">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i/>
                <w:iCs/>
                <w:color w:val="auto"/>
                <w:sz w:val="24"/>
                <w:szCs w:val="24"/>
                <w:highlight w:val="none"/>
                <w:vertAlign w:val="subscript"/>
              </w:rPr>
              <w:t>i</w:t>
            </w:r>
            <w:r>
              <w:rPr>
                <w:rFonts w:hint="default" w:ascii="Times New Roman" w:hAnsi="Times New Roman" w:eastAsia="宋体" w:cs="Times New Roman"/>
                <w:color w:val="auto"/>
                <w:sz w:val="24"/>
                <w:szCs w:val="24"/>
                <w:highlight w:val="none"/>
              </w:rPr>
              <w:t>—在</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时间内</w:t>
            </w:r>
            <w:r>
              <w:rPr>
                <w:rFonts w:hint="default" w:ascii="Times New Roman" w:hAnsi="Times New Roman" w:eastAsia="宋体" w:cs="Times New Roman"/>
                <w:i/>
                <w:iCs/>
                <w:color w:val="auto"/>
                <w:sz w:val="24"/>
                <w:szCs w:val="24"/>
                <w:highlight w:val="none"/>
              </w:rPr>
              <w:t>i</w:t>
            </w:r>
            <w:r>
              <w:rPr>
                <w:rFonts w:hint="default" w:ascii="Times New Roman" w:hAnsi="Times New Roman" w:eastAsia="宋体" w:cs="Times New Roman"/>
                <w:color w:val="auto"/>
                <w:sz w:val="24"/>
                <w:szCs w:val="24"/>
                <w:highlight w:val="none"/>
              </w:rPr>
              <w:t>声源工作时间，s；</w:t>
            </w:r>
          </w:p>
          <w:p w14:paraId="7543E55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z w:val="24"/>
                <w:szCs w:val="24"/>
                <w:highlight w:val="none"/>
              </w:rPr>
              <w:t>M</w:t>
            </w:r>
            <w:r>
              <w:rPr>
                <w:rFonts w:hint="default" w:ascii="Times New Roman" w:hAnsi="Times New Roman" w:eastAsia="宋体" w:cs="Times New Roman"/>
                <w:color w:val="auto"/>
                <w:sz w:val="24"/>
                <w:szCs w:val="24"/>
                <w:highlight w:val="none"/>
              </w:rPr>
              <w:t>—等效室外声源个数；</w:t>
            </w:r>
          </w:p>
          <w:p w14:paraId="26FCCCF0">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i/>
                <w:iCs/>
                <w:color w:val="auto"/>
                <w:sz w:val="24"/>
                <w:szCs w:val="24"/>
                <w:highlight w:val="none"/>
                <w:vertAlign w:val="subscript"/>
              </w:rPr>
              <w:t>j</w:t>
            </w:r>
            <w:r>
              <w:rPr>
                <w:rFonts w:hint="default" w:ascii="Times New Roman" w:hAnsi="Times New Roman" w:eastAsia="宋体" w:cs="Times New Roman"/>
                <w:color w:val="auto"/>
                <w:sz w:val="24"/>
                <w:szCs w:val="24"/>
                <w:highlight w:val="none"/>
              </w:rPr>
              <w:t>—在</w:t>
            </w:r>
            <w:r>
              <w:rPr>
                <w:rFonts w:hint="default" w:ascii="Times New Roman" w:hAnsi="Times New Roman" w:eastAsia="宋体" w:cs="Times New Roman"/>
                <w:i/>
                <w:iCs/>
                <w:color w:val="auto"/>
                <w:sz w:val="24"/>
                <w:szCs w:val="24"/>
                <w:highlight w:val="none"/>
              </w:rPr>
              <w:t>T</w:t>
            </w:r>
            <w:r>
              <w:rPr>
                <w:rFonts w:hint="default" w:ascii="Times New Roman" w:hAnsi="Times New Roman" w:eastAsia="宋体" w:cs="Times New Roman"/>
                <w:color w:val="auto"/>
                <w:sz w:val="24"/>
                <w:szCs w:val="24"/>
                <w:highlight w:val="none"/>
              </w:rPr>
              <w:t>时间内</w:t>
            </w:r>
            <w:r>
              <w:rPr>
                <w:rFonts w:hint="default" w:ascii="Times New Roman" w:hAnsi="Times New Roman" w:eastAsia="宋体" w:cs="Times New Roman"/>
                <w:i/>
                <w:iCs/>
                <w:color w:val="auto"/>
                <w:sz w:val="24"/>
                <w:szCs w:val="24"/>
                <w:highlight w:val="none"/>
              </w:rPr>
              <w:t>j</w:t>
            </w:r>
            <w:r>
              <w:rPr>
                <w:rFonts w:hint="default" w:ascii="Times New Roman" w:hAnsi="Times New Roman" w:eastAsia="宋体" w:cs="Times New Roman"/>
                <w:color w:val="auto"/>
                <w:sz w:val="24"/>
                <w:szCs w:val="24"/>
                <w:highlight w:val="none"/>
              </w:rPr>
              <w:t>声源工作时间，s。</w:t>
            </w:r>
          </w:p>
          <w:p w14:paraId="1D91E487">
            <w:pPr>
              <w:widowControl/>
              <w:adjustRightInd w:val="0"/>
              <w:snapToGrid w:val="0"/>
              <w:spacing w:line="360" w:lineRule="auto"/>
              <w:ind w:firstLine="480" w:firstLineChars="200"/>
              <w:jc w:val="left"/>
              <w:rPr>
                <w:rFonts w:hint="default" w:ascii="Times New Roman" w:hAnsi="Times New Roman" w:cs="Times New Roman"/>
                <w:color w:val="auto"/>
                <w:kern w:val="0"/>
                <w:sz w:val="24"/>
                <w:szCs w:val="24"/>
                <w:highlight w:val="none"/>
                <w:u w:val="none"/>
              </w:rPr>
            </w:pP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val="en-US" w:eastAsia="zh-CN"/>
              </w:rPr>
              <w:t>主要</w:t>
            </w:r>
            <w:r>
              <w:rPr>
                <w:rFonts w:hint="default" w:ascii="Times New Roman" w:hAnsi="Times New Roman" w:eastAsia="宋体" w:cs="Times New Roman"/>
                <w:color w:val="auto"/>
                <w:sz w:val="24"/>
                <w:szCs w:val="24"/>
                <w:highlight w:val="none"/>
              </w:rPr>
              <w:t>设备安装在厂房内，先通过隔墙衰减，然后通过距离衰减，利用上述预测模型和噪声源强数据，预测各声源衰减到厂边界的噪声值。</w:t>
            </w: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采用</w:t>
            </w:r>
            <w:r>
              <w:rPr>
                <w:rFonts w:hint="default" w:ascii="Times New Roman" w:hAnsi="Times New Roman" w:cs="Times New Roman"/>
                <w:color w:val="auto"/>
                <w:sz w:val="24"/>
                <w:szCs w:val="24"/>
                <w:highlight w:val="none"/>
                <w:lang w:val="en-US" w:eastAsia="zh-CN"/>
              </w:rPr>
              <w:t>全厂</w:t>
            </w:r>
            <w:r>
              <w:rPr>
                <w:rFonts w:hint="default" w:ascii="Times New Roman" w:hAnsi="Times New Roman" w:eastAsia="宋体" w:cs="Times New Roman"/>
                <w:color w:val="auto"/>
                <w:sz w:val="24"/>
                <w:szCs w:val="24"/>
                <w:highlight w:val="none"/>
              </w:rPr>
              <w:t>设备的预测贡献值作为评量，项目噪声</w:t>
            </w:r>
            <w:r>
              <w:rPr>
                <w:rFonts w:hint="default" w:ascii="Times New Roman" w:hAnsi="Times New Roman" w:eastAsia="宋体" w:cs="Times New Roman"/>
                <w:color w:val="auto"/>
                <w:sz w:val="24"/>
                <w:szCs w:val="24"/>
                <w:highlight w:val="none"/>
                <w:lang w:val="en-US" w:eastAsia="zh-CN"/>
              </w:rPr>
              <w:t>见</w:t>
            </w:r>
            <w:r>
              <w:rPr>
                <w:rFonts w:hint="default" w:ascii="Times New Roman" w:hAnsi="Times New Roman" w:eastAsia="宋体" w:cs="Times New Roman"/>
                <w:color w:val="auto"/>
                <w:sz w:val="24"/>
                <w:szCs w:val="24"/>
                <w:highlight w:val="none"/>
              </w:rPr>
              <w:t>下</w:t>
            </w:r>
            <w:r>
              <w:rPr>
                <w:rFonts w:hint="default" w:ascii="Times New Roman" w:hAnsi="Times New Roman" w:eastAsia="宋体" w:cs="Times New Roman"/>
                <w:color w:val="auto"/>
                <w:sz w:val="24"/>
                <w:szCs w:val="24"/>
                <w:highlight w:val="none"/>
                <w:lang w:val="en-US" w:eastAsia="zh-CN"/>
              </w:rPr>
              <w:t>表：</w:t>
            </w:r>
          </w:p>
          <w:p w14:paraId="521D3D36">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噪声预测结果与评价（单位：dB(A)）</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9"/>
              <w:gridCol w:w="1454"/>
              <w:gridCol w:w="2172"/>
              <w:gridCol w:w="1846"/>
              <w:gridCol w:w="2173"/>
            </w:tblGrid>
            <w:tr w14:paraId="671B0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blHeader/>
                <w:jc w:val="center"/>
              </w:trPr>
              <w:tc>
                <w:tcPr>
                  <w:tcW w:w="869" w:type="pct"/>
                  <w:noWrap w:val="0"/>
                  <w:vAlign w:val="center"/>
                </w:tcPr>
                <w:p w14:paraId="65A99432">
                  <w:pPr>
                    <w:pStyle w:val="113"/>
                    <w:spacing w:after="0" w:line="240" w:lineRule="auto"/>
                    <w:ind w:firstLine="0" w:firstLine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编号</w:t>
                  </w:r>
                </w:p>
              </w:tc>
              <w:tc>
                <w:tcPr>
                  <w:tcW w:w="785" w:type="pct"/>
                  <w:noWrap w:val="0"/>
                  <w:vAlign w:val="center"/>
                </w:tcPr>
                <w:p w14:paraId="05BD12DE">
                  <w:pPr>
                    <w:pStyle w:val="113"/>
                    <w:spacing w:after="0" w:line="240" w:lineRule="auto"/>
                    <w:ind w:firstLine="0" w:firstLine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预测点位</w:t>
                  </w:r>
                </w:p>
              </w:tc>
              <w:tc>
                <w:tcPr>
                  <w:tcW w:w="1173" w:type="pct"/>
                  <w:noWrap w:val="0"/>
                  <w:vAlign w:val="center"/>
                </w:tcPr>
                <w:p w14:paraId="2169D28C">
                  <w:pPr>
                    <w:pStyle w:val="113"/>
                    <w:spacing w:after="0" w:line="240" w:lineRule="auto"/>
                    <w:ind w:firstLine="0" w:firstLineChars="0"/>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贡献值</w:t>
                  </w:r>
                  <w:r>
                    <w:rPr>
                      <w:rFonts w:hint="default" w:ascii="Times New Roman" w:hAnsi="Times New Roman" w:cs="Times New Roman"/>
                      <w:b/>
                      <w:bCs w:val="0"/>
                      <w:color w:val="auto"/>
                      <w:sz w:val="21"/>
                      <w:szCs w:val="21"/>
                      <w:highlight w:val="none"/>
                      <w:lang w:val="en-US" w:eastAsia="zh-CN"/>
                    </w:rPr>
                    <w:t>（</w:t>
                  </w:r>
                  <w:r>
                    <w:rPr>
                      <w:rFonts w:hint="default" w:ascii="Times New Roman" w:hAnsi="Times New Roman" w:eastAsia="宋体" w:cs="Times New Roman"/>
                      <w:b/>
                      <w:bCs w:val="0"/>
                      <w:color w:val="auto"/>
                      <w:sz w:val="21"/>
                      <w:szCs w:val="21"/>
                      <w:highlight w:val="none"/>
                      <w:lang w:val="en-US" w:eastAsia="zh-CN"/>
                    </w:rPr>
                    <w:t>昼间</w:t>
                  </w:r>
                  <w:r>
                    <w:rPr>
                      <w:rFonts w:hint="default" w:ascii="Times New Roman" w:hAnsi="Times New Roman" w:cs="Times New Roman"/>
                      <w:b/>
                      <w:bCs w:val="0"/>
                      <w:color w:val="auto"/>
                      <w:sz w:val="21"/>
                      <w:szCs w:val="21"/>
                      <w:highlight w:val="none"/>
                      <w:lang w:val="en-US" w:eastAsia="zh-CN"/>
                    </w:rPr>
                    <w:t>）</w:t>
                  </w:r>
                </w:p>
              </w:tc>
              <w:tc>
                <w:tcPr>
                  <w:tcW w:w="997" w:type="pct"/>
                  <w:noWrap w:val="0"/>
                  <w:vAlign w:val="center"/>
                </w:tcPr>
                <w:p w14:paraId="062E117C">
                  <w:pPr>
                    <w:pStyle w:val="113"/>
                    <w:spacing w:after="0" w:line="240" w:lineRule="auto"/>
                    <w:ind w:firstLine="0" w:firstLine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标准限值</w:t>
                  </w:r>
                </w:p>
              </w:tc>
              <w:tc>
                <w:tcPr>
                  <w:tcW w:w="1173" w:type="pct"/>
                  <w:noWrap w:val="0"/>
                  <w:vAlign w:val="center"/>
                </w:tcPr>
                <w:p w14:paraId="6750B82E">
                  <w:pPr>
                    <w:pStyle w:val="113"/>
                    <w:spacing w:after="0" w:line="240" w:lineRule="auto"/>
                    <w:ind w:firstLine="0" w:firstLine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达标情况</w:t>
                  </w:r>
                  <w:r>
                    <w:rPr>
                      <w:rFonts w:hint="default" w:ascii="Times New Roman" w:hAnsi="Times New Roman" w:cs="Times New Roman"/>
                      <w:b/>
                      <w:bCs w:val="0"/>
                      <w:color w:val="auto"/>
                      <w:sz w:val="21"/>
                      <w:szCs w:val="21"/>
                      <w:highlight w:val="none"/>
                      <w:lang w:val="en-US" w:eastAsia="zh-CN"/>
                    </w:rPr>
                    <w:t>（</w:t>
                  </w:r>
                  <w:r>
                    <w:rPr>
                      <w:rFonts w:hint="default" w:ascii="Times New Roman" w:hAnsi="Times New Roman" w:eastAsia="宋体" w:cs="Times New Roman"/>
                      <w:b/>
                      <w:bCs w:val="0"/>
                      <w:color w:val="auto"/>
                      <w:sz w:val="21"/>
                      <w:szCs w:val="21"/>
                      <w:highlight w:val="none"/>
                      <w:lang w:val="en-US" w:eastAsia="zh-CN"/>
                    </w:rPr>
                    <w:t>昼间</w:t>
                  </w:r>
                  <w:r>
                    <w:rPr>
                      <w:rFonts w:hint="default" w:ascii="Times New Roman" w:hAnsi="Times New Roman" w:cs="Times New Roman"/>
                      <w:b/>
                      <w:bCs w:val="0"/>
                      <w:color w:val="auto"/>
                      <w:sz w:val="21"/>
                      <w:szCs w:val="21"/>
                      <w:highlight w:val="none"/>
                      <w:lang w:val="en-US" w:eastAsia="zh-CN"/>
                    </w:rPr>
                    <w:t>）</w:t>
                  </w:r>
                </w:p>
              </w:tc>
            </w:tr>
            <w:tr w14:paraId="78EB2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869" w:type="pct"/>
                  <w:noWrap w:val="0"/>
                  <w:vAlign w:val="center"/>
                </w:tcPr>
                <w:p w14:paraId="33335E62">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N1</w:t>
                  </w:r>
                </w:p>
              </w:tc>
              <w:tc>
                <w:tcPr>
                  <w:tcW w:w="785" w:type="pct"/>
                  <w:noWrap w:val="0"/>
                  <w:vAlign w:val="center"/>
                </w:tcPr>
                <w:p w14:paraId="47FA87CD">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厂界北面</w:t>
                  </w:r>
                </w:p>
              </w:tc>
              <w:tc>
                <w:tcPr>
                  <w:tcW w:w="1173" w:type="pct"/>
                  <w:shd w:val="clear" w:color="auto" w:fill="auto"/>
                  <w:noWrap w:val="0"/>
                  <w:vAlign w:val="center"/>
                </w:tcPr>
                <w:p w14:paraId="7B9C8B46">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lang w:val="en-US" w:eastAsia="zh-CN"/>
                    </w:rPr>
                    <w:t>3</w:t>
                  </w:r>
                </w:p>
              </w:tc>
              <w:tc>
                <w:tcPr>
                  <w:tcW w:w="997" w:type="pct"/>
                  <w:vMerge w:val="restart"/>
                  <w:noWrap w:val="0"/>
                  <w:vAlign w:val="center"/>
                </w:tcPr>
                <w:p w14:paraId="09DEB4E2">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昼间≤</w:t>
                  </w:r>
                  <w:r>
                    <w:rPr>
                      <w:rFonts w:hint="default" w:ascii="Times New Roman" w:hAnsi="Times New Roman" w:eastAsia="宋体" w:cs="Times New Roman"/>
                      <w:b w:val="0"/>
                      <w:bCs/>
                      <w:color w:val="auto"/>
                      <w:sz w:val="21"/>
                      <w:szCs w:val="21"/>
                      <w:highlight w:val="none"/>
                    </w:rPr>
                    <w:t>6</w:t>
                  </w:r>
                  <w:r>
                    <w:rPr>
                      <w:rFonts w:hint="default" w:ascii="Times New Roman" w:hAnsi="Times New Roman" w:cs="Times New Roman"/>
                      <w:b w:val="0"/>
                      <w:bCs/>
                      <w:color w:val="auto"/>
                      <w:sz w:val="21"/>
                      <w:szCs w:val="21"/>
                      <w:highlight w:val="none"/>
                      <w:lang w:val="en-US" w:eastAsia="zh-CN"/>
                    </w:rPr>
                    <w:t>5</w:t>
                  </w:r>
                </w:p>
              </w:tc>
              <w:tc>
                <w:tcPr>
                  <w:tcW w:w="1173" w:type="pct"/>
                  <w:noWrap w:val="0"/>
                  <w:vAlign w:val="center"/>
                </w:tcPr>
                <w:p w14:paraId="1C5E673D">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达标</w:t>
                  </w:r>
                </w:p>
              </w:tc>
            </w:tr>
            <w:tr w14:paraId="77611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869" w:type="pct"/>
                  <w:noWrap w:val="0"/>
                  <w:vAlign w:val="center"/>
                </w:tcPr>
                <w:p w14:paraId="1E9B653D">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N2</w:t>
                  </w:r>
                </w:p>
              </w:tc>
              <w:tc>
                <w:tcPr>
                  <w:tcW w:w="785" w:type="pct"/>
                  <w:noWrap w:val="0"/>
                  <w:vAlign w:val="center"/>
                </w:tcPr>
                <w:p w14:paraId="17B28ACB">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厂界西面</w:t>
                  </w:r>
                </w:p>
              </w:tc>
              <w:tc>
                <w:tcPr>
                  <w:tcW w:w="1173" w:type="pct"/>
                  <w:shd w:val="clear" w:color="auto" w:fill="auto"/>
                  <w:noWrap w:val="0"/>
                  <w:vAlign w:val="center"/>
                </w:tcPr>
                <w:p w14:paraId="4BA49F0D">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w:t>
                  </w:r>
                  <w:r>
                    <w:rPr>
                      <w:rFonts w:hint="default" w:ascii="Times New Roman" w:hAnsi="Times New Roman" w:cs="Times New Roman"/>
                      <w:b w:val="0"/>
                      <w:bCs/>
                      <w:color w:val="auto"/>
                      <w:sz w:val="21"/>
                      <w:szCs w:val="21"/>
                      <w:highlight w:val="none"/>
                      <w:lang w:val="en-US" w:eastAsia="zh-CN"/>
                    </w:rPr>
                    <w:t>7</w:t>
                  </w:r>
                </w:p>
              </w:tc>
              <w:tc>
                <w:tcPr>
                  <w:tcW w:w="997" w:type="pct"/>
                  <w:vMerge w:val="continue"/>
                  <w:noWrap w:val="0"/>
                  <w:vAlign w:val="center"/>
                </w:tcPr>
                <w:p w14:paraId="0A3AF07B">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p>
              </w:tc>
              <w:tc>
                <w:tcPr>
                  <w:tcW w:w="1173" w:type="pct"/>
                  <w:noWrap w:val="0"/>
                  <w:vAlign w:val="center"/>
                </w:tcPr>
                <w:p w14:paraId="201225AD">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达标</w:t>
                  </w:r>
                </w:p>
              </w:tc>
            </w:tr>
            <w:tr w14:paraId="47FFD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869" w:type="pct"/>
                  <w:noWrap w:val="0"/>
                  <w:vAlign w:val="center"/>
                </w:tcPr>
                <w:p w14:paraId="73FC0B58">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N3</w:t>
                  </w:r>
                </w:p>
              </w:tc>
              <w:tc>
                <w:tcPr>
                  <w:tcW w:w="785" w:type="pct"/>
                  <w:noWrap w:val="0"/>
                  <w:vAlign w:val="center"/>
                </w:tcPr>
                <w:p w14:paraId="7B4D86C5">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厂界南面</w:t>
                  </w:r>
                </w:p>
              </w:tc>
              <w:tc>
                <w:tcPr>
                  <w:tcW w:w="1173" w:type="pct"/>
                  <w:shd w:val="clear" w:color="auto" w:fill="auto"/>
                  <w:noWrap w:val="0"/>
                  <w:vAlign w:val="center"/>
                </w:tcPr>
                <w:p w14:paraId="3845897E">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w:t>
                  </w:r>
                  <w:r>
                    <w:rPr>
                      <w:rFonts w:hint="default" w:ascii="Times New Roman" w:hAnsi="Times New Roman" w:cs="Times New Roman"/>
                      <w:b w:val="0"/>
                      <w:bCs/>
                      <w:color w:val="auto"/>
                      <w:sz w:val="21"/>
                      <w:szCs w:val="21"/>
                      <w:highlight w:val="none"/>
                      <w:lang w:val="en-US" w:eastAsia="zh-CN"/>
                    </w:rPr>
                    <w:t>8</w:t>
                  </w:r>
                </w:p>
              </w:tc>
              <w:tc>
                <w:tcPr>
                  <w:tcW w:w="997" w:type="pct"/>
                  <w:vMerge w:val="continue"/>
                  <w:noWrap w:val="0"/>
                  <w:vAlign w:val="center"/>
                </w:tcPr>
                <w:p w14:paraId="5AC85F7C">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p>
              </w:tc>
              <w:tc>
                <w:tcPr>
                  <w:tcW w:w="1173" w:type="pct"/>
                  <w:noWrap w:val="0"/>
                  <w:vAlign w:val="center"/>
                </w:tcPr>
                <w:p w14:paraId="321699F2">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达标</w:t>
                  </w:r>
                </w:p>
              </w:tc>
            </w:tr>
            <w:tr w14:paraId="1C315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869" w:type="pct"/>
                  <w:noWrap w:val="0"/>
                  <w:vAlign w:val="center"/>
                </w:tcPr>
                <w:p w14:paraId="61646E08">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N4</w:t>
                  </w:r>
                </w:p>
              </w:tc>
              <w:tc>
                <w:tcPr>
                  <w:tcW w:w="785" w:type="pct"/>
                  <w:noWrap w:val="0"/>
                  <w:vAlign w:val="center"/>
                </w:tcPr>
                <w:p w14:paraId="523C9FD1">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厂界东面</w:t>
                  </w:r>
                </w:p>
              </w:tc>
              <w:tc>
                <w:tcPr>
                  <w:tcW w:w="1173" w:type="pct"/>
                  <w:shd w:val="clear" w:color="auto" w:fill="auto"/>
                  <w:noWrap w:val="0"/>
                  <w:vAlign w:val="center"/>
                </w:tcPr>
                <w:p w14:paraId="00BAA5AA">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w:t>
                  </w:r>
                  <w:r>
                    <w:rPr>
                      <w:rFonts w:hint="default" w:ascii="Times New Roman" w:hAnsi="Times New Roman" w:cs="Times New Roman"/>
                      <w:b w:val="0"/>
                      <w:bCs/>
                      <w:color w:val="auto"/>
                      <w:sz w:val="21"/>
                      <w:szCs w:val="21"/>
                      <w:highlight w:val="none"/>
                      <w:lang w:val="en-US" w:eastAsia="zh-CN"/>
                    </w:rPr>
                    <w:t>2</w:t>
                  </w:r>
                </w:p>
              </w:tc>
              <w:tc>
                <w:tcPr>
                  <w:tcW w:w="997" w:type="pct"/>
                  <w:vMerge w:val="continue"/>
                  <w:noWrap w:val="0"/>
                  <w:vAlign w:val="center"/>
                </w:tcPr>
                <w:p w14:paraId="32955142">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p>
              </w:tc>
              <w:tc>
                <w:tcPr>
                  <w:tcW w:w="1173" w:type="pct"/>
                  <w:noWrap w:val="0"/>
                  <w:vAlign w:val="center"/>
                </w:tcPr>
                <w:p w14:paraId="17583E01">
                  <w:pPr>
                    <w:pStyle w:val="113"/>
                    <w:spacing w:after="0" w:line="240" w:lineRule="auto"/>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达标</w:t>
                  </w:r>
                </w:p>
              </w:tc>
            </w:tr>
          </w:tbl>
          <w:p w14:paraId="66E2A442">
            <w:pPr>
              <w:adjustRightInd w:val="0"/>
              <w:snapToGrid w:val="0"/>
              <w:spacing w:line="240" w:lineRule="auto"/>
              <w:ind w:firstLine="56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注：项目夜间不进行生产作业。由于本项目200m范围内不存在噪声敏感点，因此不对敏感点</w:t>
            </w:r>
            <w:r>
              <w:rPr>
                <w:rFonts w:hint="default" w:ascii="Times New Roman" w:hAnsi="Times New Roman" w:eastAsia="宋体" w:cs="Times New Roman"/>
                <w:color w:val="auto"/>
                <w:kern w:val="0"/>
                <w:sz w:val="21"/>
                <w:szCs w:val="21"/>
                <w:highlight w:val="none"/>
                <w:lang w:val="en-US" w:eastAsia="zh-CN"/>
              </w:rPr>
              <w:t>进行噪声预测</w:t>
            </w:r>
            <w:r>
              <w:rPr>
                <w:rFonts w:hint="default" w:ascii="Times New Roman" w:hAnsi="Times New Roman" w:eastAsia="宋体" w:cs="Times New Roman"/>
                <w:color w:val="auto"/>
                <w:kern w:val="0"/>
                <w:sz w:val="21"/>
                <w:szCs w:val="21"/>
                <w:highlight w:val="none"/>
              </w:rPr>
              <w:t>。</w:t>
            </w:r>
          </w:p>
          <w:p w14:paraId="12841142">
            <w:pPr>
              <w:adjustRightInd w:val="0"/>
              <w:snapToGrid w:val="0"/>
              <w:spacing w:line="360" w:lineRule="auto"/>
              <w:ind w:firstLine="480" w:firstLineChars="200"/>
              <w:jc w:val="left"/>
              <w:rPr>
                <w:rFonts w:hint="default" w:ascii="Times New Roman" w:hAnsi="Times New Roman" w:eastAsia="宋体" w:cs="Times New Roman"/>
                <w:b/>
                <w:bCs/>
                <w:color w:val="auto"/>
                <w:sz w:val="24"/>
                <w:szCs w:val="24"/>
                <w:highlight w:val="none"/>
                <w:u w:val="none"/>
                <w:lang w:eastAsia="zh-CN" w:bidi="ar"/>
              </w:rPr>
            </w:pPr>
            <w:r>
              <w:rPr>
                <w:rFonts w:hint="default" w:ascii="Times New Roman" w:hAnsi="Times New Roman" w:cs="Times New Roman"/>
                <w:color w:val="auto"/>
                <w:sz w:val="24"/>
                <w:szCs w:val="24"/>
                <w:highlight w:val="none"/>
              </w:rPr>
              <w:t>根据噪声预测结果可知，</w:t>
            </w:r>
            <w:r>
              <w:rPr>
                <w:rFonts w:hint="default" w:ascii="Times New Roman" w:hAnsi="Times New Roman" w:cs="Times New Roman"/>
                <w:color w:val="auto"/>
                <w:sz w:val="24"/>
                <w:szCs w:val="24"/>
                <w:highlight w:val="none"/>
                <w:lang w:val="en-US" w:eastAsia="zh-CN"/>
              </w:rPr>
              <w:t>本项目设备</w:t>
            </w:r>
            <w:r>
              <w:rPr>
                <w:rFonts w:hint="default" w:ascii="Times New Roman" w:hAnsi="Times New Roman" w:cs="Times New Roman"/>
                <w:color w:val="auto"/>
                <w:sz w:val="24"/>
                <w:szCs w:val="24"/>
                <w:highlight w:val="none"/>
              </w:rPr>
              <w:t>噪声源到厂界四周的噪声贡献值较小，预测值至厂界四周均可达到《工业企业厂界环境噪声排放标准》（GB12348-2008）中的</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类标准，即昼间</w:t>
            </w:r>
            <w:r>
              <w:rPr>
                <w:rFonts w:hint="default" w:ascii="Times New Roman" w:hAnsi="Times New Roman" w:cs="Times New Roman"/>
                <w:color w:val="auto"/>
                <w:sz w:val="24"/>
                <w:szCs w:val="24"/>
                <w:highlight w:val="none"/>
                <w:lang w:val="en-US" w:eastAsia="zh-CN"/>
              </w:rPr>
              <w:t>65</w:t>
            </w:r>
            <w:r>
              <w:rPr>
                <w:rFonts w:hint="default" w:ascii="Times New Roman" w:hAnsi="Times New Roman" w:cs="Times New Roman"/>
                <w:color w:val="auto"/>
                <w:sz w:val="24"/>
                <w:szCs w:val="24"/>
                <w:highlight w:val="none"/>
              </w:rPr>
              <w:t>dB(A)</w:t>
            </w:r>
            <w:r>
              <w:rPr>
                <w:rFonts w:hint="default" w:ascii="Times New Roman" w:hAnsi="Times New Roman" w:cs="Times New Roman"/>
                <w:color w:val="auto"/>
                <w:sz w:val="24"/>
                <w:szCs w:val="24"/>
                <w:highlight w:val="none"/>
                <w:lang w:eastAsia="zh-CN"/>
              </w:rPr>
              <w:t>。</w:t>
            </w:r>
          </w:p>
          <w:p w14:paraId="41E726AC">
            <w:pPr>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4、监测计划</w:t>
            </w:r>
          </w:p>
          <w:p w14:paraId="0C7F7F76">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根据《排污单位自行监测技术指南总则》（HJ819-2017）</w:t>
            </w:r>
            <w:r>
              <w:rPr>
                <w:rFonts w:hint="default" w:ascii="Times New Roman" w:hAnsi="Times New Roman" w:cs="Times New Roman"/>
                <w:color w:val="auto"/>
                <w:sz w:val="24"/>
                <w:szCs w:val="24"/>
                <w:highlight w:val="none"/>
                <w:lang w:eastAsia="zh-CN"/>
              </w:rPr>
              <w:t>、《排污许可证申请与核发技术规范 工业噪声》（HJ 1301-2023）</w:t>
            </w:r>
            <w:r>
              <w:rPr>
                <w:rFonts w:hint="default" w:ascii="Times New Roman" w:hAnsi="Times New Roman" w:cs="Times New Roman"/>
                <w:color w:val="auto"/>
                <w:sz w:val="24"/>
                <w:szCs w:val="24"/>
                <w:highlight w:val="none"/>
              </w:rPr>
              <w:t>，提出</w:t>
            </w: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在生产运行阶段的污染源监测计划。</w:t>
            </w:r>
          </w:p>
          <w:p w14:paraId="4E424E08">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本项目噪声自行监测要求表</w:t>
            </w:r>
          </w:p>
          <w:tbl>
            <w:tblPr>
              <w:tblStyle w:val="38"/>
              <w:tblW w:w="499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10"/>
              <w:gridCol w:w="2190"/>
              <w:gridCol w:w="1849"/>
              <w:gridCol w:w="1849"/>
              <w:gridCol w:w="1851"/>
            </w:tblGrid>
            <w:tr w14:paraId="0409B6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tcBorders>
                    <w:top w:val="single" w:color="000000" w:sz="2" w:space="0"/>
                    <w:left w:val="single" w:color="000000" w:sz="2" w:space="0"/>
                  </w:tcBorders>
                  <w:noWrap w:val="0"/>
                  <w:vAlign w:val="center"/>
                </w:tcPr>
                <w:p w14:paraId="69697AE1">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1183" w:type="pct"/>
                  <w:tcBorders>
                    <w:top w:val="single" w:color="000000" w:sz="2" w:space="0"/>
                  </w:tcBorders>
                  <w:noWrap w:val="0"/>
                  <w:vAlign w:val="center"/>
                </w:tcPr>
                <w:p w14:paraId="43BA2263">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999" w:type="pct"/>
                  <w:tcBorders>
                    <w:top w:val="single" w:color="000000" w:sz="2" w:space="0"/>
                  </w:tcBorders>
                  <w:noWrap w:val="0"/>
                  <w:vAlign w:val="center"/>
                </w:tcPr>
                <w:p w14:paraId="2ECEDD8D">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监测指标</w:t>
                  </w:r>
                </w:p>
              </w:tc>
              <w:tc>
                <w:tcPr>
                  <w:tcW w:w="999" w:type="pct"/>
                  <w:tcBorders>
                    <w:top w:val="single" w:color="000000" w:sz="2" w:space="0"/>
                  </w:tcBorders>
                  <w:noWrap w:val="0"/>
                  <w:vAlign w:val="center"/>
                </w:tcPr>
                <w:p w14:paraId="4E4B9E32">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1000" w:type="pct"/>
                  <w:tcBorders>
                    <w:top w:val="single" w:color="000000" w:sz="2" w:space="0"/>
                    <w:right w:val="single" w:color="000000" w:sz="2" w:space="0"/>
                  </w:tcBorders>
                  <w:noWrap w:val="0"/>
                  <w:vAlign w:val="center"/>
                </w:tcPr>
                <w:p w14:paraId="480344E2">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执行排放标准</w:t>
                  </w:r>
                </w:p>
              </w:tc>
            </w:tr>
            <w:tr w14:paraId="05CF6A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Merge w:val="restart"/>
                  <w:tcBorders>
                    <w:left w:val="single" w:color="000000" w:sz="2" w:space="0"/>
                  </w:tcBorders>
                  <w:noWrap w:val="0"/>
                  <w:vAlign w:val="center"/>
                </w:tcPr>
                <w:p w14:paraId="4BA2BFC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183" w:type="pct"/>
                  <w:noWrap w:val="0"/>
                  <w:vAlign w:val="center"/>
                </w:tcPr>
                <w:p w14:paraId="7EC37B26">
                  <w:pPr>
                    <w:tabs>
                      <w:tab w:val="left" w:pos="480"/>
                      <w:tab w:val="left" w:pos="1920"/>
                    </w:tabs>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项目东侧厂界外1m</w:t>
                  </w:r>
                </w:p>
              </w:tc>
              <w:tc>
                <w:tcPr>
                  <w:tcW w:w="999" w:type="pct"/>
                  <w:vMerge w:val="restart"/>
                  <w:noWrap w:val="0"/>
                  <w:vAlign w:val="center"/>
                </w:tcPr>
                <w:p w14:paraId="48201A10">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等效连续A声</w:t>
                  </w:r>
                </w:p>
              </w:tc>
              <w:tc>
                <w:tcPr>
                  <w:tcW w:w="999" w:type="pct"/>
                  <w:vMerge w:val="restart"/>
                  <w:noWrap w:val="0"/>
                  <w:vAlign w:val="center"/>
                </w:tcPr>
                <w:p w14:paraId="492A6E3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1次/季度</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昼间</w:t>
                  </w:r>
                </w:p>
              </w:tc>
              <w:tc>
                <w:tcPr>
                  <w:tcW w:w="1000" w:type="pct"/>
                  <w:vMerge w:val="restart"/>
                  <w:tcBorders>
                    <w:right w:val="single" w:color="000000" w:sz="2" w:space="0"/>
                  </w:tcBorders>
                  <w:noWrap w:val="0"/>
                  <w:vAlign w:val="center"/>
                </w:tcPr>
                <w:p w14:paraId="2F3D783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p>
              </w:tc>
            </w:tr>
            <w:tr w14:paraId="6D4145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Merge w:val="continue"/>
                  <w:tcBorders>
                    <w:left w:val="single" w:color="000000" w:sz="2" w:space="0"/>
                  </w:tcBorders>
                  <w:noWrap w:val="0"/>
                  <w:vAlign w:val="center"/>
                </w:tcPr>
                <w:p w14:paraId="7EF93601">
                  <w:pPr>
                    <w:jc w:val="center"/>
                    <w:rPr>
                      <w:rFonts w:hint="default" w:ascii="Times New Roman" w:hAnsi="Times New Roman" w:cs="Times New Roman"/>
                      <w:color w:val="auto"/>
                      <w:sz w:val="21"/>
                      <w:szCs w:val="21"/>
                      <w:highlight w:val="none"/>
                    </w:rPr>
                  </w:pPr>
                </w:p>
              </w:tc>
              <w:tc>
                <w:tcPr>
                  <w:tcW w:w="1183" w:type="pct"/>
                  <w:noWrap w:val="0"/>
                  <w:vAlign w:val="center"/>
                </w:tcPr>
                <w:p w14:paraId="3FE07438">
                  <w:pPr>
                    <w:tabs>
                      <w:tab w:val="left" w:pos="480"/>
                    </w:tabs>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南</w:t>
                  </w:r>
                  <w:r>
                    <w:rPr>
                      <w:rFonts w:hint="default" w:ascii="Times New Roman" w:hAnsi="Times New Roman" w:cs="Times New Roman"/>
                      <w:color w:val="auto"/>
                      <w:sz w:val="21"/>
                      <w:szCs w:val="21"/>
                      <w:highlight w:val="none"/>
                    </w:rPr>
                    <w:t>侧厂界外1m</w:t>
                  </w:r>
                </w:p>
              </w:tc>
              <w:tc>
                <w:tcPr>
                  <w:tcW w:w="999" w:type="pct"/>
                  <w:vMerge w:val="continue"/>
                  <w:noWrap w:val="0"/>
                  <w:vAlign w:val="center"/>
                </w:tcPr>
                <w:p w14:paraId="76666FDD">
                  <w:pPr>
                    <w:jc w:val="center"/>
                    <w:rPr>
                      <w:rFonts w:hint="default" w:ascii="Times New Roman" w:hAnsi="Times New Roman" w:cs="Times New Roman"/>
                      <w:color w:val="auto"/>
                      <w:sz w:val="21"/>
                      <w:szCs w:val="21"/>
                      <w:highlight w:val="none"/>
                    </w:rPr>
                  </w:pPr>
                </w:p>
              </w:tc>
              <w:tc>
                <w:tcPr>
                  <w:tcW w:w="999" w:type="pct"/>
                  <w:vMerge w:val="continue"/>
                  <w:noWrap w:val="0"/>
                  <w:vAlign w:val="center"/>
                </w:tcPr>
                <w:p w14:paraId="5CB5BE30">
                  <w:pPr>
                    <w:jc w:val="center"/>
                    <w:rPr>
                      <w:rFonts w:hint="default" w:ascii="Times New Roman" w:hAnsi="Times New Roman" w:cs="Times New Roman"/>
                      <w:color w:val="auto"/>
                      <w:sz w:val="21"/>
                      <w:szCs w:val="21"/>
                      <w:highlight w:val="none"/>
                    </w:rPr>
                  </w:pPr>
                </w:p>
              </w:tc>
              <w:tc>
                <w:tcPr>
                  <w:tcW w:w="1000" w:type="pct"/>
                  <w:vMerge w:val="continue"/>
                  <w:tcBorders>
                    <w:right w:val="single" w:color="000000" w:sz="2" w:space="0"/>
                  </w:tcBorders>
                  <w:noWrap w:val="0"/>
                  <w:vAlign w:val="center"/>
                </w:tcPr>
                <w:p w14:paraId="73BC642F">
                  <w:pPr>
                    <w:jc w:val="center"/>
                    <w:rPr>
                      <w:rFonts w:hint="default" w:ascii="Times New Roman" w:hAnsi="Times New Roman" w:cs="Times New Roman"/>
                      <w:color w:val="auto"/>
                      <w:sz w:val="21"/>
                      <w:szCs w:val="21"/>
                      <w:highlight w:val="none"/>
                    </w:rPr>
                  </w:pPr>
                </w:p>
              </w:tc>
            </w:tr>
            <w:tr w14:paraId="605988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Merge w:val="continue"/>
                  <w:tcBorders>
                    <w:left w:val="single" w:color="000000" w:sz="2" w:space="0"/>
                  </w:tcBorders>
                  <w:noWrap w:val="0"/>
                  <w:vAlign w:val="center"/>
                </w:tcPr>
                <w:p w14:paraId="4DAC8D35">
                  <w:pPr>
                    <w:jc w:val="center"/>
                    <w:rPr>
                      <w:rFonts w:hint="default" w:ascii="Times New Roman" w:hAnsi="Times New Roman" w:cs="Times New Roman"/>
                      <w:color w:val="auto"/>
                      <w:sz w:val="21"/>
                      <w:szCs w:val="21"/>
                      <w:highlight w:val="none"/>
                    </w:rPr>
                  </w:pPr>
                </w:p>
              </w:tc>
              <w:tc>
                <w:tcPr>
                  <w:tcW w:w="1183" w:type="pct"/>
                  <w:noWrap w:val="0"/>
                  <w:vAlign w:val="center"/>
                </w:tcPr>
                <w:p w14:paraId="335DE86B">
                  <w:pPr>
                    <w:tabs>
                      <w:tab w:val="left" w:pos="480"/>
                    </w:tabs>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西</w:t>
                  </w:r>
                  <w:r>
                    <w:rPr>
                      <w:rFonts w:hint="default" w:ascii="Times New Roman" w:hAnsi="Times New Roman" w:cs="Times New Roman"/>
                      <w:color w:val="auto"/>
                      <w:sz w:val="21"/>
                      <w:szCs w:val="21"/>
                      <w:highlight w:val="none"/>
                    </w:rPr>
                    <w:t>侧厂界外1m</w:t>
                  </w:r>
                </w:p>
              </w:tc>
              <w:tc>
                <w:tcPr>
                  <w:tcW w:w="999" w:type="pct"/>
                  <w:vMerge w:val="continue"/>
                  <w:noWrap w:val="0"/>
                  <w:vAlign w:val="center"/>
                </w:tcPr>
                <w:p w14:paraId="72D62A54">
                  <w:pPr>
                    <w:jc w:val="center"/>
                    <w:rPr>
                      <w:rFonts w:hint="default" w:ascii="Times New Roman" w:hAnsi="Times New Roman" w:cs="Times New Roman"/>
                      <w:color w:val="auto"/>
                      <w:sz w:val="21"/>
                      <w:szCs w:val="21"/>
                      <w:highlight w:val="none"/>
                    </w:rPr>
                  </w:pPr>
                </w:p>
              </w:tc>
              <w:tc>
                <w:tcPr>
                  <w:tcW w:w="999" w:type="pct"/>
                  <w:vMerge w:val="continue"/>
                  <w:noWrap w:val="0"/>
                  <w:vAlign w:val="center"/>
                </w:tcPr>
                <w:p w14:paraId="56814614">
                  <w:pPr>
                    <w:jc w:val="center"/>
                    <w:rPr>
                      <w:rFonts w:hint="default" w:ascii="Times New Roman" w:hAnsi="Times New Roman" w:cs="Times New Roman"/>
                      <w:color w:val="auto"/>
                      <w:sz w:val="21"/>
                      <w:szCs w:val="21"/>
                      <w:highlight w:val="none"/>
                    </w:rPr>
                  </w:pPr>
                </w:p>
              </w:tc>
              <w:tc>
                <w:tcPr>
                  <w:tcW w:w="1000" w:type="pct"/>
                  <w:vMerge w:val="continue"/>
                  <w:tcBorders>
                    <w:right w:val="single" w:color="000000" w:sz="2" w:space="0"/>
                  </w:tcBorders>
                  <w:noWrap w:val="0"/>
                  <w:vAlign w:val="center"/>
                </w:tcPr>
                <w:p w14:paraId="60FC817F">
                  <w:pPr>
                    <w:jc w:val="center"/>
                    <w:rPr>
                      <w:rFonts w:hint="default" w:ascii="Times New Roman" w:hAnsi="Times New Roman" w:cs="Times New Roman"/>
                      <w:color w:val="auto"/>
                      <w:sz w:val="21"/>
                      <w:szCs w:val="21"/>
                      <w:highlight w:val="none"/>
                    </w:rPr>
                  </w:pPr>
                </w:p>
              </w:tc>
            </w:tr>
            <w:tr w14:paraId="5FB0F7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Merge w:val="continue"/>
                  <w:tcBorders>
                    <w:left w:val="single" w:color="000000" w:sz="2" w:space="0"/>
                  </w:tcBorders>
                  <w:noWrap w:val="0"/>
                  <w:vAlign w:val="center"/>
                </w:tcPr>
                <w:p w14:paraId="10922388">
                  <w:pPr>
                    <w:jc w:val="center"/>
                    <w:rPr>
                      <w:rFonts w:hint="default" w:ascii="Times New Roman" w:hAnsi="Times New Roman" w:cs="Times New Roman"/>
                      <w:color w:val="auto"/>
                      <w:sz w:val="21"/>
                      <w:szCs w:val="21"/>
                      <w:highlight w:val="none"/>
                    </w:rPr>
                  </w:pPr>
                </w:p>
              </w:tc>
              <w:tc>
                <w:tcPr>
                  <w:tcW w:w="1183" w:type="pct"/>
                  <w:noWrap w:val="0"/>
                  <w:vAlign w:val="center"/>
                </w:tcPr>
                <w:p w14:paraId="4468B0A7">
                  <w:pPr>
                    <w:tabs>
                      <w:tab w:val="left" w:pos="480"/>
                    </w:tabs>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北</w:t>
                  </w:r>
                  <w:r>
                    <w:rPr>
                      <w:rFonts w:hint="default" w:ascii="Times New Roman" w:hAnsi="Times New Roman" w:cs="Times New Roman"/>
                      <w:color w:val="auto"/>
                      <w:sz w:val="21"/>
                      <w:szCs w:val="21"/>
                      <w:highlight w:val="none"/>
                    </w:rPr>
                    <w:t>侧厂界外1m</w:t>
                  </w:r>
                </w:p>
              </w:tc>
              <w:tc>
                <w:tcPr>
                  <w:tcW w:w="999" w:type="pct"/>
                  <w:vMerge w:val="continue"/>
                  <w:noWrap w:val="0"/>
                  <w:vAlign w:val="center"/>
                </w:tcPr>
                <w:p w14:paraId="665B270B">
                  <w:pPr>
                    <w:jc w:val="center"/>
                    <w:rPr>
                      <w:rFonts w:hint="default" w:ascii="Times New Roman" w:hAnsi="Times New Roman" w:cs="Times New Roman"/>
                      <w:color w:val="auto"/>
                      <w:sz w:val="21"/>
                      <w:szCs w:val="21"/>
                      <w:highlight w:val="none"/>
                    </w:rPr>
                  </w:pPr>
                </w:p>
              </w:tc>
              <w:tc>
                <w:tcPr>
                  <w:tcW w:w="999" w:type="pct"/>
                  <w:vMerge w:val="continue"/>
                  <w:noWrap w:val="0"/>
                  <w:vAlign w:val="center"/>
                </w:tcPr>
                <w:p w14:paraId="64B5EE02">
                  <w:pPr>
                    <w:jc w:val="center"/>
                    <w:rPr>
                      <w:rFonts w:hint="default" w:ascii="Times New Roman" w:hAnsi="Times New Roman" w:cs="Times New Roman"/>
                      <w:color w:val="auto"/>
                      <w:sz w:val="21"/>
                      <w:szCs w:val="21"/>
                      <w:highlight w:val="none"/>
                    </w:rPr>
                  </w:pPr>
                </w:p>
              </w:tc>
              <w:tc>
                <w:tcPr>
                  <w:tcW w:w="1000" w:type="pct"/>
                  <w:vMerge w:val="continue"/>
                  <w:tcBorders>
                    <w:right w:val="single" w:color="000000" w:sz="2" w:space="0"/>
                  </w:tcBorders>
                  <w:noWrap w:val="0"/>
                  <w:vAlign w:val="center"/>
                </w:tcPr>
                <w:p w14:paraId="4035676E">
                  <w:pPr>
                    <w:jc w:val="center"/>
                    <w:rPr>
                      <w:rFonts w:hint="default" w:ascii="Times New Roman" w:hAnsi="Times New Roman" w:cs="Times New Roman"/>
                      <w:color w:val="auto"/>
                      <w:sz w:val="21"/>
                      <w:szCs w:val="21"/>
                      <w:highlight w:val="none"/>
                    </w:rPr>
                  </w:pPr>
                </w:p>
              </w:tc>
            </w:tr>
          </w:tbl>
          <w:p w14:paraId="1D10E1C2">
            <w:pPr>
              <w:adjustRightInd w:val="0"/>
              <w:snapToGrid w:val="0"/>
              <w:spacing w:line="360" w:lineRule="auto"/>
              <w:rPr>
                <w:rFonts w:hint="default" w:ascii="Times New Roman" w:hAnsi="Times New Roman" w:eastAsia="宋体" w:cs="Times New Roman"/>
                <w:b/>
                <w:color w:val="auto"/>
                <w:kern w:val="0"/>
                <w:sz w:val="24"/>
                <w:highlight w:val="none"/>
              </w:rPr>
            </w:pPr>
          </w:p>
          <w:p w14:paraId="72C5F4A6">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四、固体废物</w:t>
            </w:r>
          </w:p>
          <w:p w14:paraId="49E56BD9">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固体废物产生及处理情况</w:t>
            </w:r>
          </w:p>
          <w:p w14:paraId="7C26F2DD">
            <w:pPr>
              <w:spacing w:line="360" w:lineRule="auto"/>
              <w:ind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rPr>
              <w:t>本项目生产过程中的固体废物主要包括</w:t>
            </w:r>
            <w:r>
              <w:rPr>
                <w:rFonts w:hint="default" w:ascii="Times New Roman" w:hAnsi="Times New Roman" w:cs="Times New Roman" w:eastAsiaTheme="minorEastAsia"/>
                <w:color w:val="auto"/>
                <w:sz w:val="24"/>
                <w:highlight w:val="none"/>
                <w:lang w:eastAsia="zh-CN"/>
              </w:rPr>
              <w:t>生活垃圾、一般废原料包装、不合格品、边角料、废渣</w:t>
            </w:r>
            <w:r>
              <w:rPr>
                <w:rFonts w:hint="default" w:ascii="Times New Roman" w:hAnsi="Times New Roman" w:cs="Times New Roman" w:eastAsiaTheme="minorEastAsia"/>
                <w:color w:val="auto"/>
                <w:sz w:val="24"/>
                <w:highlight w:val="none"/>
                <w:lang w:val="en-US" w:eastAsia="zh-CN"/>
              </w:rPr>
              <w:t>、纯水制备系统废弃物、废含油抹布手套、废机油</w:t>
            </w:r>
            <w:r>
              <w:rPr>
                <w:rFonts w:hint="default" w:ascii="Times New Roman" w:hAnsi="Times New Roman" w:cs="Times New Roman" w:eastAsiaTheme="minorEastAsia"/>
                <w:color w:val="auto"/>
                <w:sz w:val="24"/>
                <w:highlight w:val="none"/>
                <w:lang w:eastAsia="zh-CN"/>
              </w:rPr>
              <w:t>、废</w:t>
            </w:r>
            <w:r>
              <w:rPr>
                <w:rFonts w:hint="default" w:ascii="Times New Roman" w:hAnsi="Times New Roman" w:cs="Times New Roman" w:eastAsiaTheme="minorEastAsia"/>
                <w:color w:val="auto"/>
                <w:sz w:val="24"/>
                <w:highlight w:val="none"/>
                <w:lang w:val="en-US" w:eastAsia="zh-CN"/>
              </w:rPr>
              <w:t>UV灯管、危险性废原料包装、废活性炭。</w:t>
            </w:r>
          </w:p>
          <w:p w14:paraId="1CD815FC">
            <w:pPr>
              <w:spacing w:line="360" w:lineRule="auto"/>
              <w:ind w:firstLine="482" w:firstLineChars="200"/>
              <w:rPr>
                <w:rFonts w:hint="default" w:ascii="Times New Roman" w:hAnsi="Times New Roman" w:cs="Times New Roman" w:eastAsiaTheme="minorEastAsia"/>
                <w:b/>
                <w:bCs/>
                <w:color w:val="auto"/>
                <w:sz w:val="24"/>
                <w:highlight w:val="none"/>
                <w:lang w:val="en-US" w:eastAsia="zh-CN"/>
              </w:rPr>
            </w:pPr>
            <w:r>
              <w:rPr>
                <w:rFonts w:hint="default" w:ascii="Times New Roman" w:hAnsi="Times New Roman" w:cs="Times New Roman" w:eastAsiaTheme="minorEastAsia"/>
                <w:b/>
                <w:bCs/>
                <w:color w:val="auto"/>
                <w:sz w:val="24"/>
                <w:highlight w:val="none"/>
                <w:lang w:val="en-US" w:eastAsia="zh-CN"/>
              </w:rPr>
              <w:t>（1）生活垃圾</w:t>
            </w:r>
          </w:p>
          <w:p w14:paraId="0032EBD2">
            <w:pPr>
              <w:spacing w:line="360" w:lineRule="auto"/>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本项目有员工</w:t>
            </w:r>
            <w:r>
              <w:rPr>
                <w:rFonts w:hint="default" w:ascii="Times New Roman" w:hAnsi="Times New Roman" w:cs="Times New Roman" w:eastAsiaTheme="minorEastAsia"/>
                <w:color w:val="auto"/>
                <w:sz w:val="24"/>
                <w:szCs w:val="24"/>
                <w:highlight w:val="none"/>
                <w:lang w:val="en-US" w:eastAsia="zh-CN"/>
              </w:rPr>
              <w:t>20</w:t>
            </w:r>
            <w:r>
              <w:rPr>
                <w:rFonts w:hint="default" w:ascii="Times New Roman" w:hAnsi="Times New Roman" w:cs="Times New Roman" w:eastAsiaTheme="minorEastAsia"/>
                <w:color w:val="auto"/>
                <w:sz w:val="24"/>
                <w:szCs w:val="24"/>
                <w:highlight w:val="none"/>
              </w:rPr>
              <w:t>0人，</w:t>
            </w:r>
            <w:r>
              <w:rPr>
                <w:rFonts w:hint="default" w:ascii="Times New Roman" w:hAnsi="Times New Roman" w:cs="Times New Roman" w:eastAsiaTheme="minorEastAsia"/>
                <w:color w:val="auto"/>
                <w:sz w:val="24"/>
                <w:szCs w:val="24"/>
                <w:highlight w:val="none"/>
                <w:lang w:val="en-US" w:eastAsia="zh-CN"/>
              </w:rPr>
              <w:t>均不在厂内就餐</w:t>
            </w:r>
            <w:r>
              <w:rPr>
                <w:rFonts w:hint="default" w:ascii="Times New Roman" w:hAnsi="Times New Roman" w:cs="Times New Roman" w:eastAsiaTheme="minorEastAsia"/>
                <w:color w:val="auto"/>
                <w:sz w:val="24"/>
                <w:szCs w:val="24"/>
                <w:highlight w:val="none"/>
              </w:rPr>
              <w:t>，年工作</w:t>
            </w:r>
            <w:r>
              <w:rPr>
                <w:rFonts w:hint="default" w:ascii="Times New Roman" w:hAnsi="Times New Roman" w:cs="Times New Roman" w:eastAsiaTheme="minorEastAsia"/>
                <w:color w:val="auto"/>
                <w:sz w:val="24"/>
                <w:szCs w:val="24"/>
                <w:highlight w:val="none"/>
                <w:lang w:val="en-US" w:eastAsia="zh-CN"/>
              </w:rPr>
              <w:t>230</w:t>
            </w:r>
            <w:r>
              <w:rPr>
                <w:rFonts w:hint="default" w:ascii="Times New Roman" w:hAnsi="Times New Roman" w:cs="Times New Roman" w:eastAsiaTheme="minorEastAsia"/>
                <w:color w:val="auto"/>
                <w:sz w:val="24"/>
                <w:szCs w:val="24"/>
                <w:highlight w:val="none"/>
              </w:rPr>
              <w:t>天。食宿人员按</w:t>
            </w:r>
            <w:r>
              <w:rPr>
                <w:rFonts w:hint="default" w:ascii="Times New Roman" w:hAnsi="Times New Roman" w:cs="Times New Roman" w:eastAsiaTheme="minorEastAsia"/>
                <w:color w:val="auto"/>
                <w:sz w:val="24"/>
                <w:szCs w:val="24"/>
                <w:highlight w:val="none"/>
                <w:lang w:val="en-US" w:eastAsia="zh-CN"/>
              </w:rPr>
              <w:t>0.5</w:t>
            </w:r>
            <w:r>
              <w:rPr>
                <w:rFonts w:hint="default" w:ascii="Times New Roman" w:hAnsi="Times New Roman" w:cs="Times New Roman" w:eastAsiaTheme="minorEastAsia"/>
                <w:color w:val="auto"/>
                <w:sz w:val="24"/>
                <w:szCs w:val="24"/>
                <w:highlight w:val="none"/>
              </w:rPr>
              <w:t>kg/</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人•d</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计算，则本项目每日产生的生活垃圾为</w:t>
            </w:r>
            <w:r>
              <w:rPr>
                <w:rFonts w:hint="default" w:ascii="Times New Roman" w:hAnsi="Times New Roman" w:cs="Times New Roman" w:eastAsiaTheme="minorEastAsia"/>
                <w:color w:val="auto"/>
                <w:sz w:val="24"/>
                <w:szCs w:val="24"/>
                <w:highlight w:val="none"/>
                <w:lang w:val="en-US" w:eastAsia="zh-CN"/>
              </w:rPr>
              <w:t>0.1t</w:t>
            </w:r>
            <w:r>
              <w:rPr>
                <w:rFonts w:hint="default" w:ascii="Times New Roman" w:hAnsi="Times New Roman" w:cs="Times New Roman" w:eastAsiaTheme="minorEastAsia"/>
                <w:color w:val="auto"/>
                <w:sz w:val="24"/>
                <w:szCs w:val="24"/>
                <w:highlight w:val="none"/>
              </w:rPr>
              <w:t>，相应的年产生量为</w:t>
            </w:r>
            <w:r>
              <w:rPr>
                <w:rFonts w:hint="default" w:ascii="Times New Roman" w:hAnsi="Times New Roman" w:cs="Times New Roman" w:eastAsiaTheme="minorEastAsia"/>
                <w:color w:val="auto"/>
                <w:sz w:val="24"/>
                <w:szCs w:val="24"/>
                <w:highlight w:val="none"/>
                <w:lang w:val="en-US" w:eastAsia="zh-CN"/>
              </w:rPr>
              <w:t>23</w:t>
            </w:r>
            <w:r>
              <w:rPr>
                <w:rFonts w:hint="default" w:ascii="Times New Roman" w:hAnsi="Times New Roman" w:cs="Times New Roman" w:eastAsiaTheme="minorEastAsia"/>
                <w:color w:val="auto"/>
                <w:sz w:val="24"/>
                <w:szCs w:val="24"/>
                <w:highlight w:val="none"/>
              </w:rPr>
              <w:t>t。</w:t>
            </w:r>
            <w:r>
              <w:rPr>
                <w:rFonts w:hint="default" w:ascii="Times New Roman" w:hAnsi="Times New Roman" w:cs="Times New Roman" w:eastAsiaTheme="minorEastAsia"/>
                <w:color w:val="auto"/>
                <w:sz w:val="24"/>
                <w:szCs w:val="24"/>
                <w:highlight w:val="none"/>
                <w:lang w:val="en-US" w:eastAsia="zh-CN"/>
              </w:rPr>
              <w:t>经</w:t>
            </w:r>
            <w:r>
              <w:rPr>
                <w:rFonts w:hint="default" w:ascii="Times New Roman" w:hAnsi="Times New Roman" w:cs="Times New Roman" w:eastAsiaTheme="minorEastAsia"/>
                <w:color w:val="auto"/>
                <w:sz w:val="24"/>
                <w:szCs w:val="24"/>
                <w:highlight w:val="none"/>
              </w:rPr>
              <w:t>收集后由环卫部门统一清运处理。</w:t>
            </w:r>
          </w:p>
          <w:p w14:paraId="3953CD79">
            <w:pPr>
              <w:spacing w:line="360" w:lineRule="auto"/>
              <w:ind w:firstLine="482" w:firstLineChars="200"/>
              <w:rPr>
                <w:rFonts w:hint="default" w:ascii="Times New Roman" w:hAnsi="Times New Roman" w:cs="Times New Roman" w:eastAsiaTheme="minorEastAsia"/>
                <w:b/>
                <w:bCs/>
                <w:color w:val="auto"/>
                <w:sz w:val="24"/>
                <w:highlight w:val="none"/>
                <w:lang w:val="en-US" w:eastAsia="zh-CN"/>
              </w:rPr>
            </w:pPr>
            <w:r>
              <w:rPr>
                <w:rFonts w:hint="default" w:ascii="Times New Roman" w:hAnsi="Times New Roman" w:cs="Times New Roman" w:eastAsiaTheme="minorEastAsia"/>
                <w:b/>
                <w:bCs/>
                <w:color w:val="auto"/>
                <w:sz w:val="24"/>
                <w:highlight w:val="none"/>
                <w:lang w:eastAsia="zh-CN"/>
              </w:rPr>
              <w:t>（</w:t>
            </w:r>
            <w:r>
              <w:rPr>
                <w:rFonts w:hint="default" w:ascii="Times New Roman" w:hAnsi="Times New Roman" w:cs="Times New Roman" w:eastAsiaTheme="minorEastAsia"/>
                <w:b/>
                <w:bCs/>
                <w:color w:val="auto"/>
                <w:sz w:val="24"/>
                <w:highlight w:val="none"/>
                <w:lang w:val="en-US" w:eastAsia="zh-CN"/>
              </w:rPr>
              <w:t>2</w:t>
            </w:r>
            <w:r>
              <w:rPr>
                <w:rFonts w:hint="default" w:ascii="Times New Roman" w:hAnsi="Times New Roman" w:cs="Times New Roman" w:eastAsiaTheme="minorEastAsia"/>
                <w:b/>
                <w:bCs/>
                <w:color w:val="auto"/>
                <w:sz w:val="24"/>
                <w:highlight w:val="none"/>
                <w:lang w:eastAsia="zh-CN"/>
              </w:rPr>
              <w:t>）</w:t>
            </w:r>
            <w:r>
              <w:rPr>
                <w:rFonts w:hint="default" w:ascii="Times New Roman" w:hAnsi="Times New Roman" w:cs="Times New Roman" w:eastAsiaTheme="minorEastAsia"/>
                <w:b/>
                <w:bCs/>
                <w:color w:val="auto"/>
                <w:sz w:val="24"/>
                <w:highlight w:val="none"/>
                <w:lang w:val="en-US" w:eastAsia="zh-CN"/>
              </w:rPr>
              <w:t>一般工业固体废物</w:t>
            </w:r>
          </w:p>
          <w:p w14:paraId="2DED9C46">
            <w:pPr>
              <w:spacing w:line="360" w:lineRule="auto"/>
              <w:ind w:firstLine="482" w:firstLineChars="200"/>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eastAsiaTheme="minorEastAsia"/>
                <w:b/>
                <w:bCs/>
                <w:color w:val="auto"/>
                <w:sz w:val="24"/>
                <w:szCs w:val="24"/>
                <w:highlight w:val="none"/>
                <w:lang w:val="en-US" w:eastAsia="zh-CN"/>
              </w:rPr>
              <w:t>一般废原料包装：</w:t>
            </w:r>
            <w:r>
              <w:rPr>
                <w:rFonts w:hint="default" w:ascii="Times New Roman" w:hAnsi="Times New Roman" w:cs="Times New Roman" w:eastAsiaTheme="minorEastAsia"/>
                <w:color w:val="auto"/>
                <w:sz w:val="24"/>
                <w:szCs w:val="24"/>
                <w:highlight w:val="none"/>
                <w:lang w:val="en-US" w:eastAsia="zh-CN"/>
              </w:rPr>
              <w:t>本项目生产过程中会产生一般固体废物原料包装，如PS塑料粒、ABS塑料粒、偏光片废包装等，共产生一般固体废物原料包装0.0016t/a</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eastAsiaTheme="minorEastAsia"/>
                <w:color w:val="auto"/>
                <w:sz w:val="24"/>
                <w:szCs w:val="24"/>
                <w:highlight w:val="none"/>
                <w:lang w:val="en-US" w:eastAsia="zh-CN"/>
              </w:rPr>
              <w:t>经收集后交由物资回收单位处理。</w:t>
            </w:r>
            <w:r>
              <w:rPr>
                <w:rFonts w:hint="default" w:ascii="Times New Roman" w:hAnsi="Times New Roman" w:eastAsia="宋体" w:cs="Times New Roman"/>
                <w:color w:val="auto"/>
                <w:kern w:val="0"/>
                <w:sz w:val="24"/>
                <w:highlight w:val="none"/>
                <w:lang w:eastAsia="zh-CN"/>
              </w:rPr>
              <w:t>根据《固体废物分类与代码目录》（2024年版），</w:t>
            </w:r>
            <w:r>
              <w:rPr>
                <w:rFonts w:hint="default" w:ascii="Times New Roman" w:hAnsi="Times New Roman" w:eastAsia="宋体" w:cs="Times New Roman"/>
                <w:color w:val="auto"/>
                <w:kern w:val="0"/>
                <w:sz w:val="24"/>
                <w:highlight w:val="none"/>
                <w:lang w:val="en-US" w:eastAsia="zh-CN"/>
              </w:rPr>
              <w:t>废物代码为900-099-S59</w:t>
            </w:r>
            <w:r>
              <w:rPr>
                <w:rFonts w:hint="default" w:ascii="Times New Roman" w:hAnsi="Times New Roman" w:cs="Times New Roman"/>
                <w:color w:val="auto"/>
                <w:kern w:val="0"/>
                <w:sz w:val="24"/>
                <w:highlight w:val="none"/>
                <w:lang w:val="en-US" w:eastAsia="zh-CN"/>
              </w:rPr>
              <w:t>。</w:t>
            </w:r>
          </w:p>
          <w:p w14:paraId="4526C67F">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一般废原料包装产生情况一览表</w:t>
            </w:r>
          </w:p>
          <w:tbl>
            <w:tblPr>
              <w:tblStyle w:val="38"/>
              <w:tblW w:w="9270"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98"/>
              <w:gridCol w:w="2579"/>
              <w:gridCol w:w="2147"/>
              <w:gridCol w:w="2646"/>
            </w:tblGrid>
            <w:tr w14:paraId="0C28C9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F7D0D">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物料</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CE1EA">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年产生量（个）</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EB16F">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单重（kg/个）</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8B42F">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合计</w:t>
                  </w:r>
                  <w:r>
                    <w:rPr>
                      <w:rFonts w:hint="default" w:ascii="Times New Roman" w:hAnsi="Times New Roman"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t/a</w:t>
                  </w:r>
                  <w:r>
                    <w:rPr>
                      <w:rFonts w:hint="default" w:ascii="Times New Roman" w:hAnsi="Times New Roman" w:cs="Times New Roman"/>
                      <w:b/>
                      <w:bCs/>
                      <w:color w:val="auto"/>
                      <w:sz w:val="21"/>
                      <w:szCs w:val="21"/>
                      <w:highlight w:val="none"/>
                      <w:lang w:val="en-US" w:eastAsia="zh-CN"/>
                    </w:rPr>
                    <w:t>）</w:t>
                  </w:r>
                </w:p>
              </w:tc>
            </w:tr>
            <w:tr w14:paraId="326B4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4D64F">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PS塑料粒</w:t>
                  </w:r>
                </w:p>
              </w:tc>
              <w:tc>
                <w:tcPr>
                  <w:tcW w:w="3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E874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1920</w:t>
                  </w:r>
                </w:p>
              </w:tc>
              <w:tc>
                <w:tcPr>
                  <w:tcW w:w="3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CBA2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0.25</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5F3AB">
                  <w:pPr>
                    <w:keepNext w:val="0"/>
                    <w:keepLines w:val="0"/>
                    <w:widowControl/>
                    <w:suppressLineNumbers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u w:val="none"/>
                      <w:lang w:val="en-US" w:eastAsia="zh-CN" w:bidi="ar"/>
                    </w:rPr>
                    <w:t>0.0005</w:t>
                  </w:r>
                </w:p>
              </w:tc>
            </w:tr>
            <w:tr w14:paraId="47870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169E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ABS塑料粒</w:t>
                  </w:r>
                </w:p>
              </w:tc>
              <w:tc>
                <w:tcPr>
                  <w:tcW w:w="3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9317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1920</w:t>
                  </w:r>
                </w:p>
              </w:tc>
              <w:tc>
                <w:tcPr>
                  <w:tcW w:w="3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ED1E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0.25</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82D89">
                  <w:pPr>
                    <w:keepNext w:val="0"/>
                    <w:keepLines w:val="0"/>
                    <w:widowControl/>
                    <w:suppressLineNumbers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u w:val="none"/>
                      <w:lang w:val="en-US" w:eastAsia="zh-CN" w:bidi="ar"/>
                    </w:rPr>
                    <w:t>0.0005</w:t>
                  </w:r>
                </w:p>
              </w:tc>
            </w:tr>
            <w:tr w14:paraId="1E795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E0C9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偏光片</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896E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440</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17F4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8E0B3">
                  <w:pPr>
                    <w:keepNext w:val="0"/>
                    <w:keepLines w:val="0"/>
                    <w:widowControl/>
                    <w:suppressLineNumbers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u w:val="none"/>
                      <w:lang w:val="en-US" w:eastAsia="zh-CN" w:bidi="ar"/>
                    </w:rPr>
                    <w:t>0.0007</w:t>
                  </w:r>
                </w:p>
              </w:tc>
            </w:tr>
            <w:tr w14:paraId="705F0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638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21CC4">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2C274">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40754">
                  <w:pPr>
                    <w:keepNext w:val="0"/>
                    <w:keepLines w:val="0"/>
                    <w:widowControl/>
                    <w:suppressLineNumbers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u w:val="none"/>
                      <w:lang w:val="en-US" w:eastAsia="zh-CN" w:bidi="ar"/>
                    </w:rPr>
                    <w:t>0.0016</w:t>
                  </w:r>
                </w:p>
              </w:tc>
            </w:tr>
          </w:tbl>
          <w:p w14:paraId="27B53764">
            <w:pPr>
              <w:spacing w:line="360" w:lineRule="auto"/>
              <w:ind w:firstLine="482" w:firstLineChars="200"/>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不合格品：</w:t>
            </w:r>
            <w:r>
              <w:rPr>
                <w:rFonts w:hint="default" w:ascii="Times New Roman" w:hAnsi="Times New Roman" w:cs="Times New Roman"/>
                <w:b w:val="0"/>
                <w:bCs w:val="0"/>
                <w:color w:val="auto"/>
                <w:kern w:val="0"/>
                <w:sz w:val="24"/>
                <w:highlight w:val="none"/>
                <w:lang w:val="en-US" w:eastAsia="zh-CN"/>
              </w:rPr>
              <w:t>产生的不合格品主要为废背光源约1250件/年，显示屏约750件/年。根据《固体废物分类与代码目录》（2024年），废液晶显示屏属于SW17可再生类废物（900-008-S17），经收集后交由专业的回收废背光/废液晶显示屏单位进一步处理。</w:t>
            </w:r>
          </w:p>
          <w:p w14:paraId="2F066628">
            <w:pPr>
              <w:spacing w:line="360" w:lineRule="auto"/>
              <w:ind w:firstLine="482" w:firstLineChars="200"/>
              <w:rPr>
                <w:rFonts w:hint="default" w:ascii="Times New Roman" w:hAnsi="Times New Roman" w:cs="Times New Roman"/>
                <w:b w:val="0"/>
                <w:bCs w:val="0"/>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边角料：</w:t>
            </w:r>
            <w:r>
              <w:rPr>
                <w:rFonts w:hint="default" w:ascii="Times New Roman" w:hAnsi="Times New Roman" w:cs="Times New Roman"/>
                <w:b w:val="0"/>
                <w:bCs w:val="0"/>
                <w:color w:val="auto"/>
                <w:kern w:val="0"/>
                <w:sz w:val="24"/>
                <w:highlight w:val="none"/>
                <w:lang w:val="en-US" w:eastAsia="zh-CN"/>
              </w:rPr>
              <w:t>玻璃切割会产生玻璃边角料，切片会产生偏光片边角料，重约1.5t/a。根据《固体废物分类与代码目录》（2024年），玻璃边角料属于SW17可再生类废物（900-004-S17）、偏光片边角料属于SW17可再生类废物（900-011-S17），经收集后交由物资回收单位处理。</w:t>
            </w:r>
          </w:p>
          <w:p w14:paraId="61C9B55A">
            <w:pPr>
              <w:spacing w:line="360" w:lineRule="auto"/>
              <w:ind w:firstLine="482" w:firstLineChars="200"/>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lang w:eastAsia="zh-CN"/>
              </w:rPr>
              <w:t>废渣：</w:t>
            </w:r>
            <w:r>
              <w:rPr>
                <w:rFonts w:hint="default" w:ascii="Times New Roman" w:hAnsi="Times New Roman" w:cs="Times New Roman" w:eastAsiaTheme="minorEastAsia"/>
                <w:b w:val="0"/>
                <w:bCs w:val="0"/>
                <w:color w:val="auto"/>
                <w:sz w:val="24"/>
                <w:szCs w:val="24"/>
                <w:highlight w:val="none"/>
                <w:lang w:val="en-US" w:eastAsia="zh-CN"/>
              </w:rPr>
              <w:t>综合废水收集池收集废水主要为冷却塔废水、工件清洗废水、纯水设备废水，含可沉淀物较少，收集后直接通过</w:t>
            </w:r>
            <w:r>
              <w:rPr>
                <w:rFonts w:hint="default" w:ascii="Times New Roman" w:hAnsi="Times New Roman" w:cs="Times New Roman" w:eastAsiaTheme="minorEastAsia"/>
                <w:color w:val="auto"/>
                <w:sz w:val="24"/>
                <w:highlight w:val="none"/>
                <w:lang w:val="en-US" w:eastAsia="zh-CN"/>
              </w:rPr>
              <w:t>园区污水管网进入园区污水处理厂进行深度处理，因此无废渣或污泥产生。本项目废渣主要由磨边废水产生，</w:t>
            </w:r>
            <w:r>
              <w:rPr>
                <w:rFonts w:hint="default" w:ascii="Times New Roman" w:hAnsi="Times New Roman" w:cs="Times New Roman" w:eastAsiaTheme="minorEastAsia"/>
                <w:color w:val="auto"/>
                <w:sz w:val="24"/>
                <w:szCs w:val="24"/>
                <w:highlight w:val="none"/>
                <w:lang w:eastAsia="zh-CN"/>
              </w:rPr>
              <w:t>磨边</w:t>
            </w:r>
            <w:r>
              <w:rPr>
                <w:rFonts w:hint="default" w:ascii="Times New Roman" w:hAnsi="Times New Roman" w:cs="Times New Roman" w:eastAsiaTheme="minorEastAsia"/>
                <w:color w:val="auto"/>
                <w:sz w:val="24"/>
                <w:szCs w:val="24"/>
                <w:highlight w:val="none"/>
                <w:lang w:val="en-US" w:eastAsia="zh-CN"/>
              </w:rPr>
              <w:t>废水经收集沉淀后，定期捞渣，根据工程分析可知，粉尘产量1.1t/a，滴滤晾干后含水率按70%计算，则产生废渣3.667t/a。根据《固体废物分类与代码目录》（2024年），玻璃粉尘属于SW17可再生类废物（900-004-S17），经收集后交由物资回收单位处理。</w:t>
            </w:r>
          </w:p>
          <w:p w14:paraId="6C556F2F">
            <w:pPr>
              <w:spacing w:line="360" w:lineRule="auto"/>
              <w:ind w:firstLine="482" w:firstLineChars="200"/>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纯水制备系统废弃物：</w:t>
            </w:r>
            <w:r>
              <w:rPr>
                <w:rFonts w:hint="default" w:ascii="Times New Roman" w:hAnsi="Times New Roman" w:cs="Times New Roman"/>
                <w:color w:val="auto"/>
                <w:kern w:val="0"/>
                <w:sz w:val="24"/>
                <w:highlight w:val="none"/>
                <w:lang w:val="en-US" w:eastAsia="zh-CN"/>
              </w:rPr>
              <w:t>制纯水设备滤芯需定期更换，每两年更换一次，每次更换量约为0.2t，</w:t>
            </w:r>
            <w:r>
              <w:rPr>
                <w:rFonts w:hint="default" w:ascii="Times New Roman" w:hAnsi="Times New Roman" w:cs="Times New Roman" w:eastAsiaTheme="minorEastAsia"/>
                <w:color w:val="auto"/>
                <w:sz w:val="24"/>
                <w:szCs w:val="24"/>
                <w:highlight w:val="none"/>
                <w:lang w:val="en-US" w:eastAsia="zh-CN"/>
              </w:rPr>
              <w:t>经收集后交由物资回收单位处理</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color w:val="auto"/>
                <w:kern w:val="0"/>
                <w:sz w:val="24"/>
                <w:highlight w:val="none"/>
                <w:lang w:eastAsia="zh-CN"/>
              </w:rPr>
              <w:t>根据《固体废物分类与代码目录》（2024年版），</w:t>
            </w:r>
            <w:r>
              <w:rPr>
                <w:rFonts w:hint="default" w:ascii="Times New Roman" w:hAnsi="Times New Roman" w:eastAsia="宋体" w:cs="Times New Roman"/>
                <w:color w:val="auto"/>
                <w:kern w:val="0"/>
                <w:sz w:val="24"/>
                <w:highlight w:val="none"/>
                <w:lang w:val="en-US" w:eastAsia="zh-CN"/>
              </w:rPr>
              <w:t>废物代码为</w:t>
            </w:r>
            <w:r>
              <w:rPr>
                <w:rFonts w:hint="default" w:ascii="Times New Roman" w:hAnsi="Times New Roman" w:cs="Times New Roman"/>
                <w:color w:val="auto"/>
                <w:kern w:val="0"/>
                <w:sz w:val="24"/>
                <w:highlight w:val="none"/>
                <w:lang w:val="en-US" w:eastAsia="zh-CN"/>
              </w:rPr>
              <w:t>900-008-S59。</w:t>
            </w:r>
          </w:p>
          <w:p w14:paraId="7931FA37">
            <w:pPr>
              <w:numPr>
                <w:ilvl w:val="0"/>
                <w:numId w:val="15"/>
              </w:numPr>
              <w:spacing w:line="360" w:lineRule="auto"/>
              <w:ind w:firstLine="482" w:firstLineChars="200"/>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lang w:val="en-US" w:eastAsia="zh-CN"/>
              </w:rPr>
              <w:t>危险废物</w:t>
            </w:r>
          </w:p>
          <w:p w14:paraId="5FDFFE77">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rPr>
              <w:t>废含油抹布手套</w:t>
            </w:r>
            <w:r>
              <w:rPr>
                <w:rFonts w:hint="default" w:ascii="Times New Roman" w:hAnsi="Times New Roman" w:cs="Times New Roman" w:eastAsiaTheme="minorEastAsia"/>
                <w:b/>
                <w:bCs/>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本项目需对生</w:t>
            </w:r>
            <w:r>
              <w:rPr>
                <w:rFonts w:hint="default" w:ascii="Times New Roman" w:hAnsi="Times New Roman" w:cs="Times New Roman"/>
                <w:color w:val="auto"/>
                <w:sz w:val="24"/>
                <w:szCs w:val="24"/>
                <w:highlight w:val="none"/>
                <w:lang w:val="en-US" w:eastAsia="zh-CN"/>
              </w:rPr>
              <w:t>产</w:t>
            </w:r>
            <w:r>
              <w:rPr>
                <w:rFonts w:hint="default" w:ascii="Times New Roman" w:hAnsi="Times New Roman" w:eastAsia="宋体" w:cs="Times New Roman"/>
                <w:color w:val="auto"/>
                <w:sz w:val="24"/>
                <w:szCs w:val="24"/>
                <w:highlight w:val="none"/>
                <w:lang w:val="en-US" w:eastAsia="zh-CN"/>
              </w:rPr>
              <w:t>设备外壳、车间地面等进行清洁擦拭，此过程会产生废抹布和手套，产生量为0.05t/a。依据</w:t>
            </w:r>
            <w:r>
              <w:rPr>
                <w:rFonts w:hint="default" w:ascii="Times New Roman" w:hAnsi="Times New Roman" w:cs="Times New Roman"/>
                <w:color w:val="auto"/>
                <w:sz w:val="24"/>
                <w:szCs w:val="24"/>
                <w:highlight w:val="none"/>
                <w:lang w:val="en-US" w:eastAsia="zh-CN"/>
              </w:rPr>
              <w:t>《国家危险废物名录》（2025年版）</w:t>
            </w:r>
            <w:r>
              <w:rPr>
                <w:rFonts w:hint="default" w:ascii="Times New Roman" w:hAnsi="Times New Roman" w:eastAsia="宋体" w:cs="Times New Roman"/>
                <w:color w:val="auto"/>
                <w:sz w:val="24"/>
                <w:szCs w:val="24"/>
                <w:highlight w:val="none"/>
                <w:lang w:val="en-US" w:eastAsia="zh-CN"/>
              </w:rPr>
              <w:t>，其属于危险废物，编号为HW49其他废物，代码为900-041-49，收集后委托有危废资质单位处理。</w:t>
            </w:r>
          </w:p>
          <w:p w14:paraId="2F01272A">
            <w:pPr>
              <w:spacing w:line="360" w:lineRule="auto"/>
              <w:ind w:firstLine="482"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b/>
                <w:bCs/>
                <w:color w:val="auto"/>
                <w:sz w:val="24"/>
                <w:szCs w:val="24"/>
                <w:highlight w:val="none"/>
              </w:rPr>
              <w:t>废机油：</w:t>
            </w:r>
            <w:r>
              <w:rPr>
                <w:rFonts w:hint="default" w:ascii="Times New Roman" w:hAnsi="Times New Roman" w:cs="Times New Roman" w:eastAsiaTheme="minorEastAsia"/>
                <w:color w:val="auto"/>
                <w:sz w:val="24"/>
                <w:szCs w:val="24"/>
                <w:highlight w:val="none"/>
              </w:rPr>
              <w:t>项目在设备、车间维修过程中</w:t>
            </w:r>
            <w:r>
              <w:rPr>
                <w:rFonts w:hint="default" w:ascii="Times New Roman" w:hAnsi="Times New Roman" w:cs="Times New Roman" w:eastAsiaTheme="minorEastAsia"/>
                <w:color w:val="auto"/>
                <w:sz w:val="24"/>
                <w:szCs w:val="24"/>
                <w:highlight w:val="none"/>
                <w:lang w:val="en-US" w:eastAsia="zh-CN"/>
              </w:rPr>
              <w:t>会</w:t>
            </w:r>
            <w:r>
              <w:rPr>
                <w:rFonts w:hint="default" w:ascii="Times New Roman" w:hAnsi="Times New Roman" w:cs="Times New Roman" w:eastAsiaTheme="minorEastAsia"/>
                <w:color w:val="auto"/>
                <w:sz w:val="24"/>
                <w:szCs w:val="24"/>
                <w:highlight w:val="none"/>
              </w:rPr>
              <w:t>产生废机油，产生量约为</w:t>
            </w:r>
            <w:r>
              <w:rPr>
                <w:rFonts w:hint="default" w:ascii="Times New Roman" w:hAnsi="Times New Roman" w:cs="Times New Roman" w:eastAsiaTheme="minorEastAsia"/>
                <w:color w:val="auto"/>
                <w:sz w:val="24"/>
                <w:szCs w:val="24"/>
                <w:highlight w:val="none"/>
                <w:lang w:val="en-US" w:eastAsia="zh-CN"/>
              </w:rPr>
              <w:t>0.2</w:t>
            </w:r>
            <w:r>
              <w:rPr>
                <w:rFonts w:hint="default" w:ascii="Times New Roman" w:hAnsi="Times New Roman" w:cs="Times New Roman" w:eastAsiaTheme="minorEastAsia"/>
                <w:color w:val="auto"/>
                <w:sz w:val="24"/>
                <w:szCs w:val="24"/>
                <w:highlight w:val="none"/>
              </w:rPr>
              <w:t>t/a，属于</w:t>
            </w:r>
            <w:r>
              <w:rPr>
                <w:rFonts w:hint="default" w:ascii="Times New Roman" w:hAnsi="Times New Roman" w:cs="Times New Roman"/>
                <w:color w:val="auto"/>
                <w:sz w:val="24"/>
                <w:szCs w:val="24"/>
                <w:highlight w:val="none"/>
                <w:lang w:val="en-US" w:eastAsia="zh-CN"/>
              </w:rPr>
              <w:t>《国家危险废物名录》（2025年版）</w:t>
            </w:r>
            <w:r>
              <w:rPr>
                <w:rFonts w:hint="default" w:ascii="Times New Roman" w:hAnsi="Times New Roman" w:cs="Times New Roman" w:eastAsiaTheme="minorEastAsia"/>
                <w:color w:val="auto"/>
                <w:sz w:val="24"/>
                <w:szCs w:val="24"/>
                <w:highlight w:val="none"/>
              </w:rPr>
              <w:t>中编号为HW08的危险废物</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代码900-249-08</w:t>
            </w:r>
            <w:r>
              <w:rPr>
                <w:rFonts w:hint="default" w:ascii="Times New Roman" w:hAnsi="Times New Roman" w:cs="Times New Roman" w:eastAsiaTheme="minorEastAsia"/>
                <w:color w:val="auto"/>
                <w:sz w:val="24"/>
                <w:szCs w:val="24"/>
                <w:highlight w:val="none"/>
              </w:rPr>
              <w:t>，收集后定期交由有危险废物处理资质的单位处置。</w:t>
            </w:r>
          </w:p>
          <w:p w14:paraId="141D4E9B">
            <w:pPr>
              <w:spacing w:line="360" w:lineRule="auto"/>
              <w:ind w:firstLine="480"/>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lang w:eastAsia="zh-CN"/>
              </w:rPr>
              <w:t>废</w:t>
            </w:r>
            <w:r>
              <w:rPr>
                <w:rFonts w:hint="default" w:ascii="Times New Roman" w:hAnsi="Times New Roman" w:cs="Times New Roman" w:eastAsiaTheme="minorEastAsia"/>
                <w:b/>
                <w:bCs/>
                <w:color w:val="auto"/>
                <w:sz w:val="24"/>
                <w:szCs w:val="24"/>
                <w:highlight w:val="none"/>
                <w:lang w:val="en-US" w:eastAsia="zh-CN"/>
              </w:rPr>
              <w:t>UV灯管：</w:t>
            </w:r>
            <w:r>
              <w:rPr>
                <w:rFonts w:hint="default" w:ascii="Times New Roman" w:hAnsi="Times New Roman" w:cs="Times New Roman" w:eastAsiaTheme="minorEastAsia"/>
                <w:b w:val="0"/>
                <w:bCs w:val="0"/>
                <w:color w:val="auto"/>
                <w:sz w:val="24"/>
                <w:szCs w:val="24"/>
                <w:highlight w:val="none"/>
                <w:lang w:val="en-US" w:eastAsia="zh-CN"/>
              </w:rPr>
              <w:t>本项目定期更换UV固化机、烤箱中的UV灯管（预计1年更换1次），每次更换24支，单支重量约为0.1kg，则产生的废UV灯管约为0.0024t/a，根据</w:t>
            </w:r>
            <w:r>
              <w:rPr>
                <w:rFonts w:hint="default" w:ascii="Times New Roman" w:hAnsi="Times New Roman" w:cs="Times New Roman"/>
                <w:color w:val="auto"/>
                <w:sz w:val="24"/>
                <w:szCs w:val="24"/>
                <w:highlight w:val="none"/>
                <w:lang w:val="en-US" w:eastAsia="zh-CN"/>
              </w:rPr>
              <w:t>《国家危险废物名录》（2025年版）</w:t>
            </w:r>
            <w:r>
              <w:rPr>
                <w:rFonts w:hint="default" w:ascii="Times New Roman" w:hAnsi="Times New Roman" w:cs="Times New Roman" w:eastAsiaTheme="minorEastAsia"/>
                <w:b w:val="0"/>
                <w:bCs w:val="0"/>
                <w:color w:val="auto"/>
                <w:sz w:val="24"/>
                <w:szCs w:val="24"/>
                <w:highlight w:val="none"/>
                <w:lang w:val="en-US" w:eastAsia="zh-CN"/>
              </w:rPr>
              <w:t>，废UV灯管属于“HW29含汞废物”，废物代码为900-023-29，应委托有资质的危险废物处理单位进行回收处理。</w:t>
            </w:r>
          </w:p>
          <w:p w14:paraId="18CA9E67">
            <w:pPr>
              <w:keepNext w:val="0"/>
              <w:keepLines w:val="0"/>
              <w:pageBreakBefore w:val="0"/>
              <w:widowControl w:val="0"/>
              <w:numPr>
                <w:ilvl w:val="0"/>
                <w:numId w:val="0"/>
              </w:numPr>
              <w:tabs>
                <w:tab w:val="left" w:pos="315"/>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eastAsiaTheme="minorEastAsia"/>
                <w:b w:val="0"/>
                <w:bCs w:val="0"/>
                <w:color w:val="auto"/>
                <w:sz w:val="24"/>
                <w:szCs w:val="24"/>
                <w:highlight w:val="none"/>
                <w:lang w:eastAsia="zh-CN"/>
              </w:rPr>
            </w:pPr>
            <w:r>
              <w:rPr>
                <w:rFonts w:hint="default" w:ascii="Times New Roman" w:hAnsi="Times New Roman" w:cs="Times New Roman" w:eastAsiaTheme="minorEastAsia"/>
                <w:b/>
                <w:bCs/>
                <w:color w:val="auto"/>
                <w:sz w:val="24"/>
                <w:szCs w:val="24"/>
                <w:highlight w:val="none"/>
                <w:lang w:eastAsia="zh-CN"/>
              </w:rPr>
              <w:t>危险性废原料包装：</w:t>
            </w:r>
            <w:r>
              <w:rPr>
                <w:rFonts w:hint="default" w:ascii="Times New Roman" w:hAnsi="Times New Roman" w:cs="Times New Roman" w:eastAsiaTheme="minorEastAsia"/>
                <w:b w:val="0"/>
                <w:bCs w:val="0"/>
                <w:color w:val="auto"/>
                <w:sz w:val="24"/>
                <w:szCs w:val="24"/>
                <w:highlight w:val="none"/>
                <w:lang w:eastAsia="zh-CN"/>
              </w:rPr>
              <w:t>本项目生产过程中会产生危险性废原料包装，</w:t>
            </w:r>
            <w:r>
              <w:rPr>
                <w:rFonts w:hint="default" w:ascii="Times New Roman" w:hAnsi="Times New Roman" w:cs="Times New Roman"/>
                <w:color w:val="auto"/>
                <w:sz w:val="24"/>
                <w:szCs w:val="24"/>
                <w:highlight w:val="none"/>
                <w:lang w:val="en-US" w:eastAsia="zh-CN"/>
              </w:rPr>
              <w:t>属于《国家危险废物名录》（2025年版）中的HW49其他废物，废物代码为900-041-49（含有或者沾染毒性、感染性危险废物的废弃的包装物、容器、过滤吸附介质），收集并定期交由相应危废处理资质单位处理处置。</w:t>
            </w:r>
            <w:r>
              <w:rPr>
                <w:rFonts w:hint="default" w:ascii="Times New Roman" w:hAnsi="Times New Roman" w:cs="Times New Roman" w:eastAsiaTheme="minorEastAsia"/>
                <w:b w:val="0"/>
                <w:bCs w:val="0"/>
                <w:color w:val="auto"/>
                <w:sz w:val="24"/>
                <w:szCs w:val="24"/>
                <w:highlight w:val="none"/>
                <w:lang w:eastAsia="zh-CN"/>
              </w:rPr>
              <w:t>产生量如下所示：</w:t>
            </w:r>
          </w:p>
          <w:p w14:paraId="05E85552">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危险性废原料包装产生情况一览表</w:t>
            </w:r>
          </w:p>
          <w:tbl>
            <w:tblPr>
              <w:tblStyle w:val="3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88"/>
              <w:gridCol w:w="1719"/>
              <w:gridCol w:w="1897"/>
              <w:gridCol w:w="1702"/>
              <w:gridCol w:w="2358"/>
            </w:tblGrid>
            <w:tr w14:paraId="72018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4A94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F530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年产生量（个）</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6D2E2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单重（g/个）</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AEB2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8CA4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危险废物编码</w:t>
                  </w:r>
                </w:p>
              </w:tc>
            </w:tr>
            <w:tr w14:paraId="34402C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C8A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机油桶</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66F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D9C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19000</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D96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0.1330</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1C80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HW08，900-249-08</w:t>
                  </w:r>
                </w:p>
              </w:tc>
            </w:tr>
            <w:tr w14:paraId="05B6D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82A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液晶</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6F0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770</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D2E5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05BD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0.0539</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CA7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r>
            <w:tr w14:paraId="4B583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632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封口胶</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BFF9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195</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509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476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0.0234</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140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r>
            <w:tr w14:paraId="5FA17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D16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点胶剂</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F5D1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260</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585B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2718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0.026</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302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r>
            <w:tr w14:paraId="6CDC9E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E59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START-3380A</w:t>
                  </w:r>
                  <w:r>
                    <w:rPr>
                      <w:rFonts w:hint="default" w:ascii="Times New Roman" w:hAnsi="Times New Roman" w:eastAsia="宋体" w:cs="Times New Roman"/>
                      <w:i w:val="0"/>
                      <w:iCs w:val="0"/>
                      <w:color w:val="auto"/>
                      <w:kern w:val="0"/>
                      <w:sz w:val="21"/>
                      <w:szCs w:val="21"/>
                      <w:highlight w:val="none"/>
                      <w:u w:val="none"/>
                      <w:lang w:val="en-US" w:eastAsia="zh-CN" w:bidi="ar"/>
                    </w:rPr>
                    <w:t>液晶清洗剂</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5790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230</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451E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3AB2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0.276</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1B9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r>
            <w:tr w14:paraId="28BBF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152D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START-3380B液晶清洗剂</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452A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230</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1ADF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17F8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0.276</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50C3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r>
            <w:tr w14:paraId="32A58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1FC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5A5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958A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11D4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0.788</w:t>
                  </w:r>
                </w:p>
              </w:tc>
              <w:tc>
                <w:tcPr>
                  <w:tcW w:w="12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963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14:paraId="60429205">
            <w:pPr>
              <w:spacing w:line="360" w:lineRule="auto"/>
              <w:ind w:firstLine="480"/>
              <w:rPr>
                <w:rFonts w:hint="default" w:ascii="Times New Roman" w:hAnsi="Times New Roman" w:cs="Times New Roman" w:eastAsiaTheme="minorEastAsia"/>
                <w:b/>
                <w:bCs/>
                <w:color w:val="auto"/>
                <w:sz w:val="24"/>
                <w:szCs w:val="24"/>
                <w:highlight w:val="none"/>
                <w:lang w:eastAsia="zh-CN"/>
              </w:rPr>
            </w:pPr>
          </w:p>
          <w:p w14:paraId="5D956EB1">
            <w:pPr>
              <w:spacing w:line="360" w:lineRule="auto"/>
              <w:ind w:firstLine="480"/>
              <w:rPr>
                <w:rFonts w:hint="default" w:ascii="Times New Roman" w:hAnsi="Times New Roman" w:cs="Times New Roman" w:eastAsiaTheme="minorEastAsia"/>
                <w:b/>
                <w:bCs/>
                <w:color w:val="auto"/>
                <w:sz w:val="24"/>
                <w:szCs w:val="24"/>
                <w:highlight w:val="none"/>
                <w:lang w:eastAsia="zh-CN"/>
              </w:rPr>
            </w:pPr>
            <w:r>
              <w:rPr>
                <w:rFonts w:hint="default" w:ascii="Times New Roman" w:hAnsi="Times New Roman" w:cs="Times New Roman" w:eastAsiaTheme="minorEastAsia"/>
                <w:b/>
                <w:bCs/>
                <w:color w:val="auto"/>
                <w:sz w:val="24"/>
                <w:szCs w:val="24"/>
                <w:highlight w:val="none"/>
                <w:lang w:eastAsia="zh-CN"/>
              </w:rPr>
              <w:t>废活性炭：</w:t>
            </w:r>
          </w:p>
          <w:p w14:paraId="3320B5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rPr>
              <w:t>本项目拟设</w:t>
            </w:r>
            <w:r>
              <w:rPr>
                <w:rFonts w:hint="default" w:ascii="Times New Roman" w:hAnsi="Times New Roman"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rPr>
              <w:t>个活性炭箱，</w:t>
            </w:r>
            <w:r>
              <w:rPr>
                <w:rFonts w:hint="default" w:ascii="Times New Roman" w:hAnsi="Times New Roman" w:cs="Times New Roman" w:eastAsiaTheme="minorEastAsia"/>
                <w:color w:val="auto"/>
                <w:sz w:val="24"/>
                <w:szCs w:val="24"/>
                <w:highlight w:val="none"/>
                <w:lang w:val="en-US" w:eastAsia="zh-CN"/>
              </w:rPr>
              <w:t>具体活性炭箱参数见下表。根据设计要求，吸附装置选用颗粒活性炭作吸附剂时，气体流速宜低于0.60m/s。无脱附功能或脱附功能不正常运行的，活性炭更换周期不应超过500小时（按3个月计算）。根据下表，本项目气体流速均低于0.6m/s，活性炭更换频次为每季度更换一次活性炭，活性炭更换周期不超过500小时（按3个月算）。</w:t>
            </w:r>
          </w:p>
          <w:p w14:paraId="2608EA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根据下表，单个</w:t>
            </w:r>
            <w:r>
              <w:rPr>
                <w:rFonts w:hint="default" w:ascii="Times New Roman" w:hAnsi="Times New Roman" w:cs="Times New Roman" w:eastAsiaTheme="minorEastAsia"/>
                <w:color w:val="auto"/>
                <w:sz w:val="24"/>
                <w:szCs w:val="24"/>
                <w:highlight w:val="none"/>
              </w:rPr>
              <w:t>活性炭</w:t>
            </w:r>
            <w:r>
              <w:rPr>
                <w:rFonts w:hint="default" w:ascii="Times New Roman" w:hAnsi="Times New Roman" w:cs="Times New Roman" w:eastAsiaTheme="minorEastAsia"/>
                <w:color w:val="auto"/>
                <w:sz w:val="24"/>
                <w:szCs w:val="24"/>
                <w:highlight w:val="none"/>
                <w:lang w:val="en-US" w:eastAsia="zh-CN"/>
              </w:rPr>
              <w:t>箱一次</w:t>
            </w:r>
            <w:r>
              <w:rPr>
                <w:rFonts w:hint="default" w:ascii="Times New Roman" w:hAnsi="Times New Roman" w:cs="Times New Roman" w:eastAsiaTheme="minorEastAsia"/>
                <w:color w:val="auto"/>
                <w:sz w:val="24"/>
                <w:szCs w:val="24"/>
                <w:highlight w:val="none"/>
              </w:rPr>
              <w:t>的填充量</w:t>
            </w:r>
            <w:r>
              <w:rPr>
                <w:rFonts w:hint="default" w:ascii="Times New Roman" w:hAnsi="Times New Roman" w:cs="Times New Roman" w:eastAsiaTheme="minorEastAsia"/>
                <w:color w:val="auto"/>
                <w:sz w:val="24"/>
                <w:szCs w:val="24"/>
                <w:highlight w:val="none"/>
                <w:lang w:val="en-US" w:eastAsia="zh-CN"/>
              </w:rPr>
              <w:t>共</w:t>
            </w:r>
            <w:r>
              <w:rPr>
                <w:rFonts w:hint="default" w:ascii="Times New Roman" w:hAnsi="Times New Roman" w:cs="Times New Roman" w:eastAsiaTheme="minorEastAsia"/>
                <w:color w:val="auto"/>
                <w:sz w:val="24"/>
                <w:szCs w:val="24"/>
                <w:highlight w:val="none"/>
              </w:rPr>
              <w:t>为</w:t>
            </w:r>
            <w:r>
              <w:rPr>
                <w:rFonts w:hint="default" w:ascii="Times New Roman" w:hAnsi="Times New Roman" w:cs="Times New Roman" w:eastAsiaTheme="minorEastAsia"/>
                <w:color w:val="auto"/>
                <w:sz w:val="24"/>
                <w:szCs w:val="24"/>
                <w:highlight w:val="none"/>
                <w:lang w:val="en-US" w:eastAsia="zh-CN"/>
              </w:rPr>
              <w:t>2.016</w:t>
            </w:r>
            <w:r>
              <w:rPr>
                <w:rFonts w:hint="default" w:ascii="Times New Roman" w:hAnsi="Times New Roman" w:cs="Times New Roman" w:eastAsiaTheme="minorEastAsia"/>
                <w:color w:val="auto"/>
                <w:sz w:val="24"/>
                <w:szCs w:val="24"/>
                <w:highlight w:val="none"/>
              </w:rPr>
              <w:t>t</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约3个月更换一次活性炭（一年4次），两级活性炭总填充量为16.128t/a</w:t>
            </w:r>
            <w:r>
              <w:rPr>
                <w:rFonts w:hint="default" w:ascii="Times New Roman" w:hAnsi="Times New Roman" w:cs="Times New Roman" w:eastAsiaTheme="minorEastAsia"/>
                <w:color w:val="auto"/>
                <w:sz w:val="24"/>
                <w:szCs w:val="24"/>
                <w:highlight w:val="none"/>
              </w:rPr>
              <w:t>。根据《广东省工业源挥发性有机物减排量核算方法（2023年修订版）》建议直接将“活性炭更换量×活性炭吸附比例”（吸附比例建议取值15%）作为废气处理设施VOCs削减量</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因此本项目活性炭吸附比例取15%。</w:t>
            </w:r>
            <w:r>
              <w:rPr>
                <w:rFonts w:hint="default" w:ascii="Times New Roman" w:hAnsi="Times New Roman" w:cs="Times New Roman" w:eastAsiaTheme="minorEastAsia"/>
                <w:color w:val="auto"/>
                <w:sz w:val="24"/>
                <w:szCs w:val="24"/>
                <w:highlight w:val="none"/>
                <w:lang w:val="en-US" w:eastAsia="zh-CN"/>
              </w:rPr>
              <w:t>则本项目活性炭箱有机废气最大吸附量为16.128×15%=2.419t/a，本项目活性炭吸附有机废气约为0.1</w:t>
            </w:r>
            <w:r>
              <w:rPr>
                <w:rFonts w:hint="eastAsia" w:cs="Times New Roman" w:eastAsiaTheme="minorEastAsia"/>
                <w:color w:val="auto"/>
                <w:sz w:val="24"/>
                <w:szCs w:val="24"/>
                <w:highlight w:val="none"/>
                <w:lang w:val="en-US" w:eastAsia="zh-CN"/>
              </w:rPr>
              <w:t>36</w:t>
            </w:r>
            <w:r>
              <w:rPr>
                <w:rFonts w:hint="default" w:ascii="Times New Roman" w:hAnsi="Times New Roman" w:cs="Times New Roman" w:eastAsiaTheme="minorEastAsia"/>
                <w:color w:val="auto"/>
                <w:sz w:val="24"/>
                <w:szCs w:val="24"/>
                <w:highlight w:val="none"/>
                <w:lang w:val="en-US" w:eastAsia="zh-CN"/>
              </w:rPr>
              <w:t>t/a，本项目活性炭处理效率取值合理。</w:t>
            </w:r>
          </w:p>
          <w:p w14:paraId="3DF28C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本项目废活性炭产生量为</w:t>
            </w:r>
            <w:r>
              <w:rPr>
                <w:rFonts w:hint="default" w:ascii="Times New Roman" w:hAnsi="Times New Roman" w:cs="Times New Roman" w:eastAsiaTheme="minorEastAsia"/>
                <w:color w:val="auto"/>
                <w:sz w:val="24"/>
                <w:szCs w:val="24"/>
                <w:highlight w:val="none"/>
                <w:lang w:val="en-US" w:eastAsia="zh-CN"/>
              </w:rPr>
              <w:t>16.2</w:t>
            </w:r>
            <w:r>
              <w:rPr>
                <w:rFonts w:hint="eastAsia" w:cs="Times New Roman" w:eastAsiaTheme="minorEastAsia"/>
                <w:color w:val="auto"/>
                <w:sz w:val="24"/>
                <w:szCs w:val="24"/>
                <w:highlight w:val="none"/>
                <w:lang w:val="en-US" w:eastAsia="zh-CN"/>
              </w:rPr>
              <w:t>64</w:t>
            </w:r>
            <w:r>
              <w:rPr>
                <w:rFonts w:hint="default" w:ascii="Times New Roman" w:hAnsi="Times New Roman" w:cs="Times New Roman" w:eastAsiaTheme="minorEastAsia"/>
                <w:color w:val="auto"/>
                <w:sz w:val="24"/>
                <w:szCs w:val="24"/>
                <w:highlight w:val="none"/>
                <w:lang w:val="en-US" w:eastAsia="zh-CN"/>
              </w:rPr>
              <w:t>t/a。</w:t>
            </w:r>
            <w:r>
              <w:rPr>
                <w:rFonts w:hint="default" w:ascii="Times New Roman" w:hAnsi="Times New Roman" w:cs="Times New Roman" w:eastAsiaTheme="minorEastAsia"/>
                <w:color w:val="auto"/>
                <w:sz w:val="24"/>
                <w:szCs w:val="24"/>
                <w:highlight w:val="none"/>
              </w:rPr>
              <w:t>根据《国家危险废物名录》（202</w:t>
            </w:r>
            <w:r>
              <w:rPr>
                <w:rFonts w:hint="default" w:ascii="Times New Roman" w:hAnsi="Times New Roman" w:cs="Times New Roman" w:eastAsiaTheme="minorEastAsia"/>
                <w:color w:val="auto"/>
                <w:sz w:val="24"/>
                <w:szCs w:val="24"/>
                <w:highlight w:val="none"/>
                <w:lang w:val="en-US" w:eastAsia="zh-CN"/>
              </w:rPr>
              <w:t>5</w:t>
            </w:r>
            <w:r>
              <w:rPr>
                <w:rFonts w:hint="default" w:ascii="Times New Roman" w:hAnsi="Times New Roman" w:cs="Times New Roman" w:eastAsiaTheme="minorEastAsia"/>
                <w:color w:val="auto"/>
                <w:sz w:val="24"/>
                <w:szCs w:val="24"/>
                <w:highlight w:val="none"/>
              </w:rPr>
              <w:t>年版），</w:t>
            </w:r>
            <w:r>
              <w:rPr>
                <w:rFonts w:hint="default" w:ascii="Times New Roman" w:hAnsi="Times New Roman" w:cs="Times New Roman" w:eastAsiaTheme="minorEastAsia"/>
                <w:color w:val="auto"/>
                <w:sz w:val="24"/>
                <w:szCs w:val="24"/>
                <w:highlight w:val="none"/>
                <w:lang w:val="en-US" w:eastAsia="zh-CN"/>
              </w:rPr>
              <w:t>废活性炭属于危险废物，废物类别为</w:t>
            </w:r>
            <w:r>
              <w:rPr>
                <w:rFonts w:hint="default" w:ascii="Times New Roman" w:hAnsi="Times New Roman" w:cs="Times New Roman" w:eastAsiaTheme="minorEastAsia"/>
                <w:color w:val="auto"/>
                <w:sz w:val="24"/>
                <w:szCs w:val="24"/>
                <w:highlight w:val="none"/>
              </w:rPr>
              <w:t>HW49其他废物，废物代码900-0</w:t>
            </w:r>
            <w:r>
              <w:rPr>
                <w:rFonts w:hint="default" w:ascii="Times New Roman" w:hAnsi="Times New Roman" w:cs="Times New Roman" w:eastAsiaTheme="minorEastAsia"/>
                <w:color w:val="auto"/>
                <w:sz w:val="24"/>
                <w:szCs w:val="24"/>
                <w:highlight w:val="none"/>
                <w:lang w:val="en-US" w:eastAsia="zh-CN"/>
              </w:rPr>
              <w:t>39</w:t>
            </w:r>
            <w:r>
              <w:rPr>
                <w:rFonts w:hint="default" w:ascii="Times New Roman" w:hAnsi="Times New Roman" w:cs="Times New Roman" w:eastAsiaTheme="minorEastAsia"/>
                <w:color w:val="auto"/>
                <w:sz w:val="24"/>
                <w:szCs w:val="24"/>
                <w:highlight w:val="none"/>
              </w:rPr>
              <w:t>-49，</w:t>
            </w:r>
            <w:r>
              <w:rPr>
                <w:rFonts w:hint="default" w:ascii="Times New Roman" w:hAnsi="Times New Roman" w:cs="Times New Roman" w:eastAsiaTheme="minorEastAsia"/>
                <w:color w:val="auto"/>
                <w:sz w:val="24"/>
                <w:szCs w:val="24"/>
                <w:highlight w:val="none"/>
                <w:lang w:val="en-US" w:eastAsia="zh-CN"/>
              </w:rPr>
              <w:t>妥善</w:t>
            </w:r>
            <w:r>
              <w:rPr>
                <w:rFonts w:hint="default" w:ascii="Times New Roman" w:hAnsi="Times New Roman" w:cs="Times New Roman" w:eastAsiaTheme="minorEastAsia"/>
                <w:color w:val="auto"/>
                <w:sz w:val="24"/>
                <w:szCs w:val="24"/>
                <w:highlight w:val="none"/>
              </w:rPr>
              <w:t>收集后委托有危险废物经营许可证的单位处理。</w:t>
            </w:r>
          </w:p>
          <w:p w14:paraId="58162DE7">
            <w:pPr>
              <w:pStyle w:val="2"/>
              <w:rPr>
                <w:rFonts w:hint="default" w:ascii="Times New Roman" w:hAnsi="Times New Roman" w:cs="Times New Roman" w:eastAsiaTheme="minorEastAsia"/>
                <w:color w:val="auto"/>
                <w:sz w:val="24"/>
                <w:szCs w:val="24"/>
                <w:highlight w:val="none"/>
              </w:rPr>
            </w:pPr>
          </w:p>
          <w:p w14:paraId="05940510">
            <w:pPr>
              <w:pStyle w:val="4"/>
              <w:rPr>
                <w:rFonts w:hint="default" w:ascii="Times New Roman" w:hAnsi="Times New Roman" w:cs="Times New Roman" w:eastAsiaTheme="minorEastAsia"/>
                <w:color w:val="auto"/>
                <w:sz w:val="24"/>
                <w:szCs w:val="24"/>
                <w:highlight w:val="none"/>
              </w:rPr>
            </w:pPr>
          </w:p>
          <w:p w14:paraId="43029F5B">
            <w:pPr>
              <w:rPr>
                <w:rFonts w:hint="default" w:ascii="Times New Roman" w:hAnsi="Times New Roman" w:cs="Times New Roman" w:eastAsiaTheme="minorEastAsia"/>
                <w:color w:val="auto"/>
                <w:sz w:val="24"/>
                <w:szCs w:val="24"/>
                <w:highlight w:val="none"/>
              </w:rPr>
            </w:pPr>
          </w:p>
          <w:p w14:paraId="3E2DCA99">
            <w:pPr>
              <w:pStyle w:val="2"/>
              <w:rPr>
                <w:rFonts w:hint="default"/>
                <w:color w:val="auto"/>
                <w:lang w:val="en-US" w:eastAsia="zh-CN"/>
              </w:rPr>
            </w:pPr>
          </w:p>
          <w:p w14:paraId="44D6D552">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活性炭相关参数一览表</w:t>
            </w:r>
          </w:p>
          <w:tbl>
            <w:tblPr>
              <w:tblStyle w:val="3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451"/>
              <w:gridCol w:w="3812"/>
            </w:tblGrid>
            <w:tr w14:paraId="5C397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3C38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参数</w:t>
                  </w:r>
                </w:p>
              </w:tc>
              <w:tc>
                <w:tcPr>
                  <w:tcW w:w="20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4A472">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本项目</w:t>
                  </w:r>
                </w:p>
              </w:tc>
            </w:tr>
            <w:tr w14:paraId="24332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BBB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Q设计风量（m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D68C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28000</w:t>
                  </w:r>
                </w:p>
              </w:tc>
            </w:tr>
            <w:tr w14:paraId="0A78B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E00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单个设备尺寸（长L×宽W×高H）</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8D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2300*1700*1500</w:t>
                  </w:r>
                </w:p>
              </w:tc>
            </w:tr>
            <w:tr w14:paraId="5B219F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6A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活性炭尺寸（mm）</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2288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2100*1600*300</w:t>
                  </w:r>
                </w:p>
              </w:tc>
            </w:tr>
            <w:tr w14:paraId="6FD81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C86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活性炭类型</w:t>
                  </w:r>
                </w:p>
              </w:tc>
              <w:tc>
                <w:tcPr>
                  <w:tcW w:w="20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0E60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颗粒</w:t>
                  </w:r>
                </w:p>
              </w:tc>
            </w:tr>
            <w:tr w14:paraId="64C5E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6164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ρ活性炭密度（kg/m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31F6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500</w:t>
                  </w:r>
                </w:p>
              </w:tc>
            </w:tr>
            <w:tr w14:paraId="61119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F62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V过滤风速（m/s）</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473F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0.58</w:t>
                  </w:r>
                </w:p>
              </w:tc>
            </w:tr>
            <w:tr w14:paraId="035C0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E2F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T停留时间（s）</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C330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0.52</w:t>
                  </w:r>
                </w:p>
              </w:tc>
            </w:tr>
            <w:tr w14:paraId="43952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4AE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S活性炭过滤面积（m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552B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3.36</w:t>
                  </w:r>
                </w:p>
              </w:tc>
            </w:tr>
            <w:tr w14:paraId="1EE1A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69D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n活性炭层数（层）</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CDA8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r>
            <w:tr w14:paraId="5C037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44C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d活性炭单层厚度（m）</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81D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0.3</w:t>
                  </w:r>
                </w:p>
              </w:tc>
            </w:tr>
            <w:tr w14:paraId="597BD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F89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m单个活性炭箱装载量（吨）</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332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2.016</w:t>
                  </w:r>
                </w:p>
              </w:tc>
            </w:tr>
            <w:tr w14:paraId="3CCE9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04C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活性炭箱个数</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5F3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r>
            <w:tr w14:paraId="319C1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B86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年更换频次</w:t>
                  </w:r>
                  <w:r>
                    <w:rPr>
                      <w:rFonts w:hint="default" w:ascii="Times New Roman" w:hAnsi="Times New Roman" w:cs="Times New Roman"/>
                      <w:i w:val="0"/>
                      <w:iCs w:val="0"/>
                      <w:color w:val="auto"/>
                      <w:kern w:val="0"/>
                      <w:sz w:val="21"/>
                      <w:szCs w:val="21"/>
                      <w:highlight w:val="none"/>
                      <w:u w:val="none"/>
                      <w:lang w:val="en-US" w:eastAsia="zh-CN" w:bidi="ar"/>
                    </w:rPr>
                    <w:t>/次</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673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r>
            <w:tr w14:paraId="7583B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092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年更换活性炭量（吨）</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01F9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16.128</w:t>
                  </w:r>
                </w:p>
              </w:tc>
            </w:tr>
            <w:tr w14:paraId="48CA01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A2C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理论</w:t>
                  </w:r>
                  <w:r>
                    <w:rPr>
                      <w:rFonts w:hint="default" w:ascii="Times New Roman" w:hAnsi="Times New Roman" w:eastAsia="宋体" w:cs="Times New Roman"/>
                      <w:i w:val="0"/>
                      <w:iCs w:val="0"/>
                      <w:color w:val="auto"/>
                      <w:kern w:val="0"/>
                      <w:sz w:val="21"/>
                      <w:szCs w:val="21"/>
                      <w:highlight w:val="none"/>
                      <w:u w:val="none"/>
                      <w:lang w:val="en-US" w:eastAsia="zh-CN" w:bidi="ar"/>
                    </w:rPr>
                    <w:t>有机废气最大吸附量（t/a）</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CED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2.419</w:t>
                  </w:r>
                </w:p>
              </w:tc>
            </w:tr>
            <w:tr w14:paraId="3048E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3152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本项目有机废气吸附量（t/a）</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600F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0.136</w:t>
                  </w:r>
                </w:p>
              </w:tc>
            </w:tr>
            <w:tr w14:paraId="3C0DA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5470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废活性炭产生量（t/a）</w:t>
                  </w:r>
                </w:p>
              </w:tc>
              <w:tc>
                <w:tcPr>
                  <w:tcW w:w="3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579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16.264</w:t>
                  </w:r>
                </w:p>
              </w:tc>
            </w:tr>
          </w:tbl>
          <w:p w14:paraId="74C8C392">
            <w:pPr>
              <w:spacing w:line="360" w:lineRule="auto"/>
              <w:ind w:firstLine="480"/>
              <w:rPr>
                <w:rFonts w:hint="default" w:ascii="Times New Roman" w:hAnsi="Times New Roman" w:cs="Times New Roman" w:eastAsiaTheme="minorEastAsia"/>
                <w:b w:val="0"/>
                <w:bCs w:val="0"/>
                <w:color w:val="auto"/>
                <w:sz w:val="24"/>
                <w:szCs w:val="24"/>
                <w:highlight w:val="none"/>
                <w:u w:val="single"/>
                <w:lang w:eastAsia="zh-CN"/>
              </w:rPr>
            </w:pPr>
          </w:p>
          <w:p w14:paraId="350EF639">
            <w:pPr>
              <w:spacing w:line="360" w:lineRule="auto"/>
              <w:ind w:firstLine="480"/>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rPr>
              <w:t>综上，本项目固体废物产生情况见下表</w:t>
            </w:r>
            <w:r>
              <w:rPr>
                <w:rFonts w:hint="default" w:ascii="Times New Roman" w:hAnsi="Times New Roman" w:cs="Times New Roman" w:eastAsiaTheme="minorEastAsia"/>
                <w:color w:val="auto"/>
                <w:sz w:val="24"/>
                <w:szCs w:val="24"/>
                <w:highlight w:val="none"/>
                <w:lang w:eastAsia="zh-CN"/>
              </w:rPr>
              <w:t>：</w:t>
            </w:r>
          </w:p>
          <w:p w14:paraId="1C446E2F">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本项目固体废物产生情况一览表</w:t>
            </w:r>
          </w:p>
          <w:tbl>
            <w:tblPr>
              <w:tblStyle w:val="3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70"/>
              <w:gridCol w:w="2285"/>
              <w:gridCol w:w="1762"/>
              <w:gridCol w:w="2055"/>
              <w:gridCol w:w="2394"/>
            </w:tblGrid>
            <w:tr w14:paraId="5FA16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396F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属性</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5DC7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固废名称</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A220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7AFB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废物编码</w:t>
                  </w:r>
                </w:p>
              </w:tc>
              <w:tc>
                <w:tcPr>
                  <w:tcW w:w="1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2594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处理处置方式</w:t>
                  </w:r>
                </w:p>
              </w:tc>
            </w:tr>
            <w:tr w14:paraId="5E076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9AF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7107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8DB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B17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96E5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收集后由环卫部门统一清运处理</w:t>
                  </w:r>
                </w:p>
              </w:tc>
            </w:tr>
            <w:tr w14:paraId="5625D3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EEB5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242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一般废原料包装</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9B31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0.0016</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91B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900-099-S59</w:t>
                  </w:r>
                </w:p>
              </w:tc>
              <w:tc>
                <w:tcPr>
                  <w:tcW w:w="1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08E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收集后交由物资回收单位处理</w:t>
                  </w:r>
                </w:p>
              </w:tc>
            </w:tr>
            <w:tr w14:paraId="25FAC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47E37">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773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不合格品</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86C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000件/年</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73C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900-008-S17</w:t>
                  </w:r>
                </w:p>
              </w:tc>
              <w:tc>
                <w:tcPr>
                  <w:tcW w:w="1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F40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收集后交由专业的回收废背光/废液晶显示屏单位回收处理</w:t>
                  </w:r>
                </w:p>
              </w:tc>
            </w:tr>
            <w:tr w14:paraId="5F03D1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6E8073">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CA7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边角料</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116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D24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900-004-S17、900-011-S17</w:t>
                  </w:r>
                </w:p>
              </w:tc>
              <w:tc>
                <w:tcPr>
                  <w:tcW w:w="12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D23B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收集后交由物资回收单位处理</w:t>
                  </w:r>
                </w:p>
              </w:tc>
            </w:tr>
            <w:tr w14:paraId="46842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5A8E12">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7DF2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废渣</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548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3.667</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1B4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900-004-S17</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EA0B7A">
                  <w:pPr>
                    <w:jc w:val="center"/>
                    <w:rPr>
                      <w:rFonts w:hint="default" w:ascii="Times New Roman" w:hAnsi="Times New Roman" w:eastAsia="宋体" w:cs="Times New Roman"/>
                      <w:i w:val="0"/>
                      <w:iCs w:val="0"/>
                      <w:color w:val="auto"/>
                      <w:sz w:val="21"/>
                      <w:szCs w:val="21"/>
                      <w:highlight w:val="none"/>
                      <w:u w:val="none"/>
                    </w:rPr>
                  </w:pPr>
                </w:p>
              </w:tc>
            </w:tr>
            <w:tr w14:paraId="4F177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DC0D48">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1F7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纯水制备系统废弃物</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281F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631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900-008-S59</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CAC01C">
                  <w:pPr>
                    <w:jc w:val="center"/>
                    <w:rPr>
                      <w:rFonts w:hint="default" w:ascii="Times New Roman" w:hAnsi="Times New Roman" w:eastAsia="宋体" w:cs="Times New Roman"/>
                      <w:i w:val="0"/>
                      <w:iCs w:val="0"/>
                      <w:color w:val="auto"/>
                      <w:sz w:val="21"/>
                      <w:szCs w:val="21"/>
                      <w:highlight w:val="none"/>
                      <w:u w:val="none"/>
                    </w:rPr>
                  </w:pPr>
                </w:p>
              </w:tc>
            </w:tr>
            <w:tr w14:paraId="5DDCE1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39D3A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13A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废含油抹布手套</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601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281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c>
                <w:tcPr>
                  <w:tcW w:w="12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7BF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收集后委托有危废资质单位处理</w:t>
                  </w:r>
                </w:p>
              </w:tc>
            </w:tr>
            <w:tr w14:paraId="39C5B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8CDC76">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9EE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41B7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B34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HW49，900-249-08</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C5C4D4">
                  <w:pPr>
                    <w:jc w:val="center"/>
                    <w:rPr>
                      <w:rFonts w:hint="default" w:ascii="Times New Roman" w:hAnsi="Times New Roman" w:eastAsia="宋体" w:cs="Times New Roman"/>
                      <w:i w:val="0"/>
                      <w:iCs w:val="0"/>
                      <w:color w:val="auto"/>
                      <w:sz w:val="21"/>
                      <w:szCs w:val="21"/>
                      <w:highlight w:val="none"/>
                      <w:u w:val="none"/>
                    </w:rPr>
                  </w:pPr>
                </w:p>
              </w:tc>
            </w:tr>
            <w:tr w14:paraId="50FFE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4C7A0">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2BE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废UV灯管</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483A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0.0024</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76B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HW29，900-023-29</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F83430">
                  <w:pPr>
                    <w:jc w:val="center"/>
                    <w:rPr>
                      <w:rFonts w:hint="default" w:ascii="Times New Roman" w:hAnsi="Times New Roman" w:eastAsia="宋体" w:cs="Times New Roman"/>
                      <w:i w:val="0"/>
                      <w:iCs w:val="0"/>
                      <w:color w:val="auto"/>
                      <w:sz w:val="21"/>
                      <w:szCs w:val="21"/>
                      <w:highlight w:val="none"/>
                      <w:u w:val="none"/>
                    </w:rPr>
                  </w:pPr>
                </w:p>
              </w:tc>
            </w:tr>
            <w:tr w14:paraId="71317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92ED86">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FA1E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危险性废原料包装</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47F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0.788</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BAA5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HW49，900-041-49</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1BE21F">
                  <w:pPr>
                    <w:jc w:val="center"/>
                    <w:rPr>
                      <w:rFonts w:hint="default" w:ascii="Times New Roman" w:hAnsi="Times New Roman" w:eastAsia="宋体" w:cs="Times New Roman"/>
                      <w:i w:val="0"/>
                      <w:iCs w:val="0"/>
                      <w:color w:val="auto"/>
                      <w:sz w:val="21"/>
                      <w:szCs w:val="21"/>
                      <w:highlight w:val="none"/>
                      <w:u w:val="none"/>
                    </w:rPr>
                  </w:pPr>
                </w:p>
              </w:tc>
            </w:tr>
            <w:tr w14:paraId="2E52F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F5FF8">
                  <w:pPr>
                    <w:jc w:val="center"/>
                    <w:rPr>
                      <w:rFonts w:hint="default" w:ascii="Times New Roman" w:hAnsi="Times New Roman" w:eastAsia="宋体" w:cs="Times New Roman"/>
                      <w:i w:val="0"/>
                      <w:iCs w:val="0"/>
                      <w:color w:val="auto"/>
                      <w:sz w:val="21"/>
                      <w:szCs w:val="21"/>
                      <w:highlight w:val="none"/>
                      <w:u w:val="none"/>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985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废活性炭</w:t>
                  </w:r>
                </w:p>
              </w:tc>
              <w:tc>
                <w:tcPr>
                  <w:tcW w:w="9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8BE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16.264</w:t>
                  </w:r>
                </w:p>
              </w:tc>
              <w:tc>
                <w:tcPr>
                  <w:tcW w:w="1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689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HW49，900-039-49</w:t>
                  </w:r>
                </w:p>
              </w:tc>
              <w:tc>
                <w:tcPr>
                  <w:tcW w:w="12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D28A12">
                  <w:pPr>
                    <w:jc w:val="center"/>
                    <w:rPr>
                      <w:rFonts w:hint="default" w:ascii="Times New Roman" w:hAnsi="Times New Roman" w:eastAsia="宋体" w:cs="Times New Roman"/>
                      <w:i w:val="0"/>
                      <w:iCs w:val="0"/>
                      <w:color w:val="auto"/>
                      <w:sz w:val="21"/>
                      <w:szCs w:val="21"/>
                      <w:highlight w:val="none"/>
                      <w:u w:val="none"/>
                    </w:rPr>
                  </w:pPr>
                </w:p>
              </w:tc>
            </w:tr>
          </w:tbl>
          <w:p w14:paraId="0F9A1026">
            <w:pPr>
              <w:rPr>
                <w:rFonts w:hint="default" w:ascii="Times New Roman" w:hAnsi="Times New Roman" w:cs="Times New Roman"/>
                <w:color w:val="auto"/>
                <w:highlight w:val="none"/>
                <w:lang w:val="zh-CN" w:eastAsia="zh-CN"/>
              </w:rPr>
            </w:pPr>
          </w:p>
          <w:p w14:paraId="20E8864C">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项目危险废物汇总表</w:t>
            </w:r>
          </w:p>
          <w:tbl>
            <w:tblPr>
              <w:tblStyle w:val="3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6"/>
              <w:gridCol w:w="755"/>
              <w:gridCol w:w="840"/>
              <w:gridCol w:w="1278"/>
              <w:gridCol w:w="961"/>
              <w:gridCol w:w="690"/>
              <w:gridCol w:w="573"/>
              <w:gridCol w:w="978"/>
              <w:gridCol w:w="805"/>
              <w:gridCol w:w="610"/>
              <w:gridCol w:w="618"/>
              <w:gridCol w:w="700"/>
            </w:tblGrid>
            <w:tr w14:paraId="3C798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noWrap w:val="0"/>
                  <w:vAlign w:val="center"/>
                </w:tcPr>
                <w:p w14:paraId="46F0A5A8">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序号</w:t>
                  </w: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531B1F27">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危废名称</w:t>
                  </w:r>
                </w:p>
              </w:tc>
              <w:tc>
                <w:tcPr>
                  <w:tcW w:w="453" w:type="pct"/>
                  <w:tcBorders>
                    <w:top w:val="single" w:color="000000" w:sz="4" w:space="0"/>
                    <w:left w:val="single" w:color="000000" w:sz="4" w:space="0"/>
                    <w:bottom w:val="single" w:color="000000" w:sz="4" w:space="0"/>
                    <w:right w:val="single" w:color="000000" w:sz="4" w:space="0"/>
                  </w:tcBorders>
                  <w:noWrap w:val="0"/>
                  <w:vAlign w:val="center"/>
                </w:tcPr>
                <w:p w14:paraId="7F8D11E5">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危废类别</w:t>
                  </w:r>
                </w:p>
              </w:tc>
              <w:tc>
                <w:tcPr>
                  <w:tcW w:w="689" w:type="pct"/>
                  <w:tcBorders>
                    <w:top w:val="single" w:color="000000" w:sz="4" w:space="0"/>
                    <w:left w:val="single" w:color="000000" w:sz="4" w:space="0"/>
                    <w:bottom w:val="single" w:color="000000" w:sz="4" w:space="0"/>
                    <w:right w:val="single" w:color="000000" w:sz="4" w:space="0"/>
                  </w:tcBorders>
                  <w:noWrap w:val="0"/>
                  <w:vAlign w:val="center"/>
                </w:tcPr>
                <w:p w14:paraId="3CF089A7">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危废代码</w:t>
                  </w:r>
                </w:p>
              </w:tc>
              <w:tc>
                <w:tcPr>
                  <w:tcW w:w="518" w:type="pct"/>
                  <w:tcBorders>
                    <w:top w:val="single" w:color="000000" w:sz="4" w:space="0"/>
                    <w:left w:val="single" w:color="000000" w:sz="4" w:space="0"/>
                    <w:bottom w:val="single" w:color="000000" w:sz="4" w:space="0"/>
                    <w:right w:val="single" w:color="000000" w:sz="4" w:space="0"/>
                  </w:tcBorders>
                  <w:noWrap w:val="0"/>
                  <w:vAlign w:val="center"/>
                </w:tcPr>
                <w:p w14:paraId="4D89FC04">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产生量（t/a）</w:t>
                  </w:r>
                </w:p>
              </w:tc>
              <w:tc>
                <w:tcPr>
                  <w:tcW w:w="372" w:type="pct"/>
                  <w:tcBorders>
                    <w:top w:val="single" w:color="000000" w:sz="4" w:space="0"/>
                    <w:left w:val="single" w:color="000000" w:sz="4" w:space="0"/>
                    <w:bottom w:val="single" w:color="000000" w:sz="4" w:space="0"/>
                    <w:right w:val="single" w:color="000000" w:sz="4" w:space="0"/>
                  </w:tcBorders>
                  <w:noWrap w:val="0"/>
                  <w:vAlign w:val="center"/>
                </w:tcPr>
                <w:p w14:paraId="748AAEA5">
                  <w:pPr>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产生工序及装置</w:t>
                  </w:r>
                </w:p>
              </w:tc>
              <w:tc>
                <w:tcPr>
                  <w:tcW w:w="309" w:type="pct"/>
                  <w:tcBorders>
                    <w:top w:val="single" w:color="000000" w:sz="4" w:space="0"/>
                    <w:left w:val="single" w:color="000000" w:sz="4" w:space="0"/>
                    <w:bottom w:val="single" w:color="000000" w:sz="4" w:space="0"/>
                    <w:right w:val="single" w:color="000000" w:sz="4" w:space="0"/>
                  </w:tcBorders>
                  <w:noWrap w:val="0"/>
                  <w:vAlign w:val="center"/>
                </w:tcPr>
                <w:p w14:paraId="4672433B">
                  <w:pPr>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形态</w:t>
                  </w:r>
                </w:p>
              </w:tc>
              <w:tc>
                <w:tcPr>
                  <w:tcW w:w="527" w:type="pct"/>
                  <w:tcBorders>
                    <w:top w:val="single" w:color="000000" w:sz="4" w:space="0"/>
                    <w:left w:val="single" w:color="000000" w:sz="4" w:space="0"/>
                    <w:bottom w:val="single" w:color="000000" w:sz="4" w:space="0"/>
                    <w:right w:val="single" w:color="000000" w:sz="4" w:space="0"/>
                  </w:tcBorders>
                  <w:noWrap w:val="0"/>
                  <w:vAlign w:val="center"/>
                </w:tcPr>
                <w:p w14:paraId="002FE35C">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主要成分</w:t>
                  </w:r>
                </w:p>
              </w:tc>
              <w:tc>
                <w:tcPr>
                  <w:tcW w:w="434" w:type="pct"/>
                  <w:tcBorders>
                    <w:top w:val="single" w:color="000000" w:sz="4" w:space="0"/>
                    <w:left w:val="single" w:color="000000" w:sz="4" w:space="0"/>
                    <w:bottom w:val="single" w:color="000000" w:sz="4" w:space="0"/>
                    <w:right w:val="single" w:color="000000" w:sz="4" w:space="0"/>
                  </w:tcBorders>
                  <w:noWrap w:val="0"/>
                  <w:vAlign w:val="center"/>
                </w:tcPr>
                <w:p w14:paraId="2AEA8B2F">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有害成分</w:t>
                  </w:r>
                </w:p>
              </w:tc>
              <w:tc>
                <w:tcPr>
                  <w:tcW w:w="329" w:type="pct"/>
                  <w:tcBorders>
                    <w:top w:val="single" w:color="000000" w:sz="4" w:space="0"/>
                    <w:left w:val="single" w:color="000000" w:sz="4" w:space="0"/>
                    <w:bottom w:val="single" w:color="000000" w:sz="4" w:space="0"/>
                    <w:right w:val="single" w:color="000000" w:sz="4" w:space="0"/>
                  </w:tcBorders>
                  <w:noWrap w:val="0"/>
                  <w:vAlign w:val="center"/>
                </w:tcPr>
                <w:p w14:paraId="0EF9AF55">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产废周期</w:t>
                  </w:r>
                </w:p>
              </w:tc>
              <w:tc>
                <w:tcPr>
                  <w:tcW w:w="333" w:type="pct"/>
                  <w:tcBorders>
                    <w:top w:val="single" w:color="000000" w:sz="4" w:space="0"/>
                    <w:left w:val="single" w:color="000000" w:sz="4" w:space="0"/>
                    <w:bottom w:val="single" w:color="000000" w:sz="4" w:space="0"/>
                    <w:right w:val="single" w:color="000000" w:sz="4" w:space="0"/>
                  </w:tcBorders>
                  <w:noWrap w:val="0"/>
                  <w:vAlign w:val="center"/>
                </w:tcPr>
                <w:p w14:paraId="625EA99E">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危险特性</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14:paraId="5667189C">
                  <w:pPr>
                    <w:pStyle w:val="127"/>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污染防治措施</w:t>
                  </w:r>
                </w:p>
              </w:tc>
            </w:tr>
            <w:tr w14:paraId="777F4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F28CD9">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581133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废含油抹布手套</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ABD919">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D7713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756036">
                  <w:pPr>
                    <w:keepNext w:val="0"/>
                    <w:keepLines w:val="0"/>
                    <w:widowControl/>
                    <w:suppressLineNumbers w:val="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2CF49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生产过程</w:t>
                  </w:r>
                </w:p>
              </w:tc>
              <w:tc>
                <w:tcPr>
                  <w:tcW w:w="30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C254B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固态</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02A180">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矿物油</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8DDBE6">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矿物油</w:t>
                  </w:r>
                </w:p>
              </w:tc>
              <w:tc>
                <w:tcPr>
                  <w:tcW w:w="32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E531CA">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每月</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E2387B">
                  <w:pPr>
                    <w:pStyle w:val="127"/>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T/In</w:t>
                  </w:r>
                </w:p>
              </w:tc>
              <w:tc>
                <w:tcPr>
                  <w:tcW w:w="377" w:type="pct"/>
                  <w:vMerge w:val="restart"/>
                  <w:tcBorders>
                    <w:top w:val="single" w:color="000000" w:sz="4" w:space="0"/>
                    <w:left w:val="single" w:color="000000" w:sz="4" w:space="0"/>
                    <w:right w:val="single" w:color="000000" w:sz="4" w:space="0"/>
                  </w:tcBorders>
                  <w:noWrap w:val="0"/>
                  <w:vAlign w:val="center"/>
                </w:tcPr>
                <w:p w14:paraId="1A7F68CE">
                  <w:pPr>
                    <w:pStyle w:val="1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交由有危险废物资质单位处理</w:t>
                  </w:r>
                </w:p>
              </w:tc>
            </w:tr>
            <w:tr w14:paraId="7A9C9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B12A96">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FBD86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E5AC35">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1FFAB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F4DA36">
                  <w:pPr>
                    <w:keepNext w:val="0"/>
                    <w:keepLines w:val="0"/>
                    <w:widowControl/>
                    <w:suppressLineNumbers w:val="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44204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设备维护</w:t>
                  </w:r>
                </w:p>
              </w:tc>
              <w:tc>
                <w:tcPr>
                  <w:tcW w:w="30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E567EE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液态</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BBEFEA8">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矿物油</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0D9A1C">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矿物油</w:t>
                  </w:r>
                </w:p>
              </w:tc>
              <w:tc>
                <w:tcPr>
                  <w:tcW w:w="32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E6F0F4">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季度</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041167">
                  <w:pPr>
                    <w:pStyle w:val="127"/>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T，I</w:t>
                  </w:r>
                </w:p>
              </w:tc>
              <w:tc>
                <w:tcPr>
                  <w:tcW w:w="377" w:type="pct"/>
                  <w:vMerge w:val="continue"/>
                  <w:tcBorders>
                    <w:left w:val="single" w:color="000000" w:sz="4" w:space="0"/>
                    <w:right w:val="single" w:color="000000" w:sz="4" w:space="0"/>
                  </w:tcBorders>
                  <w:noWrap w:val="0"/>
                  <w:vAlign w:val="center"/>
                </w:tcPr>
                <w:p w14:paraId="705C0D2B">
                  <w:pPr>
                    <w:pStyle w:val="127"/>
                    <w:bidi w:val="0"/>
                    <w:rPr>
                      <w:rFonts w:hint="default" w:ascii="Times New Roman" w:hAnsi="Times New Roman" w:cs="Times New Roman"/>
                      <w:color w:val="auto"/>
                      <w:highlight w:val="none"/>
                    </w:rPr>
                  </w:pPr>
                </w:p>
              </w:tc>
            </w:tr>
            <w:tr w14:paraId="45FD7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2230FBA">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F5740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废UV灯管</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3B00FA">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w:t>
                  </w:r>
                  <w:r>
                    <w:rPr>
                      <w:rFonts w:hint="default" w:ascii="Times New Roman" w:hAnsi="Times New Roman" w:cs="Times New Roman"/>
                      <w:color w:val="auto"/>
                      <w:kern w:val="2"/>
                      <w:sz w:val="21"/>
                      <w:szCs w:val="21"/>
                      <w:highlight w:val="none"/>
                      <w:lang w:val="en-US" w:eastAsia="zh-CN" w:bidi="ar-SA"/>
                    </w:rPr>
                    <w:t>29</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ACD9A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900-023-29</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05259E">
                  <w:pPr>
                    <w:keepNext w:val="0"/>
                    <w:keepLines w:val="0"/>
                    <w:widowControl/>
                    <w:suppressLineNumbers w:val="0"/>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0.0024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B5A10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设备维护</w:t>
                  </w:r>
                </w:p>
              </w:tc>
              <w:tc>
                <w:tcPr>
                  <w:tcW w:w="30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D72E1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固态</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78DFB3">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玻璃、汞</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9D437E">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汞</w:t>
                  </w:r>
                </w:p>
              </w:tc>
              <w:tc>
                <w:tcPr>
                  <w:tcW w:w="32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076EB39">
                  <w:pPr>
                    <w:pStyle w:val="127"/>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每年</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21D92B">
                  <w:pPr>
                    <w:pStyle w:val="127"/>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p>
              </w:tc>
              <w:tc>
                <w:tcPr>
                  <w:tcW w:w="377" w:type="pct"/>
                  <w:vMerge w:val="continue"/>
                  <w:tcBorders>
                    <w:left w:val="single" w:color="000000" w:sz="4" w:space="0"/>
                    <w:right w:val="single" w:color="000000" w:sz="4" w:space="0"/>
                  </w:tcBorders>
                  <w:noWrap w:val="0"/>
                  <w:vAlign w:val="center"/>
                </w:tcPr>
                <w:p w14:paraId="7D38F02B">
                  <w:pPr>
                    <w:pStyle w:val="127"/>
                    <w:bidi w:val="0"/>
                    <w:rPr>
                      <w:rFonts w:hint="default" w:ascii="Times New Roman" w:hAnsi="Times New Roman" w:cs="Times New Roman"/>
                      <w:color w:val="auto"/>
                      <w:highlight w:val="none"/>
                    </w:rPr>
                  </w:pPr>
                </w:p>
              </w:tc>
            </w:tr>
            <w:tr w14:paraId="5DF437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E7B51B0">
                  <w:pPr>
                    <w:pStyle w:val="12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C24F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危险性废原料包装</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F3777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51FB2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9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8A2AA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0.788</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E9F69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生产过程</w:t>
                  </w:r>
                </w:p>
              </w:tc>
              <w:tc>
                <w:tcPr>
                  <w:tcW w:w="30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221BB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固态</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1D83BD9">
                  <w:pPr>
                    <w:pStyle w:val="127"/>
                    <w:bidi w:val="0"/>
                    <w:ind w:firstLine="0" w:firstLineChars="0"/>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有机物</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011598">
                  <w:pPr>
                    <w:pStyle w:val="127"/>
                    <w:bidi w:val="0"/>
                    <w:ind w:firstLine="0" w:firstLineChars="0"/>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有机物</w:t>
                  </w:r>
                </w:p>
              </w:tc>
              <w:tc>
                <w:tcPr>
                  <w:tcW w:w="32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96CD0E">
                  <w:pPr>
                    <w:pStyle w:val="12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每天</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C8031F">
                  <w:pPr>
                    <w:pStyle w:val="127"/>
                    <w:bidi w:val="0"/>
                    <w:ind w:firstLine="0" w:firstLineChars="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T/In</w:t>
                  </w:r>
                </w:p>
              </w:tc>
              <w:tc>
                <w:tcPr>
                  <w:tcW w:w="377" w:type="pct"/>
                  <w:vMerge w:val="continue"/>
                  <w:tcBorders>
                    <w:left w:val="single" w:color="000000" w:sz="4" w:space="0"/>
                    <w:right w:val="single" w:color="000000" w:sz="4" w:space="0"/>
                  </w:tcBorders>
                  <w:noWrap w:val="0"/>
                  <w:vAlign w:val="center"/>
                </w:tcPr>
                <w:p w14:paraId="59565101">
                  <w:pPr>
                    <w:pStyle w:val="127"/>
                    <w:bidi w:val="0"/>
                    <w:rPr>
                      <w:rFonts w:hint="default" w:ascii="Times New Roman" w:hAnsi="Times New Roman" w:cs="Times New Roman"/>
                      <w:color w:val="auto"/>
                      <w:highlight w:val="none"/>
                    </w:rPr>
                  </w:pPr>
                </w:p>
              </w:tc>
            </w:tr>
            <w:tr w14:paraId="580C2A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A5D83B">
                  <w:pPr>
                    <w:pStyle w:val="12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3BEEB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废活性炭</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A5E2D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963E5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900-039-49</w:t>
                  </w:r>
                </w:p>
              </w:tc>
              <w:tc>
                <w:tcPr>
                  <w:tcW w:w="9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5DDAC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16.264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A2B63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废气治理</w:t>
                  </w:r>
                </w:p>
              </w:tc>
              <w:tc>
                <w:tcPr>
                  <w:tcW w:w="30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1E420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固态</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357C92">
                  <w:pPr>
                    <w:pStyle w:val="115"/>
                    <w:bidi w:val="0"/>
                    <w:ind w:firstLine="0" w:firstLineChars="0"/>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有机物，炭</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013F5E9">
                  <w:pPr>
                    <w:pStyle w:val="127"/>
                    <w:bidi w:val="0"/>
                    <w:ind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color w:val="auto"/>
                      <w:highlight w:val="none"/>
                      <w:lang w:val="en-US" w:eastAsia="zh-CN"/>
                    </w:rPr>
                    <w:t>有机物</w:t>
                  </w:r>
                </w:p>
              </w:tc>
              <w:tc>
                <w:tcPr>
                  <w:tcW w:w="32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482D7D">
                  <w:pPr>
                    <w:pStyle w:val="12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季度</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97A290">
                  <w:pPr>
                    <w:pStyle w:val="127"/>
                    <w:bidi w:val="0"/>
                    <w:ind w:firstLine="0" w:firstLineChars="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T</w:t>
                  </w:r>
                </w:p>
              </w:tc>
              <w:tc>
                <w:tcPr>
                  <w:tcW w:w="377" w:type="pct"/>
                  <w:vMerge w:val="continue"/>
                  <w:tcBorders>
                    <w:left w:val="single" w:color="000000" w:sz="4" w:space="0"/>
                    <w:bottom w:val="single" w:color="000000" w:sz="4" w:space="0"/>
                    <w:right w:val="single" w:color="000000" w:sz="4" w:space="0"/>
                  </w:tcBorders>
                  <w:noWrap w:val="0"/>
                  <w:vAlign w:val="center"/>
                </w:tcPr>
                <w:p w14:paraId="0682F207">
                  <w:pPr>
                    <w:pStyle w:val="127"/>
                    <w:bidi w:val="0"/>
                    <w:rPr>
                      <w:rFonts w:hint="default" w:ascii="Times New Roman" w:hAnsi="Times New Roman" w:cs="Times New Roman"/>
                      <w:color w:val="auto"/>
                      <w:highlight w:val="none"/>
                    </w:rPr>
                  </w:pPr>
                </w:p>
              </w:tc>
            </w:tr>
          </w:tbl>
          <w:p w14:paraId="3EDD46A1">
            <w:pPr>
              <w:pStyle w:val="112"/>
              <w:spacing w:line="360" w:lineRule="auto"/>
              <w:rPr>
                <w:rFonts w:hint="default" w:ascii="Times New Roman" w:hAnsi="Times New Roman" w:cs="Times New Roman"/>
                <w:b/>
                <w:bCs/>
                <w:color w:val="auto"/>
                <w:highlight w:val="none"/>
                <w:lang w:eastAsia="zh-CN"/>
              </w:rPr>
            </w:pPr>
          </w:p>
          <w:p w14:paraId="39DDF8D5">
            <w:pPr>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2、固体废物处理措施分析及管理要求</w:t>
            </w:r>
          </w:p>
          <w:p w14:paraId="6891DD4D">
            <w:pPr>
              <w:pStyle w:val="112"/>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1）一般工业固体废物</w:t>
            </w:r>
          </w:p>
          <w:p w14:paraId="1FF40311">
            <w:pPr>
              <w:pStyle w:val="112"/>
              <w:spacing w:line="360" w:lineRule="auto"/>
              <w:ind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本项目设置有一般固体废物</w:t>
            </w:r>
            <w:r>
              <w:rPr>
                <w:rFonts w:hint="default" w:ascii="Times New Roman" w:hAnsi="Times New Roman" w:cs="Times New Roman"/>
                <w:color w:val="auto"/>
                <w:sz w:val="24"/>
                <w:szCs w:val="24"/>
                <w:highlight w:val="none"/>
                <w:lang w:val="en-US" w:eastAsia="zh-CN"/>
              </w:rPr>
              <w:t>仓</w:t>
            </w:r>
            <w:r>
              <w:rPr>
                <w:rFonts w:hint="default" w:ascii="Times New Roman" w:hAnsi="Times New Roman" w:cs="Times New Roman"/>
                <w:color w:val="auto"/>
                <w:sz w:val="24"/>
                <w:szCs w:val="24"/>
                <w:highlight w:val="none"/>
                <w:lang w:eastAsia="zh-CN"/>
              </w:rPr>
              <w:t>用于一般固体</w:t>
            </w:r>
            <w:r>
              <w:rPr>
                <w:rFonts w:hint="default" w:ascii="Times New Roman" w:hAnsi="Times New Roman" w:cs="Times New Roman"/>
                <w:color w:val="auto"/>
                <w:spacing w:val="-1"/>
                <w:sz w:val="24"/>
                <w:szCs w:val="24"/>
                <w:highlight w:val="none"/>
                <w:lang w:eastAsia="zh-CN"/>
              </w:rPr>
              <w:t>废物临时贮存。做到防渗漏、防雨淋、防扬尘等措施；固废分类贮</w:t>
            </w:r>
            <w:r>
              <w:rPr>
                <w:rFonts w:hint="default" w:ascii="Times New Roman" w:hAnsi="Times New Roman" w:cs="Times New Roman"/>
                <w:color w:val="auto"/>
                <w:spacing w:val="-2"/>
                <w:sz w:val="24"/>
                <w:szCs w:val="24"/>
                <w:highlight w:val="none"/>
                <w:lang w:eastAsia="zh-CN"/>
              </w:rPr>
              <w:t>存、标识和制度上墙；做好日常管理</w:t>
            </w:r>
            <w:r>
              <w:rPr>
                <w:rFonts w:hint="default" w:ascii="Times New Roman" w:hAnsi="Times New Roman" w:cs="Times New Roman"/>
                <w:color w:val="auto"/>
                <w:spacing w:val="-1"/>
                <w:sz w:val="24"/>
                <w:szCs w:val="24"/>
                <w:highlight w:val="none"/>
                <w:lang w:eastAsia="zh-CN"/>
              </w:rPr>
              <w:t>台账，专人日常管理。此外，根据《排污许可证申</w:t>
            </w:r>
            <w:r>
              <w:rPr>
                <w:rFonts w:hint="default" w:ascii="Times New Roman" w:hAnsi="Times New Roman" w:cs="Times New Roman"/>
                <w:color w:val="auto"/>
                <w:spacing w:val="-2"/>
                <w:sz w:val="24"/>
                <w:szCs w:val="24"/>
                <w:highlight w:val="none"/>
                <w:lang w:eastAsia="zh-CN"/>
              </w:rPr>
              <w:t>请与核发技术规范工业固体废物（试</w:t>
            </w:r>
            <w:r>
              <w:rPr>
                <w:rFonts w:hint="default" w:ascii="Times New Roman" w:hAnsi="Times New Roman" w:cs="Times New Roman"/>
                <w:color w:val="auto"/>
                <w:spacing w:val="-1"/>
                <w:sz w:val="24"/>
                <w:szCs w:val="24"/>
                <w:highlight w:val="none"/>
                <w:lang w:eastAsia="zh-CN"/>
              </w:rPr>
              <w:t>行）》（</w:t>
            </w:r>
            <w:r>
              <w:rPr>
                <w:rFonts w:hint="default" w:ascii="Times New Roman" w:hAnsi="Times New Roman" w:eastAsia="Times New Roman" w:cs="Times New Roman"/>
                <w:color w:val="auto"/>
                <w:spacing w:val="-1"/>
                <w:sz w:val="24"/>
                <w:szCs w:val="24"/>
                <w:highlight w:val="none"/>
                <w:lang w:eastAsia="zh-CN"/>
              </w:rPr>
              <w:t>HJ1200-2021</w:t>
            </w:r>
            <w:r>
              <w:rPr>
                <w:rFonts w:hint="default" w:ascii="Times New Roman" w:hAnsi="Times New Roman" w:cs="Times New Roman"/>
                <w:color w:val="auto"/>
                <w:spacing w:val="10"/>
                <w:sz w:val="24"/>
                <w:szCs w:val="24"/>
                <w:highlight w:val="none"/>
                <w:lang w:eastAsia="zh-CN"/>
              </w:rPr>
              <w:t>），</w:t>
            </w:r>
            <w:r>
              <w:rPr>
                <w:rFonts w:hint="default" w:ascii="Times New Roman" w:hAnsi="Times New Roman" w:cs="Times New Roman"/>
                <w:color w:val="auto"/>
                <w:spacing w:val="-1"/>
                <w:sz w:val="24"/>
                <w:szCs w:val="24"/>
                <w:highlight w:val="none"/>
                <w:lang w:eastAsia="zh-CN"/>
              </w:rPr>
              <w:t>提出一般工业固体废物污染防控技术要求如下：</w:t>
            </w:r>
          </w:p>
          <w:p w14:paraId="742B2554">
            <w:pPr>
              <w:pStyle w:val="112"/>
              <w:spacing w:line="360" w:lineRule="auto"/>
              <w:ind w:firstLine="476"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pacing w:val="-1"/>
                <w:sz w:val="24"/>
                <w:szCs w:val="24"/>
                <w:highlight w:val="none"/>
                <w:lang w:eastAsia="zh-CN"/>
              </w:rPr>
              <w:t>①委托贮存</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利用</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处置环节污染防控技术要求</w:t>
            </w:r>
          </w:p>
          <w:p w14:paraId="114D31A1">
            <w:pPr>
              <w:pStyle w:val="112"/>
              <w:spacing w:line="360" w:lineRule="auto"/>
              <w:ind w:firstLine="472"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pacing w:val="-2"/>
                <w:sz w:val="24"/>
                <w:szCs w:val="24"/>
                <w:highlight w:val="none"/>
                <w:lang w:eastAsia="zh-CN"/>
              </w:rPr>
              <w:t>建设单位委托他人运输、利用、处置一般工业固体废物的，应落实《中华人民共和国固体废物污染环境防治法》等法律法规要求，对受托方的主体资格和技术能力进</w:t>
            </w:r>
            <w:r>
              <w:rPr>
                <w:rFonts w:hint="default" w:ascii="Times New Roman" w:hAnsi="Times New Roman" w:cs="Times New Roman"/>
                <w:color w:val="auto"/>
                <w:spacing w:val="-3"/>
                <w:sz w:val="24"/>
                <w:szCs w:val="24"/>
                <w:highlight w:val="none"/>
                <w:lang w:eastAsia="zh-CN"/>
              </w:rPr>
              <w:t>行核</w:t>
            </w:r>
            <w:r>
              <w:rPr>
                <w:rFonts w:hint="default" w:ascii="Times New Roman" w:hAnsi="Times New Roman" w:cs="Times New Roman"/>
                <w:color w:val="auto"/>
                <w:spacing w:val="-1"/>
                <w:sz w:val="24"/>
                <w:szCs w:val="24"/>
                <w:highlight w:val="none"/>
                <w:lang w:eastAsia="zh-CN"/>
              </w:rPr>
              <w:t>实，依法签订书面合同，在合同中约定污染防治要求等。</w:t>
            </w:r>
          </w:p>
          <w:p w14:paraId="56B92C02">
            <w:pPr>
              <w:pStyle w:val="112"/>
              <w:spacing w:line="360" w:lineRule="auto"/>
              <w:ind w:firstLine="476"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pacing w:val="-1"/>
                <w:sz w:val="24"/>
                <w:szCs w:val="24"/>
                <w:highlight w:val="none"/>
                <w:lang w:eastAsia="zh-CN"/>
              </w:rPr>
              <w:t>②自行贮存</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利用</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处置设施污染防控技术要求</w:t>
            </w:r>
          </w:p>
          <w:p w14:paraId="46143A64">
            <w:pPr>
              <w:pStyle w:val="112"/>
              <w:spacing w:line="360" w:lineRule="auto"/>
              <w:ind w:firstLine="476"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pacing w:val="-1"/>
                <w:sz w:val="24"/>
                <w:szCs w:val="24"/>
                <w:highlight w:val="none"/>
                <w:lang w:eastAsia="zh-CN"/>
              </w:rPr>
              <w:t>采用库房、包装工具（罐、桶、包装袋等）</w:t>
            </w:r>
            <w:r>
              <w:rPr>
                <w:rFonts w:hint="default" w:ascii="Times New Roman" w:hAnsi="Times New Roman" w:cs="Times New Roman"/>
                <w:color w:val="auto"/>
                <w:spacing w:val="-2"/>
                <w:sz w:val="24"/>
                <w:szCs w:val="24"/>
                <w:highlight w:val="none"/>
                <w:lang w:eastAsia="zh-CN"/>
              </w:rPr>
              <w:t>贮存一般工业固体废物的，贮存过程应</w:t>
            </w:r>
            <w:r>
              <w:rPr>
                <w:rFonts w:hint="default" w:ascii="Times New Roman" w:hAnsi="Times New Roman" w:cs="Times New Roman"/>
                <w:color w:val="auto"/>
                <w:spacing w:val="-1"/>
                <w:sz w:val="24"/>
                <w:szCs w:val="24"/>
                <w:highlight w:val="none"/>
                <w:lang w:eastAsia="zh-CN"/>
              </w:rPr>
              <w:t>满足相应防渗漏、防雨淋、防扬尘等环境保护要求</w:t>
            </w:r>
            <w:r>
              <w:rPr>
                <w:rFonts w:hint="default" w:ascii="Times New Roman" w:hAnsi="Times New Roman" w:cs="Times New Roman"/>
                <w:color w:val="auto"/>
                <w:spacing w:val="-2"/>
                <w:sz w:val="24"/>
                <w:szCs w:val="24"/>
                <w:highlight w:val="none"/>
                <w:lang w:eastAsia="zh-CN"/>
              </w:rPr>
              <w:t>；危险废物和生活垃圾不得进入一般</w:t>
            </w:r>
            <w:r>
              <w:rPr>
                <w:rFonts w:hint="default" w:ascii="Times New Roman" w:hAnsi="Times New Roman" w:cs="Times New Roman"/>
                <w:color w:val="auto"/>
                <w:sz w:val="24"/>
                <w:szCs w:val="24"/>
                <w:highlight w:val="none"/>
                <w:lang w:eastAsia="zh-CN"/>
              </w:rPr>
              <w:t>工业固体废物贮存场及填埋场；不相容的一般工业固体废物</w:t>
            </w:r>
            <w:r>
              <w:rPr>
                <w:rFonts w:hint="default" w:ascii="Times New Roman" w:hAnsi="Times New Roman" w:cs="Times New Roman"/>
                <w:color w:val="auto"/>
                <w:spacing w:val="-1"/>
                <w:sz w:val="24"/>
                <w:szCs w:val="24"/>
                <w:highlight w:val="none"/>
                <w:lang w:eastAsia="zh-CN"/>
              </w:rPr>
              <w:t>应设置不同的分区进行贮存；贮存场应设置清晰、完整的一般工业固体废物标志牌等。</w:t>
            </w:r>
          </w:p>
          <w:p w14:paraId="6371D2CE">
            <w:pPr>
              <w:pStyle w:val="112"/>
              <w:spacing w:line="360" w:lineRule="auto"/>
              <w:ind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建设单位生产运营期间一般工业固体废物自行贮存</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利用</w:t>
            </w:r>
            <w:r>
              <w:rPr>
                <w:rFonts w:hint="default" w:ascii="Times New Roman" w:hAnsi="Times New Roman" w:eastAsia="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处置设施的环境管理和相</w:t>
            </w:r>
            <w:r>
              <w:rPr>
                <w:rFonts w:hint="default" w:ascii="Times New Roman" w:hAnsi="Times New Roman" w:cs="Times New Roman"/>
                <w:color w:val="auto"/>
                <w:spacing w:val="-2"/>
                <w:sz w:val="24"/>
                <w:szCs w:val="24"/>
                <w:highlight w:val="none"/>
                <w:lang w:eastAsia="zh-CN"/>
              </w:rPr>
              <w:t>关设施运行维护要求还应符合</w:t>
            </w:r>
            <w:r>
              <w:rPr>
                <w:rFonts w:hint="default" w:ascii="Times New Roman" w:hAnsi="Times New Roman" w:eastAsia="Times New Roman" w:cs="Times New Roman"/>
                <w:color w:val="auto"/>
                <w:spacing w:val="-2"/>
                <w:sz w:val="24"/>
                <w:szCs w:val="24"/>
                <w:highlight w:val="none"/>
                <w:lang w:eastAsia="zh-CN"/>
              </w:rPr>
              <w:t>GB15562.2</w:t>
            </w:r>
            <w:r>
              <w:rPr>
                <w:rFonts w:hint="default" w:ascii="Times New Roman" w:hAnsi="Times New Roman" w:cs="Times New Roman"/>
                <w:color w:val="auto"/>
                <w:spacing w:val="-2"/>
                <w:sz w:val="24"/>
                <w:szCs w:val="24"/>
                <w:highlight w:val="none"/>
                <w:lang w:eastAsia="zh-CN"/>
              </w:rPr>
              <w:t>、</w:t>
            </w:r>
            <w:r>
              <w:rPr>
                <w:rFonts w:hint="default" w:ascii="Times New Roman" w:hAnsi="Times New Roman" w:eastAsia="Times New Roman" w:cs="Times New Roman"/>
                <w:color w:val="auto"/>
                <w:spacing w:val="-2"/>
                <w:sz w:val="24"/>
                <w:szCs w:val="24"/>
                <w:highlight w:val="none"/>
                <w:lang w:eastAsia="zh-CN"/>
              </w:rPr>
              <w:t>GB18599</w:t>
            </w:r>
            <w:r>
              <w:rPr>
                <w:rFonts w:hint="default" w:ascii="Times New Roman" w:hAnsi="Times New Roman" w:cs="Times New Roman"/>
                <w:color w:val="auto"/>
                <w:spacing w:val="-2"/>
                <w:sz w:val="24"/>
                <w:szCs w:val="24"/>
                <w:highlight w:val="none"/>
                <w:lang w:eastAsia="zh-CN"/>
              </w:rPr>
              <w:t>、</w:t>
            </w:r>
            <w:r>
              <w:rPr>
                <w:rFonts w:hint="default" w:ascii="Times New Roman" w:hAnsi="Times New Roman" w:eastAsia="Times New Roman" w:cs="Times New Roman"/>
                <w:color w:val="auto"/>
                <w:spacing w:val="-2"/>
                <w:sz w:val="24"/>
                <w:szCs w:val="24"/>
                <w:highlight w:val="none"/>
                <w:lang w:eastAsia="zh-CN"/>
              </w:rPr>
              <w:t>GB30485</w:t>
            </w:r>
            <w:r>
              <w:rPr>
                <w:rFonts w:hint="default" w:ascii="Times New Roman" w:hAnsi="Times New Roman" w:cs="Times New Roman"/>
                <w:color w:val="auto"/>
                <w:spacing w:val="-3"/>
                <w:sz w:val="24"/>
                <w:szCs w:val="24"/>
                <w:highlight w:val="none"/>
                <w:lang w:eastAsia="zh-CN"/>
              </w:rPr>
              <w:t>和</w:t>
            </w:r>
            <w:r>
              <w:rPr>
                <w:rFonts w:hint="default" w:ascii="Times New Roman" w:hAnsi="Times New Roman" w:eastAsia="Times New Roman" w:cs="Times New Roman"/>
                <w:color w:val="auto"/>
                <w:spacing w:val="-3"/>
                <w:sz w:val="24"/>
                <w:szCs w:val="24"/>
                <w:highlight w:val="none"/>
                <w:lang w:eastAsia="zh-CN"/>
              </w:rPr>
              <w:t>HJ2035</w:t>
            </w:r>
            <w:r>
              <w:rPr>
                <w:rFonts w:hint="default" w:ascii="Times New Roman" w:hAnsi="Times New Roman" w:cs="Times New Roman"/>
                <w:color w:val="auto"/>
                <w:spacing w:val="-3"/>
                <w:sz w:val="24"/>
                <w:szCs w:val="24"/>
                <w:highlight w:val="none"/>
                <w:lang w:eastAsia="zh-CN"/>
              </w:rPr>
              <w:t>等相关标准规范要求。</w:t>
            </w:r>
          </w:p>
          <w:p w14:paraId="534AEE7A">
            <w:pPr>
              <w:pStyle w:val="112"/>
              <w:spacing w:line="360" w:lineRule="auto"/>
              <w:ind w:firstLine="476"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eastAsia="Times New Roman" w:cs="Times New Roman"/>
                <w:color w:val="auto"/>
                <w:spacing w:val="-1"/>
                <w:sz w:val="24"/>
                <w:szCs w:val="24"/>
                <w:highlight w:val="none"/>
                <w:lang w:eastAsia="zh-CN"/>
              </w:rPr>
              <w:t>2</w:t>
            </w:r>
            <w:r>
              <w:rPr>
                <w:rFonts w:hint="default" w:ascii="Times New Roman" w:hAnsi="Times New Roman" w:cs="Times New Roman"/>
                <w:color w:val="auto"/>
                <w:spacing w:val="-1"/>
                <w:sz w:val="24"/>
                <w:szCs w:val="24"/>
                <w:highlight w:val="none"/>
                <w:lang w:eastAsia="zh-CN"/>
              </w:rPr>
              <w:t>）危险废物</w:t>
            </w:r>
          </w:p>
          <w:p w14:paraId="1CF37F23">
            <w:pPr>
              <w:pStyle w:val="112"/>
              <w:spacing w:line="360" w:lineRule="auto"/>
              <w:ind w:firstLine="476"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pacing w:val="-1"/>
                <w:sz w:val="24"/>
                <w:szCs w:val="24"/>
                <w:highlight w:val="none"/>
                <w:lang w:eastAsia="zh-CN"/>
              </w:rPr>
              <w:t>本项目设一个面积约</w:t>
            </w:r>
            <w:r>
              <w:rPr>
                <w:rFonts w:hint="default" w:ascii="Times New Roman" w:hAnsi="Times New Roman" w:cs="Times New Roman"/>
                <w:color w:val="auto"/>
                <w:spacing w:val="-1"/>
                <w:sz w:val="24"/>
                <w:szCs w:val="24"/>
                <w:highlight w:val="none"/>
                <w:lang w:val="en-US" w:eastAsia="zh-CN"/>
              </w:rPr>
              <w:t>8</w:t>
            </w:r>
            <w:r>
              <w:rPr>
                <w:rFonts w:hint="default" w:ascii="Times New Roman" w:hAnsi="Times New Roman" w:eastAsia="Times New Roman" w:cs="Times New Roman"/>
                <w:color w:val="auto"/>
                <w:spacing w:val="-1"/>
                <w:sz w:val="24"/>
                <w:szCs w:val="24"/>
                <w:highlight w:val="none"/>
                <w:lang w:val="en-US" w:eastAsia="zh-CN"/>
              </w:rPr>
              <w:t>m</w:t>
            </w:r>
            <w:r>
              <w:rPr>
                <w:rFonts w:hint="default" w:ascii="Times New Roman" w:hAnsi="Times New Roman" w:eastAsia="Times New Roman" w:cs="Times New Roman"/>
                <w:color w:val="auto"/>
                <w:spacing w:val="-1"/>
                <w:sz w:val="24"/>
                <w:szCs w:val="24"/>
                <w:highlight w:val="none"/>
                <w:vertAlign w:val="superscript"/>
                <w:lang w:val="en-US" w:eastAsia="zh-CN"/>
              </w:rPr>
              <w:t>2</w:t>
            </w:r>
            <w:r>
              <w:rPr>
                <w:rFonts w:hint="default" w:ascii="Times New Roman" w:hAnsi="Times New Roman" w:cs="Times New Roman"/>
                <w:color w:val="auto"/>
                <w:spacing w:val="-1"/>
                <w:sz w:val="24"/>
                <w:szCs w:val="24"/>
                <w:highlight w:val="none"/>
                <w:lang w:eastAsia="zh-CN"/>
              </w:rPr>
              <w:t>的危废间作为危险废物的暂存场，暂存点做到防风</w:t>
            </w:r>
            <w:r>
              <w:rPr>
                <w:rFonts w:hint="default" w:ascii="Times New Roman" w:hAnsi="Times New Roman" w:cs="Times New Roman"/>
                <w:color w:val="auto"/>
                <w:spacing w:val="-2"/>
                <w:sz w:val="24"/>
                <w:szCs w:val="24"/>
                <w:highlight w:val="none"/>
                <w:lang w:eastAsia="zh-CN"/>
              </w:rPr>
              <w:t>、防</w:t>
            </w:r>
            <w:r>
              <w:rPr>
                <w:rFonts w:hint="default" w:ascii="Times New Roman" w:hAnsi="Times New Roman" w:cs="Times New Roman"/>
                <w:color w:val="auto"/>
                <w:spacing w:val="-1"/>
                <w:sz w:val="24"/>
                <w:szCs w:val="24"/>
                <w:highlight w:val="none"/>
                <w:lang w:eastAsia="zh-CN"/>
              </w:rPr>
              <w:t>雨、防晒、防渗漏，设有隔断、收集池</w:t>
            </w:r>
            <w:r>
              <w:rPr>
                <w:rFonts w:hint="default" w:ascii="Times New Roman" w:hAnsi="Times New Roman" w:cs="Times New Roman"/>
                <w:color w:val="auto"/>
                <w:spacing w:val="-2"/>
                <w:sz w:val="24"/>
                <w:szCs w:val="24"/>
                <w:highlight w:val="none"/>
                <w:lang w:eastAsia="zh-CN"/>
              </w:rPr>
              <w:t>；各种危险废物必须使用符合标准的</w:t>
            </w:r>
            <w:r>
              <w:rPr>
                <w:rFonts w:hint="default" w:ascii="Times New Roman" w:hAnsi="Times New Roman" w:cs="Times New Roman"/>
                <w:color w:val="auto"/>
                <w:spacing w:val="-1"/>
                <w:sz w:val="24"/>
                <w:szCs w:val="24"/>
                <w:highlight w:val="none"/>
                <w:lang w:eastAsia="zh-CN"/>
              </w:rPr>
              <w:t>容器密封盛装；装载危险废物的容器材质满足相</w:t>
            </w:r>
            <w:r>
              <w:rPr>
                <w:rFonts w:hint="default" w:ascii="Times New Roman" w:hAnsi="Times New Roman" w:cs="Times New Roman"/>
                <w:color w:val="auto"/>
                <w:spacing w:val="-2"/>
                <w:sz w:val="24"/>
                <w:szCs w:val="24"/>
                <w:highlight w:val="none"/>
                <w:lang w:eastAsia="zh-CN"/>
              </w:rPr>
              <w:t>应的强度要求，必须完好无损。符合</w:t>
            </w:r>
            <w:r>
              <w:rPr>
                <w:rFonts w:hint="default" w:ascii="Times New Roman" w:hAnsi="Times New Roman" w:cs="Times New Roman"/>
                <w:color w:val="auto"/>
                <w:spacing w:val="-1"/>
                <w:sz w:val="24"/>
                <w:szCs w:val="24"/>
                <w:highlight w:val="none"/>
                <w:lang w:eastAsia="zh-CN"/>
              </w:rPr>
              <w:t>《危险废物贮存污染控制标准》（GB18597-2023）中的相关规范</w:t>
            </w:r>
            <w:r>
              <w:rPr>
                <w:rFonts w:hint="default" w:ascii="Times New Roman" w:hAnsi="Times New Roman" w:cs="Times New Roman"/>
                <w:color w:val="auto"/>
                <w:spacing w:val="-2"/>
                <w:sz w:val="24"/>
                <w:szCs w:val="24"/>
                <w:highlight w:val="none"/>
                <w:lang w:eastAsia="zh-CN"/>
              </w:rPr>
              <w:t>建设，贮存能力大于各</w:t>
            </w:r>
            <w:r>
              <w:rPr>
                <w:rFonts w:hint="default" w:ascii="Times New Roman" w:hAnsi="Times New Roman" w:cs="Times New Roman"/>
                <w:color w:val="auto"/>
                <w:spacing w:val="-1"/>
                <w:sz w:val="24"/>
                <w:szCs w:val="24"/>
                <w:highlight w:val="none"/>
                <w:lang w:eastAsia="zh-CN"/>
              </w:rPr>
              <w:t>类危险废物年最大产生量，其贮存能力满足实际。因此贮</w:t>
            </w:r>
            <w:r>
              <w:rPr>
                <w:rFonts w:hint="default" w:ascii="Times New Roman" w:hAnsi="Times New Roman" w:cs="Times New Roman"/>
                <w:color w:val="auto"/>
                <w:spacing w:val="-2"/>
                <w:sz w:val="24"/>
                <w:szCs w:val="24"/>
                <w:highlight w:val="none"/>
                <w:lang w:eastAsia="zh-CN"/>
              </w:rPr>
              <w:t>存过程不会对环境造成影响。</w:t>
            </w:r>
          </w:p>
          <w:p w14:paraId="340016DF">
            <w:pPr>
              <w:pStyle w:val="112"/>
              <w:spacing w:line="360" w:lineRule="auto"/>
              <w:ind w:firstLine="476" w:firstLineChars="200"/>
              <w:jc w:val="left"/>
              <w:rPr>
                <w:rFonts w:hint="default" w:ascii="Times New Roman" w:hAnsi="Times New Roman" w:cs="Times New Roman"/>
                <w:color w:val="auto"/>
                <w:spacing w:val="-1"/>
                <w:sz w:val="24"/>
                <w:szCs w:val="24"/>
                <w:highlight w:val="none"/>
                <w:lang w:eastAsia="zh-CN"/>
              </w:rPr>
            </w:pPr>
            <w:r>
              <w:rPr>
                <w:rFonts w:hint="default" w:ascii="Times New Roman" w:hAnsi="Times New Roman" w:cs="Times New Roman"/>
                <w:color w:val="auto"/>
                <w:spacing w:val="-1"/>
                <w:sz w:val="24"/>
                <w:szCs w:val="24"/>
                <w:highlight w:val="none"/>
                <w:lang w:val="en-US" w:eastAsia="zh-CN"/>
              </w:rPr>
              <w:t>本项目</w:t>
            </w:r>
            <w:r>
              <w:rPr>
                <w:rFonts w:hint="default" w:ascii="Times New Roman" w:hAnsi="Times New Roman" w:cs="Times New Roman"/>
                <w:color w:val="auto"/>
                <w:spacing w:val="-1"/>
                <w:sz w:val="24"/>
                <w:szCs w:val="24"/>
                <w:highlight w:val="none"/>
                <w:lang w:eastAsia="zh-CN"/>
              </w:rPr>
              <w:t>危险废物贮存场所（设施）基本情况见下表：</w:t>
            </w:r>
          </w:p>
          <w:p w14:paraId="7576F867">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本项目危险废物贮存场所（设施）基本情况一览表</w:t>
            </w:r>
          </w:p>
          <w:tbl>
            <w:tblPr>
              <w:tblStyle w:val="38"/>
              <w:tblW w:w="498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82"/>
              <w:gridCol w:w="1402"/>
              <w:gridCol w:w="1050"/>
              <w:gridCol w:w="1343"/>
              <w:gridCol w:w="987"/>
              <w:gridCol w:w="1230"/>
              <w:gridCol w:w="963"/>
              <w:gridCol w:w="871"/>
              <w:gridCol w:w="809"/>
            </w:tblGrid>
            <w:tr w14:paraId="4C7BB0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blHeader/>
                <w:jc w:val="center"/>
              </w:trPr>
              <w:tc>
                <w:tcPr>
                  <w:tcW w:w="315" w:type="pct"/>
                  <w:noWrap w:val="0"/>
                  <w:vAlign w:val="center"/>
                </w:tcPr>
                <w:p w14:paraId="21BCE074">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758" w:type="pct"/>
                  <w:noWrap w:val="0"/>
                  <w:vAlign w:val="center"/>
                </w:tcPr>
                <w:p w14:paraId="689C779E">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危险废物名称</w:t>
                  </w:r>
                </w:p>
              </w:tc>
              <w:tc>
                <w:tcPr>
                  <w:tcW w:w="568" w:type="pct"/>
                  <w:noWrap w:val="0"/>
                  <w:vAlign w:val="center"/>
                </w:tcPr>
                <w:p w14:paraId="74B798F6">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危险废物类别</w:t>
                  </w:r>
                </w:p>
              </w:tc>
              <w:tc>
                <w:tcPr>
                  <w:tcW w:w="726" w:type="pct"/>
                  <w:noWrap w:val="0"/>
                  <w:vAlign w:val="center"/>
                </w:tcPr>
                <w:p w14:paraId="0D5D9890">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危险废物代码</w:t>
                  </w:r>
                </w:p>
              </w:tc>
              <w:tc>
                <w:tcPr>
                  <w:tcW w:w="534" w:type="pct"/>
                  <w:noWrap w:val="0"/>
                  <w:vAlign w:val="center"/>
                </w:tcPr>
                <w:p w14:paraId="1D8EE4BC">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产生量（吨/年）</w:t>
                  </w:r>
                </w:p>
              </w:tc>
              <w:tc>
                <w:tcPr>
                  <w:tcW w:w="665" w:type="pct"/>
                  <w:noWrap w:val="0"/>
                  <w:vAlign w:val="center"/>
                </w:tcPr>
                <w:p w14:paraId="6C0F8F46">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占地面积</w:t>
                  </w:r>
                </w:p>
              </w:tc>
              <w:tc>
                <w:tcPr>
                  <w:tcW w:w="521" w:type="pct"/>
                  <w:noWrap w:val="0"/>
                  <w:vAlign w:val="center"/>
                </w:tcPr>
                <w:p w14:paraId="010420CC">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贮存方式</w:t>
                  </w:r>
                </w:p>
              </w:tc>
              <w:tc>
                <w:tcPr>
                  <w:tcW w:w="471" w:type="pct"/>
                  <w:noWrap w:val="0"/>
                  <w:vAlign w:val="center"/>
                </w:tcPr>
                <w:p w14:paraId="7FCC7E80">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贮存能力</w:t>
                  </w:r>
                </w:p>
              </w:tc>
              <w:tc>
                <w:tcPr>
                  <w:tcW w:w="437" w:type="pct"/>
                  <w:noWrap w:val="0"/>
                  <w:vAlign w:val="center"/>
                </w:tcPr>
                <w:p w14:paraId="3902066D">
                  <w:pPr>
                    <w:topLinePunct/>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贮存周期</w:t>
                  </w:r>
                </w:p>
              </w:tc>
            </w:tr>
            <w:tr w14:paraId="092D29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15" w:type="pct"/>
                  <w:noWrap w:val="0"/>
                  <w:vAlign w:val="center"/>
                </w:tcPr>
                <w:p w14:paraId="12C616D2">
                  <w:pPr>
                    <w:topLinePunct/>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758" w:type="pct"/>
                  <w:noWrap w:val="0"/>
                  <w:vAlign w:val="center"/>
                </w:tcPr>
                <w:p w14:paraId="66F65B7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废含油抹布手套</w:t>
                  </w:r>
                </w:p>
              </w:tc>
              <w:tc>
                <w:tcPr>
                  <w:tcW w:w="568" w:type="pct"/>
                  <w:noWrap w:val="0"/>
                  <w:vAlign w:val="center"/>
                </w:tcPr>
                <w:p w14:paraId="43C07FB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726" w:type="pct"/>
                  <w:noWrap w:val="0"/>
                  <w:vAlign w:val="center"/>
                </w:tcPr>
                <w:p w14:paraId="265120B1">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534" w:type="pct"/>
                  <w:tcBorders>
                    <w:top w:val="single" w:color="auto" w:sz="4" w:space="0"/>
                  </w:tcBorders>
                  <w:noWrap w:val="0"/>
                  <w:vAlign w:val="center"/>
                </w:tcPr>
                <w:p w14:paraId="17189A25">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665" w:type="pct"/>
                  <w:vMerge w:val="restart"/>
                  <w:tcBorders>
                    <w:top w:val="single" w:color="auto" w:sz="4" w:space="0"/>
                  </w:tcBorders>
                  <w:noWrap w:val="0"/>
                  <w:vAlign w:val="center"/>
                </w:tcPr>
                <w:p w14:paraId="2951F4C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危废暂存点8</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p>
              </w:tc>
              <w:tc>
                <w:tcPr>
                  <w:tcW w:w="521" w:type="pct"/>
                  <w:noWrap w:val="0"/>
                  <w:vAlign w:val="center"/>
                </w:tcPr>
                <w:p w14:paraId="7F2D2B4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密封袋</w:t>
                  </w:r>
                </w:p>
              </w:tc>
              <w:tc>
                <w:tcPr>
                  <w:tcW w:w="471" w:type="pct"/>
                  <w:vMerge w:val="restart"/>
                  <w:tcBorders>
                    <w:top w:val="single" w:color="auto" w:sz="4" w:space="0"/>
                  </w:tcBorders>
                  <w:noWrap w:val="0"/>
                  <w:vAlign w:val="center"/>
                </w:tcPr>
                <w:p w14:paraId="02FC5C0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6t</w:t>
                  </w:r>
                </w:p>
              </w:tc>
              <w:tc>
                <w:tcPr>
                  <w:tcW w:w="437" w:type="pct"/>
                  <w:vMerge w:val="restart"/>
                  <w:tcBorders>
                    <w:top w:val="single" w:color="auto" w:sz="4" w:space="0"/>
                  </w:tcBorders>
                  <w:noWrap w:val="0"/>
                  <w:vAlign w:val="center"/>
                </w:tcPr>
                <w:p w14:paraId="23101564">
                  <w:pPr>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3个月</w:t>
                  </w:r>
                </w:p>
              </w:tc>
            </w:tr>
            <w:tr w14:paraId="3BD20F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15" w:type="pct"/>
                  <w:noWrap w:val="0"/>
                  <w:vAlign w:val="center"/>
                </w:tcPr>
                <w:p w14:paraId="35F8F2E0">
                  <w:pPr>
                    <w:topLinePunct/>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758" w:type="pct"/>
                  <w:noWrap w:val="0"/>
                  <w:vAlign w:val="center"/>
                </w:tcPr>
                <w:p w14:paraId="0FA6E56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p>
              </w:tc>
              <w:tc>
                <w:tcPr>
                  <w:tcW w:w="568" w:type="pct"/>
                  <w:noWrap w:val="0"/>
                  <w:vAlign w:val="center"/>
                </w:tcPr>
                <w:p w14:paraId="0101C9CA">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726" w:type="pct"/>
                  <w:noWrap w:val="0"/>
                  <w:vAlign w:val="center"/>
                </w:tcPr>
                <w:p w14:paraId="7ED62E3B">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534" w:type="pct"/>
                  <w:noWrap w:val="0"/>
                  <w:vAlign w:val="center"/>
                </w:tcPr>
                <w:p w14:paraId="2B1FBAD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665" w:type="pct"/>
                  <w:vMerge w:val="continue"/>
                  <w:noWrap w:val="0"/>
                  <w:vAlign w:val="center"/>
                </w:tcPr>
                <w:p w14:paraId="68291034">
                  <w:pPr>
                    <w:jc w:val="center"/>
                    <w:rPr>
                      <w:rFonts w:hint="default" w:ascii="Times New Roman" w:hAnsi="Times New Roman" w:cs="Times New Roman"/>
                      <w:color w:val="auto"/>
                      <w:sz w:val="21"/>
                      <w:szCs w:val="21"/>
                      <w:highlight w:val="none"/>
                    </w:rPr>
                  </w:pPr>
                </w:p>
              </w:tc>
              <w:tc>
                <w:tcPr>
                  <w:tcW w:w="521" w:type="pct"/>
                  <w:noWrap w:val="0"/>
                  <w:vAlign w:val="center"/>
                </w:tcPr>
                <w:p w14:paraId="62FA683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密封</w:t>
                  </w:r>
                  <w:r>
                    <w:rPr>
                      <w:rFonts w:hint="default" w:ascii="Times New Roman" w:hAnsi="Times New Roman" w:cs="Times New Roman"/>
                      <w:color w:val="auto"/>
                      <w:sz w:val="21"/>
                      <w:szCs w:val="21"/>
                      <w:highlight w:val="none"/>
                      <w:lang w:val="en-US" w:eastAsia="zh-CN"/>
                    </w:rPr>
                    <w:t>桶</w:t>
                  </w:r>
                </w:p>
              </w:tc>
              <w:tc>
                <w:tcPr>
                  <w:tcW w:w="471" w:type="pct"/>
                  <w:vMerge w:val="continue"/>
                  <w:noWrap w:val="0"/>
                  <w:vAlign w:val="center"/>
                </w:tcPr>
                <w:p w14:paraId="03BD9398">
                  <w:pPr>
                    <w:jc w:val="center"/>
                    <w:rPr>
                      <w:rFonts w:hint="default" w:ascii="Times New Roman" w:hAnsi="Times New Roman" w:cs="Times New Roman"/>
                      <w:color w:val="auto"/>
                      <w:sz w:val="21"/>
                      <w:szCs w:val="21"/>
                      <w:highlight w:val="none"/>
                    </w:rPr>
                  </w:pPr>
                </w:p>
              </w:tc>
              <w:tc>
                <w:tcPr>
                  <w:tcW w:w="437" w:type="pct"/>
                  <w:vMerge w:val="continue"/>
                  <w:noWrap w:val="0"/>
                  <w:vAlign w:val="center"/>
                </w:tcPr>
                <w:p w14:paraId="304DB63F">
                  <w:pPr>
                    <w:jc w:val="center"/>
                    <w:rPr>
                      <w:rFonts w:hint="default" w:ascii="Times New Roman" w:hAnsi="Times New Roman" w:cs="Times New Roman"/>
                      <w:color w:val="auto"/>
                      <w:sz w:val="21"/>
                      <w:szCs w:val="21"/>
                      <w:highlight w:val="none"/>
                    </w:rPr>
                  </w:pPr>
                </w:p>
              </w:tc>
            </w:tr>
            <w:tr w14:paraId="791834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15" w:type="pct"/>
                  <w:noWrap w:val="0"/>
                  <w:vAlign w:val="center"/>
                </w:tcPr>
                <w:p w14:paraId="74CE3007">
                  <w:pPr>
                    <w:topLinePunct/>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758" w:type="pct"/>
                  <w:noWrap w:val="0"/>
                  <w:vAlign w:val="center"/>
                </w:tcPr>
                <w:p w14:paraId="5F5EAC3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废UV灯管</w:t>
                  </w:r>
                </w:p>
              </w:tc>
              <w:tc>
                <w:tcPr>
                  <w:tcW w:w="568" w:type="pct"/>
                  <w:noWrap w:val="0"/>
                  <w:vAlign w:val="center"/>
                </w:tcPr>
                <w:p w14:paraId="02B3978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w:t>
                  </w:r>
                  <w:r>
                    <w:rPr>
                      <w:rFonts w:hint="default" w:ascii="Times New Roman" w:hAnsi="Times New Roman" w:cs="Times New Roman"/>
                      <w:color w:val="auto"/>
                      <w:kern w:val="2"/>
                      <w:sz w:val="21"/>
                      <w:szCs w:val="21"/>
                      <w:highlight w:val="none"/>
                      <w:lang w:val="en-US" w:eastAsia="zh-CN" w:bidi="ar-SA"/>
                    </w:rPr>
                    <w:t>29</w:t>
                  </w:r>
                </w:p>
              </w:tc>
              <w:tc>
                <w:tcPr>
                  <w:tcW w:w="726" w:type="pct"/>
                  <w:noWrap w:val="0"/>
                  <w:vAlign w:val="center"/>
                </w:tcPr>
                <w:p w14:paraId="5635A800">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900-023-29</w:t>
                  </w:r>
                </w:p>
              </w:tc>
              <w:tc>
                <w:tcPr>
                  <w:tcW w:w="534" w:type="pct"/>
                  <w:noWrap w:val="0"/>
                  <w:vAlign w:val="center"/>
                </w:tcPr>
                <w:p w14:paraId="040C6802">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0.0024</w:t>
                  </w:r>
                </w:p>
              </w:tc>
              <w:tc>
                <w:tcPr>
                  <w:tcW w:w="665" w:type="pct"/>
                  <w:vMerge w:val="continue"/>
                  <w:noWrap w:val="0"/>
                  <w:vAlign w:val="center"/>
                </w:tcPr>
                <w:p w14:paraId="665E97F0">
                  <w:pPr>
                    <w:jc w:val="center"/>
                    <w:rPr>
                      <w:rFonts w:hint="default" w:ascii="Times New Roman" w:hAnsi="Times New Roman" w:eastAsia="宋体" w:cs="Times New Roman"/>
                      <w:color w:val="auto"/>
                      <w:sz w:val="21"/>
                      <w:szCs w:val="21"/>
                      <w:highlight w:val="none"/>
                      <w:lang w:val="en-US" w:eastAsia="zh-CN"/>
                    </w:rPr>
                  </w:pPr>
                </w:p>
              </w:tc>
              <w:tc>
                <w:tcPr>
                  <w:tcW w:w="521" w:type="pct"/>
                  <w:noWrap w:val="0"/>
                  <w:vAlign w:val="center"/>
                </w:tcPr>
                <w:p w14:paraId="018A1E8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密封袋</w:t>
                  </w:r>
                </w:p>
              </w:tc>
              <w:tc>
                <w:tcPr>
                  <w:tcW w:w="471" w:type="pct"/>
                  <w:vMerge w:val="continue"/>
                  <w:noWrap w:val="0"/>
                  <w:vAlign w:val="center"/>
                </w:tcPr>
                <w:p w14:paraId="45F49C40">
                  <w:pPr>
                    <w:jc w:val="center"/>
                    <w:rPr>
                      <w:rFonts w:hint="default" w:ascii="Times New Roman" w:hAnsi="Times New Roman" w:cs="Times New Roman"/>
                      <w:color w:val="auto"/>
                      <w:sz w:val="21"/>
                      <w:szCs w:val="21"/>
                      <w:highlight w:val="none"/>
                      <w:lang w:val="en-US" w:eastAsia="zh-CN"/>
                    </w:rPr>
                  </w:pPr>
                </w:p>
              </w:tc>
              <w:tc>
                <w:tcPr>
                  <w:tcW w:w="437" w:type="pct"/>
                  <w:vMerge w:val="continue"/>
                  <w:noWrap w:val="0"/>
                  <w:vAlign w:val="center"/>
                </w:tcPr>
                <w:p w14:paraId="30D9A403">
                  <w:pPr>
                    <w:jc w:val="center"/>
                    <w:rPr>
                      <w:rFonts w:hint="default" w:ascii="Times New Roman" w:hAnsi="Times New Roman" w:cs="Times New Roman"/>
                      <w:color w:val="auto"/>
                      <w:sz w:val="21"/>
                      <w:szCs w:val="21"/>
                      <w:highlight w:val="none"/>
                    </w:rPr>
                  </w:pPr>
                </w:p>
              </w:tc>
            </w:tr>
            <w:tr w14:paraId="51B7D5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15" w:type="pct"/>
                  <w:noWrap w:val="0"/>
                  <w:vAlign w:val="center"/>
                </w:tcPr>
                <w:p w14:paraId="3C3475A7">
                  <w:pPr>
                    <w:topLinePunct/>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758" w:type="pct"/>
                  <w:noWrap w:val="0"/>
                  <w:vAlign w:val="center"/>
                </w:tcPr>
                <w:p w14:paraId="3ABB9B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危险性废原料包装</w:t>
                  </w:r>
                </w:p>
              </w:tc>
              <w:tc>
                <w:tcPr>
                  <w:tcW w:w="568" w:type="pct"/>
                  <w:noWrap w:val="0"/>
                  <w:vAlign w:val="center"/>
                </w:tcPr>
                <w:p w14:paraId="4E913A9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726" w:type="pct"/>
                  <w:noWrap w:val="0"/>
                  <w:vAlign w:val="center"/>
                </w:tcPr>
                <w:p w14:paraId="22511DC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987" w:type="dxa"/>
                  <w:noWrap w:val="0"/>
                  <w:vAlign w:val="center"/>
                </w:tcPr>
                <w:p w14:paraId="4E4252C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0.788</w:t>
                  </w:r>
                </w:p>
              </w:tc>
              <w:tc>
                <w:tcPr>
                  <w:tcW w:w="665" w:type="pct"/>
                  <w:vMerge w:val="continue"/>
                  <w:noWrap w:val="0"/>
                  <w:vAlign w:val="center"/>
                </w:tcPr>
                <w:p w14:paraId="259E6C0D">
                  <w:pPr>
                    <w:jc w:val="center"/>
                    <w:rPr>
                      <w:rFonts w:hint="default" w:ascii="Times New Roman" w:hAnsi="Times New Roman" w:eastAsia="宋体" w:cs="Times New Roman"/>
                      <w:color w:val="auto"/>
                      <w:sz w:val="21"/>
                      <w:szCs w:val="21"/>
                      <w:highlight w:val="none"/>
                      <w:lang w:val="en-US" w:eastAsia="zh-CN"/>
                    </w:rPr>
                  </w:pPr>
                </w:p>
              </w:tc>
              <w:tc>
                <w:tcPr>
                  <w:tcW w:w="521" w:type="pct"/>
                  <w:noWrap w:val="0"/>
                  <w:vAlign w:val="center"/>
                </w:tcPr>
                <w:p w14:paraId="200EC3A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密封袋</w:t>
                  </w:r>
                </w:p>
              </w:tc>
              <w:tc>
                <w:tcPr>
                  <w:tcW w:w="471" w:type="pct"/>
                  <w:vMerge w:val="continue"/>
                  <w:noWrap w:val="0"/>
                  <w:vAlign w:val="center"/>
                </w:tcPr>
                <w:p w14:paraId="7EB2206E">
                  <w:pPr>
                    <w:jc w:val="center"/>
                    <w:rPr>
                      <w:rFonts w:hint="default" w:ascii="Times New Roman" w:hAnsi="Times New Roman" w:cs="Times New Roman"/>
                      <w:color w:val="auto"/>
                      <w:sz w:val="21"/>
                      <w:szCs w:val="21"/>
                      <w:highlight w:val="none"/>
                      <w:lang w:val="en-US" w:eastAsia="zh-CN"/>
                    </w:rPr>
                  </w:pPr>
                </w:p>
              </w:tc>
              <w:tc>
                <w:tcPr>
                  <w:tcW w:w="437" w:type="pct"/>
                  <w:vMerge w:val="continue"/>
                  <w:noWrap w:val="0"/>
                  <w:vAlign w:val="center"/>
                </w:tcPr>
                <w:p w14:paraId="3733E886">
                  <w:pPr>
                    <w:jc w:val="center"/>
                    <w:rPr>
                      <w:rFonts w:hint="default" w:ascii="Times New Roman" w:hAnsi="Times New Roman" w:cs="Times New Roman"/>
                      <w:color w:val="auto"/>
                      <w:sz w:val="21"/>
                      <w:szCs w:val="21"/>
                      <w:highlight w:val="none"/>
                    </w:rPr>
                  </w:pPr>
                </w:p>
              </w:tc>
            </w:tr>
            <w:tr w14:paraId="661D82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15" w:type="pct"/>
                  <w:noWrap w:val="0"/>
                  <w:vAlign w:val="center"/>
                </w:tcPr>
                <w:p w14:paraId="0EE27187">
                  <w:pPr>
                    <w:topLinePunct/>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758" w:type="pct"/>
                  <w:noWrap w:val="0"/>
                  <w:vAlign w:val="center"/>
                </w:tcPr>
                <w:p w14:paraId="0E4790A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废活性炭</w:t>
                  </w:r>
                </w:p>
              </w:tc>
              <w:tc>
                <w:tcPr>
                  <w:tcW w:w="568" w:type="pct"/>
                  <w:noWrap w:val="0"/>
                  <w:vAlign w:val="center"/>
                </w:tcPr>
                <w:p w14:paraId="25C876C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HW49</w:t>
                  </w:r>
                </w:p>
              </w:tc>
              <w:tc>
                <w:tcPr>
                  <w:tcW w:w="726" w:type="pct"/>
                  <w:noWrap w:val="0"/>
                  <w:vAlign w:val="center"/>
                </w:tcPr>
                <w:p w14:paraId="421836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900-039-49</w:t>
                  </w:r>
                </w:p>
              </w:tc>
              <w:tc>
                <w:tcPr>
                  <w:tcW w:w="987" w:type="dxa"/>
                  <w:noWrap w:val="0"/>
                  <w:vAlign w:val="center"/>
                </w:tcPr>
                <w:p w14:paraId="7778B57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eastAsia" w:cs="Times New Roman"/>
                      <w:i w:val="0"/>
                      <w:iCs w:val="0"/>
                      <w:color w:val="auto"/>
                      <w:kern w:val="0"/>
                      <w:sz w:val="21"/>
                      <w:szCs w:val="21"/>
                      <w:highlight w:val="none"/>
                      <w:u w:val="none"/>
                      <w:lang w:val="en-US" w:eastAsia="zh-CN" w:bidi="ar"/>
                    </w:rPr>
                    <w:t>16.264</w:t>
                  </w:r>
                </w:p>
              </w:tc>
              <w:tc>
                <w:tcPr>
                  <w:tcW w:w="665" w:type="pct"/>
                  <w:vMerge w:val="continue"/>
                  <w:noWrap w:val="0"/>
                  <w:vAlign w:val="center"/>
                </w:tcPr>
                <w:p w14:paraId="06CE8AC6">
                  <w:pPr>
                    <w:jc w:val="center"/>
                    <w:rPr>
                      <w:rFonts w:hint="default" w:ascii="Times New Roman" w:hAnsi="Times New Roman" w:eastAsia="宋体" w:cs="Times New Roman"/>
                      <w:color w:val="auto"/>
                      <w:sz w:val="21"/>
                      <w:szCs w:val="21"/>
                      <w:highlight w:val="none"/>
                      <w:lang w:val="en-US" w:eastAsia="zh-CN"/>
                    </w:rPr>
                  </w:pPr>
                </w:p>
              </w:tc>
              <w:tc>
                <w:tcPr>
                  <w:tcW w:w="521" w:type="pct"/>
                  <w:noWrap w:val="0"/>
                  <w:vAlign w:val="center"/>
                </w:tcPr>
                <w:p w14:paraId="343E6E4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密封袋</w:t>
                  </w:r>
                </w:p>
              </w:tc>
              <w:tc>
                <w:tcPr>
                  <w:tcW w:w="471" w:type="pct"/>
                  <w:vMerge w:val="continue"/>
                  <w:noWrap w:val="0"/>
                  <w:vAlign w:val="center"/>
                </w:tcPr>
                <w:p w14:paraId="4ED528B6">
                  <w:pPr>
                    <w:jc w:val="center"/>
                    <w:rPr>
                      <w:rFonts w:hint="default" w:ascii="Times New Roman" w:hAnsi="Times New Roman" w:cs="Times New Roman"/>
                      <w:color w:val="auto"/>
                      <w:sz w:val="21"/>
                      <w:szCs w:val="21"/>
                      <w:highlight w:val="none"/>
                      <w:lang w:val="en-US" w:eastAsia="zh-CN"/>
                    </w:rPr>
                  </w:pPr>
                </w:p>
              </w:tc>
              <w:tc>
                <w:tcPr>
                  <w:tcW w:w="437" w:type="pct"/>
                  <w:vMerge w:val="continue"/>
                  <w:noWrap w:val="0"/>
                  <w:vAlign w:val="center"/>
                </w:tcPr>
                <w:p w14:paraId="778655C8">
                  <w:pPr>
                    <w:jc w:val="center"/>
                    <w:rPr>
                      <w:rFonts w:hint="default" w:ascii="Times New Roman" w:hAnsi="Times New Roman" w:cs="Times New Roman"/>
                      <w:color w:val="auto"/>
                      <w:sz w:val="21"/>
                      <w:szCs w:val="21"/>
                      <w:highlight w:val="none"/>
                    </w:rPr>
                  </w:pPr>
                </w:p>
              </w:tc>
            </w:tr>
          </w:tbl>
          <w:p w14:paraId="21540042">
            <w:pPr>
              <w:spacing w:line="360" w:lineRule="auto"/>
              <w:ind w:firstLine="480" w:firstLineChars="200"/>
              <w:jc w:val="left"/>
              <w:rPr>
                <w:rFonts w:hint="default" w:ascii="Times New Roman" w:hAnsi="Times New Roman" w:cs="Times New Roman"/>
                <w:color w:val="auto"/>
                <w:sz w:val="24"/>
                <w:szCs w:val="24"/>
                <w:highlight w:val="none"/>
                <w:lang w:val="en-US" w:eastAsia="zh-CN"/>
              </w:rPr>
            </w:pPr>
          </w:p>
          <w:p w14:paraId="05D7C5CA">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产生危险废物的位置需运危险废物贮存间贮存，各类危险废物需密封好，由工作人员规范运输，则运输过程不会出现散落、</w:t>
            </w:r>
            <w:r>
              <w:rPr>
                <w:rFonts w:hint="default" w:ascii="Times New Roman" w:hAnsi="Times New Roman" w:cs="Times New Roman"/>
                <w:color w:val="auto"/>
                <w:sz w:val="24"/>
                <w:szCs w:val="24"/>
                <w:highlight w:val="none"/>
                <w:lang w:val="en-US" w:eastAsia="zh-CN"/>
              </w:rPr>
              <w:t>泄漏</w:t>
            </w:r>
            <w:r>
              <w:rPr>
                <w:rFonts w:hint="default" w:ascii="Times New Roman" w:hAnsi="Times New Roman" w:cs="Times New Roman"/>
                <w:color w:val="auto"/>
                <w:sz w:val="24"/>
                <w:szCs w:val="24"/>
                <w:highlight w:val="none"/>
              </w:rPr>
              <w:t>等情况，且在处置公司过来回收时，工作人员需将密封贮存的各类危险废物运至</w:t>
            </w:r>
            <w:r>
              <w:rPr>
                <w:rFonts w:hint="default" w:ascii="Times New Roman" w:hAnsi="Times New Roman" w:cs="Times New Roman"/>
                <w:color w:val="auto"/>
                <w:sz w:val="24"/>
                <w:szCs w:val="24"/>
                <w:highlight w:val="none"/>
                <w:lang w:eastAsia="zh-CN"/>
              </w:rPr>
              <w:t>集中点</w:t>
            </w:r>
            <w:r>
              <w:rPr>
                <w:rFonts w:hint="default" w:ascii="Times New Roman" w:hAnsi="Times New Roman" w:cs="Times New Roman"/>
                <w:color w:val="auto"/>
                <w:sz w:val="24"/>
                <w:szCs w:val="24"/>
                <w:highlight w:val="none"/>
              </w:rPr>
              <w:t>，交给处置公司运走。因此运输过程不会对环境造成影响。</w:t>
            </w:r>
          </w:p>
          <w:p w14:paraId="29790F8D">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根据《广东省危险废物产生单位危险废物规范化管理工作实施方案》，企业须根据管理台账和近年的生产计划，制订危险废物管理计划，并报当地环保部门备案。</w:t>
            </w:r>
            <w:r>
              <w:rPr>
                <w:rFonts w:hint="default" w:ascii="Times New Roman" w:hAnsi="Times New Roman" w:cs="Times New Roman"/>
                <w:color w:val="auto"/>
                <w:sz w:val="24"/>
                <w:szCs w:val="24"/>
                <w:highlight w:val="none"/>
                <w:lang w:eastAsia="zh-CN"/>
              </w:rPr>
              <w:t>台账应</w:t>
            </w:r>
            <w:r>
              <w:rPr>
                <w:rFonts w:hint="default" w:ascii="Times New Roman" w:hAnsi="Times New Roman" w:cs="Times New Roman"/>
                <w:color w:val="auto"/>
                <w:sz w:val="24"/>
                <w:szCs w:val="24"/>
                <w:highlight w:val="none"/>
              </w:rPr>
              <w:t>如实记载产生危险废物的种类、数量、利用、贮存、处置、流向等信息，以此作为向当地生态环境部门申报危险废物管理计划的编制依据。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并报当地环保部门备案。</w:t>
            </w:r>
          </w:p>
          <w:p w14:paraId="624E13EE">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危险废物（委托贮存/利用/处置环节）污染防控技术要求：根据《排污许可证申请与核发技术规范工业固体废物（试行）》（HJ1200-2021），建设单位委托他人运输、利用、处置危险废物的，应落实《中华人民共和国固体废物污染环境防治法》等法律法规要求，对受托方的主体资格和技术能力进行核实，依法签订书面合同，在合同中约定污染防治要求；转移危险废物的，应当按照国家有关规定填写、运行危险废物转移联单等。</w:t>
            </w:r>
          </w:p>
          <w:p w14:paraId="1AA3EAD5">
            <w:pPr>
              <w:spacing w:line="360" w:lineRule="auto"/>
              <w:ind w:firstLine="480" w:firstLineChars="20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color w:val="auto"/>
                <w:sz w:val="24"/>
                <w:szCs w:val="24"/>
                <w:highlight w:val="none"/>
              </w:rPr>
              <w:t>只要</w:t>
            </w: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严格按照《危险废物贮存污染控制标准》（GB18597-2023）对危险废物进行收集、暂存，并委托持有《危险废物经营许可证》的单位进行无害化处理处置，采取上述措施防治后，</w:t>
            </w: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的危险废物对周围环境基本无影响。</w:t>
            </w:r>
          </w:p>
          <w:p w14:paraId="4DFB6CC4">
            <w:pPr>
              <w:spacing w:line="360" w:lineRule="auto"/>
              <w:ind w:firstLine="482" w:firstLineChars="200"/>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lang w:val="en-US" w:eastAsia="zh-CN"/>
              </w:rPr>
              <w:t>五</w:t>
            </w:r>
            <w:r>
              <w:rPr>
                <w:rFonts w:hint="default" w:ascii="Times New Roman" w:hAnsi="Times New Roman" w:cs="Times New Roman" w:eastAsiaTheme="minorEastAsia"/>
                <w:b/>
                <w:color w:val="auto"/>
                <w:sz w:val="24"/>
                <w:highlight w:val="none"/>
              </w:rPr>
              <w:t>、环境风险分析</w:t>
            </w:r>
          </w:p>
          <w:p w14:paraId="58AF5A5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风险评价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16BBEBC3">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项目环境敏感目标分布情况见表3-</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和附图</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w:t>
            </w:r>
          </w:p>
          <w:p w14:paraId="07C9AABD">
            <w:pPr>
              <w:adjustRightInd w:val="0"/>
              <w:spacing w:line="360" w:lineRule="auto"/>
              <w:ind w:firstLine="48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1.风险识别</w:t>
            </w:r>
          </w:p>
          <w:p w14:paraId="2E300277">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val="en-US" w:eastAsia="zh-CN" w:bidi="ar"/>
              </w:rPr>
            </w:pP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val="en-US" w:eastAsia="zh-CN" w:bidi="ar"/>
              </w:rPr>
              <w:t>1</w:t>
            </w: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val="en-US" w:eastAsia="zh-CN" w:bidi="ar"/>
              </w:rPr>
              <w:t>物质风险识别</w:t>
            </w:r>
          </w:p>
          <w:p w14:paraId="4E8A51E7">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aps/>
                <w:color w:val="auto"/>
                <w:sz w:val="24"/>
                <w:highlight w:val="none"/>
              </w:rPr>
              <w:t>根据《建设项目环境风险评价技术导则》（HJ169-2018）附录B重点关注的危险物质名单，</w:t>
            </w:r>
            <w:r>
              <w:rPr>
                <w:rFonts w:hint="default" w:ascii="Times New Roman" w:hAnsi="Times New Roman" w:cs="Times New Roman"/>
                <w:bCs/>
                <w:color w:val="auto"/>
                <w:sz w:val="24"/>
                <w:highlight w:val="none"/>
              </w:rPr>
              <w:t>本项目生产、使用过程中涉及</w:t>
            </w:r>
            <w:r>
              <w:rPr>
                <w:rFonts w:hint="default" w:ascii="Times New Roman" w:hAnsi="Times New Roman" w:cs="Times New Roman"/>
                <w:caps/>
                <w:color w:val="auto"/>
                <w:sz w:val="24"/>
                <w:highlight w:val="none"/>
              </w:rPr>
              <w:t>危险物质</w:t>
            </w:r>
            <w:r>
              <w:rPr>
                <w:rFonts w:hint="default" w:ascii="Times New Roman" w:hAnsi="Times New Roman" w:cs="Times New Roman"/>
                <w:bCs/>
                <w:color w:val="auto"/>
                <w:sz w:val="24"/>
                <w:highlight w:val="none"/>
              </w:rPr>
              <w:t>为</w:t>
            </w:r>
            <w:r>
              <w:rPr>
                <w:rFonts w:hint="default" w:ascii="Times New Roman" w:hAnsi="Times New Roman" w:cs="Times New Roman"/>
                <w:bCs/>
                <w:color w:val="auto"/>
                <w:sz w:val="24"/>
                <w:highlight w:val="none"/>
                <w:lang w:val="en-US" w:eastAsia="zh-CN"/>
              </w:rPr>
              <w:t>机油、危险废物</w:t>
            </w:r>
            <w:r>
              <w:rPr>
                <w:rFonts w:hint="default" w:ascii="Times New Roman" w:hAnsi="Times New Roman" w:cs="Times New Roman"/>
                <w:color w:val="auto"/>
                <w:sz w:val="24"/>
                <w:highlight w:val="none"/>
              </w:rPr>
              <w:t>。</w:t>
            </w:r>
          </w:p>
          <w:p w14:paraId="454AF194">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危险物质风险识别表</w:t>
            </w:r>
          </w:p>
          <w:tbl>
            <w:tblPr>
              <w:tblStyle w:val="38"/>
              <w:tblW w:w="4940" w:type="pct"/>
              <w:tblInd w:w="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09"/>
              <w:gridCol w:w="786"/>
              <w:gridCol w:w="2314"/>
              <w:gridCol w:w="1508"/>
              <w:gridCol w:w="1357"/>
              <w:gridCol w:w="1319"/>
              <w:gridCol w:w="1161"/>
            </w:tblGrid>
            <w:tr w14:paraId="3817FE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blHeader/>
              </w:trPr>
              <w:tc>
                <w:tcPr>
                  <w:tcW w:w="387" w:type="pct"/>
                  <w:noWrap w:val="0"/>
                  <w:vAlign w:val="center"/>
                </w:tcPr>
                <w:p w14:paraId="3D061384">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692" w:type="pct"/>
                  <w:gridSpan w:val="2"/>
                  <w:noWrap w:val="0"/>
                  <w:vAlign w:val="center"/>
                </w:tcPr>
                <w:p w14:paraId="574CB8AB">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823" w:type="pct"/>
                  <w:noWrap w:val="0"/>
                  <w:vAlign w:val="center"/>
                </w:tcPr>
                <w:p w14:paraId="5ED5A1BD">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有害成分</w:t>
                  </w:r>
                </w:p>
              </w:tc>
              <w:tc>
                <w:tcPr>
                  <w:tcW w:w="741" w:type="pct"/>
                  <w:noWrap w:val="0"/>
                  <w:vAlign w:val="center"/>
                </w:tcPr>
                <w:p w14:paraId="5AD3CC0B">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危险性类别</w:t>
                  </w:r>
                </w:p>
              </w:tc>
              <w:tc>
                <w:tcPr>
                  <w:tcW w:w="720" w:type="pct"/>
                  <w:noWrap w:val="0"/>
                  <w:vAlign w:val="center"/>
                </w:tcPr>
                <w:p w14:paraId="7A224D57">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储存地</w:t>
                  </w:r>
                </w:p>
              </w:tc>
              <w:tc>
                <w:tcPr>
                  <w:tcW w:w="634" w:type="pct"/>
                  <w:noWrap w:val="0"/>
                  <w:vAlign w:val="center"/>
                </w:tcPr>
                <w:p w14:paraId="0F86CADA">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最大</w:t>
                  </w:r>
                  <w:r>
                    <w:rPr>
                      <w:rFonts w:hint="default" w:ascii="Times New Roman" w:hAnsi="Times New Roman" w:cs="Times New Roman"/>
                      <w:b/>
                      <w:color w:val="auto"/>
                      <w:sz w:val="21"/>
                      <w:szCs w:val="21"/>
                      <w:highlight w:val="none"/>
                    </w:rPr>
                    <w:t>储存量（t）</w:t>
                  </w:r>
                </w:p>
              </w:tc>
            </w:tr>
            <w:tr w14:paraId="321804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87" w:type="pct"/>
                  <w:noWrap w:val="0"/>
                  <w:vAlign w:val="center"/>
                </w:tcPr>
                <w:p w14:paraId="0A513CDC">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692" w:type="pct"/>
                  <w:gridSpan w:val="2"/>
                  <w:noWrap w:val="0"/>
                  <w:vAlign w:val="center"/>
                </w:tcPr>
                <w:p w14:paraId="6EC0389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机油</w:t>
                  </w:r>
                </w:p>
              </w:tc>
              <w:tc>
                <w:tcPr>
                  <w:tcW w:w="823" w:type="pct"/>
                  <w:noWrap w:val="0"/>
                  <w:vAlign w:val="center"/>
                </w:tcPr>
                <w:p w14:paraId="27C94AFC">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矿物油</w:t>
                  </w:r>
                </w:p>
              </w:tc>
              <w:tc>
                <w:tcPr>
                  <w:tcW w:w="741" w:type="pct"/>
                  <w:noWrap w:val="0"/>
                  <w:vAlign w:val="center"/>
                </w:tcPr>
                <w:p w14:paraId="70164566">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易燃</w:t>
                  </w:r>
                </w:p>
              </w:tc>
              <w:tc>
                <w:tcPr>
                  <w:tcW w:w="720" w:type="pct"/>
                  <w:noWrap w:val="0"/>
                  <w:vAlign w:val="center"/>
                </w:tcPr>
                <w:p w14:paraId="5D7EC3BB">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原料仓</w:t>
                  </w:r>
                </w:p>
              </w:tc>
              <w:tc>
                <w:tcPr>
                  <w:tcW w:w="634" w:type="pct"/>
                  <w:noWrap w:val="0"/>
                  <w:vAlign w:val="center"/>
                </w:tcPr>
                <w:p w14:paraId="6898856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0.34</w:t>
                  </w:r>
                </w:p>
              </w:tc>
            </w:tr>
            <w:tr w14:paraId="0B38B5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87" w:type="pct"/>
                  <w:noWrap w:val="0"/>
                  <w:vAlign w:val="center"/>
                </w:tcPr>
                <w:p w14:paraId="0F7D1B10">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429" w:type="pct"/>
                  <w:tcBorders>
                    <w:right w:val="single" w:color="auto" w:sz="4" w:space="0"/>
                  </w:tcBorders>
                  <w:noWrap w:val="0"/>
                  <w:vAlign w:val="center"/>
                </w:tcPr>
                <w:p w14:paraId="3B4C0603">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危险废物</w:t>
                  </w:r>
                </w:p>
              </w:tc>
              <w:tc>
                <w:tcPr>
                  <w:tcW w:w="1262" w:type="pct"/>
                  <w:tcBorders>
                    <w:left w:val="single" w:color="auto" w:sz="4" w:space="0"/>
                  </w:tcBorders>
                  <w:noWrap w:val="0"/>
                  <w:vAlign w:val="center"/>
                </w:tcPr>
                <w:p w14:paraId="30CBC2D4">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废含油抹布手套、废机油等危险废物</w:t>
                  </w:r>
                </w:p>
              </w:tc>
              <w:tc>
                <w:tcPr>
                  <w:tcW w:w="823" w:type="pct"/>
                  <w:noWrap w:val="0"/>
                  <w:vAlign w:val="center"/>
                </w:tcPr>
                <w:p w14:paraId="3D04E73A">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有机物、汞</w:t>
                  </w:r>
                </w:p>
              </w:tc>
              <w:tc>
                <w:tcPr>
                  <w:tcW w:w="741" w:type="pct"/>
                  <w:noWrap w:val="0"/>
                  <w:vAlign w:val="center"/>
                </w:tcPr>
                <w:p w14:paraId="4E5FB5F1">
                  <w:pPr>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易燃</w:t>
                  </w:r>
                </w:p>
              </w:tc>
              <w:tc>
                <w:tcPr>
                  <w:tcW w:w="720" w:type="pct"/>
                  <w:noWrap w:val="0"/>
                  <w:vAlign w:val="center"/>
                </w:tcPr>
                <w:p w14:paraId="18E4F725">
                  <w:pPr>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危废仓</w:t>
                  </w:r>
                </w:p>
              </w:tc>
              <w:tc>
                <w:tcPr>
                  <w:tcW w:w="634" w:type="pct"/>
                  <w:noWrap w:val="0"/>
                  <w:vAlign w:val="center"/>
                </w:tcPr>
                <w:p w14:paraId="3644486E">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r>
                    <w:rPr>
                      <w:rFonts w:hint="default" w:ascii="Times New Roman" w:hAnsi="Times New Roman" w:eastAsia="宋体" w:cs="Times New Roman"/>
                      <w:color w:val="auto"/>
                      <w:sz w:val="21"/>
                      <w:szCs w:val="21"/>
                      <w:highlight w:val="none"/>
                      <w:vertAlign w:val="superscript"/>
                    </w:rPr>
                    <w:fldChar w:fldCharType="begin"/>
                  </w:r>
                  <w:r>
                    <w:rPr>
                      <w:rFonts w:hint="default" w:ascii="Times New Roman" w:hAnsi="Times New Roman" w:eastAsia="宋体" w:cs="Times New Roman"/>
                      <w:color w:val="auto"/>
                      <w:sz w:val="21"/>
                      <w:szCs w:val="21"/>
                      <w:highlight w:val="none"/>
                      <w:vertAlign w:val="superscript"/>
                    </w:rPr>
                    <w:instrText xml:space="preserve"> = 1 \* GB3 \* MERGEFORMAT </w:instrText>
                  </w:r>
                  <w:r>
                    <w:rPr>
                      <w:rFonts w:hint="default" w:ascii="Times New Roman" w:hAnsi="Times New Roman" w:eastAsia="宋体" w:cs="Times New Roman"/>
                      <w:color w:val="auto"/>
                      <w:sz w:val="21"/>
                      <w:szCs w:val="21"/>
                      <w:highlight w:val="none"/>
                      <w:vertAlign w:val="superscript"/>
                    </w:rPr>
                    <w:fldChar w:fldCharType="separate"/>
                  </w:r>
                  <w:r>
                    <w:rPr>
                      <w:rFonts w:hint="default" w:ascii="Times New Roman" w:hAnsi="Times New Roman" w:eastAsia="宋体" w:cs="Times New Roman"/>
                      <w:color w:val="auto"/>
                      <w:sz w:val="21"/>
                      <w:szCs w:val="21"/>
                      <w:highlight w:val="none"/>
                      <w:vertAlign w:val="superscript"/>
                    </w:rPr>
                    <w:t>①</w:t>
                  </w:r>
                  <w:r>
                    <w:rPr>
                      <w:rFonts w:hint="default" w:ascii="Times New Roman" w:hAnsi="Times New Roman" w:eastAsia="宋体" w:cs="Times New Roman"/>
                      <w:color w:val="auto"/>
                      <w:sz w:val="21"/>
                      <w:szCs w:val="21"/>
                      <w:highlight w:val="none"/>
                      <w:vertAlign w:val="superscript"/>
                    </w:rPr>
                    <w:fldChar w:fldCharType="end"/>
                  </w:r>
                </w:p>
              </w:tc>
            </w:tr>
          </w:tbl>
          <w:p w14:paraId="78813A53">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eastAsia="zh-CN" w:bidi="ar"/>
              </w:rPr>
              <w:t>注：①危险废物最大储存量的取值取危险废物暂存间最大暂存量。</w:t>
            </w:r>
          </w:p>
          <w:p w14:paraId="66607439">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bidi="ar"/>
              </w:rPr>
              <w:t>（2）生产设施风险识别</w:t>
            </w:r>
          </w:p>
          <w:p w14:paraId="11E575FF">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根据</w:t>
            </w:r>
            <w:r>
              <w:rPr>
                <w:rFonts w:hint="default" w:ascii="Times New Roman" w:hAnsi="Times New Roman" w:cs="Times New Roman"/>
                <w:color w:val="auto"/>
                <w:kern w:val="0"/>
                <w:sz w:val="24"/>
                <w:szCs w:val="24"/>
                <w:highlight w:val="none"/>
                <w:lang w:eastAsia="zh-CN" w:bidi="ar"/>
              </w:rPr>
              <w:t>本项目</w:t>
            </w:r>
            <w:r>
              <w:rPr>
                <w:rFonts w:hint="default" w:ascii="Times New Roman" w:hAnsi="Times New Roman" w:cs="Times New Roman"/>
                <w:color w:val="auto"/>
                <w:kern w:val="0"/>
                <w:sz w:val="24"/>
                <w:szCs w:val="24"/>
                <w:highlight w:val="none"/>
                <w:lang w:bidi="ar"/>
              </w:rPr>
              <w:t>物料的性质，主要潜在危险是</w:t>
            </w:r>
            <w:r>
              <w:rPr>
                <w:rFonts w:hint="default" w:ascii="Times New Roman" w:hAnsi="Times New Roman" w:cs="Times New Roman"/>
                <w:bCs/>
                <w:color w:val="auto"/>
                <w:sz w:val="24"/>
                <w:highlight w:val="none"/>
                <w:lang w:val="en-US" w:eastAsia="zh-CN"/>
              </w:rPr>
              <w:t>机油、危险废物</w:t>
            </w:r>
            <w:r>
              <w:rPr>
                <w:rFonts w:hint="default" w:ascii="Times New Roman" w:hAnsi="Times New Roman" w:cs="Times New Roman"/>
                <w:color w:val="auto"/>
                <w:kern w:val="0"/>
                <w:sz w:val="24"/>
                <w:szCs w:val="24"/>
                <w:highlight w:val="none"/>
                <w:lang w:bidi="ar"/>
              </w:rPr>
              <w:t>等</w:t>
            </w:r>
            <w:r>
              <w:rPr>
                <w:rFonts w:hint="default" w:ascii="Times New Roman" w:hAnsi="Times New Roman" w:cs="Times New Roman"/>
                <w:color w:val="auto"/>
                <w:kern w:val="0"/>
                <w:sz w:val="24"/>
                <w:szCs w:val="24"/>
                <w:highlight w:val="none"/>
                <w:lang w:val="en-US" w:eastAsia="zh-CN" w:bidi="ar"/>
              </w:rPr>
              <w:t>在生产</w:t>
            </w:r>
            <w:r>
              <w:rPr>
                <w:rFonts w:hint="default" w:ascii="Times New Roman" w:hAnsi="Times New Roman" w:cs="Times New Roman"/>
                <w:color w:val="auto"/>
                <w:kern w:val="0"/>
                <w:sz w:val="24"/>
                <w:szCs w:val="24"/>
                <w:highlight w:val="none"/>
                <w:lang w:bidi="ar"/>
              </w:rPr>
              <w:t>过程中的泄漏；废气处理系统发生故障。泄漏和事故排放进入周围环境空气、地表水、土壤，从而导致对周围环境空气、地表水、土壤乃至地下水的污染，进而影响人体健康。</w:t>
            </w:r>
          </w:p>
          <w:p w14:paraId="57F7BAE1">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生产过程主要风险源识别</w:t>
            </w:r>
          </w:p>
          <w:tbl>
            <w:tblPr>
              <w:tblStyle w:val="38"/>
              <w:tblW w:w="497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13"/>
              <w:gridCol w:w="1463"/>
              <w:gridCol w:w="1053"/>
              <w:gridCol w:w="1037"/>
              <w:gridCol w:w="2480"/>
              <w:gridCol w:w="2273"/>
            </w:tblGrid>
            <w:tr w14:paraId="11BCC3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blHeader/>
                <w:jc w:val="center"/>
              </w:trPr>
              <w:tc>
                <w:tcPr>
                  <w:tcW w:w="495" w:type="pct"/>
                  <w:noWrap w:val="0"/>
                  <w:vAlign w:val="center"/>
                </w:tcPr>
                <w:p w14:paraId="522B5BDC">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事故起因</w:t>
                  </w:r>
                </w:p>
              </w:tc>
              <w:tc>
                <w:tcPr>
                  <w:tcW w:w="793" w:type="pct"/>
                  <w:noWrap w:val="0"/>
                  <w:vAlign w:val="center"/>
                </w:tcPr>
                <w:p w14:paraId="53B53789">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环境风险描述</w:t>
                  </w:r>
                </w:p>
              </w:tc>
              <w:tc>
                <w:tcPr>
                  <w:tcW w:w="571" w:type="pct"/>
                  <w:noWrap w:val="0"/>
                  <w:vAlign w:val="center"/>
                </w:tcPr>
                <w:p w14:paraId="7B258C34">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涉污染物</w:t>
                  </w:r>
                </w:p>
              </w:tc>
              <w:tc>
                <w:tcPr>
                  <w:tcW w:w="562" w:type="pct"/>
                  <w:noWrap w:val="0"/>
                  <w:vAlign w:val="center"/>
                </w:tcPr>
                <w:p w14:paraId="2DEFB5E3">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风险类别</w:t>
                  </w:r>
                </w:p>
              </w:tc>
              <w:tc>
                <w:tcPr>
                  <w:tcW w:w="1344" w:type="pct"/>
                  <w:noWrap w:val="0"/>
                  <w:vAlign w:val="center"/>
                </w:tcPr>
                <w:p w14:paraId="04DE9D14">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途径及后果</w:t>
                  </w:r>
                </w:p>
              </w:tc>
              <w:tc>
                <w:tcPr>
                  <w:tcW w:w="1232" w:type="pct"/>
                  <w:noWrap w:val="0"/>
                  <w:vAlign w:val="center"/>
                </w:tcPr>
                <w:p w14:paraId="7C28CEA3">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风险防范措施</w:t>
                  </w:r>
                </w:p>
              </w:tc>
            </w:tr>
            <w:tr w14:paraId="4A64E2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95" w:type="pct"/>
                  <w:noWrap w:val="0"/>
                  <w:vAlign w:val="center"/>
                </w:tcPr>
                <w:p w14:paraId="39CA15C7">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机油</w:t>
                  </w:r>
                  <w:r>
                    <w:rPr>
                      <w:rFonts w:hint="default" w:ascii="Times New Roman" w:hAnsi="Times New Roman" w:cs="Times New Roman"/>
                      <w:bCs/>
                      <w:color w:val="auto"/>
                      <w:sz w:val="21"/>
                      <w:szCs w:val="21"/>
                      <w:highlight w:val="none"/>
                      <w:lang w:eastAsia="zh-CN"/>
                    </w:rPr>
                    <w:t>及其他原料</w:t>
                  </w:r>
                  <w:r>
                    <w:rPr>
                      <w:rFonts w:hint="default" w:ascii="Times New Roman" w:hAnsi="Times New Roman" w:cs="Times New Roman"/>
                      <w:bCs/>
                      <w:color w:val="auto"/>
                      <w:sz w:val="21"/>
                      <w:szCs w:val="21"/>
                      <w:highlight w:val="none"/>
                    </w:rPr>
                    <w:t>泄漏</w:t>
                  </w:r>
                </w:p>
              </w:tc>
              <w:tc>
                <w:tcPr>
                  <w:tcW w:w="793" w:type="pct"/>
                  <w:noWrap w:val="0"/>
                  <w:vAlign w:val="center"/>
                </w:tcPr>
                <w:p w14:paraId="32F72BE0">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因泄漏进入周围水体</w:t>
                  </w:r>
                </w:p>
              </w:tc>
              <w:tc>
                <w:tcPr>
                  <w:tcW w:w="571" w:type="pct"/>
                  <w:noWrap w:val="0"/>
                  <w:vAlign w:val="center"/>
                </w:tcPr>
                <w:p w14:paraId="1339231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矿物油</w:t>
                  </w:r>
                  <w:r>
                    <w:rPr>
                      <w:rFonts w:hint="default" w:ascii="Times New Roman" w:hAnsi="Times New Roman" w:cs="Times New Roman"/>
                      <w:bCs/>
                      <w:color w:val="auto"/>
                      <w:sz w:val="21"/>
                      <w:szCs w:val="21"/>
                      <w:highlight w:val="none"/>
                      <w:lang w:val="en-US" w:eastAsia="zh-CN"/>
                    </w:rPr>
                    <w:t>、有机物</w:t>
                  </w:r>
                  <w:r>
                    <w:rPr>
                      <w:rFonts w:hint="eastAsia"/>
                      <w:color w:val="auto"/>
                      <w:lang w:eastAsia="zh-CN"/>
                    </w:rPr>
                    <w:t>、</w:t>
                  </w:r>
                  <w:r>
                    <w:rPr>
                      <w:rFonts w:hint="eastAsia"/>
                      <w:color w:val="auto"/>
                      <w:lang w:val="en-US" w:eastAsia="zh-CN"/>
                    </w:rPr>
                    <w:t>汞</w:t>
                  </w:r>
                </w:p>
              </w:tc>
              <w:tc>
                <w:tcPr>
                  <w:tcW w:w="562" w:type="pct"/>
                  <w:noWrap w:val="0"/>
                  <w:vAlign w:val="center"/>
                </w:tcPr>
                <w:p w14:paraId="1B4AA06C">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土壤、地下水环境</w:t>
                  </w:r>
                </w:p>
              </w:tc>
              <w:tc>
                <w:tcPr>
                  <w:tcW w:w="1344" w:type="pct"/>
                  <w:noWrap w:val="0"/>
                  <w:vAlign w:val="center"/>
                </w:tcPr>
                <w:p w14:paraId="6146A56C">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可能与其他物质接触产生静电，从而引发火灾，大量泄漏导致土壤及地下水环境受到严重污染</w:t>
                  </w:r>
                </w:p>
              </w:tc>
              <w:tc>
                <w:tcPr>
                  <w:tcW w:w="1232" w:type="pct"/>
                  <w:noWrap w:val="0"/>
                  <w:vAlign w:val="center"/>
                </w:tcPr>
                <w:p w14:paraId="67B6A006">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加强储存容器的检查，及时排查出泄漏源，控制泄漏量</w:t>
                  </w:r>
                </w:p>
              </w:tc>
            </w:tr>
            <w:tr w14:paraId="0B7F7A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95" w:type="pct"/>
                  <w:vMerge w:val="restart"/>
                  <w:noWrap w:val="0"/>
                  <w:vAlign w:val="center"/>
                </w:tcPr>
                <w:p w14:paraId="41DFB87C">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火灾、爆炸</w:t>
                  </w:r>
                </w:p>
              </w:tc>
              <w:tc>
                <w:tcPr>
                  <w:tcW w:w="793" w:type="pct"/>
                  <w:shd w:val="clear" w:color="auto" w:fill="auto"/>
                  <w:noWrap w:val="0"/>
                  <w:vAlign w:val="center"/>
                </w:tcPr>
                <w:p w14:paraId="21F7E66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燃烧烟尘及污染物污染周围大气环境</w:t>
                  </w:r>
                </w:p>
              </w:tc>
              <w:tc>
                <w:tcPr>
                  <w:tcW w:w="571" w:type="pct"/>
                  <w:shd w:val="clear" w:color="auto" w:fill="auto"/>
                  <w:noWrap w:val="0"/>
                  <w:vAlign w:val="center"/>
                </w:tcPr>
                <w:p w14:paraId="5E9AAD0B">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CO</w:t>
                  </w:r>
                </w:p>
              </w:tc>
              <w:tc>
                <w:tcPr>
                  <w:tcW w:w="562" w:type="pct"/>
                  <w:noWrap w:val="0"/>
                  <w:vAlign w:val="center"/>
                </w:tcPr>
                <w:p w14:paraId="577B69AC">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大气环境</w:t>
                  </w:r>
                </w:p>
              </w:tc>
              <w:tc>
                <w:tcPr>
                  <w:tcW w:w="1344" w:type="pct"/>
                  <w:noWrap w:val="0"/>
                  <w:vAlign w:val="center"/>
                </w:tcPr>
                <w:p w14:paraId="66386890">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通过燃烧烟气扩散，对周围大气环境造成短时污染</w:t>
                  </w:r>
                </w:p>
              </w:tc>
              <w:tc>
                <w:tcPr>
                  <w:tcW w:w="1232" w:type="pct"/>
                  <w:vMerge w:val="restart"/>
                  <w:noWrap w:val="0"/>
                  <w:vAlign w:val="center"/>
                </w:tcPr>
                <w:p w14:paraId="0935B719">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落实防止火灾措施，发生火灾时可封堵雨水井，消防废水经收集后委托有资质的单位处理处置</w:t>
                  </w:r>
                </w:p>
              </w:tc>
            </w:tr>
            <w:tr w14:paraId="55D476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95" w:type="pct"/>
                  <w:vMerge w:val="continue"/>
                  <w:noWrap w:val="0"/>
                  <w:vAlign w:val="center"/>
                </w:tcPr>
                <w:p w14:paraId="58E0890C">
                  <w:pPr>
                    <w:spacing w:line="240" w:lineRule="auto"/>
                    <w:jc w:val="center"/>
                    <w:rPr>
                      <w:rFonts w:hint="default" w:ascii="Times New Roman" w:hAnsi="Times New Roman" w:cs="Times New Roman"/>
                      <w:bCs/>
                      <w:color w:val="auto"/>
                      <w:sz w:val="21"/>
                      <w:szCs w:val="21"/>
                      <w:highlight w:val="none"/>
                    </w:rPr>
                  </w:pPr>
                </w:p>
              </w:tc>
              <w:tc>
                <w:tcPr>
                  <w:tcW w:w="793" w:type="pct"/>
                  <w:noWrap w:val="0"/>
                  <w:vAlign w:val="center"/>
                </w:tcPr>
                <w:p w14:paraId="5E7AFEC4">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消防废水进入附近水体</w:t>
                  </w:r>
                </w:p>
              </w:tc>
              <w:tc>
                <w:tcPr>
                  <w:tcW w:w="571" w:type="pct"/>
                  <w:noWrap w:val="0"/>
                  <w:vAlign w:val="center"/>
                </w:tcPr>
                <w:p w14:paraId="4C063B27">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COD等</w:t>
                  </w:r>
                </w:p>
              </w:tc>
              <w:tc>
                <w:tcPr>
                  <w:tcW w:w="562" w:type="pct"/>
                  <w:noWrap w:val="0"/>
                  <w:vAlign w:val="center"/>
                </w:tcPr>
                <w:p w14:paraId="33CDAFE8">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水环境</w:t>
                  </w:r>
                </w:p>
              </w:tc>
              <w:tc>
                <w:tcPr>
                  <w:tcW w:w="1344" w:type="pct"/>
                  <w:noWrap w:val="0"/>
                  <w:vAlign w:val="center"/>
                </w:tcPr>
                <w:p w14:paraId="77E127B7">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通过雨水管对附近内河涌水质造成影响</w:t>
                  </w:r>
                </w:p>
              </w:tc>
              <w:tc>
                <w:tcPr>
                  <w:tcW w:w="1232" w:type="pct"/>
                  <w:vMerge w:val="continue"/>
                  <w:noWrap w:val="0"/>
                  <w:vAlign w:val="center"/>
                </w:tcPr>
                <w:p w14:paraId="00CC2E89">
                  <w:pPr>
                    <w:spacing w:line="240" w:lineRule="auto"/>
                    <w:jc w:val="center"/>
                    <w:rPr>
                      <w:rFonts w:hint="default" w:ascii="Times New Roman" w:hAnsi="Times New Roman" w:cs="Times New Roman"/>
                      <w:bCs/>
                      <w:color w:val="auto"/>
                      <w:sz w:val="21"/>
                      <w:szCs w:val="21"/>
                      <w:highlight w:val="none"/>
                    </w:rPr>
                  </w:pPr>
                </w:p>
              </w:tc>
            </w:tr>
          </w:tbl>
          <w:p w14:paraId="493DA25D">
            <w:pPr>
              <w:widowControl/>
              <w:spacing w:line="360" w:lineRule="auto"/>
              <w:ind w:firstLine="482" w:firstLineChars="20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b/>
                <w:bCs/>
                <w:color w:val="auto"/>
                <w:kern w:val="0"/>
                <w:sz w:val="24"/>
                <w:szCs w:val="24"/>
                <w:highlight w:val="none"/>
                <w:lang w:val="en-US" w:eastAsia="zh-CN" w:bidi="ar"/>
              </w:rPr>
              <w:t>2、</w:t>
            </w:r>
            <w:r>
              <w:rPr>
                <w:rFonts w:hint="default" w:ascii="Times New Roman" w:hAnsi="Times New Roman" w:cs="Times New Roman"/>
                <w:b/>
                <w:bCs/>
                <w:color w:val="auto"/>
                <w:kern w:val="0"/>
                <w:sz w:val="24"/>
                <w:szCs w:val="24"/>
                <w:highlight w:val="none"/>
                <w:lang w:bidi="ar"/>
              </w:rPr>
              <w:t>风险潜势初判</w:t>
            </w:r>
          </w:p>
          <w:p w14:paraId="4B20848A">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根据《建设项目环境风险评价技术导则》（HJ169-2018）附录C规定，当存在多种危险物质时，按下式计算物质总量与其临界量比值（Q）：</w:t>
            </w:r>
          </w:p>
          <w:p w14:paraId="2578BD68">
            <w:pPr>
              <w:widowControl/>
              <w:spacing w:line="360" w:lineRule="auto"/>
              <w:ind w:firstLine="480" w:firstLineChars="200"/>
              <w:jc w:val="center"/>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sz w:val="24"/>
                <w:szCs w:val="24"/>
                <w:highlight w:val="none"/>
              </w:rPr>
              <w:drawing>
                <wp:inline distT="0" distB="0" distL="114300" distR="114300">
                  <wp:extent cx="1624965" cy="486410"/>
                  <wp:effectExtent l="0" t="0" r="13335" b="8890"/>
                  <wp:docPr id="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7"/>
                          <pic:cNvPicPr>
                            <a:picLocks noChangeAspect="1"/>
                          </pic:cNvPicPr>
                        </pic:nvPicPr>
                        <pic:blipFill>
                          <a:blip r:embed="rId38"/>
                          <a:stretch>
                            <a:fillRect/>
                          </a:stretch>
                        </pic:blipFill>
                        <pic:spPr>
                          <a:xfrm>
                            <a:off x="0" y="0"/>
                            <a:ext cx="1624965" cy="486410"/>
                          </a:xfrm>
                          <a:prstGeom prst="rect">
                            <a:avLst/>
                          </a:prstGeom>
                          <a:noFill/>
                          <a:ln>
                            <a:noFill/>
                          </a:ln>
                        </pic:spPr>
                      </pic:pic>
                    </a:graphicData>
                  </a:graphic>
                </wp:inline>
              </w:drawing>
            </w:r>
          </w:p>
          <w:p w14:paraId="312D855D">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式中：</w:t>
            </w:r>
            <w:r>
              <w:rPr>
                <w:rFonts w:hint="default" w:ascii="Times New Roman" w:hAnsi="Times New Roman" w:cs="Times New Roman"/>
                <w:color w:val="auto"/>
                <w:sz w:val="24"/>
                <w:szCs w:val="24"/>
                <w:highlight w:val="none"/>
              </w:rPr>
              <w:drawing>
                <wp:inline distT="0" distB="0" distL="114300" distR="114300">
                  <wp:extent cx="838200" cy="167640"/>
                  <wp:effectExtent l="0" t="0" r="0" b="3810"/>
                  <wp:docPr id="6" name="图片 18" descr="说明: 说明: 说明: ztbd-p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8" descr="说明: 说明: 说明: ztbd-pic-2"/>
                          <pic:cNvPicPr>
                            <a:picLocks noChangeAspect="1"/>
                          </pic:cNvPicPr>
                        </pic:nvPicPr>
                        <pic:blipFill>
                          <a:blip r:embed="rId39"/>
                          <a:stretch>
                            <a:fillRect/>
                          </a:stretch>
                        </pic:blipFill>
                        <pic:spPr>
                          <a:xfrm>
                            <a:off x="0" y="0"/>
                            <a:ext cx="838200" cy="167640"/>
                          </a:xfrm>
                          <a:prstGeom prst="rect">
                            <a:avLst/>
                          </a:prstGeom>
                          <a:noFill/>
                          <a:ln>
                            <a:noFill/>
                          </a:ln>
                        </pic:spPr>
                      </pic:pic>
                    </a:graphicData>
                  </a:graphic>
                </wp:inline>
              </w:drawing>
            </w:r>
            <w:r>
              <w:rPr>
                <w:rFonts w:hint="default" w:ascii="Times New Roman" w:hAnsi="Times New Roman" w:cs="Times New Roman"/>
                <w:color w:val="auto"/>
                <w:kern w:val="0"/>
                <w:sz w:val="24"/>
                <w:szCs w:val="24"/>
                <w:highlight w:val="none"/>
                <w:lang w:bidi="ar"/>
              </w:rPr>
              <w:t>--每种危险物质的最大存在总量，t。</w:t>
            </w:r>
          </w:p>
          <w:p w14:paraId="53F1C4D8">
            <w:pPr>
              <w:widowControl/>
              <w:spacing w:line="360" w:lineRule="auto"/>
              <w:ind w:firstLine="1200" w:firstLineChars="5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sz w:val="24"/>
                <w:szCs w:val="24"/>
                <w:highlight w:val="none"/>
              </w:rPr>
              <w:drawing>
                <wp:inline distT="0" distB="0" distL="114300" distR="114300">
                  <wp:extent cx="899160" cy="167640"/>
                  <wp:effectExtent l="0" t="0" r="15240" b="3810"/>
                  <wp:docPr id="10" name="图片 19" descr="说明: 说明: 说明: ztbd-pi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descr="说明: 说明: 说明: ztbd-pic-3"/>
                          <pic:cNvPicPr>
                            <a:picLocks noChangeAspect="1"/>
                          </pic:cNvPicPr>
                        </pic:nvPicPr>
                        <pic:blipFill>
                          <a:blip r:embed="rId40"/>
                          <a:stretch>
                            <a:fillRect/>
                          </a:stretch>
                        </pic:blipFill>
                        <pic:spPr>
                          <a:xfrm>
                            <a:off x="0" y="0"/>
                            <a:ext cx="899160" cy="167640"/>
                          </a:xfrm>
                          <a:prstGeom prst="rect">
                            <a:avLst/>
                          </a:prstGeom>
                          <a:noFill/>
                          <a:ln>
                            <a:noFill/>
                          </a:ln>
                        </pic:spPr>
                      </pic:pic>
                    </a:graphicData>
                  </a:graphic>
                </wp:inline>
              </w:drawing>
            </w:r>
            <w:r>
              <w:rPr>
                <w:rFonts w:hint="default" w:ascii="Times New Roman" w:hAnsi="Times New Roman" w:cs="Times New Roman"/>
                <w:color w:val="auto"/>
                <w:kern w:val="0"/>
                <w:sz w:val="24"/>
                <w:szCs w:val="24"/>
                <w:highlight w:val="none"/>
                <w:lang w:bidi="ar"/>
              </w:rPr>
              <w:t>--每种危险物质的临界量，t。</w:t>
            </w:r>
          </w:p>
          <w:p w14:paraId="7997373C">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当Q＜1时，该项目环境风险潜势为Ⅰ。</w:t>
            </w:r>
          </w:p>
          <w:p w14:paraId="459D97FB">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当Q≥1时，将Q值划分为：（1）1≤Q＜10；（2）10≤Q＜100；（3）Q≥100。</w:t>
            </w:r>
          </w:p>
          <w:p w14:paraId="6EB10D8E">
            <w:pPr>
              <w:pStyle w:val="22"/>
              <w:pageBreakBefore w:val="0"/>
              <w:numPr>
                <w:ilvl w:val="0"/>
                <w:numId w:val="11"/>
              </w:numPr>
              <w:wordWrap w:val="0"/>
              <w:overflowPunct/>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危险物质数量及临界量的比值（Q）</w:t>
            </w:r>
          </w:p>
          <w:tbl>
            <w:tblPr>
              <w:tblStyle w:val="38"/>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34"/>
              <w:gridCol w:w="2171"/>
              <w:gridCol w:w="1015"/>
              <w:gridCol w:w="1714"/>
              <w:gridCol w:w="1393"/>
              <w:gridCol w:w="1575"/>
            </w:tblGrid>
            <w:tr w14:paraId="66704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9" w:type="pct"/>
                  <w:noWrap w:val="0"/>
                  <w:vAlign w:val="center"/>
                </w:tcPr>
                <w:p w14:paraId="56945058">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序号</w:t>
                  </w:r>
                </w:p>
              </w:tc>
              <w:tc>
                <w:tcPr>
                  <w:tcW w:w="1571" w:type="pct"/>
                  <w:gridSpan w:val="2"/>
                  <w:noWrap w:val="0"/>
                  <w:vAlign w:val="center"/>
                </w:tcPr>
                <w:p w14:paraId="7B5E14A5">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危险物质名称</w:t>
                  </w:r>
                </w:p>
              </w:tc>
              <w:tc>
                <w:tcPr>
                  <w:tcW w:w="549" w:type="pct"/>
                  <w:noWrap w:val="0"/>
                  <w:vAlign w:val="center"/>
                </w:tcPr>
                <w:p w14:paraId="1805D40A">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CAS号</w:t>
                  </w:r>
                </w:p>
              </w:tc>
              <w:tc>
                <w:tcPr>
                  <w:tcW w:w="927" w:type="pct"/>
                  <w:noWrap w:val="0"/>
                  <w:vAlign w:val="center"/>
                </w:tcPr>
                <w:p w14:paraId="3D6A5E77">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最大存在总量qn/t</w:t>
                  </w:r>
                </w:p>
              </w:tc>
              <w:tc>
                <w:tcPr>
                  <w:tcW w:w="750" w:type="pct"/>
                  <w:noWrap w:val="0"/>
                  <w:vAlign w:val="center"/>
                </w:tcPr>
                <w:p w14:paraId="64111985">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临界量Qn/t</w:t>
                  </w:r>
                </w:p>
              </w:tc>
              <w:tc>
                <w:tcPr>
                  <w:tcW w:w="850" w:type="pct"/>
                  <w:noWrap w:val="0"/>
                  <w:vAlign w:val="center"/>
                </w:tcPr>
                <w:p w14:paraId="7F2DCD7B">
                  <w:pPr>
                    <w:spacing w:line="240" w:lineRule="auto"/>
                    <w:jc w:val="center"/>
                    <w:rPr>
                      <w:rFonts w:hint="default" w:ascii="Times New Roman" w:hAnsi="Times New Roman" w:cs="Times New Roman"/>
                      <w:b/>
                      <w:bCs/>
                      <w:color w:val="auto"/>
                      <w:sz w:val="21"/>
                      <w:szCs w:val="21"/>
                      <w:highlight w:val="none"/>
                      <w:lang w:bidi="en-US"/>
                    </w:rPr>
                  </w:pPr>
                  <w:r>
                    <w:rPr>
                      <w:rFonts w:hint="default" w:ascii="Times New Roman" w:hAnsi="Times New Roman" w:cs="Times New Roman"/>
                      <w:b/>
                      <w:bCs/>
                      <w:color w:val="auto"/>
                      <w:sz w:val="21"/>
                      <w:szCs w:val="21"/>
                      <w:highlight w:val="none"/>
                      <w:lang w:bidi="en-US"/>
                    </w:rPr>
                    <w:t>危险物质Q值</w:t>
                  </w:r>
                </w:p>
              </w:tc>
            </w:tr>
            <w:tr w14:paraId="5E962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9" w:type="pct"/>
                  <w:shd w:val="clear" w:color="auto" w:fill="auto"/>
                  <w:noWrap w:val="0"/>
                  <w:vAlign w:val="center"/>
                </w:tcPr>
                <w:p w14:paraId="6302C91B">
                  <w:pPr>
                    <w:spacing w:line="240" w:lineRule="auto"/>
                    <w:jc w:val="center"/>
                    <w:rPr>
                      <w:rFonts w:hint="default" w:ascii="Times New Roman" w:hAnsi="Times New Roman" w:eastAsia="宋体" w:cs="Times New Roman"/>
                      <w:color w:val="auto"/>
                      <w:kern w:val="2"/>
                      <w:sz w:val="21"/>
                      <w:szCs w:val="21"/>
                      <w:highlight w:val="none"/>
                      <w:lang w:val="en-US" w:eastAsia="zh-CN" w:bidi="en-US"/>
                    </w:rPr>
                  </w:pPr>
                  <w:r>
                    <w:rPr>
                      <w:rFonts w:hint="default" w:ascii="Times New Roman" w:hAnsi="Times New Roman" w:cs="Times New Roman"/>
                      <w:color w:val="auto"/>
                      <w:sz w:val="21"/>
                      <w:szCs w:val="21"/>
                      <w:highlight w:val="none"/>
                      <w:lang w:val="en-US" w:eastAsia="zh-CN" w:bidi="en-US"/>
                    </w:rPr>
                    <w:t>1</w:t>
                  </w:r>
                </w:p>
              </w:tc>
              <w:tc>
                <w:tcPr>
                  <w:tcW w:w="1571" w:type="pct"/>
                  <w:gridSpan w:val="2"/>
                  <w:noWrap w:val="0"/>
                  <w:vAlign w:val="center"/>
                </w:tcPr>
                <w:p w14:paraId="781FFFC5">
                  <w:pPr>
                    <w:keepNext w:val="0"/>
                    <w:keepLines w:val="0"/>
                    <w:widowControl/>
                    <w:suppressLineNumbers w:val="0"/>
                    <w:spacing w:line="240" w:lineRule="auto"/>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机油</w:t>
                  </w:r>
                </w:p>
              </w:tc>
              <w:tc>
                <w:tcPr>
                  <w:tcW w:w="549" w:type="pct"/>
                  <w:noWrap w:val="0"/>
                  <w:vAlign w:val="center"/>
                </w:tcPr>
                <w:p w14:paraId="2D22D83D">
                  <w:pPr>
                    <w:spacing w:line="240" w:lineRule="auto"/>
                    <w:jc w:val="center"/>
                    <w:rPr>
                      <w:rFonts w:hint="default" w:ascii="Times New Roman" w:hAnsi="Times New Roman" w:cs="Times New Roman"/>
                      <w:color w:val="auto"/>
                      <w:sz w:val="21"/>
                      <w:szCs w:val="21"/>
                      <w:highlight w:val="none"/>
                      <w:lang w:bidi="en-US"/>
                    </w:rPr>
                  </w:pPr>
                  <w:r>
                    <w:rPr>
                      <w:rFonts w:hint="default" w:ascii="Times New Roman" w:hAnsi="Times New Roman" w:cs="Times New Roman"/>
                      <w:color w:val="auto"/>
                      <w:sz w:val="21"/>
                      <w:szCs w:val="21"/>
                      <w:highlight w:val="none"/>
                      <w:lang w:bidi="en-US"/>
                    </w:rPr>
                    <w:t>/</w:t>
                  </w:r>
                </w:p>
              </w:tc>
              <w:tc>
                <w:tcPr>
                  <w:tcW w:w="1641" w:type="dxa"/>
                  <w:noWrap w:val="0"/>
                  <w:vAlign w:val="center"/>
                </w:tcPr>
                <w:p w14:paraId="364859AF">
                  <w:pPr>
                    <w:keepNext w:val="0"/>
                    <w:keepLines w:val="0"/>
                    <w:widowControl/>
                    <w:suppressLineNumbers w:val="0"/>
                    <w:spacing w:line="240" w:lineRule="auto"/>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0.34</w:t>
                  </w:r>
                </w:p>
              </w:tc>
              <w:tc>
                <w:tcPr>
                  <w:tcW w:w="750" w:type="pct"/>
                  <w:noWrap w:val="0"/>
                  <w:vAlign w:val="center"/>
                </w:tcPr>
                <w:p w14:paraId="6F2257F7">
                  <w:pPr>
                    <w:spacing w:line="240" w:lineRule="auto"/>
                    <w:jc w:val="center"/>
                    <w:rPr>
                      <w:rFonts w:hint="default" w:ascii="Times New Roman" w:hAnsi="Times New Roman" w:cs="Times New Roman"/>
                      <w:color w:val="auto"/>
                      <w:sz w:val="21"/>
                      <w:szCs w:val="21"/>
                      <w:highlight w:val="none"/>
                      <w:lang w:bidi="en-US"/>
                    </w:rPr>
                  </w:pPr>
                  <w:r>
                    <w:rPr>
                      <w:rFonts w:hint="default" w:ascii="Times New Roman" w:hAnsi="Times New Roman" w:cs="Times New Roman"/>
                      <w:color w:val="auto"/>
                      <w:sz w:val="21"/>
                      <w:szCs w:val="21"/>
                      <w:highlight w:val="none"/>
                      <w:lang w:bidi="en-US"/>
                    </w:rPr>
                    <w:t>2500</w:t>
                  </w:r>
                </w:p>
              </w:tc>
              <w:tc>
                <w:tcPr>
                  <w:tcW w:w="1506" w:type="dxa"/>
                  <w:noWrap w:val="0"/>
                  <w:vAlign w:val="center"/>
                </w:tcPr>
                <w:p w14:paraId="166046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0.00014</w:t>
                  </w:r>
                </w:p>
              </w:tc>
            </w:tr>
            <w:tr w14:paraId="63AB4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9" w:type="pct"/>
                  <w:shd w:val="clear" w:color="auto" w:fill="auto"/>
                  <w:noWrap w:val="0"/>
                  <w:vAlign w:val="center"/>
                </w:tcPr>
                <w:p w14:paraId="0334D0D0">
                  <w:pPr>
                    <w:spacing w:line="240" w:lineRule="auto"/>
                    <w:jc w:val="center"/>
                    <w:rPr>
                      <w:rFonts w:hint="default" w:ascii="Times New Roman" w:hAnsi="Times New Roman" w:eastAsia="宋体" w:cs="Times New Roman"/>
                      <w:color w:val="auto"/>
                      <w:kern w:val="2"/>
                      <w:sz w:val="21"/>
                      <w:szCs w:val="21"/>
                      <w:highlight w:val="none"/>
                      <w:lang w:val="en-US" w:eastAsia="zh-CN" w:bidi="en-US"/>
                    </w:rPr>
                  </w:pPr>
                  <w:r>
                    <w:rPr>
                      <w:rFonts w:hint="default" w:ascii="Times New Roman" w:hAnsi="Times New Roman" w:cs="Times New Roman"/>
                      <w:color w:val="auto"/>
                      <w:sz w:val="21"/>
                      <w:szCs w:val="21"/>
                      <w:highlight w:val="none"/>
                      <w:lang w:val="en-US" w:eastAsia="zh-CN" w:bidi="en-US"/>
                    </w:rPr>
                    <w:t>2</w:t>
                  </w:r>
                </w:p>
              </w:tc>
              <w:tc>
                <w:tcPr>
                  <w:tcW w:w="397" w:type="pct"/>
                  <w:noWrap w:val="0"/>
                  <w:vAlign w:val="center"/>
                </w:tcPr>
                <w:p w14:paraId="43B79EC8">
                  <w:pPr>
                    <w:spacing w:line="240" w:lineRule="auto"/>
                    <w:jc w:val="center"/>
                    <w:rPr>
                      <w:rFonts w:hint="default" w:ascii="Times New Roman" w:hAnsi="Times New Roman" w:eastAsia="宋体" w:cs="Times New Roman"/>
                      <w:color w:val="auto"/>
                      <w:sz w:val="21"/>
                      <w:szCs w:val="21"/>
                      <w:highlight w:val="none"/>
                      <w:lang w:val="en-US" w:eastAsia="zh-CN" w:bidi="en-US"/>
                    </w:rPr>
                  </w:pPr>
                  <w:r>
                    <w:rPr>
                      <w:rFonts w:hint="default" w:ascii="Times New Roman" w:hAnsi="Times New Roman" w:cs="Times New Roman"/>
                      <w:bCs/>
                      <w:color w:val="auto"/>
                      <w:sz w:val="21"/>
                      <w:szCs w:val="21"/>
                      <w:highlight w:val="none"/>
                      <w:lang w:val="en-US" w:eastAsia="zh-CN"/>
                    </w:rPr>
                    <w:t>危险废物</w:t>
                  </w:r>
                </w:p>
              </w:tc>
              <w:tc>
                <w:tcPr>
                  <w:tcW w:w="1174" w:type="pct"/>
                  <w:noWrap w:val="0"/>
                  <w:vAlign w:val="center"/>
                </w:tcPr>
                <w:p w14:paraId="3AFC0093">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废含油抹布手套、废机油等危险废物</w:t>
                  </w:r>
                </w:p>
              </w:tc>
              <w:tc>
                <w:tcPr>
                  <w:tcW w:w="549" w:type="pct"/>
                  <w:noWrap w:val="0"/>
                  <w:vAlign w:val="center"/>
                </w:tcPr>
                <w:p w14:paraId="39E51F5A">
                  <w:pPr>
                    <w:spacing w:line="240" w:lineRule="auto"/>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w:t>
                  </w:r>
                </w:p>
              </w:tc>
              <w:tc>
                <w:tcPr>
                  <w:tcW w:w="1641" w:type="dxa"/>
                  <w:noWrap w:val="0"/>
                  <w:vAlign w:val="center"/>
                </w:tcPr>
                <w:p w14:paraId="7B850210">
                  <w:pPr>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sz w:val="21"/>
                      <w:szCs w:val="21"/>
                      <w:highlight w:val="none"/>
                      <w:lang w:val="en-US" w:eastAsia="zh-CN"/>
                    </w:rPr>
                    <w:t>6</w:t>
                  </w:r>
                  <w:r>
                    <w:rPr>
                      <w:rFonts w:hint="default" w:ascii="Times New Roman" w:hAnsi="Times New Roman" w:eastAsia="宋体" w:cs="Times New Roman"/>
                      <w:color w:val="auto"/>
                      <w:sz w:val="21"/>
                      <w:szCs w:val="21"/>
                      <w:highlight w:val="none"/>
                      <w:vertAlign w:val="superscript"/>
                    </w:rPr>
                    <w:fldChar w:fldCharType="begin"/>
                  </w:r>
                  <w:r>
                    <w:rPr>
                      <w:rFonts w:hint="default" w:ascii="Times New Roman" w:hAnsi="Times New Roman" w:eastAsia="宋体" w:cs="Times New Roman"/>
                      <w:color w:val="auto"/>
                      <w:sz w:val="21"/>
                      <w:szCs w:val="21"/>
                      <w:highlight w:val="none"/>
                      <w:vertAlign w:val="superscript"/>
                    </w:rPr>
                    <w:instrText xml:space="preserve"> = 1 \* GB3 \* MERGEFORMAT </w:instrText>
                  </w:r>
                  <w:r>
                    <w:rPr>
                      <w:rFonts w:hint="default" w:ascii="Times New Roman" w:hAnsi="Times New Roman" w:eastAsia="宋体" w:cs="Times New Roman"/>
                      <w:color w:val="auto"/>
                      <w:sz w:val="21"/>
                      <w:szCs w:val="21"/>
                      <w:highlight w:val="none"/>
                      <w:vertAlign w:val="superscript"/>
                    </w:rPr>
                    <w:fldChar w:fldCharType="separate"/>
                  </w:r>
                  <w:r>
                    <w:rPr>
                      <w:rFonts w:hint="default" w:ascii="Times New Roman" w:hAnsi="Times New Roman" w:eastAsia="宋体" w:cs="Times New Roman"/>
                      <w:color w:val="auto"/>
                      <w:sz w:val="21"/>
                      <w:szCs w:val="21"/>
                      <w:highlight w:val="none"/>
                      <w:vertAlign w:val="superscript"/>
                    </w:rPr>
                    <w:t>①</w:t>
                  </w:r>
                  <w:r>
                    <w:rPr>
                      <w:rFonts w:hint="default" w:ascii="Times New Roman" w:hAnsi="Times New Roman" w:eastAsia="宋体" w:cs="Times New Roman"/>
                      <w:color w:val="auto"/>
                      <w:sz w:val="21"/>
                      <w:szCs w:val="21"/>
                      <w:highlight w:val="none"/>
                      <w:vertAlign w:val="superscript"/>
                    </w:rPr>
                    <w:fldChar w:fldCharType="end"/>
                  </w:r>
                </w:p>
              </w:tc>
              <w:tc>
                <w:tcPr>
                  <w:tcW w:w="750" w:type="pct"/>
                  <w:noWrap w:val="0"/>
                  <w:vAlign w:val="center"/>
                </w:tcPr>
                <w:p w14:paraId="2F9C232D">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1506" w:type="dxa"/>
                  <w:noWrap w:val="0"/>
                  <w:vAlign w:val="center"/>
                </w:tcPr>
                <w:p w14:paraId="177876A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12</w:t>
                  </w:r>
                </w:p>
              </w:tc>
            </w:tr>
            <w:tr w14:paraId="728C0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9" w:type="pct"/>
                  <w:gridSpan w:val="6"/>
                  <w:noWrap w:val="0"/>
                  <w:vAlign w:val="center"/>
                </w:tcPr>
                <w:p w14:paraId="01F912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850" w:type="pct"/>
                  <w:noWrap w:val="0"/>
                  <w:vAlign w:val="center"/>
                </w:tcPr>
                <w:p w14:paraId="683D68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12</w:t>
                  </w:r>
                  <w:r>
                    <w:rPr>
                      <w:rFonts w:hint="default" w:ascii="Times New Roman" w:hAnsi="Times New Roman" w:eastAsia="宋体" w:cs="Times New Roman"/>
                      <w:i w:val="0"/>
                      <w:iCs w:val="0"/>
                      <w:color w:val="auto"/>
                      <w:kern w:val="0"/>
                      <w:sz w:val="21"/>
                      <w:szCs w:val="21"/>
                      <w:highlight w:val="none"/>
                      <w:u w:val="none"/>
                      <w:lang w:val="en-US" w:eastAsia="zh-CN" w:bidi="ar"/>
                    </w:rPr>
                    <w:t>014</w:t>
                  </w:r>
                </w:p>
              </w:tc>
            </w:tr>
            <w:tr w14:paraId="10300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noWrap w:val="0"/>
                  <w:vAlign w:val="center"/>
                </w:tcPr>
                <w:p w14:paraId="3B2A0B47">
                  <w:pPr>
                    <w:widowControl/>
                    <w:spacing w:line="240" w:lineRule="auto"/>
                    <w:jc w:val="left"/>
                    <w:rPr>
                      <w:rFonts w:hint="default" w:ascii="Times New Roman" w:hAnsi="Times New Roman" w:cs="Times New Roman"/>
                      <w:color w:val="auto"/>
                      <w:sz w:val="21"/>
                      <w:szCs w:val="21"/>
                      <w:highlight w:val="none"/>
                      <w:lang w:bidi="en-US"/>
                    </w:rPr>
                  </w:pPr>
                  <w:r>
                    <w:rPr>
                      <w:rFonts w:hint="default" w:ascii="Times New Roman" w:hAnsi="Times New Roman" w:cs="Times New Roman"/>
                      <w:color w:val="auto"/>
                      <w:kern w:val="0"/>
                      <w:sz w:val="21"/>
                      <w:szCs w:val="21"/>
                      <w:highlight w:val="none"/>
                      <w:lang w:eastAsia="zh-CN" w:bidi="ar"/>
                    </w:rPr>
                    <w:t>注：①危险废物最大储存量的取值取危险废物暂存间最大暂存量。</w:t>
                  </w:r>
                </w:p>
              </w:tc>
            </w:tr>
          </w:tbl>
          <w:p w14:paraId="3D44DFD6">
            <w:pPr>
              <w:widowControl/>
              <w:spacing w:line="360" w:lineRule="auto"/>
              <w:ind w:firstLine="480" w:firstLineChars="200"/>
              <w:jc w:val="left"/>
              <w:rPr>
                <w:rFonts w:hint="default" w:ascii="Times New Roman" w:hAnsi="Times New Roman" w:cs="Times New Roman"/>
                <w:b/>
                <w:bCs/>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根据上表可知Q=</w:t>
            </w:r>
            <w:r>
              <w:rPr>
                <w:rFonts w:hint="default" w:ascii="Times New Roman" w:hAnsi="Times New Roman" w:cs="Times New Roman"/>
                <w:color w:val="auto"/>
                <w:sz w:val="24"/>
                <w:szCs w:val="24"/>
                <w:highlight w:val="none"/>
                <w:lang w:val="en-US" w:eastAsia="zh-CN" w:bidi="en-US"/>
              </w:rPr>
              <w:t>0.12014</w:t>
            </w:r>
            <w:r>
              <w:rPr>
                <w:rFonts w:hint="default" w:ascii="Times New Roman" w:hAnsi="Times New Roman" w:cs="Times New Roman"/>
                <w:color w:val="auto"/>
                <w:kern w:val="0"/>
                <w:sz w:val="24"/>
                <w:szCs w:val="24"/>
                <w:highlight w:val="none"/>
                <w:lang w:bidi="ar"/>
              </w:rPr>
              <w:t>＜1，故</w:t>
            </w:r>
            <w:r>
              <w:rPr>
                <w:rFonts w:hint="default" w:ascii="Times New Roman" w:hAnsi="Times New Roman" w:cs="Times New Roman"/>
                <w:color w:val="auto"/>
                <w:kern w:val="0"/>
                <w:sz w:val="24"/>
                <w:szCs w:val="24"/>
                <w:highlight w:val="none"/>
                <w:lang w:eastAsia="zh-CN" w:bidi="ar"/>
              </w:rPr>
              <w:t>本项目</w:t>
            </w:r>
            <w:r>
              <w:rPr>
                <w:rFonts w:hint="default" w:ascii="Times New Roman" w:hAnsi="Times New Roman" w:cs="Times New Roman"/>
                <w:color w:val="auto"/>
                <w:kern w:val="0"/>
                <w:sz w:val="24"/>
                <w:szCs w:val="24"/>
                <w:highlight w:val="none"/>
                <w:lang w:bidi="ar"/>
              </w:rPr>
              <w:t>环境风险潜势为Ⅰ，无需设置环境风险专项评价。</w:t>
            </w:r>
          </w:p>
          <w:p w14:paraId="3F892DB1">
            <w:pPr>
              <w:widowControl/>
              <w:spacing w:line="360" w:lineRule="auto"/>
              <w:ind w:firstLine="482" w:firstLineChars="200"/>
              <w:jc w:val="left"/>
              <w:rPr>
                <w:rFonts w:hint="default" w:ascii="Times New Roman" w:hAnsi="Times New Roman" w:cs="Times New Roman"/>
                <w:b/>
                <w:bCs/>
                <w:color w:val="auto"/>
                <w:kern w:val="0"/>
                <w:sz w:val="24"/>
                <w:szCs w:val="24"/>
                <w:highlight w:val="none"/>
                <w:lang w:bidi="ar"/>
              </w:rPr>
            </w:pPr>
            <w:r>
              <w:rPr>
                <w:rFonts w:hint="default" w:ascii="Times New Roman" w:hAnsi="Times New Roman" w:cs="Times New Roman"/>
                <w:b/>
                <w:bCs/>
                <w:color w:val="auto"/>
                <w:kern w:val="0"/>
                <w:sz w:val="24"/>
                <w:szCs w:val="24"/>
                <w:highlight w:val="none"/>
                <w:lang w:bidi="ar"/>
              </w:rPr>
              <w:t>3、环境风险分析</w:t>
            </w:r>
          </w:p>
          <w:p w14:paraId="57B98448">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val="en-US" w:eastAsia="zh-CN" w:bidi="ar"/>
              </w:rPr>
              <w:t>1</w:t>
            </w: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bidi="ar"/>
              </w:rPr>
              <w:t>事故类型</w:t>
            </w:r>
          </w:p>
          <w:p w14:paraId="4F8F735A">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bidi="ar"/>
              </w:rPr>
              <w:t>通过前面物质风险识别和重大危险源识别，</w:t>
            </w:r>
            <w:r>
              <w:rPr>
                <w:rFonts w:hint="default" w:ascii="Times New Roman" w:hAnsi="Times New Roman" w:cs="Times New Roman"/>
                <w:b w:val="0"/>
                <w:bCs w:val="0"/>
                <w:color w:val="auto"/>
                <w:kern w:val="0"/>
                <w:sz w:val="24"/>
                <w:szCs w:val="24"/>
                <w:highlight w:val="none"/>
                <w:lang w:eastAsia="zh-CN" w:bidi="ar"/>
              </w:rPr>
              <w:t>本项目</w:t>
            </w:r>
            <w:r>
              <w:rPr>
                <w:rFonts w:hint="default" w:ascii="Times New Roman" w:hAnsi="Times New Roman" w:cs="Times New Roman"/>
                <w:b w:val="0"/>
                <w:bCs w:val="0"/>
                <w:color w:val="auto"/>
                <w:kern w:val="0"/>
                <w:sz w:val="24"/>
                <w:szCs w:val="24"/>
                <w:highlight w:val="none"/>
                <w:lang w:bidi="ar"/>
              </w:rPr>
              <w:t>主要的事故类型为火灾、危险废物或原材料泄漏。</w:t>
            </w:r>
          </w:p>
          <w:p w14:paraId="5F357CD9">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val="en-US" w:eastAsia="zh-CN" w:bidi="ar"/>
              </w:rPr>
              <w:t>2</w:t>
            </w: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bidi="ar"/>
              </w:rPr>
              <w:t>危险废物或原材料泄漏事故</w:t>
            </w:r>
          </w:p>
          <w:p w14:paraId="532654D6">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eastAsia="zh-CN" w:bidi="ar"/>
              </w:rPr>
              <w:t>本项目</w:t>
            </w:r>
            <w:r>
              <w:rPr>
                <w:rFonts w:hint="default" w:ascii="Times New Roman" w:hAnsi="Times New Roman" w:cs="Times New Roman"/>
                <w:b w:val="0"/>
                <w:bCs w:val="0"/>
                <w:color w:val="auto"/>
                <w:kern w:val="0"/>
                <w:sz w:val="24"/>
                <w:szCs w:val="24"/>
                <w:highlight w:val="none"/>
                <w:lang w:bidi="ar"/>
              </w:rPr>
              <w:t>使用的</w:t>
            </w:r>
            <w:r>
              <w:rPr>
                <w:rFonts w:hint="default" w:ascii="Times New Roman" w:hAnsi="Times New Roman" w:cs="Times New Roman"/>
                <w:bCs/>
                <w:color w:val="auto"/>
                <w:sz w:val="24"/>
                <w:highlight w:val="none"/>
                <w:lang w:val="en-US" w:eastAsia="zh-CN"/>
              </w:rPr>
              <w:t>机油、危险废物储存</w:t>
            </w:r>
            <w:r>
              <w:rPr>
                <w:rFonts w:hint="default" w:ascii="Times New Roman" w:hAnsi="Times New Roman" w:cs="Times New Roman"/>
                <w:b w:val="0"/>
                <w:bCs w:val="0"/>
                <w:color w:val="auto"/>
                <w:kern w:val="0"/>
                <w:sz w:val="24"/>
                <w:szCs w:val="24"/>
                <w:highlight w:val="none"/>
                <w:lang w:bidi="ar"/>
              </w:rPr>
              <w:t>在</w:t>
            </w:r>
            <w:r>
              <w:rPr>
                <w:rFonts w:hint="default" w:ascii="Times New Roman" w:hAnsi="Times New Roman" w:cs="Times New Roman"/>
                <w:b w:val="0"/>
                <w:bCs w:val="0"/>
                <w:color w:val="auto"/>
                <w:kern w:val="0"/>
                <w:sz w:val="24"/>
                <w:szCs w:val="24"/>
                <w:highlight w:val="none"/>
                <w:lang w:val="en-US" w:eastAsia="zh-CN" w:bidi="ar"/>
              </w:rPr>
              <w:t>各仓库</w:t>
            </w:r>
            <w:r>
              <w:rPr>
                <w:rFonts w:hint="default" w:ascii="Times New Roman" w:hAnsi="Times New Roman" w:cs="Times New Roman"/>
                <w:b w:val="0"/>
                <w:bCs w:val="0"/>
                <w:color w:val="auto"/>
                <w:kern w:val="0"/>
                <w:sz w:val="24"/>
                <w:szCs w:val="24"/>
                <w:highlight w:val="none"/>
                <w:lang w:bidi="ar"/>
              </w:rPr>
              <w:t>内。</w:t>
            </w:r>
            <w:r>
              <w:rPr>
                <w:rFonts w:hint="default" w:ascii="Times New Roman" w:hAnsi="Times New Roman" w:cs="Times New Roman"/>
                <w:bCs/>
                <w:color w:val="auto"/>
                <w:sz w:val="24"/>
                <w:highlight w:val="none"/>
                <w:lang w:val="en-US" w:eastAsia="zh-CN"/>
              </w:rPr>
              <w:t>机油等物料</w:t>
            </w:r>
            <w:r>
              <w:rPr>
                <w:rFonts w:hint="default" w:ascii="Times New Roman" w:hAnsi="Times New Roman" w:cs="Times New Roman"/>
                <w:b w:val="0"/>
                <w:bCs w:val="0"/>
                <w:color w:val="auto"/>
                <w:kern w:val="0"/>
                <w:sz w:val="24"/>
                <w:szCs w:val="24"/>
                <w:highlight w:val="none"/>
                <w:lang w:bidi="ar"/>
              </w:rPr>
              <w:t>由于运输、存储、使用过程中的操作失误而出现泄漏情况，会渗漏、泄漏至地表，会对该区域地表水水质造成污染。</w:t>
            </w:r>
          </w:p>
          <w:p w14:paraId="60691261">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val="en-US" w:eastAsia="zh-CN" w:bidi="ar"/>
              </w:rPr>
              <w:t>3</w:t>
            </w:r>
            <w:r>
              <w:rPr>
                <w:rFonts w:hint="default" w:ascii="Times New Roman" w:hAnsi="Times New Roman" w:cs="Times New Roman"/>
                <w:b w:val="0"/>
                <w:bCs w:val="0"/>
                <w:color w:val="auto"/>
                <w:kern w:val="0"/>
                <w:sz w:val="24"/>
                <w:szCs w:val="24"/>
                <w:highlight w:val="none"/>
                <w:lang w:eastAsia="zh-CN" w:bidi="ar"/>
              </w:rPr>
              <w:t>）</w:t>
            </w:r>
            <w:r>
              <w:rPr>
                <w:rFonts w:hint="default" w:ascii="Times New Roman" w:hAnsi="Times New Roman" w:cs="Times New Roman"/>
                <w:b w:val="0"/>
                <w:bCs w:val="0"/>
                <w:color w:val="auto"/>
                <w:kern w:val="0"/>
                <w:sz w:val="24"/>
                <w:szCs w:val="24"/>
                <w:highlight w:val="none"/>
                <w:lang w:bidi="ar"/>
              </w:rPr>
              <w:t>火灾事故引起次生/伴生污染分析</w:t>
            </w:r>
          </w:p>
          <w:p w14:paraId="640B5F1A">
            <w:pPr>
              <w:widowControl/>
              <w:spacing w:line="360" w:lineRule="auto"/>
              <w:ind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cs="Times New Roman"/>
                <w:b w:val="0"/>
                <w:bCs w:val="0"/>
                <w:color w:val="auto"/>
                <w:kern w:val="0"/>
                <w:sz w:val="24"/>
                <w:szCs w:val="24"/>
                <w:highlight w:val="none"/>
                <w:lang w:bidi="ar"/>
              </w:rPr>
              <w:t>在发生火灾的情况下，</w:t>
            </w:r>
            <w:r>
              <w:rPr>
                <w:rFonts w:hint="default" w:ascii="Times New Roman" w:hAnsi="Times New Roman" w:cs="Times New Roman"/>
                <w:b w:val="0"/>
                <w:bCs w:val="0"/>
                <w:color w:val="auto"/>
                <w:kern w:val="0"/>
                <w:sz w:val="24"/>
                <w:szCs w:val="24"/>
                <w:highlight w:val="none"/>
                <w:lang w:val="en-US" w:eastAsia="zh-CN" w:bidi="ar"/>
              </w:rPr>
              <w:t>机油、</w:t>
            </w:r>
            <w:r>
              <w:rPr>
                <w:rFonts w:hint="default" w:ascii="Times New Roman" w:hAnsi="Times New Roman" w:cs="Times New Roman"/>
                <w:b w:val="0"/>
                <w:bCs w:val="0"/>
                <w:color w:val="auto"/>
                <w:kern w:val="0"/>
                <w:sz w:val="24"/>
                <w:szCs w:val="24"/>
                <w:highlight w:val="none"/>
                <w:lang w:bidi="ar"/>
              </w:rPr>
              <w:t>危险废物不完全燃烧可能产生大量的烟尘及有毒物质，主要为CO、SO</w:t>
            </w:r>
            <w:r>
              <w:rPr>
                <w:rFonts w:hint="default" w:ascii="Times New Roman" w:hAnsi="Times New Roman" w:cs="Times New Roman"/>
                <w:b w:val="0"/>
                <w:bCs w:val="0"/>
                <w:color w:val="auto"/>
                <w:kern w:val="0"/>
                <w:sz w:val="24"/>
                <w:szCs w:val="24"/>
                <w:highlight w:val="none"/>
                <w:vertAlign w:val="subscript"/>
                <w:lang w:bidi="ar"/>
              </w:rPr>
              <w:t>2</w:t>
            </w:r>
            <w:r>
              <w:rPr>
                <w:rFonts w:hint="default" w:ascii="Times New Roman" w:hAnsi="Times New Roman" w:cs="Times New Roman"/>
                <w:b w:val="0"/>
                <w:bCs w:val="0"/>
                <w:color w:val="auto"/>
                <w:kern w:val="0"/>
                <w:sz w:val="24"/>
                <w:szCs w:val="24"/>
                <w:highlight w:val="none"/>
                <w:lang w:bidi="ar"/>
              </w:rPr>
              <w:t>、NOx等，火灾事故下产生的污染物将对厂区及周边大气环境产生影响；在消防救援时产生的消防水若排入雨水管网，排到河涌会造成水体污染</w:t>
            </w:r>
            <w:r>
              <w:rPr>
                <w:rFonts w:hint="default" w:ascii="Times New Roman" w:hAnsi="Times New Roman" w:cs="Times New Roman"/>
                <w:b w:val="0"/>
                <w:bCs w:val="0"/>
                <w:color w:val="auto"/>
                <w:kern w:val="0"/>
                <w:sz w:val="24"/>
                <w:szCs w:val="24"/>
                <w:highlight w:val="none"/>
                <w:lang w:eastAsia="zh-CN" w:bidi="ar"/>
              </w:rPr>
              <w:t>。</w:t>
            </w:r>
          </w:p>
          <w:p w14:paraId="3F052FF1">
            <w:pPr>
              <w:widowControl/>
              <w:spacing w:line="360" w:lineRule="auto"/>
              <w:ind w:firstLine="480" w:firstLineChars="200"/>
              <w:jc w:val="left"/>
              <w:rPr>
                <w:rFonts w:hint="default" w:ascii="Times New Roman" w:hAnsi="Times New Roman" w:cs="Times New Roman"/>
                <w:b w:val="0"/>
                <w:bCs w:val="0"/>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bidi="ar"/>
              </w:rPr>
              <w:t>项目</w:t>
            </w:r>
            <w:r>
              <w:rPr>
                <w:rFonts w:hint="default" w:ascii="Times New Roman" w:hAnsi="Times New Roman" w:cs="Times New Roman"/>
                <w:b w:val="0"/>
                <w:bCs w:val="0"/>
                <w:color w:val="auto"/>
                <w:kern w:val="0"/>
                <w:sz w:val="24"/>
                <w:szCs w:val="24"/>
                <w:highlight w:val="none"/>
                <w:lang w:val="en-US" w:eastAsia="zh-CN" w:bidi="ar"/>
              </w:rPr>
              <w:t>机油</w:t>
            </w:r>
            <w:r>
              <w:rPr>
                <w:rFonts w:hint="default" w:ascii="Times New Roman" w:hAnsi="Times New Roman" w:cs="Times New Roman"/>
                <w:b w:val="0"/>
                <w:bCs w:val="0"/>
                <w:color w:val="auto"/>
                <w:kern w:val="0"/>
                <w:sz w:val="24"/>
                <w:szCs w:val="24"/>
                <w:highlight w:val="none"/>
                <w:lang w:bidi="ar"/>
              </w:rPr>
              <w:t>等若遇到明火、高热等可能引起火灾的危险。燃烧过程中会产生CO，还会挥发出有毒物质，可能会对大气环境、水环境和人群健康产生影响。此外，消防灭火过程所产生的消防废水可能会直接溢流入雨水或污水管网，从而对水环境产生不利影响。</w:t>
            </w:r>
          </w:p>
          <w:p w14:paraId="52B5BF9D">
            <w:pPr>
              <w:widowControl/>
              <w:spacing w:line="360" w:lineRule="auto"/>
              <w:ind w:firstLine="482" w:firstLineChars="200"/>
              <w:jc w:val="left"/>
              <w:rPr>
                <w:rFonts w:hint="default" w:ascii="Times New Roman" w:hAnsi="Times New Roman" w:cs="Times New Roman"/>
                <w:b/>
                <w:bCs/>
                <w:color w:val="auto"/>
                <w:kern w:val="0"/>
                <w:sz w:val="24"/>
                <w:szCs w:val="24"/>
                <w:highlight w:val="none"/>
                <w:lang w:bidi="ar"/>
              </w:rPr>
            </w:pPr>
            <w:r>
              <w:rPr>
                <w:rFonts w:hint="default" w:ascii="Times New Roman" w:hAnsi="Times New Roman" w:cs="Times New Roman"/>
                <w:b/>
                <w:bCs/>
                <w:color w:val="auto"/>
                <w:kern w:val="0"/>
                <w:sz w:val="24"/>
                <w:szCs w:val="24"/>
                <w:highlight w:val="none"/>
                <w:lang w:bidi="ar"/>
              </w:rPr>
              <w:t>4、环境风险防范措施及应急要求</w:t>
            </w:r>
          </w:p>
          <w:p w14:paraId="5746BE7A">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cs="Times New Roman"/>
                <w:color w:val="auto"/>
                <w:kern w:val="0"/>
                <w:sz w:val="24"/>
                <w:szCs w:val="24"/>
                <w:highlight w:val="none"/>
                <w:lang w:bidi="ar"/>
              </w:rPr>
              <w:t>风险防范</w:t>
            </w:r>
            <w:r>
              <w:rPr>
                <w:rFonts w:hint="default" w:ascii="Times New Roman" w:hAnsi="Times New Roman" w:cs="Times New Roman"/>
                <w:color w:val="auto"/>
                <w:kern w:val="0"/>
                <w:sz w:val="24"/>
                <w:szCs w:val="24"/>
                <w:highlight w:val="none"/>
                <w:lang w:eastAsia="zh-CN" w:bidi="ar"/>
              </w:rPr>
              <w:t>措施</w:t>
            </w:r>
            <w:r>
              <w:rPr>
                <w:rFonts w:hint="default" w:ascii="Times New Roman" w:hAnsi="Times New Roman" w:cs="Times New Roman"/>
                <w:color w:val="auto"/>
                <w:kern w:val="0"/>
                <w:sz w:val="24"/>
                <w:szCs w:val="24"/>
                <w:highlight w:val="none"/>
                <w:lang w:bidi="ar"/>
              </w:rPr>
              <w:t>：</w:t>
            </w:r>
          </w:p>
          <w:p w14:paraId="1ABC3E1C">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（1）泄漏事故风险防范措施</w:t>
            </w:r>
          </w:p>
          <w:p w14:paraId="2A0C9D72">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①危险废物</w:t>
            </w:r>
          </w:p>
          <w:p w14:paraId="2504688E">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危废暂存间按《危险废物贮存污染控制标准》（GB18597-2023）的要求，做好</w:t>
            </w:r>
            <w:r>
              <w:rPr>
                <w:rFonts w:hint="default" w:ascii="Times New Roman" w:hAnsi="Times New Roman" w:cs="Times New Roman"/>
                <w:color w:val="auto"/>
                <w:kern w:val="0"/>
                <w:sz w:val="24"/>
                <w:szCs w:val="24"/>
                <w:highlight w:val="none"/>
                <w:lang w:val="en-US" w:eastAsia="zh-CN" w:bidi="ar"/>
              </w:rPr>
              <w:t>防漫坡</w:t>
            </w:r>
            <w:r>
              <w:rPr>
                <w:rFonts w:hint="default" w:ascii="Times New Roman" w:hAnsi="Times New Roman" w:cs="Times New Roman"/>
                <w:color w:val="auto"/>
                <w:kern w:val="0"/>
                <w:sz w:val="24"/>
                <w:szCs w:val="24"/>
                <w:highlight w:val="none"/>
                <w:lang w:bidi="ar"/>
              </w:rPr>
              <w:t>、防腐防渗、防风、防雨、防晒等措施；按规范分类堆放，加强管理，避免堆放过量，及时清理运走；为防止雨水径流进入贮存、处置场内，避免渗滤液量增加，贮存、处置场周边应设置导流渠。</w:t>
            </w:r>
          </w:p>
          <w:p w14:paraId="3344D364">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②原材料</w:t>
            </w:r>
          </w:p>
          <w:p w14:paraId="4A565CED">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b w:val="0"/>
                <w:bCs w:val="0"/>
                <w:color w:val="auto"/>
                <w:kern w:val="0"/>
                <w:sz w:val="24"/>
                <w:szCs w:val="24"/>
                <w:highlight w:val="none"/>
                <w:lang w:eastAsia="zh-CN" w:bidi="ar"/>
              </w:rPr>
              <w:t>本项目</w:t>
            </w:r>
            <w:r>
              <w:rPr>
                <w:rFonts w:hint="default" w:ascii="Times New Roman" w:hAnsi="Times New Roman" w:cs="Times New Roman"/>
                <w:b w:val="0"/>
                <w:bCs w:val="0"/>
                <w:color w:val="auto"/>
                <w:kern w:val="0"/>
                <w:sz w:val="24"/>
                <w:szCs w:val="24"/>
                <w:highlight w:val="none"/>
                <w:lang w:bidi="ar"/>
              </w:rPr>
              <w:t>使用的</w:t>
            </w:r>
            <w:r>
              <w:rPr>
                <w:rFonts w:hint="default" w:ascii="Times New Roman" w:hAnsi="Times New Roman" w:cs="Times New Roman"/>
                <w:bCs/>
                <w:color w:val="auto"/>
                <w:sz w:val="24"/>
                <w:highlight w:val="none"/>
                <w:lang w:val="en-US" w:eastAsia="zh-CN"/>
              </w:rPr>
              <w:t>机油、危险废物</w:t>
            </w:r>
            <w:r>
              <w:rPr>
                <w:rFonts w:hint="default" w:ascii="Times New Roman" w:hAnsi="Times New Roman" w:cs="Times New Roman"/>
                <w:b w:val="0"/>
                <w:bCs w:val="0"/>
                <w:color w:val="auto"/>
                <w:kern w:val="0"/>
                <w:sz w:val="24"/>
                <w:szCs w:val="24"/>
                <w:highlight w:val="none"/>
                <w:lang w:bidi="ar"/>
              </w:rPr>
              <w:t>储在</w:t>
            </w:r>
            <w:r>
              <w:rPr>
                <w:rFonts w:hint="default" w:ascii="Times New Roman" w:hAnsi="Times New Roman" w:cs="Times New Roman"/>
                <w:b w:val="0"/>
                <w:bCs w:val="0"/>
                <w:color w:val="auto"/>
                <w:kern w:val="0"/>
                <w:sz w:val="24"/>
                <w:szCs w:val="24"/>
                <w:highlight w:val="none"/>
                <w:lang w:val="en-US" w:eastAsia="zh-CN" w:bidi="ar"/>
              </w:rPr>
              <w:t>各仓库</w:t>
            </w:r>
            <w:r>
              <w:rPr>
                <w:rFonts w:hint="default" w:ascii="Times New Roman" w:hAnsi="Times New Roman" w:cs="Times New Roman"/>
                <w:b w:val="0"/>
                <w:bCs w:val="0"/>
                <w:color w:val="auto"/>
                <w:kern w:val="0"/>
                <w:sz w:val="24"/>
                <w:szCs w:val="24"/>
                <w:highlight w:val="none"/>
                <w:lang w:bidi="ar"/>
              </w:rPr>
              <w:t>内</w:t>
            </w:r>
            <w:r>
              <w:rPr>
                <w:rFonts w:hint="default" w:ascii="Times New Roman" w:hAnsi="Times New Roman" w:cs="Times New Roman"/>
                <w:color w:val="auto"/>
                <w:kern w:val="0"/>
                <w:sz w:val="24"/>
                <w:szCs w:val="24"/>
                <w:highlight w:val="none"/>
                <w:lang w:bidi="ar"/>
              </w:rPr>
              <w:t>，仓库参考《危险废物贮存污染控制标准》（GB18597-2023）的要求，做好</w:t>
            </w:r>
            <w:r>
              <w:rPr>
                <w:rFonts w:hint="default" w:ascii="Times New Roman" w:hAnsi="Times New Roman" w:cs="Times New Roman"/>
                <w:color w:val="auto"/>
                <w:kern w:val="0"/>
                <w:sz w:val="24"/>
                <w:szCs w:val="24"/>
                <w:highlight w:val="none"/>
                <w:lang w:val="en-US" w:eastAsia="zh-CN" w:bidi="ar"/>
              </w:rPr>
              <w:t>防漫坡</w:t>
            </w:r>
            <w:r>
              <w:rPr>
                <w:rFonts w:hint="default" w:ascii="Times New Roman" w:hAnsi="Times New Roman" w:cs="Times New Roman"/>
                <w:color w:val="auto"/>
                <w:kern w:val="0"/>
                <w:sz w:val="24"/>
                <w:szCs w:val="24"/>
                <w:highlight w:val="none"/>
                <w:lang w:bidi="ar"/>
              </w:rPr>
              <w:t>、防腐防渗、防风、防雨、防晒等措施。</w:t>
            </w:r>
          </w:p>
          <w:p w14:paraId="458E5E55">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（2）火灾事故引发次生/伴生污染风险防范措施</w:t>
            </w:r>
          </w:p>
          <w:p w14:paraId="3CED2021">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车间、原辅材料仓等场所按照建筑设计防火规范要求落实防火措施，配备灭火器材、器材、装备，物资应选取不会与厂区内危险物质产生反应的种类；在厂区内设置“严禁烟火”的警示牌，尤其是在易燃品堆放的位置；灭火器应布置在明显便于取用的地方，并定期维护检查，确保能正常使用。</w:t>
            </w:r>
          </w:p>
          <w:p w14:paraId="3365B3CC">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cs="Times New Roman"/>
                <w:color w:val="auto"/>
                <w:kern w:val="0"/>
                <w:sz w:val="24"/>
                <w:szCs w:val="24"/>
                <w:highlight w:val="none"/>
                <w:lang w:bidi="ar"/>
              </w:rPr>
              <w:t>事故应急措施</w:t>
            </w:r>
            <w:r>
              <w:rPr>
                <w:rFonts w:hint="default" w:ascii="Times New Roman" w:hAnsi="Times New Roman" w:cs="Times New Roman"/>
                <w:color w:val="auto"/>
                <w:kern w:val="0"/>
                <w:sz w:val="24"/>
                <w:szCs w:val="24"/>
                <w:highlight w:val="none"/>
                <w:lang w:eastAsia="zh-CN" w:bidi="ar"/>
              </w:rPr>
              <w:t>：</w:t>
            </w:r>
          </w:p>
          <w:p w14:paraId="1CEDEB16">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（1）泄漏事故</w:t>
            </w:r>
          </w:p>
          <w:p w14:paraId="0311CC92">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若发生原材料、危险废物等少量泄漏，马上采用吸油毡、黄沙、木屑等吸收处理，处理后收集至危废暂存间后交由资质单位回收处理。</w:t>
            </w:r>
          </w:p>
          <w:p w14:paraId="3D622983">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（2）火灾事故</w:t>
            </w:r>
          </w:p>
          <w:p w14:paraId="071BFA4E">
            <w:pPr>
              <w:pStyle w:val="66"/>
              <w:ind w:firstLine="482"/>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现场发生火灾、爆炸事故后，立即启动应急预案，发布预警公告，转移、撤离或者疏散可能受到危害的人员，并进行妥善安置；紧急调配厂区内的应急处置资源用于应急处置，包括不限于在厂区设置合理的防泄漏措施，在厂房出入口处设置应急沙袋，防止消防废水外排；在1小时内向当地街道办事处报告，必要时配合生态环境部门开展环境应急监测。</w:t>
            </w:r>
          </w:p>
          <w:p w14:paraId="753B80B5">
            <w:pPr>
              <w:pStyle w:val="66"/>
              <w:ind w:firstLine="482"/>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本项目在落实相应风险防范和控制措施的情况下，总体环境风险可控。</w:t>
            </w:r>
          </w:p>
          <w:p w14:paraId="3F2F4C11">
            <w:pPr>
              <w:pStyle w:val="94"/>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bookmarkStart w:id="34" w:name="_Toc69194580"/>
            <w:r>
              <w:rPr>
                <w:rFonts w:hint="default" w:ascii="Times New Roman" w:hAnsi="Times New Roman" w:eastAsia="宋体" w:cs="Times New Roman"/>
                <w:b/>
                <w:bCs/>
                <w:color w:val="auto"/>
                <w:highlight w:val="none"/>
              </w:rPr>
              <w:t>六、土壤和地下水环境影响分析</w:t>
            </w:r>
            <w:bookmarkEnd w:id="34"/>
          </w:p>
          <w:p w14:paraId="5D9F991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Style w:val="72"/>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sz w:val="24"/>
                <w:highlight w:val="none"/>
                <w:lang w:val="en-US" w:eastAsia="zh-CN"/>
              </w:rPr>
              <w:t>1、</w:t>
            </w:r>
            <w:r>
              <w:rPr>
                <w:rFonts w:hint="default" w:ascii="Times New Roman" w:hAnsi="Times New Roman" w:eastAsia="宋体" w:cs="Times New Roman"/>
                <w:b/>
                <w:bCs/>
                <w:color w:val="auto"/>
                <w:kern w:val="0"/>
                <w:sz w:val="24"/>
                <w:highlight w:val="none"/>
              </w:rPr>
              <w:t>土壤和地下水污染途径</w:t>
            </w:r>
          </w:p>
          <w:p w14:paraId="2DD6F98A">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本项目生产过程中没有使用</w:t>
            </w:r>
            <w:r>
              <w:rPr>
                <w:rStyle w:val="72"/>
                <w:rFonts w:hint="default" w:ascii="Times New Roman" w:hAnsi="Times New Roman" w:eastAsia="宋体" w:cs="Times New Roman"/>
                <w:color w:val="auto"/>
                <w:kern w:val="0"/>
                <w:highlight w:val="none"/>
                <w:lang w:val="en-US" w:eastAsia="zh-CN"/>
              </w:rPr>
              <w:t>液态</w:t>
            </w:r>
            <w:r>
              <w:rPr>
                <w:rStyle w:val="72"/>
                <w:rFonts w:hint="default" w:ascii="Times New Roman" w:hAnsi="Times New Roman" w:eastAsia="宋体" w:cs="Times New Roman"/>
                <w:color w:val="auto"/>
                <w:kern w:val="0"/>
                <w:highlight w:val="none"/>
              </w:rPr>
              <w:t>危险化学品，在正常生产过程中，可能造成土壤和地下水污染途径为：生产车间</w:t>
            </w:r>
            <w:r>
              <w:rPr>
                <w:rStyle w:val="72"/>
                <w:rFonts w:hint="default" w:ascii="Times New Roman" w:hAnsi="Times New Roman" w:cs="Times New Roman"/>
                <w:color w:val="auto"/>
                <w:kern w:val="0"/>
                <w:highlight w:val="none"/>
                <w:lang w:eastAsia="zh-CN"/>
              </w:rPr>
              <w:t>物料</w:t>
            </w:r>
            <w:r>
              <w:rPr>
                <w:rStyle w:val="72"/>
                <w:rFonts w:hint="default" w:ascii="Times New Roman" w:hAnsi="Times New Roman" w:eastAsia="宋体" w:cs="Times New Roman"/>
                <w:color w:val="auto"/>
                <w:kern w:val="0"/>
                <w:highlight w:val="none"/>
              </w:rPr>
              <w:t>和</w:t>
            </w:r>
            <w:r>
              <w:rPr>
                <w:rStyle w:val="72"/>
                <w:rFonts w:hint="default" w:ascii="Times New Roman" w:hAnsi="Times New Roman" w:cs="Times New Roman"/>
                <w:color w:val="auto"/>
                <w:kern w:val="0"/>
                <w:highlight w:val="none"/>
                <w:lang w:val="en-US" w:eastAsia="zh-CN"/>
              </w:rPr>
              <w:t>生产废水收集池</w:t>
            </w:r>
            <w:r>
              <w:rPr>
                <w:rStyle w:val="72"/>
                <w:rFonts w:hint="default" w:ascii="Times New Roman" w:hAnsi="Times New Roman" w:eastAsia="宋体" w:cs="Times New Roman"/>
                <w:color w:val="auto"/>
                <w:kern w:val="0"/>
                <w:highlight w:val="none"/>
              </w:rPr>
              <w:t>中</w:t>
            </w:r>
            <w:r>
              <w:rPr>
                <w:rStyle w:val="72"/>
                <w:rFonts w:hint="default" w:ascii="Times New Roman" w:hAnsi="Times New Roman" w:cs="Times New Roman"/>
                <w:color w:val="auto"/>
                <w:kern w:val="0"/>
                <w:highlight w:val="none"/>
                <w:lang w:eastAsia="zh-CN"/>
              </w:rPr>
              <w:t>废</w:t>
            </w:r>
            <w:r>
              <w:rPr>
                <w:rStyle w:val="72"/>
                <w:rFonts w:hint="default" w:ascii="Times New Roman" w:hAnsi="Times New Roman" w:eastAsia="宋体" w:cs="Times New Roman"/>
                <w:color w:val="auto"/>
                <w:kern w:val="0"/>
                <w:highlight w:val="none"/>
              </w:rPr>
              <w:t>水的下渗，造成土壤和地下水污染。</w:t>
            </w:r>
          </w:p>
          <w:p w14:paraId="447D2911">
            <w:pPr>
              <w:pStyle w:val="94"/>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防渗原则</w:t>
            </w:r>
          </w:p>
          <w:p w14:paraId="544453B9">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本项目土壤和地下水污染防治措施，按照“源头控制、末端防治、污染监控、应急响应”相结合的原则进行防控，从污染物的产生、入渗、扩散、应急响应全阶段进行控制。</w:t>
            </w:r>
          </w:p>
          <w:p w14:paraId="244A3141">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源头控制措施：主要包括在管道、设备、废水处理设施等构筑物采取相应措施，防止和降低污染物跑、冒、滴、漏，将污染物泄漏的环境风险事故降到最低程度；管线敷设尽量采用“可视化”原则，即管道尽可能地上或架空敷设，做到污染物“早发现、早处理”，减少由于埋地管道泄漏而造成的地下水污染。</w:t>
            </w:r>
          </w:p>
          <w:p w14:paraId="17A8B253">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末端控制措施：主要包括易污染区地面的防渗措施和泄漏、渗漏污染物收集措施，即在有可能污染的区域地面进行防渗处理，防止地表污染物渗入地下，并在生产车间各出入口设置缓坡、沙袋等措施，防止车间内污染物流出车间外；</w:t>
            </w:r>
          </w:p>
          <w:p w14:paraId="13BB17EC">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分区防渗：分为重点防渗区、一般防渗区。</w:t>
            </w:r>
          </w:p>
          <w:p w14:paraId="3F8A8041">
            <w:pPr>
              <w:pStyle w:val="94"/>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3、防渗分区及防渗措施</w:t>
            </w:r>
          </w:p>
          <w:p w14:paraId="3461FCDB">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重点防渗区：生产车间、</w:t>
            </w:r>
            <w:r>
              <w:rPr>
                <w:rStyle w:val="72"/>
                <w:rFonts w:hint="default" w:ascii="Times New Roman" w:hAnsi="Times New Roman" w:cs="Times New Roman"/>
                <w:color w:val="auto"/>
                <w:kern w:val="0"/>
                <w:highlight w:val="none"/>
                <w:lang w:val="en-US" w:eastAsia="zh-CN"/>
              </w:rPr>
              <w:t>危废仓</w:t>
            </w:r>
            <w:r>
              <w:rPr>
                <w:rStyle w:val="72"/>
                <w:rFonts w:hint="default" w:ascii="Times New Roman" w:hAnsi="Times New Roman" w:eastAsia="宋体" w:cs="Times New Roman"/>
                <w:color w:val="auto"/>
                <w:kern w:val="0"/>
                <w:highlight w:val="none"/>
              </w:rPr>
              <w:t>，防渗采用基础地面压实+不少于30cm厚的混凝土层+地坪漆。废水处理设施采用基础地面压实+墙体及池底采用不少于30cm厚的钢筋混凝土浇筑结构+四周及池底刷防渗防腐漆。</w:t>
            </w:r>
          </w:p>
          <w:p w14:paraId="5D164693">
            <w:pPr>
              <w:widowControl/>
              <w:spacing w:line="360" w:lineRule="auto"/>
              <w:ind w:firstLine="480" w:firstLineChars="200"/>
              <w:rPr>
                <w:rStyle w:val="72"/>
                <w:rFonts w:hint="default" w:ascii="Times New Roman" w:hAnsi="Times New Roman" w:eastAsia="宋体" w:cs="Times New Roman"/>
                <w:color w:val="auto"/>
                <w:kern w:val="0"/>
                <w:highlight w:val="none"/>
              </w:rPr>
            </w:pPr>
            <w:r>
              <w:rPr>
                <w:rStyle w:val="72"/>
                <w:rFonts w:hint="default" w:ascii="Times New Roman" w:hAnsi="Times New Roman" w:eastAsia="宋体" w:cs="Times New Roman"/>
                <w:color w:val="auto"/>
                <w:kern w:val="0"/>
                <w:highlight w:val="none"/>
              </w:rPr>
              <w:t>一般防渗区：除重点防渗区外的其他区域，防渗采用基础地面压实+不少于30cm厚的混凝土层。</w:t>
            </w:r>
          </w:p>
          <w:p w14:paraId="4D423370">
            <w:pPr>
              <w:pStyle w:val="94"/>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4、土壤和地下水环境影响综合评价</w:t>
            </w:r>
          </w:p>
          <w:p w14:paraId="412415AB">
            <w:pPr>
              <w:spacing w:line="360" w:lineRule="auto"/>
              <w:ind w:firstLine="480" w:firstLineChars="200"/>
              <w:rPr>
                <w:rFonts w:hint="default" w:ascii="Times New Roman" w:hAnsi="Times New Roman" w:cs="Times New Roman"/>
                <w:color w:val="auto"/>
                <w:highlight w:val="none"/>
              </w:rPr>
            </w:pPr>
            <w:r>
              <w:rPr>
                <w:rStyle w:val="72"/>
                <w:rFonts w:hint="default" w:ascii="Times New Roman" w:hAnsi="Times New Roman" w:eastAsia="宋体" w:cs="Times New Roman"/>
                <w:b w:val="0"/>
                <w:bCs w:val="0"/>
                <w:color w:val="auto"/>
                <w:kern w:val="0"/>
                <w:szCs w:val="24"/>
                <w:highlight w:val="none"/>
                <w:lang w:val="en-US" w:eastAsia="zh-CN" w:bidi="ar-SA"/>
              </w:rPr>
              <w:t>通过以上对土壤和地下水采取的分区防控措施，本项目生产过程中对土壤和地下水污染影响较小。</w:t>
            </w:r>
          </w:p>
        </w:tc>
      </w:tr>
    </w:tbl>
    <w:p w14:paraId="49105C8F">
      <w:pPr>
        <w:pStyle w:val="7"/>
        <w:rPr>
          <w:rFonts w:hint="default" w:ascii="Times New Roman" w:hAnsi="Times New Roman" w:cs="Times New Roman"/>
          <w:snapToGrid w:val="0"/>
          <w:color w:val="auto"/>
          <w:highlight w:val="none"/>
        </w:rPr>
        <w:sectPr>
          <w:pgSz w:w="11906" w:h="16838"/>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p w14:paraId="0FCD39BA">
      <w:pPr>
        <w:pStyle w:val="7"/>
        <w:rPr>
          <w:rFonts w:hint="default" w:ascii="Times New Roman" w:hAnsi="Times New Roman" w:cs="Times New Roman"/>
          <w:snapToGrid w:val="0"/>
          <w:color w:val="auto"/>
          <w:highlight w:val="none"/>
        </w:rPr>
      </w:pPr>
      <w:bookmarkStart w:id="35" w:name="_Toc11434"/>
      <w:r>
        <w:rPr>
          <w:rFonts w:hint="default" w:ascii="Times New Roman" w:hAnsi="Times New Roman" w:cs="Times New Roman"/>
          <w:snapToGrid w:val="0"/>
          <w:color w:val="auto"/>
          <w:highlight w:val="none"/>
        </w:rPr>
        <w:t>五、</w:t>
      </w:r>
      <w:bookmarkStart w:id="36" w:name="_Hlk54167917"/>
      <w:r>
        <w:rPr>
          <w:rFonts w:hint="default" w:ascii="Times New Roman" w:hAnsi="Times New Roman" w:cs="Times New Roman"/>
          <w:snapToGrid w:val="0"/>
          <w:color w:val="auto"/>
          <w:highlight w:val="none"/>
        </w:rPr>
        <w:t>环境保护措施监督检查清单</w:t>
      </w:r>
      <w:bookmarkEnd w:id="35"/>
      <w:bookmarkEnd w:id="36"/>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548"/>
        <w:gridCol w:w="1255"/>
        <w:gridCol w:w="2073"/>
        <w:gridCol w:w="3522"/>
      </w:tblGrid>
      <w:tr w14:paraId="130EA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single" w:color="auto" w:sz="4" w:space="0"/>
            </w:tcBorders>
          </w:tcPr>
          <w:p w14:paraId="22079958">
            <w:pPr>
              <w:adjustRightInd w:val="0"/>
              <w:snapToGrid w:val="0"/>
              <w:spacing w:line="240" w:lineRule="auto"/>
              <w:ind w:firstLine="84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内</w:t>
            </w:r>
            <w:r>
              <w:rPr>
                <w:rFonts w:hint="default" w:ascii="Times New Roman" w:hAnsi="Times New Roman" w:cs="Times New Roman"/>
                <w:b/>
                <w:color w:val="auto"/>
                <w:szCs w:val="21"/>
                <w:highlight w:val="none"/>
                <w:lang w:val="en-US" w:eastAsia="zh-CN"/>
              </w:rPr>
              <w:t>内容</w:t>
            </w:r>
          </w:p>
          <w:p w14:paraId="4DCA19B4">
            <w:pPr>
              <w:adjustRightInd w:val="0"/>
              <w:snapToGrid w:val="0"/>
              <w:spacing w:line="240" w:lineRule="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要素</w:t>
            </w:r>
          </w:p>
        </w:tc>
        <w:tc>
          <w:tcPr>
            <w:tcW w:w="833" w:type="pct"/>
            <w:vAlign w:val="center"/>
          </w:tcPr>
          <w:p w14:paraId="6B441634">
            <w:pPr>
              <w:adjustRightInd w:val="0"/>
              <w:snapToGrid w:val="0"/>
              <w:spacing w:line="240" w:lineRule="auto"/>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排放口</w:t>
            </w:r>
            <w:r>
              <w:rPr>
                <w:rFonts w:hint="default" w:ascii="Times New Roman" w:hAnsi="Times New Roman" w:cs="Times New Roman"/>
                <w:b/>
                <w:color w:val="auto"/>
                <w:szCs w:val="21"/>
                <w:highlight w:val="none"/>
                <w:lang w:eastAsia="zh-CN"/>
              </w:rPr>
              <w:t>（</w:t>
            </w:r>
            <w:r>
              <w:rPr>
                <w:rFonts w:hint="default" w:ascii="Times New Roman" w:hAnsi="Times New Roman" w:cs="Times New Roman"/>
                <w:b/>
                <w:color w:val="auto"/>
                <w:szCs w:val="21"/>
                <w:highlight w:val="none"/>
              </w:rPr>
              <w:t>编号、</w:t>
            </w:r>
          </w:p>
          <w:p w14:paraId="2C6D198D">
            <w:pPr>
              <w:adjustRightInd w:val="0"/>
              <w:snapToGrid w:val="0"/>
              <w:spacing w:line="240" w:lineRule="auto"/>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名称</w:t>
            </w:r>
            <w:r>
              <w:rPr>
                <w:rFonts w:hint="default" w:ascii="Times New Roman" w:hAnsi="Times New Roman" w:cs="Times New Roman"/>
                <w:b/>
                <w:color w:val="auto"/>
                <w:szCs w:val="21"/>
                <w:highlight w:val="none"/>
                <w:lang w:eastAsia="zh-CN"/>
              </w:rPr>
              <w:t>）</w:t>
            </w:r>
            <w:r>
              <w:rPr>
                <w:rFonts w:hint="default" w:ascii="Times New Roman" w:hAnsi="Times New Roman" w:cs="Times New Roman"/>
                <w:b/>
                <w:color w:val="auto"/>
                <w:szCs w:val="21"/>
                <w:highlight w:val="none"/>
              </w:rPr>
              <w:t>/污染源</w:t>
            </w:r>
          </w:p>
        </w:tc>
        <w:tc>
          <w:tcPr>
            <w:tcW w:w="675" w:type="pct"/>
            <w:vAlign w:val="center"/>
          </w:tcPr>
          <w:p w14:paraId="321C09B0">
            <w:pPr>
              <w:adjustRightInd w:val="0"/>
              <w:snapToGrid w:val="0"/>
              <w:spacing w:line="240" w:lineRule="auto"/>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污染物项目</w:t>
            </w:r>
          </w:p>
        </w:tc>
        <w:tc>
          <w:tcPr>
            <w:tcW w:w="1116" w:type="pct"/>
            <w:vAlign w:val="center"/>
          </w:tcPr>
          <w:p w14:paraId="274EB8FD">
            <w:pPr>
              <w:adjustRightInd w:val="0"/>
              <w:snapToGrid w:val="0"/>
              <w:spacing w:line="240" w:lineRule="auto"/>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环境保护措施</w:t>
            </w:r>
          </w:p>
        </w:tc>
        <w:tc>
          <w:tcPr>
            <w:tcW w:w="1896" w:type="pct"/>
            <w:vAlign w:val="center"/>
          </w:tcPr>
          <w:p w14:paraId="2E92121D">
            <w:pPr>
              <w:adjustRightInd w:val="0"/>
              <w:snapToGrid w:val="0"/>
              <w:spacing w:line="240" w:lineRule="auto"/>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执行标准</w:t>
            </w:r>
          </w:p>
        </w:tc>
      </w:tr>
      <w:tr w14:paraId="72C78A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restart"/>
            <w:vAlign w:val="center"/>
          </w:tcPr>
          <w:p w14:paraId="0D335CC1">
            <w:pPr>
              <w:pStyle w:val="2"/>
              <w:spacing w:line="240" w:lineRule="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大气环境</w:t>
            </w:r>
          </w:p>
        </w:tc>
        <w:tc>
          <w:tcPr>
            <w:tcW w:w="833" w:type="pct"/>
            <w:vMerge w:val="restart"/>
            <w:vAlign w:val="center"/>
          </w:tcPr>
          <w:p w14:paraId="53D04279">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注塑废气</w:t>
            </w:r>
          </w:p>
        </w:tc>
        <w:tc>
          <w:tcPr>
            <w:tcW w:w="675" w:type="pct"/>
            <w:shd w:val="clear" w:color="auto" w:fill="auto"/>
            <w:vAlign w:val="center"/>
          </w:tcPr>
          <w:p w14:paraId="02E777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1116" w:type="pct"/>
            <w:vMerge w:val="restart"/>
            <w:vAlign w:val="center"/>
          </w:tcPr>
          <w:p w14:paraId="3203B130">
            <w:pPr>
              <w:adjustRightInd w:val="0"/>
              <w:snapToGrid w:val="0"/>
              <w:spacing w:line="240" w:lineRule="auto"/>
              <w:jc w:val="center"/>
              <w:rPr>
                <w:rFonts w:hint="default" w:ascii="Times New Roman" w:hAnsi="Times New Roman" w:cs="Times New Roman"/>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经</w:t>
            </w:r>
            <w:r>
              <w:rPr>
                <w:rFonts w:hint="default" w:ascii="Times New Roman" w:hAnsi="Times New Roman" w:cs="Times New Roman"/>
                <w:i w:val="0"/>
                <w:iCs w:val="0"/>
                <w:color w:val="auto"/>
                <w:kern w:val="0"/>
                <w:sz w:val="21"/>
                <w:szCs w:val="21"/>
                <w:highlight w:val="none"/>
                <w:u w:val="none"/>
                <w:lang w:val="en-US" w:eastAsia="zh-CN" w:bidi="ar"/>
              </w:rPr>
              <w:t>活性炭吸附装置</w:t>
            </w:r>
            <w:r>
              <w:rPr>
                <w:rFonts w:hint="default" w:ascii="Times New Roman" w:hAnsi="Times New Roman" w:eastAsia="宋体" w:cs="Times New Roman"/>
                <w:i w:val="0"/>
                <w:iCs w:val="0"/>
                <w:color w:val="auto"/>
                <w:kern w:val="0"/>
                <w:sz w:val="21"/>
                <w:szCs w:val="21"/>
                <w:highlight w:val="none"/>
                <w:u w:val="none"/>
                <w:lang w:val="en-US" w:eastAsia="zh-CN" w:bidi="ar"/>
              </w:rPr>
              <w:t>处理后由</w:t>
            </w:r>
            <w:r>
              <w:rPr>
                <w:rFonts w:hint="default" w:ascii="Times New Roman" w:hAnsi="Times New Roman" w:cs="Times New Roman"/>
                <w:i w:val="0"/>
                <w:iCs w:val="0"/>
                <w:color w:val="auto"/>
                <w:kern w:val="0"/>
                <w:sz w:val="21"/>
                <w:szCs w:val="21"/>
                <w:highlight w:val="none"/>
                <w:u w:val="none"/>
                <w:lang w:val="en-US" w:eastAsia="zh-CN" w:bidi="ar"/>
              </w:rPr>
              <w:t>30</w:t>
            </w:r>
            <w:r>
              <w:rPr>
                <w:rFonts w:hint="default" w:ascii="Times New Roman" w:hAnsi="Times New Roman" w:eastAsia="宋体" w:cs="Times New Roman"/>
                <w:i w:val="0"/>
                <w:iCs w:val="0"/>
                <w:color w:val="auto"/>
                <w:kern w:val="0"/>
                <w:sz w:val="21"/>
                <w:szCs w:val="21"/>
                <w:highlight w:val="none"/>
                <w:u w:val="none"/>
                <w:lang w:val="en-US" w:eastAsia="zh-CN" w:bidi="ar"/>
              </w:rPr>
              <w:t>m高</w:t>
            </w:r>
            <w:r>
              <w:rPr>
                <w:rFonts w:hint="default" w:ascii="Times New Roman" w:hAnsi="Times New Roman" w:cs="Times New Roman"/>
                <w:i w:val="0"/>
                <w:iCs w:val="0"/>
                <w:color w:val="auto"/>
                <w:kern w:val="0"/>
                <w:sz w:val="21"/>
                <w:szCs w:val="21"/>
                <w:highlight w:val="none"/>
                <w:u w:val="none"/>
                <w:lang w:val="en-US" w:eastAsia="zh-CN" w:bidi="ar"/>
              </w:rPr>
              <w:t>DA</w:t>
            </w:r>
            <w:r>
              <w:rPr>
                <w:rFonts w:hint="default" w:ascii="Times New Roman" w:hAnsi="Times New Roman" w:eastAsia="宋体" w:cs="Times New Roman"/>
                <w:i w:val="0"/>
                <w:iCs w:val="0"/>
                <w:color w:val="auto"/>
                <w:kern w:val="0"/>
                <w:sz w:val="21"/>
                <w:szCs w:val="21"/>
                <w:highlight w:val="none"/>
                <w:u w:val="none"/>
                <w:lang w:val="en-US" w:eastAsia="zh-CN" w:bidi="ar"/>
              </w:rPr>
              <w:t>001排气筒排放</w:t>
            </w:r>
          </w:p>
        </w:tc>
        <w:tc>
          <w:tcPr>
            <w:tcW w:w="1896" w:type="pct"/>
            <w:tcBorders>
              <w:bottom w:val="single" w:color="000000" w:sz="2" w:space="0"/>
            </w:tcBorders>
            <w:shd w:val="clear" w:color="auto" w:fill="auto"/>
            <w:vAlign w:val="center"/>
          </w:tcPr>
          <w:p w14:paraId="349B6329">
            <w:pPr>
              <w:keepNext w:val="0"/>
              <w:keepLines w:val="0"/>
              <w:pageBreakBefore w:val="0"/>
              <w:tabs>
                <w:tab w:val="left" w:pos="4620"/>
              </w:tabs>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《合成树脂工业污染物排放标准》（GB31572-2015，含2024年修改单）表5污染物特别排放限值</w:t>
            </w:r>
          </w:p>
        </w:tc>
      </w:tr>
      <w:tr w14:paraId="265DF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5155BD8E">
            <w:pPr>
              <w:adjustRightInd w:val="0"/>
              <w:snapToGrid w:val="0"/>
              <w:spacing w:line="240" w:lineRule="auto"/>
              <w:jc w:val="center"/>
              <w:rPr>
                <w:rFonts w:hint="default" w:ascii="Times New Roman" w:hAnsi="Times New Roman" w:cs="Times New Roman"/>
                <w:color w:val="auto"/>
                <w:szCs w:val="21"/>
                <w:highlight w:val="none"/>
              </w:rPr>
            </w:pPr>
          </w:p>
        </w:tc>
        <w:tc>
          <w:tcPr>
            <w:tcW w:w="833" w:type="pct"/>
            <w:vMerge w:val="continue"/>
            <w:vAlign w:val="center"/>
          </w:tcPr>
          <w:p w14:paraId="3C268BF0">
            <w:pPr>
              <w:adjustRightInd w:val="0"/>
              <w:snapToGrid w:val="0"/>
              <w:spacing w:line="240" w:lineRule="auto"/>
              <w:jc w:val="center"/>
              <w:rPr>
                <w:rFonts w:hint="default" w:ascii="Times New Roman" w:hAnsi="Times New Roman" w:cs="Times New Roman"/>
                <w:color w:val="auto"/>
                <w:szCs w:val="21"/>
                <w:highlight w:val="none"/>
              </w:rPr>
            </w:pPr>
          </w:p>
        </w:tc>
        <w:tc>
          <w:tcPr>
            <w:tcW w:w="675" w:type="pct"/>
            <w:shd w:val="clear" w:color="auto" w:fill="auto"/>
            <w:vAlign w:val="center"/>
          </w:tcPr>
          <w:p w14:paraId="6FC359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116" w:type="pct"/>
            <w:vMerge w:val="continue"/>
            <w:vAlign w:val="center"/>
          </w:tcPr>
          <w:p w14:paraId="275F39A0">
            <w:pPr>
              <w:adjustRightInd w:val="0"/>
              <w:snapToGrid w:val="0"/>
              <w:spacing w:line="240" w:lineRule="auto"/>
              <w:jc w:val="center"/>
              <w:rPr>
                <w:rFonts w:hint="default" w:ascii="Times New Roman" w:hAnsi="Times New Roman" w:cs="Times New Roman"/>
                <w:color w:val="auto"/>
                <w:szCs w:val="21"/>
                <w:highlight w:val="none"/>
              </w:rPr>
            </w:pPr>
          </w:p>
        </w:tc>
        <w:tc>
          <w:tcPr>
            <w:tcW w:w="1896" w:type="pct"/>
            <w:tcBorders>
              <w:top w:val="single" w:color="000000" w:sz="2" w:space="0"/>
              <w:bottom w:val="single" w:color="000000" w:sz="2" w:space="0"/>
            </w:tcBorders>
            <w:vAlign w:val="center"/>
          </w:tcPr>
          <w:p w14:paraId="3034E00F">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《恶臭污染物排放标准》（GB14554-93）表2恶臭污染物排放标准值</w:t>
            </w:r>
          </w:p>
        </w:tc>
      </w:tr>
      <w:tr w14:paraId="38CCF6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4F093176">
            <w:pPr>
              <w:pStyle w:val="2"/>
              <w:spacing w:line="240" w:lineRule="auto"/>
              <w:rPr>
                <w:rFonts w:hint="default" w:ascii="Times New Roman" w:hAnsi="Times New Roman" w:cs="Times New Roman"/>
                <w:color w:val="auto"/>
                <w:highlight w:val="none"/>
              </w:rPr>
            </w:pPr>
          </w:p>
        </w:tc>
        <w:tc>
          <w:tcPr>
            <w:tcW w:w="833" w:type="pct"/>
            <w:shd w:val="clear" w:color="auto" w:fill="auto"/>
            <w:vAlign w:val="center"/>
          </w:tcPr>
          <w:p w14:paraId="562B270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厂区内</w:t>
            </w:r>
          </w:p>
        </w:tc>
        <w:tc>
          <w:tcPr>
            <w:tcW w:w="675" w:type="pct"/>
            <w:shd w:val="clear" w:color="auto" w:fill="auto"/>
            <w:vAlign w:val="center"/>
          </w:tcPr>
          <w:p w14:paraId="2668A3C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NMHC</w:t>
            </w:r>
          </w:p>
        </w:tc>
        <w:tc>
          <w:tcPr>
            <w:tcW w:w="1116" w:type="pct"/>
            <w:vAlign w:val="center"/>
          </w:tcPr>
          <w:p w14:paraId="78E0C0E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加强车间管理</w:t>
            </w:r>
          </w:p>
        </w:tc>
        <w:tc>
          <w:tcPr>
            <w:tcW w:w="1896" w:type="pct"/>
            <w:vAlign w:val="center"/>
          </w:tcPr>
          <w:p w14:paraId="191FAB2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66029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1BF7E017">
            <w:pPr>
              <w:pStyle w:val="2"/>
              <w:spacing w:line="240" w:lineRule="auto"/>
              <w:rPr>
                <w:rFonts w:hint="default" w:ascii="Times New Roman" w:hAnsi="Times New Roman" w:cs="Times New Roman"/>
                <w:color w:val="auto"/>
                <w:highlight w:val="none"/>
              </w:rPr>
            </w:pPr>
          </w:p>
        </w:tc>
        <w:tc>
          <w:tcPr>
            <w:tcW w:w="833" w:type="pct"/>
            <w:vMerge w:val="restart"/>
            <w:shd w:val="clear" w:color="auto" w:fill="auto"/>
            <w:vAlign w:val="center"/>
          </w:tcPr>
          <w:p w14:paraId="1215AEDA">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厂界</w:t>
            </w:r>
          </w:p>
          <w:p w14:paraId="7E28E9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（固化、切割、</w:t>
            </w:r>
            <w:r>
              <w:rPr>
                <w:rFonts w:hint="eastAsia" w:cs="Times New Roman"/>
                <w:i w:val="0"/>
                <w:iCs w:val="0"/>
                <w:color w:val="auto"/>
                <w:kern w:val="0"/>
                <w:sz w:val="21"/>
                <w:szCs w:val="21"/>
                <w:highlight w:val="none"/>
                <w:u w:val="none"/>
                <w:lang w:val="en-US" w:eastAsia="zh-CN" w:bidi="ar"/>
              </w:rPr>
              <w:t>打粒、</w:t>
            </w:r>
            <w:r>
              <w:rPr>
                <w:rFonts w:hint="default" w:ascii="Times New Roman" w:hAnsi="Times New Roman" w:cs="Times New Roman"/>
                <w:i w:val="0"/>
                <w:iCs w:val="0"/>
                <w:color w:val="auto"/>
                <w:kern w:val="0"/>
                <w:sz w:val="21"/>
                <w:szCs w:val="21"/>
                <w:highlight w:val="none"/>
                <w:u w:val="none"/>
                <w:lang w:val="en-US" w:eastAsia="zh-CN" w:bidi="ar"/>
              </w:rPr>
              <w:t>磨边、破碎）</w:t>
            </w:r>
          </w:p>
        </w:tc>
        <w:tc>
          <w:tcPr>
            <w:tcW w:w="675" w:type="pct"/>
            <w:shd w:val="clear" w:color="auto" w:fill="auto"/>
            <w:vAlign w:val="center"/>
          </w:tcPr>
          <w:p w14:paraId="7605D4E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颗粒物</w:t>
            </w:r>
          </w:p>
        </w:tc>
        <w:tc>
          <w:tcPr>
            <w:tcW w:w="1116" w:type="pct"/>
            <w:vAlign w:val="center"/>
          </w:tcPr>
          <w:p w14:paraId="15AE482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加强车间管理</w:t>
            </w:r>
          </w:p>
        </w:tc>
        <w:tc>
          <w:tcPr>
            <w:tcW w:w="1896" w:type="pct"/>
            <w:vAlign w:val="center"/>
          </w:tcPr>
          <w:p w14:paraId="2BF710B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《合成树脂工业污染物排放标准》（GB31572-2015，含2024年修改单）</w:t>
            </w:r>
            <w:r>
              <w:rPr>
                <w:rFonts w:hint="default" w:ascii="Times New Roman" w:hAnsi="Times New Roman" w:eastAsia="宋体" w:cs="Times New Roman"/>
                <w:color w:val="auto"/>
                <w:sz w:val="21"/>
                <w:szCs w:val="21"/>
                <w:highlight w:val="none"/>
                <w:lang w:val="en-US" w:eastAsia="zh-CN"/>
              </w:rPr>
              <w:t>表9企业边界大气污染物浓度限值</w:t>
            </w:r>
            <w:r>
              <w:rPr>
                <w:rFonts w:hint="default" w:ascii="Times New Roman" w:hAnsi="Times New Roman" w:cs="Times New Roman"/>
                <w:color w:val="auto"/>
                <w:sz w:val="21"/>
                <w:szCs w:val="21"/>
                <w:highlight w:val="none"/>
                <w:lang w:val="en-US" w:eastAsia="zh-CN"/>
              </w:rPr>
              <w:t>与</w:t>
            </w:r>
            <w:r>
              <w:rPr>
                <w:rFonts w:hint="default" w:ascii="Times New Roman" w:hAnsi="Times New Roman" w:cs="Times New Roman"/>
                <w:b w:val="0"/>
                <w:bCs/>
                <w:color w:val="auto"/>
                <w:sz w:val="21"/>
                <w:szCs w:val="21"/>
                <w:highlight w:val="none"/>
                <w:lang w:val="en-US" w:eastAsia="zh-CN"/>
              </w:rPr>
              <w:t>广东省《大气污染物排放限值》（DB44/27-2001）第二时段二级标准较严值</w:t>
            </w:r>
          </w:p>
        </w:tc>
      </w:tr>
      <w:tr w14:paraId="26E0C6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18672A9F">
            <w:pPr>
              <w:pStyle w:val="2"/>
              <w:spacing w:line="240" w:lineRule="auto"/>
              <w:rPr>
                <w:rFonts w:hint="default" w:ascii="Times New Roman" w:hAnsi="Times New Roman" w:cs="Times New Roman"/>
                <w:color w:val="auto"/>
                <w:highlight w:val="none"/>
              </w:rPr>
            </w:pPr>
          </w:p>
        </w:tc>
        <w:tc>
          <w:tcPr>
            <w:tcW w:w="833" w:type="pct"/>
            <w:vMerge w:val="continue"/>
            <w:shd w:val="clear" w:color="auto" w:fill="auto"/>
            <w:vAlign w:val="center"/>
          </w:tcPr>
          <w:p w14:paraId="0EADD3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75" w:type="pct"/>
            <w:shd w:val="clear" w:color="auto" w:fill="auto"/>
            <w:vAlign w:val="center"/>
          </w:tcPr>
          <w:p w14:paraId="4F89F4C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非甲烷总烃</w:t>
            </w:r>
          </w:p>
        </w:tc>
        <w:tc>
          <w:tcPr>
            <w:tcW w:w="1116" w:type="pct"/>
            <w:vAlign w:val="center"/>
          </w:tcPr>
          <w:p w14:paraId="7DA7AF3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加强车间管理</w:t>
            </w:r>
          </w:p>
        </w:tc>
        <w:tc>
          <w:tcPr>
            <w:tcW w:w="1896" w:type="pct"/>
            <w:vAlign w:val="center"/>
          </w:tcPr>
          <w:p w14:paraId="5758A9F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《合成树脂工业污染物排放标准》（GB31572-2015，含2024年修改单）表9企业边界大气污染物浓度限值</w:t>
            </w:r>
          </w:p>
        </w:tc>
      </w:tr>
      <w:tr w14:paraId="10E310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42F39E3A">
            <w:pPr>
              <w:pStyle w:val="2"/>
              <w:spacing w:line="240" w:lineRule="auto"/>
              <w:rPr>
                <w:rFonts w:hint="default" w:ascii="Times New Roman" w:hAnsi="Times New Roman" w:cs="Times New Roman"/>
                <w:color w:val="auto"/>
                <w:highlight w:val="none"/>
              </w:rPr>
            </w:pPr>
          </w:p>
        </w:tc>
        <w:tc>
          <w:tcPr>
            <w:tcW w:w="833" w:type="pct"/>
            <w:vMerge w:val="continue"/>
            <w:shd w:val="clear" w:color="auto" w:fill="auto"/>
            <w:vAlign w:val="center"/>
          </w:tcPr>
          <w:p w14:paraId="7777934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75" w:type="pct"/>
            <w:shd w:val="clear" w:color="auto" w:fill="auto"/>
            <w:vAlign w:val="center"/>
          </w:tcPr>
          <w:p w14:paraId="0F6F70C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臭气浓度</w:t>
            </w:r>
          </w:p>
        </w:tc>
        <w:tc>
          <w:tcPr>
            <w:tcW w:w="1116" w:type="pct"/>
            <w:vAlign w:val="center"/>
          </w:tcPr>
          <w:p w14:paraId="00B277A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加强车间管理</w:t>
            </w:r>
          </w:p>
        </w:tc>
        <w:tc>
          <w:tcPr>
            <w:tcW w:w="1896" w:type="pct"/>
            <w:vAlign w:val="center"/>
          </w:tcPr>
          <w:p w14:paraId="263AD1E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《恶臭污染物排放标准》（GB14554-93）中表1恶臭污染物厂界标准值二级新扩改建标准</w:t>
            </w:r>
          </w:p>
        </w:tc>
      </w:tr>
      <w:tr w14:paraId="19A30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4B71C2D2">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833" w:type="pct"/>
            <w:shd w:val="clear" w:color="auto" w:fill="auto"/>
            <w:vAlign w:val="center"/>
          </w:tcPr>
          <w:p w14:paraId="18B78003">
            <w:pPr>
              <w:pStyle w:val="129"/>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生产废水</w:t>
            </w:r>
          </w:p>
          <w:p w14:paraId="061E067F">
            <w:pPr>
              <w:pStyle w:val="129"/>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2"/>
                <w:highlight w:val="none"/>
              </w:rPr>
              <w:t>（</w:t>
            </w:r>
            <w:r>
              <w:rPr>
                <w:rFonts w:hint="default" w:ascii="Times New Roman" w:hAnsi="Times New Roman" w:cs="Times New Roman"/>
                <w:color w:val="auto"/>
                <w:kern w:val="2"/>
                <w:highlight w:val="none"/>
                <w:lang w:val="en-US" w:eastAsia="zh-CN"/>
              </w:rPr>
              <w:t>DW00</w:t>
            </w:r>
            <w:r>
              <w:rPr>
                <w:rFonts w:hint="default" w:ascii="Times New Roman" w:hAnsi="Times New Roman" w:cs="Times New Roman"/>
                <w:color w:val="auto"/>
                <w:kern w:val="2"/>
                <w:highlight w:val="none"/>
              </w:rPr>
              <w:t>1）</w:t>
            </w:r>
          </w:p>
        </w:tc>
        <w:tc>
          <w:tcPr>
            <w:tcW w:w="675" w:type="pct"/>
            <w:shd w:val="clear" w:color="auto" w:fill="auto"/>
            <w:vAlign w:val="center"/>
          </w:tcPr>
          <w:p w14:paraId="708A10F6">
            <w:pPr>
              <w:pStyle w:val="129"/>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2"/>
                <w:highlight w:val="none"/>
                <w:lang w:val="en-US" w:eastAsia="zh-CN"/>
              </w:rPr>
              <w:t>pH、</w:t>
            </w:r>
            <w:r>
              <w:rPr>
                <w:rFonts w:hint="default" w:ascii="Times New Roman" w:hAnsi="Times New Roman" w:cs="Times New Roman"/>
                <w:color w:val="auto"/>
                <w:kern w:val="2"/>
                <w:highlight w:val="none"/>
              </w:rPr>
              <w:t>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SS</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NH</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-N</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石油类</w:t>
            </w:r>
          </w:p>
        </w:tc>
        <w:tc>
          <w:tcPr>
            <w:tcW w:w="1116" w:type="pct"/>
            <w:shd w:val="clear" w:color="auto" w:fill="auto"/>
            <w:vAlign w:val="center"/>
          </w:tcPr>
          <w:p w14:paraId="3929D650">
            <w:pPr>
              <w:pStyle w:val="129"/>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2"/>
                <w:highlight w:val="none"/>
              </w:rPr>
              <w:t>生产废水经</w:t>
            </w:r>
            <w:r>
              <w:rPr>
                <w:rFonts w:hint="default" w:ascii="Times New Roman" w:hAnsi="Times New Roman" w:cs="Times New Roman"/>
                <w:color w:val="auto"/>
                <w:kern w:val="2"/>
                <w:highlight w:val="none"/>
                <w:lang w:eastAsia="zh-CN"/>
              </w:rPr>
              <w:t>收集池收集</w:t>
            </w:r>
            <w:r>
              <w:rPr>
                <w:rFonts w:hint="default" w:ascii="Times New Roman" w:hAnsi="Times New Roman" w:cs="Times New Roman"/>
                <w:color w:val="auto"/>
                <w:kern w:val="2"/>
                <w:highlight w:val="none"/>
              </w:rPr>
              <w:t>后，经园区污水管网排入园区污水处理厂进一步处理后排入武江</w:t>
            </w:r>
          </w:p>
        </w:tc>
        <w:tc>
          <w:tcPr>
            <w:tcW w:w="1896" w:type="pct"/>
            <w:shd w:val="clear" w:color="auto" w:fill="auto"/>
            <w:vAlign w:val="center"/>
          </w:tcPr>
          <w:p w14:paraId="74E52947">
            <w:pPr>
              <w:pStyle w:val="23"/>
              <w:keepNext w:val="0"/>
              <w:keepLines w:val="0"/>
              <w:pageBreakBefore w:val="0"/>
              <w:suppressLineNumbers w:val="0"/>
              <w:kinsoku/>
              <w:overflowPunct/>
              <w:topLinePunct w:val="0"/>
              <w:bidi w:val="0"/>
              <w:adjustRightInd/>
              <w:snapToGrid/>
              <w:spacing w:before="0" w:beforeAutospacing="0" w:after="0" w:afterAutospacing="0" w:line="240" w:lineRule="auto"/>
              <w:ind w:left="0" w:leftChars="0" w:right="0" w:rightChars="0" w:firstLine="420" w:firstLineChars="20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 w:val="21"/>
                <w:szCs w:val="21"/>
                <w:highlight w:val="none"/>
                <w:lang w:eastAsia="zh-CN"/>
              </w:rPr>
              <w:t>园区污水处理厂接管水质要求、广东省《水污染物排放限值》（DB44/26-2001）第二时段三级标准、《电子工业水污染物排放标准》（GB 39731-2020）间接排放标准的三者较严值</w:t>
            </w:r>
          </w:p>
        </w:tc>
      </w:tr>
      <w:tr w14:paraId="07D50C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31204A56">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833" w:type="pct"/>
            <w:vAlign w:val="center"/>
          </w:tcPr>
          <w:p w14:paraId="45A4F1E2">
            <w:pPr>
              <w:pStyle w:val="128"/>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生产机械设备</w:t>
            </w:r>
          </w:p>
        </w:tc>
        <w:tc>
          <w:tcPr>
            <w:tcW w:w="675" w:type="pct"/>
            <w:vAlign w:val="center"/>
          </w:tcPr>
          <w:p w14:paraId="16FB7026">
            <w:pPr>
              <w:pStyle w:val="128"/>
              <w:spacing w:line="240" w:lineRule="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噪声</w:t>
            </w:r>
          </w:p>
        </w:tc>
        <w:tc>
          <w:tcPr>
            <w:tcW w:w="1116" w:type="pct"/>
            <w:vAlign w:val="center"/>
          </w:tcPr>
          <w:p w14:paraId="0F384F57">
            <w:pPr>
              <w:pStyle w:val="128"/>
              <w:spacing w:line="240" w:lineRule="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进行降噪、减振、距离衰减等措施</w:t>
            </w:r>
          </w:p>
        </w:tc>
        <w:tc>
          <w:tcPr>
            <w:tcW w:w="1896" w:type="pct"/>
            <w:vAlign w:val="center"/>
          </w:tcPr>
          <w:p w14:paraId="748786F9">
            <w:pPr>
              <w:pStyle w:val="128"/>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《工业企业厂界环境噪声排放标准》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GB12348-2008）</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类标准</w:t>
            </w:r>
          </w:p>
        </w:tc>
      </w:tr>
      <w:tr w14:paraId="7F317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250D79A4">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833" w:type="pct"/>
            <w:vAlign w:val="center"/>
          </w:tcPr>
          <w:p w14:paraId="3331EF82">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675" w:type="pct"/>
            <w:vAlign w:val="center"/>
          </w:tcPr>
          <w:p w14:paraId="1B168BAB">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16" w:type="pct"/>
            <w:vAlign w:val="center"/>
          </w:tcPr>
          <w:p w14:paraId="0AB67936">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896" w:type="pct"/>
            <w:vAlign w:val="center"/>
          </w:tcPr>
          <w:p w14:paraId="18AC4782">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08FC6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1B1E8D19">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4521" w:type="pct"/>
            <w:gridSpan w:val="4"/>
            <w:vAlign w:val="center"/>
          </w:tcPr>
          <w:p w14:paraId="6048BEE7">
            <w:pPr>
              <w:adjustRightInd w:val="0"/>
              <w:snapToGrid w:val="0"/>
              <w:spacing w:line="240" w:lineRule="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生活垃圾</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收集后由环卫部门统一清运处理</w:t>
            </w:r>
            <w:r>
              <w:rPr>
                <w:rFonts w:hint="default" w:ascii="Times New Roman" w:hAnsi="Times New Roman" w:cs="Times New Roman"/>
                <w:b w:val="0"/>
                <w:bCs w:val="0"/>
                <w:color w:val="auto"/>
                <w:sz w:val="21"/>
                <w:szCs w:val="21"/>
                <w:highlight w:val="none"/>
                <w:lang w:eastAsia="zh-CN"/>
              </w:rPr>
              <w:t>。</w:t>
            </w:r>
          </w:p>
          <w:p w14:paraId="04F04B95">
            <w:pPr>
              <w:adjustRightInd w:val="0"/>
              <w:snapToGrid w:val="0"/>
              <w:spacing w:line="240" w:lineRule="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一般废原料包装</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收集后交由物资回收单位处理</w:t>
            </w:r>
            <w:r>
              <w:rPr>
                <w:rFonts w:hint="default" w:ascii="Times New Roman" w:hAnsi="Times New Roman" w:cs="Times New Roman"/>
                <w:b w:val="0"/>
                <w:bCs w:val="0"/>
                <w:color w:val="auto"/>
                <w:sz w:val="21"/>
                <w:szCs w:val="21"/>
                <w:highlight w:val="none"/>
                <w:lang w:eastAsia="zh-CN"/>
              </w:rPr>
              <w:t>。</w:t>
            </w:r>
          </w:p>
          <w:p w14:paraId="67804768">
            <w:pPr>
              <w:adjustRightInd w:val="0"/>
              <w:snapToGrid w:val="0"/>
              <w:spacing w:line="240" w:lineRule="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不合格品</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收集后交由专业的回收废背光/废液晶显示屏单位回收处理</w:t>
            </w:r>
            <w:r>
              <w:rPr>
                <w:rFonts w:hint="default" w:ascii="Times New Roman" w:hAnsi="Times New Roman" w:cs="Times New Roman"/>
                <w:b w:val="0"/>
                <w:bCs w:val="0"/>
                <w:color w:val="auto"/>
                <w:sz w:val="21"/>
                <w:szCs w:val="21"/>
                <w:highlight w:val="none"/>
                <w:lang w:eastAsia="zh-CN"/>
              </w:rPr>
              <w:t>。</w:t>
            </w:r>
          </w:p>
          <w:p w14:paraId="173F38D3">
            <w:pPr>
              <w:pStyle w:val="64"/>
              <w:spacing w:before="24" w:after="24" w:line="240" w:lineRule="auto"/>
              <w:jc w:val="left"/>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边角料</w:t>
            </w:r>
            <w:r>
              <w:rPr>
                <w:rFonts w:hint="default" w:ascii="Times New Roman" w:hAnsi="Times New Roman" w:cs="Times New Roman"/>
                <w:color w:val="auto"/>
                <w:szCs w:val="21"/>
                <w:highlight w:val="none"/>
                <w:lang w:eastAsia="zh-CN"/>
              </w:rPr>
              <w:t>、废渣、</w:t>
            </w:r>
            <w:r>
              <w:rPr>
                <w:rFonts w:hint="default" w:ascii="Times New Roman" w:hAnsi="Times New Roman" w:cs="Times New Roman"/>
                <w:color w:val="auto"/>
                <w:szCs w:val="21"/>
                <w:highlight w:val="none"/>
              </w:rPr>
              <w:t>纯水制备系统废弃物</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收集后交由物资回收单位处理</w:t>
            </w:r>
            <w:r>
              <w:rPr>
                <w:rFonts w:hint="default" w:ascii="Times New Roman" w:hAnsi="Times New Roman" w:cs="Times New Roman"/>
                <w:color w:val="auto"/>
                <w:szCs w:val="21"/>
                <w:highlight w:val="none"/>
                <w:lang w:eastAsia="zh-CN"/>
              </w:rPr>
              <w:t>。</w:t>
            </w:r>
          </w:p>
          <w:p w14:paraId="3DA04A4C">
            <w:pPr>
              <w:pStyle w:val="64"/>
              <w:spacing w:before="24" w:after="24" w:line="240" w:lineRule="auto"/>
              <w:jc w:val="left"/>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废含油抹布手套、废机油、废UV灯管、危险性废原料包装、废活性炭：收集后委托有危废资质单位处理。</w:t>
            </w:r>
          </w:p>
        </w:tc>
      </w:tr>
      <w:tr w14:paraId="1E3056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2E455BE8">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4521" w:type="pct"/>
            <w:gridSpan w:val="4"/>
            <w:vAlign w:val="center"/>
          </w:tcPr>
          <w:p w14:paraId="0A9CB73A">
            <w:pPr>
              <w:adjustRightInd w:val="0"/>
              <w:snapToGrid w:val="0"/>
              <w:spacing w:line="240" w:lineRule="auto"/>
              <w:jc w:val="left"/>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加强场内地面防渗、对场地进行硬底化，加强管理、采取提高绿地覆盖率和改善植被质量等措施</w:t>
            </w:r>
          </w:p>
        </w:tc>
      </w:tr>
      <w:tr w14:paraId="75ECF3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54B69483">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4521" w:type="pct"/>
            <w:gridSpan w:val="4"/>
            <w:vAlign w:val="center"/>
          </w:tcPr>
          <w:p w14:paraId="5953F9DD">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r>
      <w:tr w14:paraId="18B3C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000C5DE2">
            <w:pPr>
              <w:adjustRightInd w:val="0"/>
              <w:snapToGrid w:val="0"/>
              <w:spacing w:line="240" w:lineRule="auto"/>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1F68AAB8">
            <w:pPr>
              <w:adjustRightInd w:val="0"/>
              <w:snapToGrid w:val="0"/>
              <w:spacing w:line="240" w:lineRule="auto"/>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4521" w:type="pct"/>
            <w:gridSpan w:val="4"/>
            <w:vAlign w:val="center"/>
          </w:tcPr>
          <w:p w14:paraId="7AB9897A">
            <w:pPr>
              <w:adjustRightInd w:val="0"/>
              <w:snapToGrid w:val="0"/>
              <w:spacing w:line="240" w:lineRule="auto"/>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w:t>
            </w:r>
            <w:r>
              <w:rPr>
                <w:rFonts w:hint="default" w:ascii="Times New Roman" w:hAnsi="Times New Roman" w:cs="Times New Roman"/>
                <w:color w:val="auto"/>
                <w:szCs w:val="21"/>
                <w:highlight w:val="none"/>
                <w:lang w:eastAsia="zh-CN"/>
              </w:rPr>
              <w:t>原材料仓库、</w:t>
            </w:r>
            <w:r>
              <w:rPr>
                <w:rFonts w:hint="default" w:ascii="Times New Roman" w:hAnsi="Times New Roman" w:cs="Times New Roman"/>
                <w:color w:val="auto"/>
                <w:szCs w:val="21"/>
                <w:highlight w:val="none"/>
              </w:rPr>
              <w:t>危废暂存间做好防漫坡、防腐防渗、防风、防雨、防晒等措施；按规范分类堆放</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②</w:t>
            </w:r>
            <w:r>
              <w:rPr>
                <w:rFonts w:hint="default" w:ascii="Times New Roman" w:hAnsi="Times New Roman" w:cs="Times New Roman"/>
                <w:color w:val="auto"/>
                <w:szCs w:val="21"/>
                <w:highlight w:val="none"/>
                <w:lang w:eastAsia="zh-CN"/>
              </w:rPr>
              <w:t>车间、原辅材料仓等场所按照建筑设计防火规范要求落实防火措施；</w:t>
            </w:r>
            <w:r>
              <w:rPr>
                <w:rFonts w:hint="default" w:ascii="Times New Roman" w:hAnsi="Times New Roman" w:cs="Times New Roman"/>
                <w:color w:val="auto"/>
                <w:szCs w:val="21"/>
                <w:highlight w:val="none"/>
              </w:rPr>
              <w:t>③</w:t>
            </w:r>
            <w:r>
              <w:rPr>
                <w:rFonts w:hint="default" w:ascii="Times New Roman" w:hAnsi="Times New Roman" w:cs="Times New Roman"/>
                <w:color w:val="auto"/>
                <w:szCs w:val="21"/>
                <w:highlight w:val="none"/>
                <w:lang w:eastAsia="zh-CN"/>
              </w:rPr>
              <w:t>若发生原材料、危险废物等少量泄漏，马上采用吸油毡、黄沙、木屑等吸收处理，处理后收集至危废暂存间后交由资质单位回收处理；④现场发生火灾、爆炸事故后，立即启动应急预案，发布预警公告，转移、撤离或者疏散可能受到危害的人员，并进行妥善安置</w:t>
            </w:r>
            <w:r>
              <w:rPr>
                <w:rFonts w:hint="default" w:ascii="Times New Roman" w:hAnsi="Times New Roman" w:cs="Times New Roman"/>
                <w:color w:val="auto"/>
                <w:szCs w:val="21"/>
                <w:highlight w:val="none"/>
                <w:lang w:val="en-US" w:eastAsia="zh-CN"/>
              </w:rPr>
              <w:t>等。</w:t>
            </w:r>
          </w:p>
        </w:tc>
      </w:tr>
      <w:tr w14:paraId="38016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vAlign w:val="center"/>
          </w:tcPr>
          <w:p w14:paraId="089A9E71">
            <w:pPr>
              <w:adjustRightInd w:val="0"/>
              <w:snapToGrid w:val="0"/>
              <w:spacing w:line="240" w:lineRule="auto"/>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其他环境管理要求</w:t>
            </w:r>
          </w:p>
        </w:tc>
        <w:tc>
          <w:tcPr>
            <w:tcW w:w="4521" w:type="pct"/>
            <w:gridSpan w:val="4"/>
            <w:vAlign w:val="center"/>
          </w:tcPr>
          <w:p w14:paraId="5BAD7D7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（一）环境管理要求</w:t>
            </w:r>
          </w:p>
          <w:p w14:paraId="7BB80023">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企业要完善环境管理制度，首先必须建立相应的环境管理机构，明确环境管理机构的职责。</w:t>
            </w:r>
          </w:p>
          <w:p w14:paraId="6703A0D9">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落实各项环境保护措施，环保设施运行的管理和维护，日常的监测及污染事故的防范和应急处理。</w:t>
            </w:r>
          </w:p>
          <w:p w14:paraId="61EC9403">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环境管理机构的职责</w:t>
            </w:r>
          </w:p>
          <w:p w14:paraId="3E9B5BFC">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建设单位应向国家排污许可系统提交《固定污染源排污登记表》，取得《固定污染源排污登记回执》；超标排放或未符合总量指标，应限期治理。</w:t>
            </w:r>
          </w:p>
          <w:p w14:paraId="0A637E57">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根据环保部门、安全部门对环保设施验收报告的批复意见进行补充完善。</w:t>
            </w:r>
          </w:p>
          <w:p w14:paraId="22200C16">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default" w:ascii="Times New Roman" w:hAnsi="Times New Roman" w:cs="Times New Roman"/>
                <w:color w:val="auto"/>
                <w:sz w:val="21"/>
                <w:szCs w:val="21"/>
                <w:highlight w:val="none"/>
              </w:rPr>
              <w:t>根据企业环境保护目标及考核管理计划，结合生产工艺各环节差异化环境管理要求，将资源与能源消耗、固体废物回收综合利用、污染物排放总量、生产环境</w:t>
            </w:r>
            <w:r>
              <w:rPr>
                <w:rFonts w:hint="default" w:ascii="Times New Roman" w:hAnsi="Times New Roman" w:cs="Times New Roman"/>
                <w:color w:val="auto"/>
                <w:sz w:val="21"/>
                <w:szCs w:val="21"/>
                <w:highlight w:val="none"/>
                <w:lang w:val="en-US" w:eastAsia="zh-CN"/>
              </w:rPr>
              <w:t>优良</w:t>
            </w:r>
            <w:r>
              <w:rPr>
                <w:rFonts w:hint="default" w:ascii="Times New Roman" w:hAnsi="Times New Roman" w:cs="Times New Roman"/>
                <w:color w:val="auto"/>
                <w:sz w:val="21"/>
                <w:szCs w:val="21"/>
                <w:highlight w:val="none"/>
              </w:rPr>
              <w:t>等</w:t>
            </w:r>
            <w:r>
              <w:rPr>
                <w:rFonts w:hint="default" w:ascii="Times New Roman" w:hAnsi="Times New Roman" w:cs="Times New Roman"/>
                <w:color w:val="auto"/>
                <w:sz w:val="21"/>
                <w:szCs w:val="21"/>
                <w:highlight w:val="none"/>
                <w:lang w:val="en-US" w:eastAsia="zh-CN"/>
              </w:rPr>
              <w:t>作为</w:t>
            </w:r>
            <w:r>
              <w:rPr>
                <w:rFonts w:hint="default" w:ascii="Times New Roman" w:hAnsi="Times New Roman" w:cs="Times New Roman"/>
                <w:color w:val="auto"/>
                <w:sz w:val="21"/>
                <w:szCs w:val="21"/>
                <w:highlight w:val="none"/>
              </w:rPr>
              <w:t>反映企业环保管理水平的核心指标，全面纳入各级生产作业计划，与生产经营指标同步制定、同步实施、同步考核</w:t>
            </w:r>
            <w:r>
              <w:rPr>
                <w:rFonts w:hint="default" w:ascii="Times New Roman" w:hAnsi="Times New Roman" w:cs="Times New Roman"/>
                <w:color w:val="auto"/>
                <w:lang w:eastAsia="zh-CN"/>
              </w:rPr>
              <w:t>。</w:t>
            </w:r>
          </w:p>
          <w:p w14:paraId="2BC99F67">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default" w:ascii="Times New Roman" w:hAnsi="Times New Roman" w:cs="Times New Roman"/>
                <w:color w:val="auto"/>
                <w:sz w:val="21"/>
                <w:szCs w:val="21"/>
                <w:highlight w:val="none"/>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0BE8920B">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（5）</w:t>
            </w:r>
            <w:r>
              <w:rPr>
                <w:rFonts w:hint="default" w:ascii="Times New Roman" w:hAnsi="Times New Roman" w:cs="Times New Roman"/>
                <w:color w:val="auto"/>
                <w:sz w:val="21"/>
                <w:szCs w:val="21"/>
                <w:highlight w:val="none"/>
              </w:rPr>
              <w:t>要加强设备、仪器、仪表的检查、维护、检修，保证设备完好运行，防止跑、冒、滴、漏对环境的污染。</w:t>
            </w:r>
          </w:p>
          <w:p w14:paraId="5989848D">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（6）</w:t>
            </w:r>
            <w:r>
              <w:rPr>
                <w:rFonts w:hint="default" w:ascii="Times New Roman" w:hAnsi="Times New Roman" w:cs="Times New Roman"/>
                <w:color w:val="auto"/>
                <w:sz w:val="21"/>
                <w:szCs w:val="21"/>
                <w:highlight w:val="none"/>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29FA41AC">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（7）</w:t>
            </w:r>
            <w:r>
              <w:rPr>
                <w:rFonts w:hint="default" w:ascii="Times New Roman" w:hAnsi="Times New Roman" w:cs="Times New Roman"/>
                <w:color w:val="auto"/>
                <w:sz w:val="21"/>
                <w:szCs w:val="21"/>
                <w:highlight w:val="none"/>
              </w:rPr>
              <w:t>做好绿化的建设和维护工作。绿色植物不仅能涵养水分，保持水土，而且能挡尘降噪，调节小气候，有利于改善生态环境。</w:t>
            </w:r>
          </w:p>
          <w:p w14:paraId="03CE6073">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（8）</w:t>
            </w:r>
            <w:r>
              <w:rPr>
                <w:rFonts w:hint="default" w:ascii="Times New Roman" w:hAnsi="Times New Roman" w:cs="Times New Roman"/>
                <w:color w:val="auto"/>
                <w:sz w:val="21"/>
                <w:szCs w:val="21"/>
                <w:highlight w:val="none"/>
              </w:rPr>
              <w:t>建立环境管理体系，提高环境管理水平。定期进行清洁生产审计，不断采用无污染和少污染的新工艺和新技术。</w:t>
            </w:r>
          </w:p>
          <w:p w14:paraId="248BB706">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（9）</w:t>
            </w:r>
            <w:r>
              <w:rPr>
                <w:rFonts w:hint="default" w:ascii="Times New Roman" w:hAnsi="Times New Roman" w:cs="Times New Roman"/>
                <w:color w:val="auto"/>
                <w:sz w:val="21"/>
                <w:szCs w:val="21"/>
                <w:highlight w:val="none"/>
              </w:rPr>
              <w:t>接受环保主管部门的监督检查。主要内容有：污染物排放情况、环保设施运行管理情况、环境监测及污染物监测情况、环境事故的调查和有关记录、污染源建档记录等。</w:t>
            </w:r>
          </w:p>
          <w:p w14:paraId="2DAE3AC7">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（二）排污口规范化</w:t>
            </w:r>
          </w:p>
          <w:p w14:paraId="16FD56CD">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16A4D6FC">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排污口规范化的范围和时间：一切新建、扩建、技改、改建的排污单位以及限期治理的排污单位，必须在建设污染治理设施的同时，建设规范化排污口。因此，排污口必须规范化设置和管理。规范化工作应</w:t>
            </w:r>
            <w:r>
              <w:rPr>
                <w:rFonts w:hint="default" w:ascii="Times New Roman" w:hAnsi="Times New Roman" w:cs="Times New Roman"/>
                <w:color w:val="auto"/>
                <w:sz w:val="21"/>
                <w:szCs w:val="21"/>
                <w:highlight w:val="none"/>
                <w:lang w:val="en-US" w:eastAsia="zh-CN"/>
              </w:rPr>
              <w:t>与</w:t>
            </w:r>
            <w:r>
              <w:rPr>
                <w:rFonts w:hint="default" w:ascii="Times New Roman" w:hAnsi="Times New Roman" w:cs="Times New Roman"/>
                <w:color w:val="auto"/>
                <w:sz w:val="21"/>
                <w:szCs w:val="21"/>
                <w:highlight w:val="none"/>
              </w:rPr>
              <w:t>污染治理同步实施，即治理设施完工时，规范化工作必须同时完成，并列入污染治理设施的验收内容。</w:t>
            </w:r>
          </w:p>
          <w:p w14:paraId="62CCFA5E">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排污口规范化内容</w:t>
            </w:r>
          </w:p>
          <w:p w14:paraId="5B624889">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需规范化排放口：排放口应预留监测口，做到便于采样和测定流量，并设立标志。</w:t>
            </w:r>
          </w:p>
          <w:p w14:paraId="3F0ACE6F">
            <w:pPr>
              <w:pStyle w:val="134"/>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50928BDD">
            <w:pPr>
              <w:pStyle w:val="62"/>
              <w:keepNext w:val="0"/>
              <w:keepLines w:val="0"/>
              <w:pageBreakBefore w:val="0"/>
              <w:widowControl w:val="0"/>
              <w:numPr>
                <w:ilvl w:val="4"/>
                <w:numId w:val="0"/>
              </w:numPr>
              <w:kinsoku/>
              <w:wordWrap w:val="0"/>
              <w:overflowPunct/>
              <w:topLinePunct w:val="0"/>
              <w:autoSpaceDE/>
              <w:autoSpaceDN/>
              <w:bidi w:val="0"/>
              <w:spacing w:beforeLines="0" w:line="240" w:lineRule="auto"/>
              <w:ind w:right="0" w:rightChars="0"/>
              <w:jc w:val="center"/>
              <w:textAlignment w:val="auto"/>
              <w:rPr>
                <w:rFonts w:hint="default" w:ascii="Times New Roman" w:hAnsi="Times New Roman" w:eastAsia="宋体" w:cs="Times New Roman"/>
                <w:color w:val="auto"/>
                <w:sz w:val="21"/>
                <w:szCs w:val="21"/>
                <w:highlight w:val="none"/>
              </w:rPr>
            </w:pPr>
          </w:p>
          <w:p w14:paraId="210A3596">
            <w:pPr>
              <w:pStyle w:val="62"/>
              <w:keepNext w:val="0"/>
              <w:keepLines w:val="0"/>
              <w:pageBreakBefore w:val="0"/>
              <w:widowControl w:val="0"/>
              <w:numPr>
                <w:ilvl w:val="4"/>
                <w:numId w:val="0"/>
              </w:numPr>
              <w:kinsoku/>
              <w:wordWrap w:val="0"/>
              <w:overflowPunct/>
              <w:topLinePunct w:val="0"/>
              <w:autoSpaceDE/>
              <w:autoSpaceDN/>
              <w:bidi w:val="0"/>
              <w:spacing w:beforeLines="0" w:line="240" w:lineRule="auto"/>
              <w:ind w:right="0" w:rightChars="0"/>
              <w:jc w:val="center"/>
              <w:textAlignment w:val="auto"/>
              <w:rPr>
                <w:rFonts w:hint="default" w:ascii="Times New Roman" w:hAnsi="Times New Roman" w:eastAsia="宋体" w:cs="Times New Roman"/>
                <w:color w:val="auto"/>
                <w:sz w:val="21"/>
                <w:szCs w:val="21"/>
                <w:highlight w:val="none"/>
              </w:rPr>
            </w:pPr>
          </w:p>
          <w:p w14:paraId="4149B66E">
            <w:pPr>
              <w:pStyle w:val="62"/>
              <w:keepNext w:val="0"/>
              <w:keepLines w:val="0"/>
              <w:pageBreakBefore w:val="0"/>
              <w:widowControl w:val="0"/>
              <w:numPr>
                <w:ilvl w:val="4"/>
                <w:numId w:val="0"/>
              </w:numPr>
              <w:kinsoku/>
              <w:wordWrap w:val="0"/>
              <w:overflowPunct/>
              <w:topLinePunct w:val="0"/>
              <w:autoSpaceDE/>
              <w:autoSpaceDN/>
              <w:bidi w:val="0"/>
              <w:spacing w:beforeLines="0" w:line="240" w:lineRule="auto"/>
              <w:ind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表5-1排污口规范化标识示意图表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571"/>
              <w:gridCol w:w="1571"/>
              <w:gridCol w:w="1897"/>
              <w:gridCol w:w="1573"/>
            </w:tblGrid>
            <w:tr w14:paraId="294EC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285D6A13">
                  <w:pPr>
                    <w:pStyle w:val="134"/>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废水排放口</w:t>
                  </w:r>
                </w:p>
              </w:tc>
              <w:tc>
                <w:tcPr>
                  <w:tcW w:w="1491" w:type="dxa"/>
                </w:tcPr>
                <w:p w14:paraId="6CAAF835">
                  <w:pPr>
                    <w:pStyle w:val="134"/>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废气排放口</w:t>
                  </w:r>
                </w:p>
              </w:tc>
              <w:tc>
                <w:tcPr>
                  <w:tcW w:w="1491" w:type="dxa"/>
                </w:tcPr>
                <w:p w14:paraId="7077831E">
                  <w:pPr>
                    <w:pStyle w:val="134"/>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w:t>
                  </w:r>
                </w:p>
              </w:tc>
              <w:tc>
                <w:tcPr>
                  <w:tcW w:w="1801" w:type="dxa"/>
                </w:tcPr>
                <w:p w14:paraId="109185C3">
                  <w:pPr>
                    <w:pStyle w:val="134"/>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固体废弃物堆场</w:t>
                  </w:r>
                </w:p>
              </w:tc>
              <w:tc>
                <w:tcPr>
                  <w:tcW w:w="1492" w:type="dxa"/>
                </w:tcPr>
                <w:p w14:paraId="79297A25">
                  <w:pPr>
                    <w:pStyle w:val="134"/>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危险废物暂存</w:t>
                  </w:r>
                </w:p>
              </w:tc>
            </w:tr>
            <w:tr w14:paraId="5F59E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6F41B5AD">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0528" behindDoc="0" locked="0" layoutInCell="1" allowOverlap="1">
                        <wp:simplePos x="0" y="0"/>
                        <wp:positionH relativeFrom="column">
                          <wp:posOffset>118745</wp:posOffset>
                        </wp:positionH>
                        <wp:positionV relativeFrom="paragraph">
                          <wp:posOffset>53340</wp:posOffset>
                        </wp:positionV>
                        <wp:extent cx="640715" cy="647700"/>
                        <wp:effectExtent l="0" t="0" r="6985" b="0"/>
                        <wp:wrapNone/>
                        <wp:docPr id="4" name="图片 42"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2" descr="排放口"/>
                                <pic:cNvPicPr>
                                  <a:picLocks noChangeAspect="1"/>
                                </pic:cNvPicPr>
                              </pic:nvPicPr>
                              <pic:blipFill>
                                <a:blip r:embed="rId41"/>
                                <a:srcRect l="66771" t="5846" r="3780" b="55385"/>
                                <a:stretch>
                                  <a:fillRect/>
                                </a:stretch>
                              </pic:blipFill>
                              <pic:spPr>
                                <a:xfrm>
                                  <a:off x="0" y="0"/>
                                  <a:ext cx="640715" cy="647700"/>
                                </a:xfrm>
                                <a:prstGeom prst="rect">
                                  <a:avLst/>
                                </a:prstGeom>
                                <a:noFill/>
                                <a:ln>
                                  <a:noFill/>
                                </a:ln>
                              </pic:spPr>
                            </pic:pic>
                          </a:graphicData>
                        </a:graphic>
                      </wp:anchor>
                    </w:drawing>
                  </w:r>
                </w:p>
              </w:tc>
              <w:tc>
                <w:tcPr>
                  <w:tcW w:w="1491" w:type="dxa"/>
                </w:tcPr>
                <w:p w14:paraId="63E51379">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1552" behindDoc="0" locked="0" layoutInCell="1" allowOverlap="1">
                        <wp:simplePos x="0" y="0"/>
                        <wp:positionH relativeFrom="column">
                          <wp:posOffset>105410</wp:posOffset>
                        </wp:positionH>
                        <wp:positionV relativeFrom="paragraph">
                          <wp:posOffset>54610</wp:posOffset>
                        </wp:positionV>
                        <wp:extent cx="637540" cy="647700"/>
                        <wp:effectExtent l="0" t="0" r="10160" b="0"/>
                        <wp:wrapNone/>
                        <wp:docPr id="155" name="图片 43"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3" descr="排放口"/>
                                <pic:cNvPicPr>
                                  <a:picLocks noChangeAspect="1"/>
                                </pic:cNvPicPr>
                              </pic:nvPicPr>
                              <pic:blipFill>
                                <a:blip r:embed="rId41"/>
                                <a:srcRect l="19153" t="6250" r="51726" b="55122"/>
                                <a:stretch>
                                  <a:fillRect/>
                                </a:stretch>
                              </pic:blipFill>
                              <pic:spPr>
                                <a:xfrm>
                                  <a:off x="0" y="0"/>
                                  <a:ext cx="637540" cy="647700"/>
                                </a:xfrm>
                                <a:prstGeom prst="rect">
                                  <a:avLst/>
                                </a:prstGeom>
                                <a:noFill/>
                                <a:ln>
                                  <a:noFill/>
                                </a:ln>
                              </pic:spPr>
                            </pic:pic>
                          </a:graphicData>
                        </a:graphic>
                      </wp:anchor>
                    </w:drawing>
                  </w:r>
                </w:p>
              </w:tc>
              <w:tc>
                <w:tcPr>
                  <w:tcW w:w="1491" w:type="dxa"/>
                </w:tcPr>
                <w:p w14:paraId="4F259908">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2576" behindDoc="0" locked="0" layoutInCell="1" allowOverlap="1">
                        <wp:simplePos x="0" y="0"/>
                        <wp:positionH relativeFrom="column">
                          <wp:posOffset>85725</wp:posOffset>
                        </wp:positionH>
                        <wp:positionV relativeFrom="paragraph">
                          <wp:posOffset>48895</wp:posOffset>
                        </wp:positionV>
                        <wp:extent cx="638810" cy="647700"/>
                        <wp:effectExtent l="0" t="0" r="8890" b="0"/>
                        <wp:wrapNone/>
                        <wp:docPr id="156" name="图片 44"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4" descr="排放口"/>
                                <pic:cNvPicPr>
                                  <a:picLocks noChangeAspect="1"/>
                                </pic:cNvPicPr>
                              </pic:nvPicPr>
                              <pic:blipFill>
                                <a:blip r:embed="rId41"/>
                                <a:srcRect l="51723" t="47942" r="27066" b="13129"/>
                                <a:stretch>
                                  <a:fillRect/>
                                </a:stretch>
                              </pic:blipFill>
                              <pic:spPr>
                                <a:xfrm>
                                  <a:off x="0" y="0"/>
                                  <a:ext cx="638810" cy="647700"/>
                                </a:xfrm>
                                <a:prstGeom prst="rect">
                                  <a:avLst/>
                                </a:prstGeom>
                                <a:noFill/>
                                <a:ln>
                                  <a:noFill/>
                                </a:ln>
                              </pic:spPr>
                            </pic:pic>
                          </a:graphicData>
                        </a:graphic>
                      </wp:anchor>
                    </w:drawing>
                  </w:r>
                </w:p>
              </w:tc>
              <w:tc>
                <w:tcPr>
                  <w:tcW w:w="1801" w:type="dxa"/>
                </w:tcPr>
                <w:p w14:paraId="5E9A7E7F">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4624" behindDoc="0" locked="0" layoutInCell="1" allowOverlap="1">
                        <wp:simplePos x="0" y="0"/>
                        <wp:positionH relativeFrom="column">
                          <wp:posOffset>152400</wp:posOffset>
                        </wp:positionH>
                        <wp:positionV relativeFrom="paragraph">
                          <wp:posOffset>51435</wp:posOffset>
                        </wp:positionV>
                        <wp:extent cx="652145" cy="647700"/>
                        <wp:effectExtent l="0" t="0" r="14605" b="0"/>
                        <wp:wrapNone/>
                        <wp:docPr id="157" name="图片 46"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6" descr="排放口"/>
                                <pic:cNvPicPr>
                                  <a:picLocks noChangeAspect="1"/>
                                </pic:cNvPicPr>
                              </pic:nvPicPr>
                              <pic:blipFill>
                                <a:blip r:embed="rId41"/>
                                <a:srcRect l="18872" t="47525" r="51678" b="14357"/>
                                <a:stretch>
                                  <a:fillRect/>
                                </a:stretch>
                              </pic:blipFill>
                              <pic:spPr>
                                <a:xfrm>
                                  <a:off x="0" y="0"/>
                                  <a:ext cx="652145" cy="647700"/>
                                </a:xfrm>
                                <a:prstGeom prst="rect">
                                  <a:avLst/>
                                </a:prstGeom>
                                <a:noFill/>
                                <a:ln>
                                  <a:noFill/>
                                </a:ln>
                              </pic:spPr>
                            </pic:pic>
                          </a:graphicData>
                        </a:graphic>
                      </wp:anchor>
                    </w:drawing>
                  </w:r>
                </w:p>
              </w:tc>
              <w:tc>
                <w:tcPr>
                  <w:tcW w:w="1492" w:type="dxa"/>
                </w:tcPr>
                <w:p w14:paraId="7FB72F5D">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5648" behindDoc="0" locked="0" layoutInCell="1" allowOverlap="1">
                        <wp:simplePos x="0" y="0"/>
                        <wp:positionH relativeFrom="column">
                          <wp:posOffset>15875</wp:posOffset>
                        </wp:positionH>
                        <wp:positionV relativeFrom="paragraph">
                          <wp:posOffset>51435</wp:posOffset>
                        </wp:positionV>
                        <wp:extent cx="673735" cy="687070"/>
                        <wp:effectExtent l="0" t="0" r="12065" b="17780"/>
                        <wp:wrapNone/>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42"/>
                                <a:srcRect l="15968" t="5974" r="13557" b="48367"/>
                                <a:stretch>
                                  <a:fillRect/>
                                </a:stretch>
                              </pic:blipFill>
                              <pic:spPr>
                                <a:xfrm>
                                  <a:off x="0" y="0"/>
                                  <a:ext cx="673735" cy="687070"/>
                                </a:xfrm>
                                <a:prstGeom prst="rect">
                                  <a:avLst/>
                                </a:prstGeom>
                                <a:noFill/>
                                <a:ln>
                                  <a:noFill/>
                                </a:ln>
                              </pic:spPr>
                            </pic:pic>
                          </a:graphicData>
                        </a:graphic>
                      </wp:anchor>
                    </w:drawing>
                  </w:r>
                  <w:r>
                    <w:rPr>
                      <w:rFonts w:hint="default" w:ascii="Times New Roman" w:hAnsi="Times New Roman" w:cs="Times New Roman"/>
                      <w:color w:val="auto"/>
                      <w:sz w:val="21"/>
                      <w:szCs w:val="21"/>
                      <w:highlight w:val="none"/>
                    </w:rPr>
                    <w:drawing>
                      <wp:anchor distT="0" distB="0" distL="114300" distR="114300" simplePos="0" relativeHeight="251673600" behindDoc="0" locked="0" layoutInCell="1" allowOverlap="1">
                        <wp:simplePos x="0" y="0"/>
                        <wp:positionH relativeFrom="column">
                          <wp:posOffset>-29210</wp:posOffset>
                        </wp:positionH>
                        <wp:positionV relativeFrom="paragraph">
                          <wp:posOffset>81280</wp:posOffset>
                        </wp:positionV>
                        <wp:extent cx="720090" cy="597535"/>
                        <wp:effectExtent l="0" t="0" r="3810" b="12065"/>
                        <wp:wrapNone/>
                        <wp:docPr id="159" name="图片 45" descr="危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5" descr="危废"/>
                                <pic:cNvPicPr>
                                  <a:picLocks noChangeAspect="1"/>
                                </pic:cNvPicPr>
                              </pic:nvPicPr>
                              <pic:blipFill>
                                <a:blip r:embed="rId43"/>
                                <a:srcRect t="15695" r="57016" b="30949"/>
                                <a:stretch>
                                  <a:fillRect/>
                                </a:stretch>
                              </pic:blipFill>
                              <pic:spPr>
                                <a:xfrm>
                                  <a:off x="0" y="0"/>
                                  <a:ext cx="720090" cy="597535"/>
                                </a:xfrm>
                                <a:prstGeom prst="rect">
                                  <a:avLst/>
                                </a:prstGeom>
                                <a:noFill/>
                                <a:ln>
                                  <a:noFill/>
                                </a:ln>
                              </pic:spPr>
                            </pic:pic>
                          </a:graphicData>
                        </a:graphic>
                      </wp:anchor>
                    </w:drawing>
                  </w:r>
                </w:p>
              </w:tc>
            </w:tr>
            <w:tr w14:paraId="27582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7D502858">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2"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背景颜色：绿色图形颜色：白色</w:t>
                  </w:r>
                </w:p>
              </w:tc>
              <w:tc>
                <w:tcPr>
                  <w:tcW w:w="1492" w:type="dxa"/>
                </w:tcPr>
                <w:p w14:paraId="39C51DCD">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2"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r>
          </w:tbl>
          <w:p w14:paraId="5DB1BFDB">
            <w:pPr>
              <w:pStyle w:val="135"/>
              <w:keepNext w:val="0"/>
              <w:keepLines w:val="0"/>
              <w:pageBreakBefore w:val="0"/>
              <w:widowControl w:val="0"/>
              <w:numPr>
                <w:ilvl w:val="0"/>
                <w:numId w:val="0"/>
              </w:numPr>
              <w:kinsoku/>
              <w:wordWrap w:val="0"/>
              <w:overflowPunct/>
              <w:topLinePunct w:val="0"/>
              <w:autoSpaceDE/>
              <w:autoSpaceDN/>
              <w:bidi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（三）</w:t>
            </w:r>
            <w:r>
              <w:rPr>
                <w:rFonts w:hint="default" w:ascii="Times New Roman" w:hAnsi="Times New Roman" w:cs="Times New Roman"/>
                <w:color w:val="auto"/>
                <w:sz w:val="21"/>
                <w:szCs w:val="21"/>
                <w:highlight w:val="none"/>
              </w:rPr>
              <w:t>排污许可</w:t>
            </w:r>
          </w:p>
          <w:p w14:paraId="5EF0F457">
            <w:pPr>
              <w:pStyle w:val="27"/>
              <w:keepNext w:val="0"/>
              <w:keepLines w:val="0"/>
              <w:pageBreakBefore w:val="0"/>
              <w:widowControl w:val="0"/>
              <w:numPr>
                <w:ilvl w:val="0"/>
                <w:numId w:val="0"/>
              </w:numPr>
              <w:kinsoku/>
              <w:wordWrap w:val="0"/>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根据《固定污染源排污许可分类管理名录（2019版）》，</w:t>
            </w:r>
            <w:r>
              <w:rPr>
                <w:rFonts w:hint="default" w:ascii="Times New Roman" w:hAnsi="Times New Roman" w:cs="Times New Roman"/>
                <w:color w:val="auto"/>
                <w:sz w:val="21"/>
                <w:szCs w:val="21"/>
                <w:highlight w:val="none"/>
                <w:lang w:val="en-US" w:eastAsia="zh-CN"/>
              </w:rPr>
              <w:t>本项目建成后须对排污许可证进行变更申请</w:t>
            </w:r>
            <w:r>
              <w:rPr>
                <w:rFonts w:hint="default" w:ascii="Times New Roman" w:hAnsi="Times New Roman" w:cs="Times New Roman"/>
                <w:color w:val="auto"/>
                <w:sz w:val="21"/>
                <w:szCs w:val="21"/>
                <w:highlight w:val="none"/>
              </w:rPr>
              <w:t>。</w:t>
            </w:r>
          </w:p>
          <w:p w14:paraId="4A506FF6">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（四）竣工验收要求</w:t>
            </w:r>
          </w:p>
          <w:p w14:paraId="544EE0AB">
            <w:pPr>
              <w:pStyle w:val="134"/>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根据《建设项目竣工环境保护验收暂行办法》（国环规环评〔2017〕4号），建设单位自行验收。本项目自行验收要求如下：</w:t>
            </w:r>
          </w:p>
          <w:p w14:paraId="4DF49FF4">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2AF2AC8D">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7EF1C8B5">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存在下列情形之一的建设项目，不得通过竣工环境保护验收：</w:t>
            </w:r>
          </w:p>
          <w:p w14:paraId="0815E5DA">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未按环境影响报告表及其审批部门审批决定要求建成环境保护设施，或者环境保护设施不能与主体工程同时投产或者使用的；</w:t>
            </w:r>
          </w:p>
          <w:p w14:paraId="76E0C0C8">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污染物排放不符合国家和地方相关标准、环境影响报告</w:t>
            </w:r>
            <w:r>
              <w:rPr>
                <w:rFonts w:hint="default" w:ascii="Times New Roman" w:hAnsi="Times New Roman" w:cs="Times New Roman"/>
                <w:color w:val="auto"/>
                <w:sz w:val="21"/>
                <w:szCs w:val="21"/>
                <w:highlight w:val="none"/>
                <w:lang w:val="en-US" w:eastAsia="zh-CN"/>
              </w:rPr>
              <w:t>表</w:t>
            </w:r>
            <w:r>
              <w:rPr>
                <w:rFonts w:hint="default" w:ascii="Times New Roman" w:hAnsi="Times New Roman" w:cs="Times New Roman"/>
                <w:color w:val="auto"/>
                <w:sz w:val="21"/>
                <w:szCs w:val="21"/>
                <w:highlight w:val="none"/>
              </w:rPr>
              <w:t>及其审批部门审批决定或者重点污染物排放总量控制指标要求的；</w:t>
            </w:r>
          </w:p>
          <w:p w14:paraId="0256599F">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环境影响报告表经批准后，该建设项目的性质、规模、地点、采用的生产工艺或者防治污染、防止生态破坏的措施发生重大变动，建设单位未重新报批环境影响报告书或者环境影响报告书未经批准的；</w:t>
            </w:r>
          </w:p>
          <w:p w14:paraId="485A3F0A">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建设过程中造成重大环境污染未治理完成，或者造成重大生态破坏未恢复的；</w:t>
            </w:r>
          </w:p>
          <w:p w14:paraId="1B38C2D9">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纳入排污许可管理的建设项目，无证排污或者不按证排污的；</w:t>
            </w:r>
          </w:p>
          <w:p w14:paraId="6C375852">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建设单位因该建设项目违反国家和地方环境保护法律法规受到处罚，被责令改正，尚未改正完成的；</w:t>
            </w:r>
          </w:p>
          <w:p w14:paraId="065F8502">
            <w:pPr>
              <w:pStyle w:val="134"/>
              <w:keepNext w:val="0"/>
              <w:keepLines w:val="0"/>
              <w:pageBreakBefore w:val="0"/>
              <w:widowControl w:val="0"/>
              <w:numPr>
                <w:ilvl w:val="0"/>
                <w:numId w:val="16"/>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验收报告的基础资料数据明显不实，内容存在重大缺项、遗漏，或者验收结论不明确、不合理的。</w:t>
            </w:r>
          </w:p>
          <w:p w14:paraId="2F39AB60">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w:t>
            </w:r>
            <w:r>
              <w:rPr>
                <w:rFonts w:hint="default" w:ascii="Times New Roman" w:hAnsi="Times New Roman" w:cs="Times New Roman"/>
                <w:color w:val="auto"/>
                <w:sz w:val="21"/>
                <w:szCs w:val="21"/>
                <w:highlight w:val="none"/>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67401437">
            <w:pPr>
              <w:pStyle w:val="134"/>
              <w:keepNext w:val="0"/>
              <w:keepLines w:val="0"/>
              <w:pageBreakBefore w:val="0"/>
              <w:widowControl w:val="0"/>
              <w:numPr>
                <w:ilvl w:val="0"/>
                <w:numId w:val="17"/>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建设项目配套建设的环境保护设施竣工后，公开竣工日期；</w:t>
            </w:r>
          </w:p>
          <w:p w14:paraId="537608D3">
            <w:pPr>
              <w:pStyle w:val="134"/>
              <w:keepNext w:val="0"/>
              <w:keepLines w:val="0"/>
              <w:pageBreakBefore w:val="0"/>
              <w:widowControl w:val="0"/>
              <w:numPr>
                <w:ilvl w:val="0"/>
                <w:numId w:val="17"/>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对建设项目配套建设的环境保护设施进行调试前，公开调试的起止日期；</w:t>
            </w:r>
          </w:p>
          <w:p w14:paraId="075A2132">
            <w:pPr>
              <w:pStyle w:val="134"/>
              <w:keepNext w:val="0"/>
              <w:keepLines w:val="0"/>
              <w:pageBreakBefore w:val="0"/>
              <w:widowControl w:val="0"/>
              <w:numPr>
                <w:ilvl w:val="0"/>
                <w:numId w:val="17"/>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验收报告编制完成后5个工作日内，公开验收报告，公示的期限不得少于20个工作日。</w:t>
            </w:r>
          </w:p>
          <w:p w14:paraId="3F272457">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default" w:ascii="Times New Roman" w:hAnsi="Times New Roman" w:cs="Times New Roman"/>
                <w:color w:val="auto"/>
                <w:sz w:val="21"/>
                <w:szCs w:val="21"/>
                <w:highlight w:val="none"/>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58EAAB25">
            <w:pPr>
              <w:adjustRightInd w:val="0"/>
              <w:snapToGrid w:val="0"/>
              <w:spacing w:line="240" w:lineRule="auto"/>
              <w:jc w:val="center"/>
              <w:rPr>
                <w:rFonts w:hint="default" w:ascii="Times New Roman" w:hAnsi="Times New Roman" w:cs="Times New Roman"/>
                <w:color w:val="auto"/>
                <w:szCs w:val="21"/>
                <w:highlight w:val="none"/>
              </w:rPr>
            </w:pPr>
          </w:p>
        </w:tc>
      </w:tr>
    </w:tbl>
    <w:p w14:paraId="72581CBE">
      <w:pPr>
        <w:pStyle w:val="7"/>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br w:type="page"/>
      </w:r>
      <w:bookmarkStart w:id="37" w:name="_Toc4906"/>
      <w:r>
        <w:rPr>
          <w:rFonts w:hint="default" w:ascii="Times New Roman" w:hAnsi="Times New Roman" w:cs="Times New Roman"/>
          <w:snapToGrid w:val="0"/>
          <w:color w:val="auto"/>
          <w:highlight w:val="none"/>
        </w:rPr>
        <w:t>六、结论</w:t>
      </w:r>
      <w:bookmarkEnd w:id="37"/>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6274E7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14:paraId="2789C15D">
            <w:pPr>
              <w:spacing w:line="360" w:lineRule="auto"/>
              <w:ind w:firstLine="420" w:firstLineChars="200"/>
              <w:rPr>
                <w:rFonts w:hint="default" w:ascii="Times New Roman" w:hAnsi="Times New Roman" w:cs="Times New Roman"/>
                <w:color w:val="auto"/>
                <w:highlight w:val="none"/>
              </w:rPr>
            </w:pPr>
          </w:p>
          <w:p w14:paraId="62E78B0B">
            <w:pPr>
              <w:spacing w:line="360" w:lineRule="auto"/>
              <w:ind w:firstLine="420" w:firstLineChars="200"/>
              <w:rPr>
                <w:rFonts w:hint="default" w:ascii="Times New Roman" w:hAnsi="Times New Roman" w:cs="Times New Roman"/>
                <w:color w:val="auto"/>
                <w:highlight w:val="none"/>
              </w:rPr>
            </w:pPr>
          </w:p>
          <w:p w14:paraId="552A3AC3">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建设符合“三线一单”管理及相关环保规划要求，项目按建设项目“三同时”制度要求，逐一落实本报告提出的污染治理项目，并在施工过程中加强环保设施管理，保证各项污染物达标排放，则项目对周围环境影响不明显。</w:t>
            </w:r>
          </w:p>
          <w:p w14:paraId="3AE412E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因此，从环境保护角度考虑，本项目的建设是合理、可行的。</w:t>
            </w:r>
          </w:p>
        </w:tc>
      </w:tr>
    </w:tbl>
    <w:p w14:paraId="155E7D89">
      <w:pPr>
        <w:rPr>
          <w:rFonts w:hint="default" w:ascii="Times New Roman" w:hAnsi="Times New Roman" w:cs="Times New Roman"/>
          <w:color w:val="auto"/>
          <w:highlight w:val="none"/>
        </w:rPr>
        <w:sectPr>
          <w:pgSz w:w="11906" w:h="16838"/>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p w14:paraId="3B6BB39F">
      <w:pPr>
        <w:pStyle w:val="7"/>
        <w:spacing w:before="0" w:beforeAutospacing="0" w:after="0" w:afterAutospacing="0"/>
        <w:jc w:val="left"/>
        <w:rPr>
          <w:rFonts w:hint="default" w:ascii="Times New Roman" w:hAnsi="Times New Roman" w:cs="Times New Roman"/>
          <w:color w:val="auto"/>
          <w:sz w:val="24"/>
          <w:highlight w:val="none"/>
        </w:rPr>
      </w:pPr>
      <w:bookmarkStart w:id="38" w:name="_Toc12741"/>
      <w:r>
        <w:rPr>
          <w:rFonts w:hint="default" w:ascii="Times New Roman" w:hAnsi="Times New Roman" w:cs="Times New Roman"/>
          <w:color w:val="auto"/>
          <w:sz w:val="24"/>
          <w:highlight w:val="none"/>
        </w:rPr>
        <w:t>附表</w:t>
      </w:r>
      <w:bookmarkEnd w:id="38"/>
    </w:p>
    <w:p w14:paraId="3A8503E8">
      <w:pPr>
        <w:jc w:val="center"/>
        <w:rPr>
          <w:rFonts w:hint="default" w:ascii="Times New Roman" w:hAnsi="Times New Roman" w:eastAsia="宋体" w:cs="Times New Roman"/>
          <w:b/>
          <w:bCs/>
          <w:color w:val="auto"/>
          <w:sz w:val="28"/>
          <w:szCs w:val="36"/>
          <w:highlight w:val="none"/>
          <w:lang w:val="en-US" w:eastAsia="zh-CN"/>
        </w:rPr>
      </w:pPr>
      <w:r>
        <w:rPr>
          <w:rFonts w:hint="default" w:ascii="Times New Roman" w:hAnsi="Times New Roman" w:cs="Times New Roman"/>
          <w:b/>
          <w:bCs/>
          <w:color w:val="auto"/>
          <w:sz w:val="28"/>
          <w:szCs w:val="36"/>
          <w:highlight w:val="none"/>
        </w:rPr>
        <w:t>建设项目污染物排放量汇总表</w:t>
      </w:r>
      <w:r>
        <w:rPr>
          <w:rFonts w:hint="default" w:ascii="Times New Roman" w:hAnsi="Times New Roman" w:cs="Times New Roman"/>
          <w:b/>
          <w:bCs/>
          <w:color w:val="auto"/>
          <w:sz w:val="28"/>
          <w:szCs w:val="36"/>
          <w:highlight w:val="none"/>
          <w:lang w:eastAsia="zh-CN"/>
        </w:rPr>
        <w:t>（单位：</w:t>
      </w:r>
      <w:r>
        <w:rPr>
          <w:rFonts w:hint="default" w:ascii="Times New Roman" w:hAnsi="Times New Roman" w:cs="Times New Roman"/>
          <w:b/>
          <w:bCs/>
          <w:color w:val="auto"/>
          <w:sz w:val="28"/>
          <w:szCs w:val="36"/>
          <w:highlight w:val="none"/>
          <w:lang w:val="en-US" w:eastAsia="zh-CN"/>
        </w:rPr>
        <w:t>t/a）</w:t>
      </w:r>
    </w:p>
    <w:tbl>
      <w:tblPr>
        <w:tblStyle w:val="3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1894"/>
        <w:gridCol w:w="1697"/>
        <w:gridCol w:w="1261"/>
        <w:gridCol w:w="1697"/>
        <w:gridCol w:w="1551"/>
        <w:gridCol w:w="1759"/>
        <w:gridCol w:w="1759"/>
        <w:gridCol w:w="1373"/>
      </w:tblGrid>
      <w:tr w14:paraId="0EBAD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79" w:type="pct"/>
            <w:tcBorders>
              <w:tl2br w:val="single" w:color="auto" w:sz="4" w:space="0"/>
            </w:tcBorders>
            <w:tcMar>
              <w:left w:w="28" w:type="dxa"/>
              <w:right w:w="28" w:type="dxa"/>
            </w:tcMar>
            <w:vAlign w:val="center"/>
          </w:tcPr>
          <w:p w14:paraId="609A6D83">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项目</w:t>
            </w:r>
          </w:p>
          <w:p w14:paraId="24B5E4F4">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分类</w:t>
            </w:r>
          </w:p>
        </w:tc>
        <w:tc>
          <w:tcPr>
            <w:tcW w:w="673" w:type="pct"/>
            <w:tcMar>
              <w:left w:w="28" w:type="dxa"/>
              <w:right w:w="28" w:type="dxa"/>
            </w:tcMar>
            <w:vAlign w:val="center"/>
          </w:tcPr>
          <w:p w14:paraId="628B2A01">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污染物名称</w:t>
            </w:r>
          </w:p>
        </w:tc>
        <w:tc>
          <w:tcPr>
            <w:tcW w:w="603" w:type="pct"/>
            <w:tcMar>
              <w:left w:w="28" w:type="dxa"/>
              <w:right w:w="28" w:type="dxa"/>
            </w:tcMar>
            <w:vAlign w:val="center"/>
          </w:tcPr>
          <w:p w14:paraId="1181414A">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现有工程</w:t>
            </w:r>
          </w:p>
          <w:p w14:paraId="34C6A676">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排放量（固体废物产生量）</w:t>
            </w:r>
            <w:r>
              <w:rPr>
                <w:rFonts w:hint="default" w:ascii="Times New Roman" w:hAnsi="Times New Roman" w:cs="Times New Roman" w:eastAsiaTheme="minorEastAsia"/>
                <w:b/>
                <w:bCs/>
                <w:snapToGrid w:val="0"/>
                <w:color w:val="auto"/>
                <w:spacing w:val="-6"/>
                <w:kern w:val="21"/>
                <w:sz w:val="21"/>
                <w:szCs w:val="21"/>
                <w:highlight w:val="none"/>
              </w:rPr>
              <w:fldChar w:fldCharType="begin"/>
            </w:r>
            <w:r>
              <w:rPr>
                <w:rFonts w:hint="default" w:ascii="Times New Roman" w:hAnsi="Times New Roman" w:cs="Times New Roman" w:eastAsiaTheme="minorEastAsia"/>
                <w:b/>
                <w:bCs/>
                <w:snapToGrid w:val="0"/>
                <w:color w:val="auto"/>
                <w:spacing w:val="-6"/>
                <w:kern w:val="21"/>
                <w:sz w:val="21"/>
                <w:szCs w:val="21"/>
                <w:highlight w:val="none"/>
              </w:rPr>
              <w:instrText xml:space="preserve"> = 1 \* GB3 \* MERGEFORMAT </w:instrText>
            </w:r>
            <w:r>
              <w:rPr>
                <w:rFonts w:hint="default" w:ascii="Times New Roman" w:hAnsi="Times New Roman" w:cs="Times New Roman" w:eastAsiaTheme="minorEastAsia"/>
                <w:b/>
                <w:bCs/>
                <w:snapToGrid w:val="0"/>
                <w:color w:val="auto"/>
                <w:spacing w:val="-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①</w:t>
            </w:r>
            <w:r>
              <w:rPr>
                <w:rFonts w:hint="default" w:ascii="Times New Roman" w:hAnsi="Times New Roman" w:cs="Times New Roman" w:eastAsiaTheme="minorEastAsia"/>
                <w:b/>
                <w:bCs/>
                <w:snapToGrid w:val="0"/>
                <w:color w:val="auto"/>
                <w:spacing w:val="-6"/>
                <w:kern w:val="21"/>
                <w:sz w:val="21"/>
                <w:szCs w:val="21"/>
                <w:highlight w:val="none"/>
              </w:rPr>
              <w:fldChar w:fldCharType="end"/>
            </w:r>
          </w:p>
        </w:tc>
        <w:tc>
          <w:tcPr>
            <w:tcW w:w="448" w:type="pct"/>
            <w:tcMar>
              <w:left w:w="28" w:type="dxa"/>
              <w:right w:w="28" w:type="dxa"/>
            </w:tcMar>
            <w:vAlign w:val="center"/>
          </w:tcPr>
          <w:p w14:paraId="7F648D2A">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现有工程</w:t>
            </w:r>
          </w:p>
          <w:p w14:paraId="37B877B6">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许可排放量</w:t>
            </w:r>
          </w:p>
          <w:p w14:paraId="63DF9EFB">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fldChar w:fldCharType="begin"/>
            </w:r>
            <w:r>
              <w:rPr>
                <w:rFonts w:hint="default" w:ascii="Times New Roman" w:hAnsi="Times New Roman" w:cs="Times New Roman" w:eastAsiaTheme="minorEastAsia"/>
                <w:b/>
                <w:bCs/>
                <w:snapToGrid w:val="0"/>
                <w:color w:val="auto"/>
                <w:spacing w:val="-6"/>
                <w:kern w:val="21"/>
                <w:sz w:val="21"/>
                <w:szCs w:val="21"/>
                <w:highlight w:val="none"/>
              </w:rPr>
              <w:instrText xml:space="preserve"> = 2 \* GB3 \* MERGEFORMAT </w:instrText>
            </w:r>
            <w:r>
              <w:rPr>
                <w:rFonts w:hint="default" w:ascii="Times New Roman" w:hAnsi="Times New Roman" w:cs="Times New Roman" w:eastAsiaTheme="minorEastAsia"/>
                <w:b/>
                <w:bCs/>
                <w:snapToGrid w:val="0"/>
                <w:color w:val="auto"/>
                <w:spacing w:val="-6"/>
                <w:kern w:val="21"/>
                <w:sz w:val="21"/>
                <w:szCs w:val="21"/>
                <w:highlight w:val="none"/>
              </w:rPr>
              <w:fldChar w:fldCharType="separate"/>
            </w:r>
            <w:r>
              <w:rPr>
                <w:rFonts w:hint="default" w:ascii="Times New Roman" w:hAnsi="Times New Roman" w:cs="Times New Roman" w:eastAsiaTheme="minorEastAsia"/>
                <w:b/>
                <w:bCs/>
                <w:snapToGrid w:val="0"/>
                <w:color w:val="auto"/>
                <w:spacing w:val="-6"/>
                <w:kern w:val="21"/>
                <w:sz w:val="21"/>
                <w:szCs w:val="21"/>
                <w:highlight w:val="none"/>
              </w:rPr>
              <w:t>②</w:t>
            </w:r>
            <w:r>
              <w:rPr>
                <w:rFonts w:hint="default" w:ascii="Times New Roman" w:hAnsi="Times New Roman" w:cs="Times New Roman" w:eastAsiaTheme="minorEastAsia"/>
                <w:b/>
                <w:bCs/>
                <w:snapToGrid w:val="0"/>
                <w:color w:val="auto"/>
                <w:spacing w:val="-6"/>
                <w:kern w:val="21"/>
                <w:sz w:val="21"/>
                <w:szCs w:val="21"/>
                <w:highlight w:val="none"/>
              </w:rPr>
              <w:fldChar w:fldCharType="end"/>
            </w:r>
          </w:p>
        </w:tc>
        <w:tc>
          <w:tcPr>
            <w:tcW w:w="603" w:type="pct"/>
            <w:tcMar>
              <w:left w:w="28" w:type="dxa"/>
              <w:right w:w="28" w:type="dxa"/>
            </w:tcMar>
            <w:vAlign w:val="center"/>
          </w:tcPr>
          <w:p w14:paraId="3E4C9AC0">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在建工程</w:t>
            </w:r>
          </w:p>
          <w:p w14:paraId="23ED709F">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排放量（固体废物产生量）</w:t>
            </w:r>
            <w:r>
              <w:rPr>
                <w:rFonts w:hint="default" w:ascii="Times New Roman" w:hAnsi="Times New Roman" w:cs="Times New Roman" w:eastAsiaTheme="minorEastAsia"/>
                <w:b/>
                <w:bCs/>
                <w:snapToGrid w:val="0"/>
                <w:color w:val="auto"/>
                <w:spacing w:val="-6"/>
                <w:kern w:val="21"/>
                <w:sz w:val="21"/>
                <w:szCs w:val="21"/>
                <w:highlight w:val="none"/>
              </w:rPr>
              <w:fldChar w:fldCharType="begin"/>
            </w:r>
            <w:r>
              <w:rPr>
                <w:rFonts w:hint="default" w:ascii="Times New Roman" w:hAnsi="Times New Roman" w:cs="Times New Roman" w:eastAsiaTheme="minorEastAsia"/>
                <w:b/>
                <w:bCs/>
                <w:snapToGrid w:val="0"/>
                <w:color w:val="auto"/>
                <w:spacing w:val="-6"/>
                <w:kern w:val="21"/>
                <w:sz w:val="21"/>
                <w:szCs w:val="21"/>
                <w:highlight w:val="none"/>
              </w:rPr>
              <w:instrText xml:space="preserve"> = 3 \* GB3 \* MERGEFORMAT </w:instrText>
            </w:r>
            <w:r>
              <w:rPr>
                <w:rFonts w:hint="default" w:ascii="Times New Roman" w:hAnsi="Times New Roman" w:cs="Times New Roman" w:eastAsiaTheme="minorEastAsia"/>
                <w:b/>
                <w:bCs/>
                <w:snapToGrid w:val="0"/>
                <w:color w:val="auto"/>
                <w:spacing w:val="-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③</w:t>
            </w:r>
            <w:r>
              <w:rPr>
                <w:rFonts w:hint="default" w:ascii="Times New Roman" w:hAnsi="Times New Roman" w:cs="Times New Roman" w:eastAsiaTheme="minorEastAsia"/>
                <w:b/>
                <w:bCs/>
                <w:snapToGrid w:val="0"/>
                <w:color w:val="auto"/>
                <w:spacing w:val="-6"/>
                <w:kern w:val="21"/>
                <w:sz w:val="21"/>
                <w:szCs w:val="21"/>
                <w:highlight w:val="none"/>
              </w:rPr>
              <w:fldChar w:fldCharType="end"/>
            </w:r>
          </w:p>
        </w:tc>
        <w:tc>
          <w:tcPr>
            <w:tcW w:w="551" w:type="pct"/>
            <w:tcMar>
              <w:left w:w="28" w:type="dxa"/>
              <w:right w:w="28" w:type="dxa"/>
            </w:tcMar>
            <w:vAlign w:val="center"/>
          </w:tcPr>
          <w:p w14:paraId="1647EDC6">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本项目</w:t>
            </w:r>
          </w:p>
          <w:p w14:paraId="15D7D4F6">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排放量（固体废物产生量）</w:t>
            </w:r>
            <w:r>
              <w:rPr>
                <w:rFonts w:hint="default" w:ascii="Times New Roman" w:hAnsi="Times New Roman" w:cs="Times New Roman" w:eastAsiaTheme="minorEastAsia"/>
                <w:b/>
                <w:bCs/>
                <w:snapToGrid w:val="0"/>
                <w:color w:val="auto"/>
                <w:spacing w:val="-6"/>
                <w:kern w:val="21"/>
                <w:sz w:val="21"/>
                <w:szCs w:val="21"/>
                <w:highlight w:val="none"/>
              </w:rPr>
              <w:fldChar w:fldCharType="begin"/>
            </w:r>
            <w:r>
              <w:rPr>
                <w:rFonts w:hint="default" w:ascii="Times New Roman" w:hAnsi="Times New Roman" w:cs="Times New Roman" w:eastAsiaTheme="minorEastAsia"/>
                <w:b/>
                <w:bCs/>
                <w:snapToGrid w:val="0"/>
                <w:color w:val="auto"/>
                <w:spacing w:val="-6"/>
                <w:kern w:val="21"/>
                <w:sz w:val="21"/>
                <w:szCs w:val="21"/>
                <w:highlight w:val="none"/>
              </w:rPr>
              <w:instrText xml:space="preserve"> = 4 \* GB3 \* MERGEFORMAT </w:instrText>
            </w:r>
            <w:r>
              <w:rPr>
                <w:rFonts w:hint="default" w:ascii="Times New Roman" w:hAnsi="Times New Roman" w:cs="Times New Roman" w:eastAsiaTheme="minorEastAsia"/>
                <w:b/>
                <w:bCs/>
                <w:snapToGrid w:val="0"/>
                <w:color w:val="auto"/>
                <w:spacing w:val="-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④</w:t>
            </w:r>
            <w:r>
              <w:rPr>
                <w:rFonts w:hint="default" w:ascii="Times New Roman" w:hAnsi="Times New Roman" w:cs="Times New Roman" w:eastAsiaTheme="minorEastAsia"/>
                <w:b/>
                <w:bCs/>
                <w:snapToGrid w:val="0"/>
                <w:color w:val="auto"/>
                <w:spacing w:val="-6"/>
                <w:kern w:val="21"/>
                <w:sz w:val="21"/>
                <w:szCs w:val="21"/>
                <w:highlight w:val="none"/>
              </w:rPr>
              <w:fldChar w:fldCharType="end"/>
            </w:r>
          </w:p>
        </w:tc>
        <w:tc>
          <w:tcPr>
            <w:tcW w:w="625" w:type="pct"/>
            <w:tcMar>
              <w:left w:w="28" w:type="dxa"/>
              <w:right w:w="28" w:type="dxa"/>
            </w:tcMar>
            <w:vAlign w:val="center"/>
          </w:tcPr>
          <w:p w14:paraId="62360C06">
            <w:pPr>
              <w:pStyle w:val="59"/>
              <w:spacing w:beforeLines="0" w:afterLines="0" w:line="240" w:lineRule="auto"/>
              <w:jc w:val="center"/>
              <w:rPr>
                <w:rFonts w:hint="default" w:ascii="Times New Roman" w:hAnsi="Times New Roman" w:cs="Times New Roman" w:eastAsiaTheme="minorEastAsia"/>
                <w:b/>
                <w:bCs/>
                <w:snapToGrid w:val="0"/>
                <w:color w:val="auto"/>
                <w:spacing w:val="-16"/>
                <w:kern w:val="21"/>
                <w:sz w:val="21"/>
                <w:szCs w:val="21"/>
                <w:highlight w:val="none"/>
              </w:rPr>
            </w:pPr>
            <w:r>
              <w:rPr>
                <w:rFonts w:hint="default" w:ascii="Times New Roman" w:hAnsi="Times New Roman" w:cs="Times New Roman" w:eastAsiaTheme="minorEastAsia"/>
                <w:b/>
                <w:bCs/>
                <w:snapToGrid w:val="0"/>
                <w:color w:val="auto"/>
                <w:spacing w:val="-16"/>
                <w:kern w:val="21"/>
                <w:sz w:val="21"/>
                <w:szCs w:val="21"/>
                <w:highlight w:val="none"/>
              </w:rPr>
              <w:t>以新带老削减量</w:t>
            </w:r>
          </w:p>
          <w:p w14:paraId="64F323FA">
            <w:pPr>
              <w:pStyle w:val="59"/>
              <w:spacing w:beforeLines="0" w:afterLines="0" w:line="240" w:lineRule="auto"/>
              <w:jc w:val="center"/>
              <w:rPr>
                <w:rFonts w:hint="default" w:ascii="Times New Roman" w:hAnsi="Times New Roman" w:cs="Times New Roman" w:eastAsiaTheme="minorEastAsia"/>
                <w:b/>
                <w:bCs/>
                <w:snapToGrid w:val="0"/>
                <w:color w:val="auto"/>
                <w:spacing w:val="-16"/>
                <w:kern w:val="21"/>
                <w:sz w:val="21"/>
                <w:szCs w:val="21"/>
                <w:highlight w:val="none"/>
              </w:rPr>
            </w:pPr>
            <w:r>
              <w:rPr>
                <w:rFonts w:hint="default" w:ascii="Times New Roman" w:hAnsi="Times New Roman" w:cs="Times New Roman" w:eastAsiaTheme="minorEastAsia"/>
                <w:b/>
                <w:bCs/>
                <w:snapToGrid w:val="0"/>
                <w:color w:val="auto"/>
                <w:spacing w:val="-16"/>
                <w:kern w:val="21"/>
                <w:sz w:val="21"/>
                <w:szCs w:val="21"/>
                <w:highlight w:val="none"/>
              </w:rPr>
              <w:t>（新建项目不填）</w:t>
            </w:r>
            <w:r>
              <w:rPr>
                <w:rFonts w:hint="default" w:ascii="Times New Roman" w:hAnsi="Times New Roman" w:cs="Times New Roman" w:eastAsiaTheme="minorEastAsia"/>
                <w:b/>
                <w:bCs/>
                <w:snapToGrid w:val="0"/>
                <w:color w:val="auto"/>
                <w:spacing w:val="-16"/>
                <w:kern w:val="21"/>
                <w:sz w:val="21"/>
                <w:szCs w:val="21"/>
                <w:highlight w:val="none"/>
              </w:rPr>
              <w:fldChar w:fldCharType="begin"/>
            </w:r>
            <w:r>
              <w:rPr>
                <w:rFonts w:hint="default" w:ascii="Times New Roman" w:hAnsi="Times New Roman" w:cs="Times New Roman" w:eastAsiaTheme="minorEastAsia"/>
                <w:b/>
                <w:bCs/>
                <w:snapToGrid w:val="0"/>
                <w:color w:val="auto"/>
                <w:spacing w:val="-16"/>
                <w:kern w:val="21"/>
                <w:sz w:val="21"/>
                <w:szCs w:val="21"/>
                <w:highlight w:val="none"/>
              </w:rPr>
              <w:instrText xml:space="preserve"> = 5 \* GB3 \* MERGEFORMAT </w:instrText>
            </w:r>
            <w:r>
              <w:rPr>
                <w:rFonts w:hint="default" w:ascii="Times New Roman" w:hAnsi="Times New Roman" w:cs="Times New Roman" w:eastAsiaTheme="minorEastAsia"/>
                <w:b/>
                <w:bCs/>
                <w:snapToGrid w:val="0"/>
                <w:color w:val="auto"/>
                <w:spacing w:val="-1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⑤</w:t>
            </w:r>
            <w:r>
              <w:rPr>
                <w:rFonts w:hint="default" w:ascii="Times New Roman" w:hAnsi="Times New Roman" w:cs="Times New Roman" w:eastAsiaTheme="minorEastAsia"/>
                <w:b/>
                <w:bCs/>
                <w:snapToGrid w:val="0"/>
                <w:color w:val="auto"/>
                <w:spacing w:val="-16"/>
                <w:kern w:val="21"/>
                <w:sz w:val="21"/>
                <w:szCs w:val="21"/>
                <w:highlight w:val="none"/>
              </w:rPr>
              <w:fldChar w:fldCharType="end"/>
            </w:r>
          </w:p>
        </w:tc>
        <w:tc>
          <w:tcPr>
            <w:tcW w:w="625" w:type="pct"/>
            <w:tcMar>
              <w:left w:w="28" w:type="dxa"/>
              <w:right w:w="28" w:type="dxa"/>
            </w:tcMar>
            <w:vAlign w:val="center"/>
          </w:tcPr>
          <w:p w14:paraId="346DF168">
            <w:pPr>
              <w:pStyle w:val="59"/>
              <w:spacing w:beforeLines="0" w:afterLines="0" w:line="240" w:lineRule="auto"/>
              <w:jc w:val="center"/>
              <w:rPr>
                <w:rFonts w:hint="default" w:ascii="Times New Roman" w:hAnsi="Times New Roman" w:cs="Times New Roman" w:eastAsiaTheme="minorEastAsia"/>
                <w:b/>
                <w:bCs/>
                <w:snapToGrid w:val="0"/>
                <w:color w:val="auto"/>
                <w:spacing w:val="-16"/>
                <w:kern w:val="21"/>
                <w:sz w:val="21"/>
                <w:szCs w:val="21"/>
                <w:highlight w:val="none"/>
              </w:rPr>
            </w:pPr>
            <w:r>
              <w:rPr>
                <w:rFonts w:hint="default" w:ascii="Times New Roman" w:hAnsi="Times New Roman" w:cs="Times New Roman" w:eastAsiaTheme="minorEastAsia"/>
                <w:b/>
                <w:bCs/>
                <w:snapToGrid w:val="0"/>
                <w:color w:val="auto"/>
                <w:spacing w:val="-16"/>
                <w:kern w:val="21"/>
                <w:sz w:val="21"/>
                <w:szCs w:val="21"/>
                <w:highlight w:val="none"/>
              </w:rPr>
              <w:t>本项目建成后</w:t>
            </w:r>
          </w:p>
          <w:p w14:paraId="11BDD861">
            <w:pPr>
              <w:pStyle w:val="59"/>
              <w:spacing w:beforeLines="0" w:afterLines="0" w:line="240" w:lineRule="auto"/>
              <w:jc w:val="center"/>
              <w:rPr>
                <w:rFonts w:hint="default" w:ascii="Times New Roman" w:hAnsi="Times New Roman" w:cs="Times New Roman" w:eastAsiaTheme="minorEastAsia"/>
                <w:b/>
                <w:bCs/>
                <w:snapToGrid w:val="0"/>
                <w:color w:val="auto"/>
                <w:spacing w:val="-16"/>
                <w:kern w:val="21"/>
                <w:sz w:val="21"/>
                <w:szCs w:val="21"/>
                <w:highlight w:val="none"/>
              </w:rPr>
            </w:pPr>
            <w:r>
              <w:rPr>
                <w:rFonts w:hint="default" w:ascii="Times New Roman" w:hAnsi="Times New Roman" w:cs="Times New Roman" w:eastAsiaTheme="minorEastAsia"/>
                <w:b/>
                <w:bCs/>
                <w:snapToGrid w:val="0"/>
                <w:color w:val="auto"/>
                <w:spacing w:val="-16"/>
                <w:kern w:val="21"/>
                <w:sz w:val="21"/>
                <w:szCs w:val="21"/>
                <w:highlight w:val="none"/>
              </w:rPr>
              <w:t>全厂排放量（固体废物产生量）</w:t>
            </w:r>
            <w:r>
              <w:rPr>
                <w:rFonts w:hint="default" w:ascii="Times New Roman" w:hAnsi="Times New Roman" w:cs="Times New Roman" w:eastAsiaTheme="minorEastAsia"/>
                <w:b/>
                <w:bCs/>
                <w:snapToGrid w:val="0"/>
                <w:color w:val="auto"/>
                <w:spacing w:val="-16"/>
                <w:kern w:val="21"/>
                <w:sz w:val="21"/>
                <w:szCs w:val="21"/>
                <w:highlight w:val="none"/>
              </w:rPr>
              <w:fldChar w:fldCharType="begin"/>
            </w:r>
            <w:r>
              <w:rPr>
                <w:rFonts w:hint="default" w:ascii="Times New Roman" w:hAnsi="Times New Roman" w:cs="Times New Roman" w:eastAsiaTheme="minorEastAsia"/>
                <w:b/>
                <w:bCs/>
                <w:snapToGrid w:val="0"/>
                <w:color w:val="auto"/>
                <w:spacing w:val="-16"/>
                <w:kern w:val="21"/>
                <w:sz w:val="21"/>
                <w:szCs w:val="21"/>
                <w:highlight w:val="none"/>
              </w:rPr>
              <w:instrText xml:space="preserve"> = 6 \* GB3 \* MERGEFORMAT </w:instrText>
            </w:r>
            <w:r>
              <w:rPr>
                <w:rFonts w:hint="default" w:ascii="Times New Roman" w:hAnsi="Times New Roman" w:cs="Times New Roman" w:eastAsiaTheme="minorEastAsia"/>
                <w:b/>
                <w:bCs/>
                <w:snapToGrid w:val="0"/>
                <w:color w:val="auto"/>
                <w:spacing w:val="-1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⑥</w:t>
            </w:r>
            <w:r>
              <w:rPr>
                <w:rFonts w:hint="default" w:ascii="Times New Roman" w:hAnsi="Times New Roman" w:cs="Times New Roman" w:eastAsiaTheme="minorEastAsia"/>
                <w:b/>
                <w:bCs/>
                <w:snapToGrid w:val="0"/>
                <w:color w:val="auto"/>
                <w:spacing w:val="-16"/>
                <w:kern w:val="21"/>
                <w:sz w:val="21"/>
                <w:szCs w:val="21"/>
                <w:highlight w:val="none"/>
              </w:rPr>
              <w:fldChar w:fldCharType="end"/>
            </w:r>
          </w:p>
        </w:tc>
        <w:tc>
          <w:tcPr>
            <w:tcW w:w="488" w:type="pct"/>
            <w:tcMar>
              <w:left w:w="28" w:type="dxa"/>
              <w:right w:w="28" w:type="dxa"/>
            </w:tcMar>
            <w:vAlign w:val="center"/>
          </w:tcPr>
          <w:p w14:paraId="5D1A6E78">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t>变化量</w:t>
            </w:r>
          </w:p>
          <w:p w14:paraId="6862346E">
            <w:pPr>
              <w:pStyle w:val="59"/>
              <w:spacing w:beforeLines="0" w:afterLines="0" w:line="240" w:lineRule="auto"/>
              <w:jc w:val="center"/>
              <w:rPr>
                <w:rFonts w:hint="default" w:ascii="Times New Roman" w:hAnsi="Times New Roman" w:cs="Times New Roman" w:eastAsiaTheme="minorEastAsia"/>
                <w:b/>
                <w:bCs/>
                <w:snapToGrid w:val="0"/>
                <w:color w:val="auto"/>
                <w:spacing w:val="-6"/>
                <w:kern w:val="21"/>
                <w:sz w:val="21"/>
                <w:szCs w:val="21"/>
                <w:highlight w:val="none"/>
              </w:rPr>
            </w:pPr>
            <w:r>
              <w:rPr>
                <w:rFonts w:hint="default" w:ascii="Times New Roman" w:hAnsi="Times New Roman" w:cs="Times New Roman" w:eastAsiaTheme="minorEastAsia"/>
                <w:b/>
                <w:bCs/>
                <w:snapToGrid w:val="0"/>
                <w:color w:val="auto"/>
                <w:spacing w:val="-6"/>
                <w:kern w:val="21"/>
                <w:sz w:val="21"/>
                <w:szCs w:val="21"/>
                <w:highlight w:val="none"/>
              </w:rPr>
              <w:fldChar w:fldCharType="begin"/>
            </w:r>
            <w:r>
              <w:rPr>
                <w:rFonts w:hint="default" w:ascii="Times New Roman" w:hAnsi="Times New Roman" w:cs="Times New Roman" w:eastAsiaTheme="minorEastAsia"/>
                <w:b/>
                <w:bCs/>
                <w:snapToGrid w:val="0"/>
                <w:color w:val="auto"/>
                <w:spacing w:val="-6"/>
                <w:kern w:val="21"/>
                <w:sz w:val="21"/>
                <w:szCs w:val="21"/>
                <w:highlight w:val="none"/>
              </w:rPr>
              <w:instrText xml:space="preserve"> = 7 \* GB3 \* MERGEFORMAT </w:instrText>
            </w:r>
            <w:r>
              <w:rPr>
                <w:rFonts w:hint="default" w:ascii="Times New Roman" w:hAnsi="Times New Roman" w:cs="Times New Roman" w:eastAsiaTheme="minorEastAsia"/>
                <w:b/>
                <w:bCs/>
                <w:snapToGrid w:val="0"/>
                <w:color w:val="auto"/>
                <w:spacing w:val="-6"/>
                <w:kern w:val="21"/>
                <w:sz w:val="21"/>
                <w:szCs w:val="21"/>
                <w:highlight w:val="none"/>
              </w:rPr>
              <w:fldChar w:fldCharType="separate"/>
            </w:r>
            <w:r>
              <w:rPr>
                <w:rFonts w:hint="default" w:ascii="Times New Roman" w:hAnsi="Times New Roman" w:cs="Times New Roman" w:eastAsiaTheme="minorEastAsia"/>
                <w:b/>
                <w:bCs/>
                <w:color w:val="auto"/>
                <w:sz w:val="21"/>
                <w:szCs w:val="21"/>
                <w:highlight w:val="none"/>
              </w:rPr>
              <w:t>⑦</w:t>
            </w:r>
            <w:r>
              <w:rPr>
                <w:rFonts w:hint="default" w:ascii="Times New Roman" w:hAnsi="Times New Roman" w:cs="Times New Roman" w:eastAsiaTheme="minorEastAsia"/>
                <w:b/>
                <w:bCs/>
                <w:snapToGrid w:val="0"/>
                <w:color w:val="auto"/>
                <w:spacing w:val="-6"/>
                <w:kern w:val="21"/>
                <w:sz w:val="21"/>
                <w:szCs w:val="21"/>
                <w:highlight w:val="none"/>
              </w:rPr>
              <w:fldChar w:fldCharType="end"/>
            </w:r>
          </w:p>
        </w:tc>
      </w:tr>
      <w:tr w14:paraId="3BE0CF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restart"/>
            <w:vAlign w:val="center"/>
          </w:tcPr>
          <w:p w14:paraId="462A83B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废气</w:t>
            </w:r>
          </w:p>
        </w:tc>
        <w:tc>
          <w:tcPr>
            <w:tcW w:w="673" w:type="pct"/>
            <w:vAlign w:val="top"/>
          </w:tcPr>
          <w:p w14:paraId="01D12F27">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非甲烷总烃</w:t>
            </w:r>
          </w:p>
        </w:tc>
        <w:tc>
          <w:tcPr>
            <w:tcW w:w="603" w:type="pct"/>
            <w:vAlign w:val="center"/>
          </w:tcPr>
          <w:p w14:paraId="4FD68F7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03FC81F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A50A9E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1551" w:type="dxa"/>
            <w:vAlign w:val="center"/>
          </w:tcPr>
          <w:p w14:paraId="5327BCD9">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0.09</w:t>
            </w:r>
            <w:r>
              <w:rPr>
                <w:rFonts w:hint="eastAsia" w:cs="Times New Roman"/>
                <w:i w:val="0"/>
                <w:iCs w:val="0"/>
                <w:color w:val="auto"/>
                <w:kern w:val="0"/>
                <w:sz w:val="21"/>
                <w:szCs w:val="21"/>
                <w:highlight w:val="none"/>
                <w:u w:val="none"/>
                <w:lang w:val="en-US" w:eastAsia="zh-CN" w:bidi="ar"/>
              </w:rPr>
              <w:t>0</w:t>
            </w:r>
          </w:p>
        </w:tc>
        <w:tc>
          <w:tcPr>
            <w:tcW w:w="625" w:type="pct"/>
            <w:vAlign w:val="center"/>
          </w:tcPr>
          <w:p w14:paraId="66AC76F7">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9" w:type="dxa"/>
            <w:vAlign w:val="center"/>
          </w:tcPr>
          <w:p w14:paraId="64DC720C">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0.09</w:t>
            </w:r>
            <w:r>
              <w:rPr>
                <w:rFonts w:hint="eastAsia" w:cs="Times New Roman"/>
                <w:i w:val="0"/>
                <w:iCs w:val="0"/>
                <w:color w:val="auto"/>
                <w:kern w:val="0"/>
                <w:sz w:val="21"/>
                <w:szCs w:val="21"/>
                <w:highlight w:val="none"/>
                <w:u w:val="none"/>
                <w:lang w:val="en-US" w:eastAsia="zh-CN" w:bidi="ar"/>
              </w:rPr>
              <w:t>0</w:t>
            </w:r>
          </w:p>
        </w:tc>
        <w:tc>
          <w:tcPr>
            <w:tcW w:w="1373" w:type="dxa"/>
            <w:vAlign w:val="center"/>
          </w:tcPr>
          <w:p w14:paraId="32871406">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0.09</w:t>
            </w:r>
            <w:r>
              <w:rPr>
                <w:rFonts w:hint="eastAsia" w:cs="Times New Roman"/>
                <w:i w:val="0"/>
                <w:iCs w:val="0"/>
                <w:color w:val="auto"/>
                <w:kern w:val="0"/>
                <w:sz w:val="21"/>
                <w:szCs w:val="21"/>
                <w:highlight w:val="none"/>
                <w:u w:val="none"/>
                <w:lang w:val="en-US" w:eastAsia="zh-CN" w:bidi="ar"/>
              </w:rPr>
              <w:t>0</w:t>
            </w:r>
          </w:p>
        </w:tc>
      </w:tr>
      <w:tr w14:paraId="4E3AB2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2CF4D06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top"/>
          </w:tcPr>
          <w:p w14:paraId="61FFB8F6">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VOCs</w:t>
            </w:r>
          </w:p>
        </w:tc>
        <w:tc>
          <w:tcPr>
            <w:tcW w:w="603" w:type="pct"/>
            <w:vAlign w:val="center"/>
          </w:tcPr>
          <w:p w14:paraId="70E51F2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9337EE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74CC53A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1551" w:type="dxa"/>
            <w:vAlign w:val="center"/>
          </w:tcPr>
          <w:p w14:paraId="77A60981">
            <w:pPr>
              <w:keepNext w:val="0"/>
              <w:keepLines w:val="0"/>
              <w:widowControl/>
              <w:suppressLineNumbers w:val="0"/>
              <w:jc w:val="center"/>
              <w:textAlignment w:val="top"/>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052</w:t>
            </w:r>
          </w:p>
        </w:tc>
        <w:tc>
          <w:tcPr>
            <w:tcW w:w="625" w:type="pct"/>
            <w:vAlign w:val="center"/>
          </w:tcPr>
          <w:p w14:paraId="4A185EDD">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1759" w:type="dxa"/>
            <w:vAlign w:val="center"/>
          </w:tcPr>
          <w:p w14:paraId="314DF471">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052</w:t>
            </w:r>
          </w:p>
        </w:tc>
        <w:tc>
          <w:tcPr>
            <w:tcW w:w="1373" w:type="dxa"/>
            <w:vAlign w:val="center"/>
          </w:tcPr>
          <w:p w14:paraId="5DA4DF64">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052</w:t>
            </w:r>
          </w:p>
        </w:tc>
      </w:tr>
      <w:tr w14:paraId="18C4E4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7F39D46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top"/>
          </w:tcPr>
          <w:p w14:paraId="0F83DA87">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颗粒物</w:t>
            </w:r>
          </w:p>
        </w:tc>
        <w:tc>
          <w:tcPr>
            <w:tcW w:w="603" w:type="pct"/>
            <w:vAlign w:val="center"/>
          </w:tcPr>
          <w:p w14:paraId="241B6E5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110BCA4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7E161E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413AFB59">
            <w:pPr>
              <w:keepNext w:val="0"/>
              <w:keepLines w:val="0"/>
              <w:widowControl/>
              <w:suppressLineNumbers w:val="0"/>
              <w:jc w:val="center"/>
              <w:textAlignment w:val="top"/>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03</w:t>
            </w:r>
          </w:p>
        </w:tc>
        <w:tc>
          <w:tcPr>
            <w:tcW w:w="625" w:type="pct"/>
            <w:vAlign w:val="center"/>
          </w:tcPr>
          <w:p w14:paraId="07793F2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7A4CF128">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03</w:t>
            </w:r>
          </w:p>
        </w:tc>
        <w:tc>
          <w:tcPr>
            <w:tcW w:w="488" w:type="pct"/>
            <w:vAlign w:val="center"/>
          </w:tcPr>
          <w:p w14:paraId="06BA562C">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03</w:t>
            </w:r>
          </w:p>
        </w:tc>
      </w:tr>
      <w:tr w14:paraId="0EF5B6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40805B0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top"/>
          </w:tcPr>
          <w:p w14:paraId="0B5B9B74">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臭气浓度</w:t>
            </w:r>
          </w:p>
        </w:tc>
        <w:tc>
          <w:tcPr>
            <w:tcW w:w="603" w:type="pct"/>
            <w:shd w:val="clear" w:color="auto" w:fill="auto"/>
            <w:vAlign w:val="center"/>
          </w:tcPr>
          <w:p w14:paraId="38CFD0A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448" w:type="pct"/>
            <w:shd w:val="clear" w:color="auto" w:fill="auto"/>
            <w:vAlign w:val="center"/>
          </w:tcPr>
          <w:p w14:paraId="2C7155C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603" w:type="pct"/>
            <w:shd w:val="clear" w:color="auto" w:fill="auto"/>
            <w:vAlign w:val="center"/>
          </w:tcPr>
          <w:p w14:paraId="6D33BF0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551" w:type="pct"/>
            <w:shd w:val="clear" w:color="auto" w:fill="auto"/>
            <w:vAlign w:val="center"/>
          </w:tcPr>
          <w:p w14:paraId="5C25FD7E">
            <w:pPr>
              <w:keepNext w:val="0"/>
              <w:keepLines w:val="0"/>
              <w:widowControl/>
              <w:suppressLineNumbers w:val="0"/>
              <w:jc w:val="center"/>
              <w:textAlignment w:val="top"/>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少量</w:t>
            </w:r>
          </w:p>
        </w:tc>
        <w:tc>
          <w:tcPr>
            <w:tcW w:w="625" w:type="pct"/>
            <w:shd w:val="clear" w:color="auto" w:fill="auto"/>
            <w:vAlign w:val="center"/>
          </w:tcPr>
          <w:p w14:paraId="3864CEF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625" w:type="pct"/>
            <w:shd w:val="clear" w:color="auto" w:fill="auto"/>
            <w:vAlign w:val="center"/>
          </w:tcPr>
          <w:p w14:paraId="5BEB0245">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少量</w:t>
            </w:r>
          </w:p>
        </w:tc>
        <w:tc>
          <w:tcPr>
            <w:tcW w:w="488" w:type="pct"/>
            <w:shd w:val="clear" w:color="auto" w:fill="auto"/>
            <w:vAlign w:val="center"/>
          </w:tcPr>
          <w:p w14:paraId="26DBF9BF">
            <w:pPr>
              <w:keepNext w:val="0"/>
              <w:keepLines w:val="0"/>
              <w:widowControl/>
              <w:suppressLineNumbers w:val="0"/>
              <w:jc w:val="center"/>
              <w:textAlignment w:val="top"/>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少量</w:t>
            </w:r>
          </w:p>
        </w:tc>
      </w:tr>
      <w:tr w14:paraId="2D4120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restart"/>
            <w:vAlign w:val="center"/>
          </w:tcPr>
          <w:p w14:paraId="383BA24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废水</w:t>
            </w:r>
          </w:p>
        </w:tc>
        <w:tc>
          <w:tcPr>
            <w:tcW w:w="673" w:type="pct"/>
            <w:vAlign w:val="center"/>
          </w:tcPr>
          <w:p w14:paraId="4C20F7D6">
            <w:pPr>
              <w:pStyle w:val="65"/>
              <w:spacing w:before="60" w:after="6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废水量</w:t>
            </w:r>
          </w:p>
        </w:tc>
        <w:tc>
          <w:tcPr>
            <w:tcW w:w="603" w:type="pct"/>
            <w:vAlign w:val="center"/>
          </w:tcPr>
          <w:p w14:paraId="39B9722D">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2F1FA23C">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6754F1A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39E01A8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c>
          <w:tcPr>
            <w:tcW w:w="625" w:type="pct"/>
            <w:vAlign w:val="center"/>
          </w:tcPr>
          <w:p w14:paraId="39B9644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1FE485C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c>
          <w:tcPr>
            <w:tcW w:w="488" w:type="pct"/>
            <w:vAlign w:val="center"/>
          </w:tcPr>
          <w:p w14:paraId="4A25B3C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+105.747</w:t>
            </w:r>
          </w:p>
        </w:tc>
      </w:tr>
      <w:tr w14:paraId="2BB506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464DEA2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72948599">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COD</w:t>
            </w:r>
            <w:r>
              <w:rPr>
                <w:rFonts w:hint="default" w:ascii="Times New Roman" w:hAnsi="Times New Roman" w:cs="Times New Roman" w:eastAsiaTheme="minorEastAsia"/>
                <w:i w:val="0"/>
                <w:iCs w:val="0"/>
                <w:color w:val="auto"/>
                <w:kern w:val="0"/>
                <w:sz w:val="21"/>
                <w:szCs w:val="21"/>
                <w:highlight w:val="none"/>
                <w:u w:val="none"/>
                <w:vertAlign w:val="subscript"/>
                <w:lang w:val="en-US" w:eastAsia="zh-CN" w:bidi="ar"/>
              </w:rPr>
              <w:t>Cr</w:t>
            </w:r>
          </w:p>
        </w:tc>
        <w:tc>
          <w:tcPr>
            <w:tcW w:w="603" w:type="pct"/>
            <w:vAlign w:val="center"/>
          </w:tcPr>
          <w:p w14:paraId="79C60F8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0704401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1E3963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53027D7A">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0.0174</w:t>
            </w:r>
          </w:p>
        </w:tc>
        <w:tc>
          <w:tcPr>
            <w:tcW w:w="625" w:type="pct"/>
            <w:vAlign w:val="center"/>
          </w:tcPr>
          <w:p w14:paraId="7A61414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5A13ED1C">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0.0174</w:t>
            </w:r>
          </w:p>
        </w:tc>
        <w:tc>
          <w:tcPr>
            <w:tcW w:w="488" w:type="pct"/>
            <w:vAlign w:val="center"/>
          </w:tcPr>
          <w:p w14:paraId="45D95EA2">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0.0174</w:t>
            </w:r>
          </w:p>
        </w:tc>
      </w:tr>
      <w:tr w14:paraId="09D169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6D3085B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259A6973">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BOD</w:t>
            </w:r>
            <w:r>
              <w:rPr>
                <w:rFonts w:hint="default" w:ascii="Times New Roman" w:hAnsi="Times New Roman" w:cs="Times New Roman" w:eastAsiaTheme="minorEastAsia"/>
                <w:i w:val="0"/>
                <w:iCs w:val="0"/>
                <w:color w:val="auto"/>
                <w:kern w:val="0"/>
                <w:sz w:val="21"/>
                <w:szCs w:val="21"/>
                <w:highlight w:val="none"/>
                <w:u w:val="none"/>
                <w:vertAlign w:val="subscript"/>
                <w:lang w:val="en-US" w:eastAsia="zh-CN" w:bidi="ar"/>
              </w:rPr>
              <w:t>5</w:t>
            </w:r>
          </w:p>
        </w:tc>
        <w:tc>
          <w:tcPr>
            <w:tcW w:w="603" w:type="pct"/>
            <w:vAlign w:val="center"/>
          </w:tcPr>
          <w:p w14:paraId="2FFC79A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0E6E379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7C6E783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2F0BDADA">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0.0055</w:t>
            </w:r>
          </w:p>
        </w:tc>
        <w:tc>
          <w:tcPr>
            <w:tcW w:w="625" w:type="pct"/>
            <w:vAlign w:val="center"/>
          </w:tcPr>
          <w:p w14:paraId="6BED2D3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03C5E292">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0.0055</w:t>
            </w:r>
          </w:p>
        </w:tc>
        <w:tc>
          <w:tcPr>
            <w:tcW w:w="488" w:type="pct"/>
            <w:vAlign w:val="center"/>
          </w:tcPr>
          <w:p w14:paraId="65A02C80">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0.0055</w:t>
            </w:r>
          </w:p>
        </w:tc>
      </w:tr>
      <w:tr w14:paraId="7CBE45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525CB7A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3620045F">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SS</w:t>
            </w:r>
          </w:p>
        </w:tc>
        <w:tc>
          <w:tcPr>
            <w:tcW w:w="603" w:type="pct"/>
            <w:vAlign w:val="center"/>
          </w:tcPr>
          <w:p w14:paraId="7249903C">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08CFCDE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69DF200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602E5D93">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0.0010</w:t>
            </w:r>
          </w:p>
        </w:tc>
        <w:tc>
          <w:tcPr>
            <w:tcW w:w="625" w:type="pct"/>
            <w:vAlign w:val="center"/>
          </w:tcPr>
          <w:p w14:paraId="67509F33">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70E669BF">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0.0010</w:t>
            </w:r>
          </w:p>
        </w:tc>
        <w:tc>
          <w:tcPr>
            <w:tcW w:w="488" w:type="pct"/>
            <w:vAlign w:val="center"/>
          </w:tcPr>
          <w:p w14:paraId="6280E98A">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0.0010</w:t>
            </w:r>
          </w:p>
        </w:tc>
      </w:tr>
      <w:tr w14:paraId="37B1C9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251DBEC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451B9E22">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NH</w:t>
            </w:r>
            <w:r>
              <w:rPr>
                <w:rFonts w:hint="default" w:ascii="Times New Roman" w:hAnsi="Times New Roman" w:cs="Times New Roman" w:eastAsiaTheme="minorEastAsia"/>
                <w:i w:val="0"/>
                <w:iCs w:val="0"/>
                <w:color w:val="auto"/>
                <w:kern w:val="0"/>
                <w:sz w:val="21"/>
                <w:szCs w:val="21"/>
                <w:highlight w:val="none"/>
                <w:u w:val="none"/>
                <w:vertAlign w:val="subscript"/>
                <w:lang w:val="en-US" w:eastAsia="zh-CN" w:bidi="ar"/>
              </w:rPr>
              <w:t>3</w:t>
            </w:r>
            <w:r>
              <w:rPr>
                <w:rFonts w:hint="default" w:ascii="Times New Roman" w:hAnsi="Times New Roman" w:cs="Times New Roman" w:eastAsiaTheme="minorEastAsia"/>
                <w:i w:val="0"/>
                <w:iCs w:val="0"/>
                <w:color w:val="auto"/>
                <w:kern w:val="0"/>
                <w:sz w:val="21"/>
                <w:szCs w:val="21"/>
                <w:highlight w:val="none"/>
                <w:u w:val="none"/>
                <w:lang w:val="en-US" w:eastAsia="zh-CN" w:bidi="ar"/>
              </w:rPr>
              <w:t>-N</w:t>
            </w:r>
          </w:p>
        </w:tc>
        <w:tc>
          <w:tcPr>
            <w:tcW w:w="603" w:type="pct"/>
            <w:vAlign w:val="center"/>
          </w:tcPr>
          <w:p w14:paraId="7715230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536F066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1AABAD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3D193A6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c>
          <w:tcPr>
            <w:tcW w:w="625" w:type="pct"/>
            <w:vAlign w:val="center"/>
          </w:tcPr>
          <w:p w14:paraId="33F4176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69634860">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c>
          <w:tcPr>
            <w:tcW w:w="488" w:type="pct"/>
            <w:vAlign w:val="center"/>
          </w:tcPr>
          <w:p w14:paraId="2E9DED19">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7B8AFB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35244A5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5277E2A9">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石油类</w:t>
            </w:r>
          </w:p>
        </w:tc>
        <w:tc>
          <w:tcPr>
            <w:tcW w:w="603" w:type="pct"/>
            <w:vAlign w:val="center"/>
          </w:tcPr>
          <w:p w14:paraId="485D79D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525A7CC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2020FB7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77F55380">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0.00010</w:t>
            </w:r>
          </w:p>
        </w:tc>
        <w:tc>
          <w:tcPr>
            <w:tcW w:w="625" w:type="pct"/>
            <w:vAlign w:val="center"/>
          </w:tcPr>
          <w:p w14:paraId="2457A11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2F8C6D8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0.00010</w:t>
            </w:r>
          </w:p>
        </w:tc>
        <w:tc>
          <w:tcPr>
            <w:tcW w:w="488" w:type="pct"/>
            <w:vAlign w:val="center"/>
          </w:tcPr>
          <w:p w14:paraId="08B39D5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0.00010</w:t>
            </w:r>
          </w:p>
        </w:tc>
      </w:tr>
      <w:tr w14:paraId="18A23D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5A9A7DE7">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74273F07">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auto"/>
                <w:kern w:val="0"/>
                <w:sz w:val="21"/>
                <w:szCs w:val="21"/>
                <w:highlight w:val="none"/>
                <w:u w:val="none"/>
                <w:lang w:val="en-US" w:eastAsia="zh-CN" w:bidi="ar"/>
              </w:rPr>
              <w:t>LAS</w:t>
            </w:r>
          </w:p>
        </w:tc>
        <w:tc>
          <w:tcPr>
            <w:tcW w:w="603" w:type="pct"/>
            <w:vAlign w:val="center"/>
          </w:tcPr>
          <w:p w14:paraId="0222718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5D79575D">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F0C799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324C316A">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0.00012</w:t>
            </w:r>
          </w:p>
        </w:tc>
        <w:tc>
          <w:tcPr>
            <w:tcW w:w="625" w:type="pct"/>
            <w:vAlign w:val="center"/>
          </w:tcPr>
          <w:p w14:paraId="32E2D9D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05D86807">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0.00012</w:t>
            </w:r>
          </w:p>
        </w:tc>
        <w:tc>
          <w:tcPr>
            <w:tcW w:w="488" w:type="pct"/>
            <w:vAlign w:val="center"/>
          </w:tcPr>
          <w:p w14:paraId="78AD4F7F">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0.00012</w:t>
            </w:r>
          </w:p>
        </w:tc>
      </w:tr>
      <w:tr w14:paraId="6E00BA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1162BB27">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5AACB9FC">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总磷</w:t>
            </w:r>
          </w:p>
        </w:tc>
        <w:tc>
          <w:tcPr>
            <w:tcW w:w="603" w:type="pct"/>
            <w:shd w:val="clear" w:color="auto" w:fill="auto"/>
            <w:vAlign w:val="center"/>
          </w:tcPr>
          <w:p w14:paraId="4D42CC8F">
            <w:pPr>
              <w:pStyle w:val="59"/>
              <w:spacing w:beforeLines="0" w:afterLines="0" w:line="240" w:lineRule="auto"/>
              <w:jc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A79EC6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738482F7">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shd w:val="clear" w:color="auto" w:fill="auto"/>
            <w:vAlign w:val="center"/>
          </w:tcPr>
          <w:p w14:paraId="2554F171">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0.00002</w:t>
            </w:r>
          </w:p>
        </w:tc>
        <w:tc>
          <w:tcPr>
            <w:tcW w:w="625" w:type="pct"/>
            <w:shd w:val="clear" w:color="auto" w:fill="auto"/>
            <w:vAlign w:val="center"/>
          </w:tcPr>
          <w:p w14:paraId="491E9EA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625" w:type="pct"/>
            <w:shd w:val="clear" w:color="auto" w:fill="auto"/>
            <w:vAlign w:val="center"/>
          </w:tcPr>
          <w:p w14:paraId="46CD70C0">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0.00002</w:t>
            </w:r>
          </w:p>
        </w:tc>
        <w:tc>
          <w:tcPr>
            <w:tcW w:w="488" w:type="pct"/>
            <w:shd w:val="clear" w:color="auto" w:fill="auto"/>
            <w:vAlign w:val="center"/>
          </w:tcPr>
          <w:p w14:paraId="194DCF5B">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+0.00002</w:t>
            </w:r>
          </w:p>
        </w:tc>
      </w:tr>
      <w:tr w14:paraId="612A98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5265837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400DE05B">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总氮</w:t>
            </w:r>
          </w:p>
        </w:tc>
        <w:tc>
          <w:tcPr>
            <w:tcW w:w="603" w:type="pct"/>
            <w:shd w:val="clear" w:color="auto" w:fill="auto"/>
            <w:vAlign w:val="center"/>
          </w:tcPr>
          <w:p w14:paraId="21022827">
            <w:pPr>
              <w:pStyle w:val="59"/>
              <w:spacing w:beforeLines="0" w:afterLines="0" w:line="240" w:lineRule="auto"/>
              <w:jc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759E72D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CC2CD9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shd w:val="clear" w:color="auto" w:fill="auto"/>
            <w:vAlign w:val="center"/>
          </w:tcPr>
          <w:p w14:paraId="62A53D83">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0.00032</w:t>
            </w:r>
          </w:p>
        </w:tc>
        <w:tc>
          <w:tcPr>
            <w:tcW w:w="625" w:type="pct"/>
            <w:shd w:val="clear" w:color="auto" w:fill="auto"/>
            <w:vAlign w:val="center"/>
          </w:tcPr>
          <w:p w14:paraId="33221CF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625" w:type="pct"/>
            <w:shd w:val="clear" w:color="auto" w:fill="auto"/>
            <w:vAlign w:val="center"/>
          </w:tcPr>
          <w:p w14:paraId="0F5CCFE2">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0.00032</w:t>
            </w:r>
          </w:p>
        </w:tc>
        <w:tc>
          <w:tcPr>
            <w:tcW w:w="488" w:type="pct"/>
            <w:shd w:val="clear" w:color="auto" w:fill="auto"/>
            <w:vAlign w:val="center"/>
          </w:tcPr>
          <w:p w14:paraId="3807705F">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+0.00032</w:t>
            </w:r>
          </w:p>
        </w:tc>
      </w:tr>
      <w:tr w14:paraId="3F197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091ED25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vAlign w:val="center"/>
          </w:tcPr>
          <w:p w14:paraId="54031979">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总有机碳</w:t>
            </w:r>
          </w:p>
        </w:tc>
        <w:tc>
          <w:tcPr>
            <w:tcW w:w="603" w:type="pct"/>
            <w:shd w:val="clear" w:color="auto" w:fill="auto"/>
            <w:vAlign w:val="center"/>
          </w:tcPr>
          <w:p w14:paraId="2888A1F9">
            <w:pPr>
              <w:pStyle w:val="59"/>
              <w:spacing w:beforeLines="0" w:afterLines="0" w:line="240" w:lineRule="auto"/>
              <w:jc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7C54349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BC0136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shd w:val="clear" w:color="auto" w:fill="auto"/>
            <w:vAlign w:val="center"/>
          </w:tcPr>
          <w:p w14:paraId="14BA7F34">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0.00713</w:t>
            </w:r>
          </w:p>
        </w:tc>
        <w:tc>
          <w:tcPr>
            <w:tcW w:w="625" w:type="pct"/>
            <w:shd w:val="clear" w:color="auto" w:fill="auto"/>
            <w:vAlign w:val="center"/>
          </w:tcPr>
          <w:p w14:paraId="5AC02EB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0</w:t>
            </w:r>
          </w:p>
        </w:tc>
        <w:tc>
          <w:tcPr>
            <w:tcW w:w="625" w:type="pct"/>
            <w:shd w:val="clear" w:color="auto" w:fill="auto"/>
            <w:vAlign w:val="center"/>
          </w:tcPr>
          <w:p w14:paraId="63F8ED26">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0.00713</w:t>
            </w:r>
          </w:p>
        </w:tc>
        <w:tc>
          <w:tcPr>
            <w:tcW w:w="488" w:type="pct"/>
            <w:shd w:val="clear" w:color="auto" w:fill="auto"/>
            <w:vAlign w:val="center"/>
          </w:tcPr>
          <w:p w14:paraId="4AE3E5F7">
            <w:pPr>
              <w:keepNext w:val="0"/>
              <w:keepLines w:val="0"/>
              <w:widowControl/>
              <w:suppressLineNumbers w:val="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+0.00713</w:t>
            </w:r>
          </w:p>
        </w:tc>
      </w:tr>
      <w:tr w14:paraId="2B3F7C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Align w:val="center"/>
          </w:tcPr>
          <w:p w14:paraId="44D74E7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生活垃圾</w:t>
            </w:r>
          </w:p>
        </w:tc>
        <w:tc>
          <w:tcPr>
            <w:tcW w:w="673" w:type="pct"/>
            <w:shd w:val="clear" w:color="auto" w:fill="auto"/>
            <w:vAlign w:val="center"/>
          </w:tcPr>
          <w:p w14:paraId="488C6EE7">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生活垃圾</w:t>
            </w:r>
          </w:p>
        </w:tc>
        <w:tc>
          <w:tcPr>
            <w:tcW w:w="603" w:type="pct"/>
            <w:vAlign w:val="center"/>
          </w:tcPr>
          <w:p w14:paraId="66C2C86D">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DD89AC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0A6AF14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42BF5667">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46</w:t>
            </w:r>
          </w:p>
        </w:tc>
        <w:tc>
          <w:tcPr>
            <w:tcW w:w="625" w:type="pct"/>
            <w:vAlign w:val="center"/>
          </w:tcPr>
          <w:p w14:paraId="7B9FEBA7">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3940B855">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46</w:t>
            </w:r>
          </w:p>
        </w:tc>
        <w:tc>
          <w:tcPr>
            <w:tcW w:w="488" w:type="pct"/>
            <w:vAlign w:val="center"/>
          </w:tcPr>
          <w:p w14:paraId="4698FF4F">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+46</w:t>
            </w:r>
          </w:p>
        </w:tc>
      </w:tr>
      <w:tr w14:paraId="595117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restart"/>
            <w:vAlign w:val="center"/>
          </w:tcPr>
          <w:p w14:paraId="26EE6AC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一般工业</w:t>
            </w:r>
          </w:p>
          <w:p w14:paraId="6D418C2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固体废物</w:t>
            </w:r>
          </w:p>
        </w:tc>
        <w:tc>
          <w:tcPr>
            <w:tcW w:w="673" w:type="pct"/>
            <w:shd w:val="clear" w:color="auto" w:fill="auto"/>
            <w:vAlign w:val="center"/>
          </w:tcPr>
          <w:p w14:paraId="72255A13">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一般废原料包装</w:t>
            </w:r>
          </w:p>
        </w:tc>
        <w:tc>
          <w:tcPr>
            <w:tcW w:w="603" w:type="pct"/>
            <w:vAlign w:val="center"/>
          </w:tcPr>
          <w:p w14:paraId="0946804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76E981D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058E4D7C">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036DD2A4">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0.0017</w:t>
            </w:r>
          </w:p>
        </w:tc>
        <w:tc>
          <w:tcPr>
            <w:tcW w:w="625" w:type="pct"/>
            <w:vAlign w:val="center"/>
          </w:tcPr>
          <w:p w14:paraId="5076DC9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1F18ABC0">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0.0017</w:t>
            </w:r>
          </w:p>
        </w:tc>
        <w:tc>
          <w:tcPr>
            <w:tcW w:w="488" w:type="pct"/>
            <w:vAlign w:val="center"/>
          </w:tcPr>
          <w:p w14:paraId="42014A10">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+0.0017</w:t>
            </w:r>
          </w:p>
        </w:tc>
      </w:tr>
      <w:tr w14:paraId="752A2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6759F3D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7B9B2D16">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不合格品</w:t>
            </w:r>
          </w:p>
        </w:tc>
        <w:tc>
          <w:tcPr>
            <w:tcW w:w="603" w:type="pct"/>
            <w:vAlign w:val="center"/>
          </w:tcPr>
          <w:p w14:paraId="3F9D427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7BA9DD1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5B9D6DE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09DE7934">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2000件/年</w:t>
            </w:r>
          </w:p>
        </w:tc>
        <w:tc>
          <w:tcPr>
            <w:tcW w:w="625" w:type="pct"/>
            <w:vAlign w:val="center"/>
          </w:tcPr>
          <w:p w14:paraId="52E8817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016FC349">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2000件/年</w:t>
            </w:r>
          </w:p>
        </w:tc>
        <w:tc>
          <w:tcPr>
            <w:tcW w:w="488" w:type="pct"/>
            <w:vAlign w:val="center"/>
          </w:tcPr>
          <w:p w14:paraId="6A58111C">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+2000件/年</w:t>
            </w:r>
          </w:p>
        </w:tc>
      </w:tr>
      <w:tr w14:paraId="13E605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135ABF9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7E0AC264">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边角料</w:t>
            </w:r>
          </w:p>
        </w:tc>
        <w:tc>
          <w:tcPr>
            <w:tcW w:w="603" w:type="pct"/>
            <w:vAlign w:val="center"/>
          </w:tcPr>
          <w:p w14:paraId="25FF665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6625F2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B9B6333">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2A052DE3">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1.5</w:t>
            </w:r>
          </w:p>
        </w:tc>
        <w:tc>
          <w:tcPr>
            <w:tcW w:w="625" w:type="pct"/>
            <w:vAlign w:val="center"/>
          </w:tcPr>
          <w:p w14:paraId="211EE41C">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62F6E692">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1.5</w:t>
            </w:r>
          </w:p>
        </w:tc>
        <w:tc>
          <w:tcPr>
            <w:tcW w:w="488" w:type="pct"/>
            <w:vAlign w:val="center"/>
          </w:tcPr>
          <w:p w14:paraId="623E92BC">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+1.5</w:t>
            </w:r>
          </w:p>
        </w:tc>
      </w:tr>
      <w:tr w14:paraId="452FD1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1AF3B35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2C5B8645">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废渣</w:t>
            </w:r>
          </w:p>
        </w:tc>
        <w:tc>
          <w:tcPr>
            <w:tcW w:w="603" w:type="pct"/>
            <w:vAlign w:val="center"/>
          </w:tcPr>
          <w:p w14:paraId="1B2655C5">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54579D3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B1D9840">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790AE841">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3.667</w:t>
            </w:r>
          </w:p>
        </w:tc>
        <w:tc>
          <w:tcPr>
            <w:tcW w:w="625" w:type="pct"/>
            <w:vAlign w:val="center"/>
          </w:tcPr>
          <w:p w14:paraId="0BA5E27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625" w:type="pct"/>
            <w:vAlign w:val="center"/>
          </w:tcPr>
          <w:p w14:paraId="47AEEB4D">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3.667</w:t>
            </w:r>
          </w:p>
        </w:tc>
        <w:tc>
          <w:tcPr>
            <w:tcW w:w="488" w:type="pct"/>
            <w:vAlign w:val="center"/>
          </w:tcPr>
          <w:p w14:paraId="0601E71A">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+3.667</w:t>
            </w:r>
          </w:p>
        </w:tc>
      </w:tr>
      <w:tr w14:paraId="77BBF7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tcBorders>
              <w:bottom w:val="single" w:color="000000" w:sz="2" w:space="0"/>
            </w:tcBorders>
            <w:vAlign w:val="center"/>
          </w:tcPr>
          <w:p w14:paraId="3A8834A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5E47C4A2">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纯水制备系统废弃物</w:t>
            </w:r>
          </w:p>
        </w:tc>
        <w:tc>
          <w:tcPr>
            <w:tcW w:w="603" w:type="pct"/>
            <w:vAlign w:val="center"/>
          </w:tcPr>
          <w:p w14:paraId="1BDA811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993486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4D1CD0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5F23D1A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c>
          <w:tcPr>
            <w:tcW w:w="625" w:type="pct"/>
            <w:vAlign w:val="center"/>
          </w:tcPr>
          <w:p w14:paraId="0BB5101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15F2F1D0">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c>
          <w:tcPr>
            <w:tcW w:w="488" w:type="pct"/>
            <w:vAlign w:val="center"/>
          </w:tcPr>
          <w:p w14:paraId="3D5EBAA8">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r>
      <w:tr w14:paraId="142E1C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restart"/>
            <w:tcBorders>
              <w:top w:val="single" w:color="000000" w:sz="2" w:space="0"/>
            </w:tcBorders>
            <w:vAlign w:val="center"/>
          </w:tcPr>
          <w:p w14:paraId="47F2CD1F">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危险废物</w:t>
            </w:r>
          </w:p>
        </w:tc>
        <w:tc>
          <w:tcPr>
            <w:tcW w:w="673" w:type="pct"/>
            <w:shd w:val="clear" w:color="auto" w:fill="auto"/>
            <w:vAlign w:val="center"/>
          </w:tcPr>
          <w:p w14:paraId="0F0F3DFB">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废含油抹布手套</w:t>
            </w:r>
          </w:p>
        </w:tc>
        <w:tc>
          <w:tcPr>
            <w:tcW w:w="603" w:type="pct"/>
            <w:vAlign w:val="center"/>
          </w:tcPr>
          <w:p w14:paraId="78BF571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448" w:type="pct"/>
            <w:vAlign w:val="center"/>
          </w:tcPr>
          <w:p w14:paraId="4CE5F389">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603" w:type="pct"/>
            <w:vAlign w:val="center"/>
          </w:tcPr>
          <w:p w14:paraId="457BED6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551" w:type="pct"/>
            <w:vAlign w:val="center"/>
          </w:tcPr>
          <w:p w14:paraId="3296AB0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0.05</w:t>
            </w:r>
          </w:p>
        </w:tc>
        <w:tc>
          <w:tcPr>
            <w:tcW w:w="625" w:type="pct"/>
            <w:vAlign w:val="center"/>
          </w:tcPr>
          <w:p w14:paraId="5290151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625" w:type="pct"/>
            <w:vAlign w:val="center"/>
          </w:tcPr>
          <w:p w14:paraId="56EB05F5">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0.05</w:t>
            </w:r>
          </w:p>
        </w:tc>
        <w:tc>
          <w:tcPr>
            <w:tcW w:w="488" w:type="pct"/>
            <w:vAlign w:val="center"/>
          </w:tcPr>
          <w:p w14:paraId="2F3FD1DF">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+0.05</w:t>
            </w:r>
          </w:p>
        </w:tc>
      </w:tr>
      <w:tr w14:paraId="4D2DCF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1EC89D1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7ED545EF">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废机油</w:t>
            </w:r>
          </w:p>
        </w:tc>
        <w:tc>
          <w:tcPr>
            <w:tcW w:w="603" w:type="pct"/>
            <w:vAlign w:val="center"/>
          </w:tcPr>
          <w:p w14:paraId="61CE33C3">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38858C0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39A87B02">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7733AA07">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c>
          <w:tcPr>
            <w:tcW w:w="625" w:type="pct"/>
            <w:vAlign w:val="center"/>
          </w:tcPr>
          <w:p w14:paraId="147E288E">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4DD0EBAC">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c>
          <w:tcPr>
            <w:tcW w:w="488" w:type="pct"/>
            <w:vAlign w:val="center"/>
          </w:tcPr>
          <w:p w14:paraId="46C03CD3">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+0.2</w:t>
            </w:r>
          </w:p>
        </w:tc>
      </w:tr>
      <w:tr w14:paraId="2EC4ED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47DA36D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3B95772A">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废UV灯管</w:t>
            </w:r>
          </w:p>
        </w:tc>
        <w:tc>
          <w:tcPr>
            <w:tcW w:w="603" w:type="pct"/>
            <w:shd w:val="clear" w:color="auto" w:fill="auto"/>
            <w:vAlign w:val="center"/>
          </w:tcPr>
          <w:p w14:paraId="55BE0FE7">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0</w:t>
            </w:r>
          </w:p>
        </w:tc>
        <w:tc>
          <w:tcPr>
            <w:tcW w:w="448" w:type="pct"/>
            <w:shd w:val="clear" w:color="auto" w:fill="auto"/>
            <w:vAlign w:val="center"/>
          </w:tcPr>
          <w:p w14:paraId="7409414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0</w:t>
            </w:r>
          </w:p>
        </w:tc>
        <w:tc>
          <w:tcPr>
            <w:tcW w:w="603" w:type="pct"/>
            <w:shd w:val="clear" w:color="auto" w:fill="auto"/>
            <w:vAlign w:val="center"/>
          </w:tcPr>
          <w:p w14:paraId="1D3B20D3">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0</w:t>
            </w:r>
          </w:p>
        </w:tc>
        <w:tc>
          <w:tcPr>
            <w:tcW w:w="551" w:type="pct"/>
            <w:shd w:val="clear" w:color="auto" w:fill="auto"/>
            <w:vAlign w:val="center"/>
          </w:tcPr>
          <w:p w14:paraId="568F97C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0.0024</w:t>
            </w:r>
          </w:p>
        </w:tc>
        <w:tc>
          <w:tcPr>
            <w:tcW w:w="625" w:type="pct"/>
            <w:shd w:val="clear" w:color="auto" w:fill="auto"/>
            <w:vAlign w:val="center"/>
          </w:tcPr>
          <w:p w14:paraId="09D8D28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0</w:t>
            </w:r>
          </w:p>
        </w:tc>
        <w:tc>
          <w:tcPr>
            <w:tcW w:w="625" w:type="pct"/>
            <w:shd w:val="clear" w:color="auto" w:fill="auto"/>
            <w:vAlign w:val="center"/>
          </w:tcPr>
          <w:p w14:paraId="4641FD66">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0.0024</w:t>
            </w:r>
          </w:p>
        </w:tc>
        <w:tc>
          <w:tcPr>
            <w:tcW w:w="488" w:type="pct"/>
            <w:shd w:val="clear" w:color="auto" w:fill="auto"/>
            <w:vAlign w:val="center"/>
          </w:tcPr>
          <w:p w14:paraId="0604537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+0.0024</w:t>
            </w:r>
          </w:p>
        </w:tc>
      </w:tr>
      <w:tr w14:paraId="16EE58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47579466">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58925DC3">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危险性废原料包装</w:t>
            </w:r>
          </w:p>
        </w:tc>
        <w:tc>
          <w:tcPr>
            <w:tcW w:w="603" w:type="pct"/>
            <w:vAlign w:val="center"/>
          </w:tcPr>
          <w:p w14:paraId="42710C81">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448" w:type="pct"/>
            <w:vAlign w:val="center"/>
          </w:tcPr>
          <w:p w14:paraId="0CBBC28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03" w:type="pct"/>
            <w:vAlign w:val="center"/>
          </w:tcPr>
          <w:p w14:paraId="1388C9EB">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551" w:type="pct"/>
            <w:vAlign w:val="center"/>
          </w:tcPr>
          <w:p w14:paraId="4BDBDDCD">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0.788</w:t>
            </w:r>
          </w:p>
        </w:tc>
        <w:tc>
          <w:tcPr>
            <w:tcW w:w="625" w:type="pct"/>
            <w:vAlign w:val="center"/>
          </w:tcPr>
          <w:p w14:paraId="1F61BF7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0</w:t>
            </w:r>
          </w:p>
        </w:tc>
        <w:tc>
          <w:tcPr>
            <w:tcW w:w="625" w:type="pct"/>
            <w:vAlign w:val="center"/>
          </w:tcPr>
          <w:p w14:paraId="15FFA021">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0.788</w:t>
            </w:r>
          </w:p>
        </w:tc>
        <w:tc>
          <w:tcPr>
            <w:tcW w:w="488" w:type="pct"/>
            <w:vAlign w:val="center"/>
          </w:tcPr>
          <w:p w14:paraId="7EFF0885">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+0.788</w:t>
            </w:r>
          </w:p>
        </w:tc>
      </w:tr>
      <w:tr w14:paraId="04F449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3A697AA8">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p>
        </w:tc>
        <w:tc>
          <w:tcPr>
            <w:tcW w:w="673" w:type="pct"/>
            <w:shd w:val="clear" w:color="auto" w:fill="auto"/>
            <w:vAlign w:val="center"/>
          </w:tcPr>
          <w:p w14:paraId="342521D7">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废活性炭</w:t>
            </w:r>
          </w:p>
        </w:tc>
        <w:tc>
          <w:tcPr>
            <w:tcW w:w="603" w:type="pct"/>
            <w:vAlign w:val="center"/>
          </w:tcPr>
          <w:p w14:paraId="1513307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448" w:type="pct"/>
            <w:vAlign w:val="center"/>
          </w:tcPr>
          <w:p w14:paraId="26B9431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603" w:type="pct"/>
            <w:vAlign w:val="center"/>
          </w:tcPr>
          <w:p w14:paraId="73DD261A">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551" w:type="pct"/>
            <w:vAlign w:val="center"/>
          </w:tcPr>
          <w:p w14:paraId="203EFA20">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eastAsia" w:cs="Times New Roman"/>
                <w:i w:val="0"/>
                <w:iCs w:val="0"/>
                <w:color w:val="auto"/>
                <w:kern w:val="0"/>
                <w:sz w:val="21"/>
                <w:szCs w:val="21"/>
                <w:highlight w:val="none"/>
                <w:u w:val="none"/>
                <w:lang w:val="en-US" w:eastAsia="zh-CN" w:bidi="ar"/>
              </w:rPr>
              <w:t>16.264</w:t>
            </w:r>
          </w:p>
        </w:tc>
        <w:tc>
          <w:tcPr>
            <w:tcW w:w="625" w:type="pct"/>
            <w:vAlign w:val="center"/>
          </w:tcPr>
          <w:p w14:paraId="0598C6E4">
            <w:pPr>
              <w:pStyle w:val="59"/>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0</w:t>
            </w:r>
          </w:p>
        </w:tc>
        <w:tc>
          <w:tcPr>
            <w:tcW w:w="625" w:type="pct"/>
            <w:vAlign w:val="center"/>
          </w:tcPr>
          <w:p w14:paraId="714E127B">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rPr>
            </w:pPr>
            <w:r>
              <w:rPr>
                <w:rFonts w:hint="eastAsia" w:cs="Times New Roman"/>
                <w:i w:val="0"/>
                <w:iCs w:val="0"/>
                <w:color w:val="auto"/>
                <w:kern w:val="0"/>
                <w:sz w:val="21"/>
                <w:szCs w:val="21"/>
                <w:highlight w:val="none"/>
                <w:u w:val="none"/>
                <w:lang w:val="en-US" w:eastAsia="zh-CN" w:bidi="ar"/>
              </w:rPr>
              <w:t>16.264</w:t>
            </w:r>
          </w:p>
        </w:tc>
        <w:tc>
          <w:tcPr>
            <w:tcW w:w="488" w:type="pct"/>
            <w:vAlign w:val="center"/>
          </w:tcPr>
          <w:p w14:paraId="32CAC7D9">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16.264</w:t>
            </w:r>
          </w:p>
        </w:tc>
      </w:tr>
    </w:tbl>
    <w:p w14:paraId="30E99214">
      <w:pPr>
        <w:pStyle w:val="59"/>
        <w:spacing w:before="192" w:beforeLines="80" w:after="24"/>
        <w:jc w:val="left"/>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66797BFD">
      <w:pPr>
        <w:rPr>
          <w:rFonts w:hint="default" w:ascii="Times New Roman" w:hAnsi="Times New Roman" w:cs="Times New Roman"/>
          <w:color w:val="auto"/>
          <w:highlight w:val="none"/>
        </w:rPr>
        <w:sectPr>
          <w:pgSz w:w="16838" w:h="11906" w:orient="landscape"/>
          <w:pgMar w:top="1418" w:right="1418" w:bottom="1418" w:left="1418" w:header="851" w:footer="851" w:gutter="0"/>
          <w:pgBorders>
            <w:top w:val="none" w:sz="0" w:space="0"/>
            <w:left w:val="none" w:sz="0" w:space="0"/>
            <w:bottom w:val="none" w:sz="0" w:space="0"/>
            <w:right w:val="none" w:sz="0" w:space="0"/>
          </w:pgBorders>
          <w:pgNumType w:fmt="decimal"/>
          <w:cols w:space="720" w:num="1"/>
          <w:docGrid w:linePitch="312" w:charSpace="0"/>
        </w:sectPr>
      </w:pPr>
    </w:p>
    <w:p w14:paraId="457A80D4">
      <w:pPr>
        <w:pStyle w:val="7"/>
        <w:spacing w:before="0" w:beforeAutospacing="0" w:after="0" w:afterAutospacing="0"/>
        <w:jc w:val="left"/>
        <w:rPr>
          <w:rFonts w:hint="default" w:ascii="Times New Roman" w:hAnsi="Times New Roman" w:cs="Times New Roman"/>
          <w:color w:val="auto"/>
          <w:sz w:val="24"/>
          <w:highlight w:val="none"/>
        </w:rPr>
      </w:pPr>
      <w:bookmarkStart w:id="39" w:name="_Toc66354932"/>
      <w:bookmarkStart w:id="40" w:name="_Toc11023"/>
      <w:r>
        <w:rPr>
          <w:rFonts w:hint="default" w:ascii="Times New Roman" w:hAnsi="Times New Roman" w:cs="Times New Roman"/>
          <w:color w:val="auto"/>
          <w:sz w:val="24"/>
          <w:highlight w:val="none"/>
        </w:rPr>
        <w:t>附图1项目地理位置图</w:t>
      </w:r>
      <w:bookmarkEnd w:id="39"/>
      <w:bookmarkEnd w:id="40"/>
    </w:p>
    <w:p w14:paraId="32C0A189">
      <w:pPr>
        <w:jc w:val="center"/>
        <w:rPr>
          <w:rFonts w:hint="default" w:ascii="Times New Roman" w:hAnsi="Times New Roman" w:cs="Times New Roman"/>
          <w:color w:val="auto"/>
          <w:sz w:val="24"/>
          <w:highlight w:val="none"/>
        </w:rPr>
        <w:sectPr>
          <w:pgSz w:w="16840" w:h="11907"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cs="Times New Roman"/>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3382645</wp:posOffset>
                </wp:positionH>
                <wp:positionV relativeFrom="paragraph">
                  <wp:posOffset>1824990</wp:posOffset>
                </wp:positionV>
                <wp:extent cx="2384425" cy="741680"/>
                <wp:effectExtent l="0" t="24765" r="9525" b="25400"/>
                <wp:wrapNone/>
                <wp:docPr id="12" name="直接箭头连接符 12"/>
                <wp:cNvGraphicFramePr/>
                <a:graphic xmlns:a="http://schemas.openxmlformats.org/drawingml/2006/main">
                  <a:graphicData uri="http://schemas.microsoft.com/office/word/2010/wordprocessingShape">
                    <wps:wsp>
                      <wps:cNvCnPr/>
                      <wps:spPr>
                        <a:xfrm flipH="1" flipV="1">
                          <a:off x="2511425" y="2654935"/>
                          <a:ext cx="2384425" cy="7416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66.35pt;margin-top:143.7pt;height:58.4pt;width:187.75pt;z-index:251663360;mso-width-relative:page;mso-height-relative:page;" filled="f" stroked="t" coordsize="21600,21600" o:gfxdata="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Ex1YG2QAAAAsBAAAP&#10;AAAAAAAAAAEAIAAAACIAAABkcnMvZG93bnJldi54bWxQSwECFAAUAAAACACHTuJAdUJ47RcCAADv&#10;AwAADgAAAAAAAAABACAAAAAoAQAAZHJzL2Uyb0RvYy54bWxQSwUGAAAAAAYABgBZAQAAsQUAAAAA&#10;">
                <v:fill on="f" focussize="0,0"/>
                <v:stroke weight="2pt" color="#FF0000 [3204]" joinstyle="round"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81792" behindDoc="0" locked="0" layoutInCell="1" allowOverlap="1">
            <wp:simplePos x="0" y="0"/>
            <wp:positionH relativeFrom="column">
              <wp:posOffset>7928610</wp:posOffset>
            </wp:positionH>
            <wp:positionV relativeFrom="paragraph">
              <wp:posOffset>9525</wp:posOffset>
            </wp:positionV>
            <wp:extent cx="976630" cy="996950"/>
            <wp:effectExtent l="9525" t="9525" r="23495" b="22225"/>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4"/>
                    <a:stretch>
                      <a:fillRect/>
                    </a:stretch>
                  </pic:blipFill>
                  <pic:spPr>
                    <a:xfrm>
                      <a:off x="0" y="0"/>
                      <a:ext cx="976630" cy="996950"/>
                    </a:xfrm>
                    <a:prstGeom prst="rect">
                      <a:avLst/>
                    </a:prstGeom>
                    <a:noFill/>
                    <a:ln>
                      <a:solidFill>
                        <a:schemeClr val="tx1"/>
                      </a:solid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1922780</wp:posOffset>
                </wp:positionH>
                <wp:positionV relativeFrom="paragraph">
                  <wp:posOffset>1247775</wp:posOffset>
                </wp:positionV>
                <wp:extent cx="978535" cy="262890"/>
                <wp:effectExtent l="29845" t="4445" r="20320" b="266065"/>
                <wp:wrapNone/>
                <wp:docPr id="28" name="矩形标注 28"/>
                <wp:cNvGraphicFramePr/>
                <a:graphic xmlns:a="http://schemas.openxmlformats.org/drawingml/2006/main">
                  <a:graphicData uri="http://schemas.microsoft.com/office/word/2010/wordprocessingShape">
                    <wps:wsp>
                      <wps:cNvSpPr/>
                      <wps:spPr>
                        <a:xfrm>
                          <a:off x="0" y="0"/>
                          <a:ext cx="978535" cy="262890"/>
                        </a:xfrm>
                        <a:prstGeom prst="wedgeRectCallout">
                          <a:avLst>
                            <a:gd name="adj1" fmla="val -52595"/>
                            <a:gd name="adj2" fmla="val 146376"/>
                          </a:avLst>
                        </a:prstGeom>
                        <a:solidFill>
                          <a:schemeClr val="bg1">
                            <a:lumMod val="95000"/>
                          </a:schemeClr>
                        </a:solidFill>
                        <a:ln w="31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FF8FB89">
                            <w:pPr>
                              <w:jc w:val="center"/>
                              <w:rPr>
                                <w:rFonts w:hint="default" w:eastAsia="宋体"/>
                                <w:b/>
                                <w:bCs/>
                                <w:color w:val="FF0000"/>
                                <w:sz w:val="24"/>
                                <w:szCs w:val="32"/>
                                <w:lang w:val="en-US" w:eastAsia="zh-CN"/>
                              </w:rPr>
                            </w:pPr>
                            <w:r>
                              <w:rPr>
                                <w:rFonts w:hint="eastAsia"/>
                                <w:b/>
                                <w:bCs/>
                                <w:color w:val="FF0000"/>
                                <w:sz w:val="24"/>
                                <w:szCs w:val="32"/>
                                <w:lang w:val="en-US" w:eastAsia="zh-CN"/>
                              </w:rPr>
                              <w:t>项目位置</w:t>
                            </w:r>
                          </w:p>
                          <w:p w14:paraId="252E7F40">
                            <w:pPr>
                              <w:rPr>
                                <w:b/>
                                <w:bCs/>
                                <w:color w:val="FF0000"/>
                                <w:sz w:val="24"/>
                                <w:szCs w:val="32"/>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1.4pt;margin-top:98.25pt;height:20.7pt;width:77.05pt;z-index:251683840;v-text-anchor:middle;mso-width-relative:page;mso-height-relative:page;" fillcolor="#F2F2F2 [3052]" filled="t" stroked="t" coordsize="21600,21600" o:gfxdata="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G/VquvaAAAACwEAAA8AAAAAAAAAAQAg&#10;AAAAIgAAAGRycy9kb3ducmV2LnhtbFBLAQIUABQAAAAIAIdO4kDfIp5mtwIAAG8FAAAOAAAAAAAA&#10;AAEAIAAAACkBAABkcnMvZTJvRG9jLnhtbFBLBQYAAAAABgAGAFkBAABSBgAAAAA=&#10;" adj="-561,42417">
                <v:fill on="t" focussize="0,0"/>
                <v:stroke weight="0.25pt" color="#FF0000 [2404]" joinstyle="round"/>
                <v:imagedata o:title=""/>
                <o:lock v:ext="edit" aspectratio="f"/>
                <v:textbox>
                  <w:txbxContent>
                    <w:p w14:paraId="0FF8FB89">
                      <w:pPr>
                        <w:jc w:val="center"/>
                        <w:rPr>
                          <w:rFonts w:hint="default" w:eastAsia="宋体"/>
                          <w:b/>
                          <w:bCs/>
                          <w:color w:val="FF0000"/>
                          <w:sz w:val="24"/>
                          <w:szCs w:val="32"/>
                          <w:lang w:val="en-US" w:eastAsia="zh-CN"/>
                        </w:rPr>
                      </w:pPr>
                      <w:r>
                        <w:rPr>
                          <w:rFonts w:hint="eastAsia"/>
                          <w:b/>
                          <w:bCs/>
                          <w:color w:val="FF0000"/>
                          <w:sz w:val="24"/>
                          <w:szCs w:val="32"/>
                          <w:lang w:val="en-US" w:eastAsia="zh-CN"/>
                        </w:rPr>
                        <w:t>项目位置</w:t>
                      </w:r>
                    </w:p>
                    <w:p w14:paraId="252E7F40">
                      <w:pPr>
                        <w:rPr>
                          <w:b/>
                          <w:bCs/>
                          <w:color w:val="FF0000"/>
                          <w:sz w:val="24"/>
                          <w:szCs w:val="32"/>
                        </w:rPr>
                      </w:pP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1279525</wp:posOffset>
                </wp:positionH>
                <wp:positionV relativeFrom="paragraph">
                  <wp:posOffset>1755140</wp:posOffset>
                </wp:positionV>
                <wp:extent cx="673735" cy="190500"/>
                <wp:effectExtent l="4445" t="4445" r="7620" b="14605"/>
                <wp:wrapNone/>
                <wp:docPr id="22" name="矩形 22"/>
                <wp:cNvGraphicFramePr/>
                <a:graphic xmlns:a="http://schemas.openxmlformats.org/drawingml/2006/main">
                  <a:graphicData uri="http://schemas.microsoft.com/office/word/2010/wordprocessingShape">
                    <wps:wsp>
                      <wps:cNvSpPr/>
                      <wps:spPr>
                        <a:xfrm>
                          <a:off x="2179955" y="2672715"/>
                          <a:ext cx="673735" cy="190500"/>
                        </a:xfrm>
                        <a:prstGeom prst="rect">
                          <a:avLst/>
                        </a:pr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75pt;margin-top:138.2pt;height:15pt;width:53.05pt;z-index:251682816;v-text-anchor:middle;mso-width-relative:page;mso-height-relative:page;" filled="f" stroked="t" coordsize="21600,21600" o:gfxdata="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lBuNoAAAALAQAADwAAAAAAAAABACAAAAAiAAAAZHJzL2Rvd25yZXYu&#10;eG1sUEsBAhQAFAAAAAgAh07iQJGyMZBrAgAAwAQAAA4AAAAAAAAAAQAgAAAAKQEAAGRycy9lMm9E&#10;b2MueG1sUEsFBgAAAAAGAAYAWQEAAAYGAAAAAA==&#10;">
                <v:fill on="f" focussize="0,0"/>
                <v:stroke weight="0.5pt" color="#FF0000 [2404]"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5657850</wp:posOffset>
                </wp:positionH>
                <wp:positionV relativeFrom="paragraph">
                  <wp:posOffset>2476500</wp:posOffset>
                </wp:positionV>
                <wp:extent cx="119380" cy="119380"/>
                <wp:effectExtent l="12700" t="12700" r="20320" b="20320"/>
                <wp:wrapNone/>
                <wp:docPr id="20" name="椭圆 20"/>
                <wp:cNvGraphicFramePr/>
                <a:graphic xmlns:a="http://schemas.openxmlformats.org/drawingml/2006/main">
                  <a:graphicData uri="http://schemas.microsoft.com/office/word/2010/wordprocessingShape">
                    <wps:wsp>
                      <wps:cNvSpPr/>
                      <wps:spPr>
                        <a:xfrm>
                          <a:off x="6546850" y="3474085"/>
                          <a:ext cx="119380" cy="11938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5.5pt;margin-top:195pt;height:9.4pt;width:9.4pt;z-index:251680768;v-text-anchor:middle;mso-width-relative:page;mso-height-relative:page;" fillcolor="#FF0000" filled="t" stroked="t" coordsize="21600,21600" o:gfxdata="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1r7NfZAAAACwEAAA8AAAAAAAAAAQAgAAAAIgAAAGRycy9kb3du&#10;cmV2LnhtbFBLAQIUABQAAAAIAIdO4kDl1U3PcAIAAO0EAAAOAAAAAAAAAAEAIAAAACgBAABkcnMv&#10;ZTJvRG9jLnhtbFBLBQYAAAAABgAGAFkBAAAKBgAAAAA=&#10;">
                <v:fill on="t" focussize="0,0"/>
                <v:stroke weight="2pt" color="#000000 [3213]" joinstyle="round"/>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5837555</wp:posOffset>
                </wp:positionH>
                <wp:positionV relativeFrom="paragraph">
                  <wp:posOffset>2295525</wp:posOffset>
                </wp:positionV>
                <wp:extent cx="1226185" cy="320040"/>
                <wp:effectExtent l="95885" t="4445" r="11430" b="18415"/>
                <wp:wrapNone/>
                <wp:docPr id="19" name="矩形标注 19"/>
                <wp:cNvGraphicFramePr/>
                <a:graphic xmlns:a="http://schemas.openxmlformats.org/drawingml/2006/main">
                  <a:graphicData uri="http://schemas.microsoft.com/office/word/2010/wordprocessingShape">
                    <wps:wsp>
                      <wps:cNvSpPr/>
                      <wps:spPr>
                        <a:xfrm>
                          <a:off x="7142480" y="2688590"/>
                          <a:ext cx="1226185" cy="320040"/>
                        </a:xfrm>
                        <a:prstGeom prst="wedgeRectCallout">
                          <a:avLst>
                            <a:gd name="adj1" fmla="val -57457"/>
                            <a:gd name="adj2" fmla="val 44929"/>
                          </a:avLst>
                        </a:prstGeom>
                        <a:solidFill>
                          <a:schemeClr val="bg1">
                            <a:lumMod val="95000"/>
                          </a:schemeClr>
                        </a:solidFill>
                        <a:ln w="31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C0D808D">
                            <w:pPr>
                              <w:jc w:val="center"/>
                              <w:rPr>
                                <w:rFonts w:hint="default" w:eastAsia="宋体"/>
                                <w:b/>
                                <w:bCs/>
                                <w:color w:val="FF0000"/>
                                <w:sz w:val="24"/>
                                <w:szCs w:val="32"/>
                                <w:lang w:val="en-US" w:eastAsia="zh-CN"/>
                              </w:rPr>
                            </w:pPr>
                            <w:r>
                              <w:rPr>
                                <w:rFonts w:hint="eastAsia"/>
                                <w:b/>
                                <w:bCs/>
                                <w:color w:val="FF0000"/>
                                <w:sz w:val="24"/>
                                <w:szCs w:val="32"/>
                                <w:lang w:val="en-US" w:eastAsia="zh-CN"/>
                              </w:rPr>
                              <w:t>项目位置</w:t>
                            </w:r>
                          </w:p>
                          <w:p w14:paraId="1C8321E5">
                            <w:pPr>
                              <w:rPr>
                                <w:b/>
                                <w:bCs/>
                                <w:color w:val="FF0000"/>
                                <w:sz w:val="24"/>
                                <w:szCs w:val="32"/>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9.65pt;margin-top:180.75pt;height:25.2pt;width:96.55pt;z-index:251679744;v-text-anchor:middle;mso-width-relative:page;mso-height-relative:page;" fillcolor="#F2F2F2 [3052]" filled="t" stroked="t" coordsize="21600,21600" o:gfxdata="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86ndU2gAAAAwB&#10;AAAPAAAAAAAAAAEAIAAAACIAAABkcnMvZG93bnJldi54bWxQSwECFAAUAAAACACHTuJAYfNedcQC&#10;AAB7BQAADgAAAAAAAAABACAAAAApAQAAZHJzL2Uyb0RvYy54bWxQSwUGAAAAAAYABgBZAQAAXwYA&#10;AAAA&#10;" adj="-1611,20505">
                <v:fill on="t" focussize="0,0"/>
                <v:stroke weight="0.25pt" color="#FF0000 [2404]" joinstyle="round"/>
                <v:imagedata o:title=""/>
                <o:lock v:ext="edit" aspectratio="f"/>
                <v:textbox>
                  <w:txbxContent>
                    <w:p w14:paraId="4C0D808D">
                      <w:pPr>
                        <w:jc w:val="center"/>
                        <w:rPr>
                          <w:rFonts w:hint="default" w:eastAsia="宋体"/>
                          <w:b/>
                          <w:bCs/>
                          <w:color w:val="FF0000"/>
                          <w:sz w:val="24"/>
                          <w:szCs w:val="32"/>
                          <w:lang w:val="en-US" w:eastAsia="zh-CN"/>
                        </w:rPr>
                      </w:pPr>
                      <w:r>
                        <w:rPr>
                          <w:rFonts w:hint="eastAsia"/>
                          <w:b/>
                          <w:bCs/>
                          <w:color w:val="FF0000"/>
                          <w:sz w:val="24"/>
                          <w:szCs w:val="32"/>
                          <w:lang w:val="en-US" w:eastAsia="zh-CN"/>
                        </w:rPr>
                        <w:t>项目位置</w:t>
                      </w:r>
                    </w:p>
                    <w:p w14:paraId="1C8321E5">
                      <w:pPr>
                        <w:rPr>
                          <w:b/>
                          <w:bCs/>
                          <w:color w:val="FF0000"/>
                          <w:sz w:val="24"/>
                          <w:szCs w:val="32"/>
                        </w:rPr>
                      </w:pPr>
                    </w:p>
                  </w:txbxContent>
                </v:textbox>
              </v:shape>
            </w:pict>
          </mc:Fallback>
        </mc:AlternateContent>
      </w:r>
      <w:r>
        <w:rPr>
          <w:rFonts w:hint="default" w:ascii="Times New Roman" w:hAnsi="Times New Roman" w:cs="Times New Roman"/>
          <w:color w:val="auto"/>
          <w:highlight w:val="none"/>
        </w:rPr>
        <mc:AlternateContent>
          <mc:Choice Requires="wpg">
            <w:drawing>
              <wp:anchor distT="0" distB="0" distL="114300" distR="114300" simplePos="0" relativeHeight="251662336" behindDoc="0" locked="0" layoutInCell="1" allowOverlap="1">
                <wp:simplePos x="0" y="0"/>
                <wp:positionH relativeFrom="column">
                  <wp:posOffset>1843405</wp:posOffset>
                </wp:positionH>
                <wp:positionV relativeFrom="paragraph">
                  <wp:posOffset>1079500</wp:posOffset>
                </wp:positionV>
                <wp:extent cx="1061085" cy="693420"/>
                <wp:effectExtent l="0" t="0" r="0" b="12065"/>
                <wp:wrapNone/>
                <wp:docPr id="48" name="组合 48"/>
                <wp:cNvGraphicFramePr/>
                <a:graphic xmlns:a="http://schemas.openxmlformats.org/drawingml/2006/main">
                  <a:graphicData uri="http://schemas.microsoft.com/office/word/2010/wordprocessingGroup">
                    <wpg:wgp>
                      <wpg:cNvGrpSpPr/>
                      <wpg:grpSpPr>
                        <a:xfrm>
                          <a:off x="0" y="0"/>
                          <a:ext cx="1061085" cy="693419"/>
                          <a:chOff x="0" y="0"/>
                          <a:chExt cx="1061085" cy="693419"/>
                        </a:xfrm>
                      </wpg:grpSpPr>
                      <wpg:grpSp>
                        <wpg:cNvPr id="49" name="组合 49"/>
                        <wpg:cNvGrpSpPr/>
                        <wpg:grpSpPr>
                          <a:xfrm>
                            <a:off x="0" y="260350"/>
                            <a:ext cx="931518" cy="433069"/>
                            <a:chOff x="0" y="0"/>
                            <a:chExt cx="931518" cy="433069"/>
                          </a:xfrm>
                        </wpg:grpSpPr>
                        <wps:wsp>
                          <wps:cNvPr id="54" name="椭圆 54"/>
                          <wps:cNvSpPr/>
                          <wps:spPr>
                            <a:xfrm>
                              <a:off x="0" y="387350"/>
                              <a:ext cx="45719" cy="45719"/>
                            </a:xfrm>
                            <a:prstGeom prst="ellipse">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4" name="直接连接符 64"/>
                          <wps:cNvCnPr/>
                          <wps:spPr>
                            <a:xfrm flipV="1">
                              <a:off x="50800" y="0"/>
                              <a:ext cx="381635" cy="400050"/>
                            </a:xfrm>
                            <a:prstGeom prst="line">
                              <a:avLst/>
                            </a:prstGeom>
                          </wps:spPr>
                          <wps:style>
                            <a:lnRef idx="1">
                              <a:schemeClr val="dk1"/>
                            </a:lnRef>
                            <a:fillRef idx="0">
                              <a:schemeClr val="dk1"/>
                            </a:fillRef>
                            <a:effectRef idx="0">
                              <a:schemeClr val="dk1"/>
                            </a:effectRef>
                            <a:fontRef idx="minor">
                              <a:schemeClr val="tx1"/>
                            </a:fontRef>
                          </wps:style>
                          <wps:bodyPr/>
                        </wps:wsp>
                        <wps:wsp>
                          <wps:cNvPr id="66" name="直接连接符 66"/>
                          <wps:cNvCnPr/>
                          <wps:spPr>
                            <a:xfrm>
                              <a:off x="425450" y="6350"/>
                              <a:ext cx="506068"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7" name="文本框 67"/>
                        <wps:cNvSpPr txBox="1"/>
                        <wps:spPr>
                          <a:xfrm>
                            <a:off x="311150" y="0"/>
                            <a:ext cx="749935" cy="248285"/>
                          </a:xfrm>
                          <a:prstGeom prst="rect">
                            <a:avLst/>
                          </a:prstGeom>
                          <a:noFill/>
                          <a:ln w="6350">
                            <a:noFill/>
                          </a:ln>
                        </wps:spPr>
                        <wps:txbx>
                          <w:txbxContent>
                            <w:p w14:paraId="39CCFEF0">
                              <w:pP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5.15pt;margin-top:85pt;height:54.6pt;width:83.55pt;z-index:251662336;mso-width-relative:page;mso-height-relative:page;" coordsize="1061085,693419" o:gfxdata="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">
                <o:lock v:ext="edit" aspectratio="f"/>
                <v:group id="_x0000_s1026" o:spid="_x0000_s1026" o:spt="203" style="position:absolute;left:0;top:260350;height:433069;width:931518;" coordsize="931518,433069"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shape id="_x0000_s1026" o:spid="_x0000_s1026" o:spt="3" type="#_x0000_t3" style="position:absolute;left:0;top:387350;height:45719;width:45719;v-text-anchor:middle;" fillcolor="#FF0000" filled="t" stroked="t" coordsize="21600,21600" o:gfxdata="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Gsor4A&#10;AADbAAAADwAAAAAAAAABACAAAAAiAAAAZHJzL2Rvd25yZXYueG1sUEsBAhQAFAAAAAgAh07iQDMv&#10;BZ47AAAAOQAAABAAAAAAAAAAAQAgAAAADQEAAGRycy9zaGFwZXhtbC54bWxQSwUGAAAAAAYABgBb&#10;AQAAtwMAAAAA&#10;">
                    <v:fill on="t" focussize="0,0"/>
                    <v:stroke weight="0.25pt" color="#000000 [3213]" joinstyle="round"/>
                    <v:imagedata o:title=""/>
                    <o:lock v:ext="edit" aspectratio="f"/>
                  </v:shape>
                  <v:line id="_x0000_s1026" o:spid="_x0000_s1026" o:spt="20" style="position:absolute;left:50800;top:0;flip:y;height:400050;width:381635;" filled="f" stroked="t" coordsize="21600,21600" o:gfxdata="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D5v8vQAA&#10;ANsAAAAPAAAAAAAAAAEAIAAAACIAAABkcnMvZG93bnJldi54bWxQSwECFAAUAAAACACHTuJAMy8F&#10;njsAAAA5AAAAEAAAAAAAAAABACAAAAAMAQAAZHJzL3NoYXBleG1sLnhtbFBLBQYAAAAABgAGAFsB&#10;AAC2AwAAAAA=&#10;">
                    <v:fill on="f" focussize="0,0"/>
                    <v:stroke color="#000000 [3200]" joinstyle="round"/>
                    <v:imagedata o:title=""/>
                    <o:lock v:ext="edit" aspectratio="f"/>
                  </v:line>
                  <v:line id="_x0000_s1026" o:spid="_x0000_s1026" o:spt="20" style="position:absolute;left:425450;top:6350;height:0;width:506068;" filled="f" stroked="t" coordsize="21600,21600" o:gfxdata="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5+eOrsAAADb&#10;AAAADwAAAAAAAAABACAAAAAiAAAAZHJzL2Rvd25yZXYueG1sUEsBAhQAFAAAAAgAh07iQDMvBZ47&#10;AAAAOQAAABAAAAAAAAAAAQAgAAAACgEAAGRycy9zaGFwZXhtbC54bWxQSwUGAAAAAAYABgBbAQAA&#10;tAMAAAAA&#10;">
                    <v:fill on="f" focussize="0,0"/>
                    <v:stroke color="#000000 [3200]" joinstyle="round"/>
                    <v:imagedata o:title=""/>
                    <o:lock v:ext="edit" aspectratio="f"/>
                  </v:line>
                </v:group>
                <v:shape id="_x0000_s1026" o:spid="_x0000_s1026" o:spt="202" type="#_x0000_t202" style="position:absolute;left:311150;top:0;height:248285;width:749935;" filled="f" stroked="f" coordsize="21600,21600" o:gfxdata="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Loom/&#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9CCFEF0">
                        <w:pPr>
                          <w:rPr>
                            <w:b/>
                            <w:bCs/>
                            <w:color w:val="FF0000"/>
                          </w:rPr>
                        </w:pPr>
                        <w:r>
                          <w:rPr>
                            <w:rFonts w:hint="eastAsia"/>
                            <w:b/>
                            <w:bCs/>
                            <w:color w:val="FF0000"/>
                          </w:rPr>
                          <w:t>项目位置</w:t>
                        </w:r>
                      </w:p>
                    </w:txbxContent>
                  </v:textbox>
                </v:shape>
              </v:group>
            </w:pict>
          </mc:Fallback>
        </mc:AlternateContent>
      </w:r>
      <w:r>
        <w:rPr>
          <w:rFonts w:hint="default" w:ascii="Times New Roman" w:hAnsi="Times New Roman" w:cs="Times New Roman"/>
          <w:color w:val="auto"/>
          <w:highlight w:val="none"/>
        </w:rPr>
        <w:drawing>
          <wp:anchor distT="0" distB="0" distL="114300" distR="114300" simplePos="0" relativeHeight="251678720" behindDoc="0" locked="0" layoutInCell="1" allowOverlap="1">
            <wp:simplePos x="0" y="0"/>
            <wp:positionH relativeFrom="column">
              <wp:posOffset>19685</wp:posOffset>
            </wp:positionH>
            <wp:positionV relativeFrom="paragraph">
              <wp:posOffset>15875</wp:posOffset>
            </wp:positionV>
            <wp:extent cx="3364230" cy="2696210"/>
            <wp:effectExtent l="9525" t="9525" r="17145" b="18415"/>
            <wp:wrapNone/>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45"/>
                    <a:srcRect l="14925" t="12195" r="14720" b="16450"/>
                    <a:stretch>
                      <a:fillRect/>
                    </a:stretch>
                  </pic:blipFill>
                  <pic:spPr>
                    <a:xfrm>
                      <a:off x="0" y="0"/>
                      <a:ext cx="3364230" cy="2696210"/>
                    </a:xfrm>
                    <a:prstGeom prst="rect">
                      <a:avLst/>
                    </a:prstGeom>
                    <a:noFill/>
                    <a:ln>
                      <a:solidFill>
                        <a:schemeClr val="tx1"/>
                      </a:solidFill>
                    </a:ln>
                  </pic:spPr>
                </pic:pic>
              </a:graphicData>
            </a:graphic>
          </wp:anchor>
        </w:drawing>
      </w:r>
      <w:r>
        <w:rPr>
          <w:rFonts w:hint="default" w:ascii="Times New Roman" w:hAnsi="Times New Roman" w:cs="Times New Roman"/>
          <w:color w:val="auto"/>
          <w:highlight w:val="none"/>
        </w:rPr>
        <w:drawing>
          <wp:inline distT="0" distB="0" distL="114300" distR="114300">
            <wp:extent cx="8886825" cy="5636260"/>
            <wp:effectExtent l="9525" t="9525" r="19050" b="12065"/>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pic:cNvPicPr>
                  </pic:nvPicPr>
                  <pic:blipFill>
                    <a:blip r:embed="rId46"/>
                    <a:stretch>
                      <a:fillRect/>
                    </a:stretch>
                  </pic:blipFill>
                  <pic:spPr>
                    <a:xfrm>
                      <a:off x="0" y="0"/>
                      <a:ext cx="8886825" cy="5636260"/>
                    </a:xfrm>
                    <a:prstGeom prst="rect">
                      <a:avLst/>
                    </a:prstGeom>
                    <a:noFill/>
                    <a:ln>
                      <a:solidFill>
                        <a:schemeClr val="tx1"/>
                      </a:solidFill>
                    </a:ln>
                  </pic:spPr>
                </pic:pic>
              </a:graphicData>
            </a:graphic>
          </wp:inline>
        </w:drawing>
      </w:r>
    </w:p>
    <w:p w14:paraId="0EAD8A69">
      <w:pPr>
        <w:jc w:val="center"/>
        <w:rPr>
          <w:rFonts w:hint="default" w:ascii="Times New Roman" w:hAnsi="Times New Roman" w:cs="Times New Roman"/>
          <w:color w:val="auto"/>
          <w:highlight w:val="none"/>
        </w:rPr>
      </w:pPr>
    </w:p>
    <w:p w14:paraId="3D9DC0C8">
      <w:pPr>
        <w:pStyle w:val="7"/>
        <w:spacing w:before="0" w:beforeAutospacing="0" w:after="0" w:afterAutospacing="0"/>
        <w:jc w:val="left"/>
        <w:rPr>
          <w:rFonts w:hint="default" w:ascii="Times New Roman" w:hAnsi="Times New Roman" w:cs="Times New Roman"/>
          <w:color w:val="auto"/>
          <w:sz w:val="24"/>
          <w:highlight w:val="none"/>
        </w:rPr>
      </w:pPr>
      <w:bookmarkStart w:id="41" w:name="_Toc7567"/>
      <w:r>
        <w:rPr>
          <w:rFonts w:hint="default" w:ascii="Times New Roman" w:hAnsi="Times New Roman" w:cs="Times New Roman"/>
          <w:color w:val="auto"/>
          <w:sz w:val="24"/>
          <w:highlight w:val="none"/>
        </w:rPr>
        <w:t>附图2项目卫星四至情况图</w:t>
      </w:r>
      <w:bookmarkEnd w:id="41"/>
    </w:p>
    <w:p w14:paraId="5B83EF95">
      <w:pPr>
        <w:jc w:val="center"/>
        <w:rPr>
          <w:rFonts w:hint="default" w:ascii="Times New Roman" w:hAnsi="Times New Roman" w:cs="Times New Roman"/>
          <w:color w:val="auto"/>
          <w:highlight w:val="none"/>
        </w:rPr>
        <w:sectPr>
          <w:pgSz w:w="16840" w:h="11907"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cs="Times New Roman"/>
          <w:color w:val="auto"/>
          <w:highlight w:val="none"/>
        </w:rPr>
        <mc:AlternateContent>
          <mc:Choice Requires="wps">
            <w:drawing>
              <wp:anchor distT="0" distB="0" distL="114300" distR="114300" simplePos="0" relativeHeight="251745280" behindDoc="0" locked="0" layoutInCell="1" allowOverlap="1">
                <wp:simplePos x="0" y="0"/>
                <wp:positionH relativeFrom="column">
                  <wp:posOffset>3521075</wp:posOffset>
                </wp:positionH>
                <wp:positionV relativeFrom="paragraph">
                  <wp:posOffset>3419475</wp:posOffset>
                </wp:positionV>
                <wp:extent cx="927735" cy="45783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927735" cy="457835"/>
                        </a:xfrm>
                        <a:prstGeom prst="rect">
                          <a:avLst/>
                        </a:prstGeom>
                        <a:noFill/>
                        <a:ln w="6350">
                          <a:noFill/>
                        </a:ln>
                      </wps:spPr>
                      <wps:txbx>
                        <w:txbxContent>
                          <w:p w14:paraId="5E1B33EB">
                            <w:pPr>
                              <w:jc w:val="center"/>
                              <w:rPr>
                                <w:rFonts w:hint="eastAsia"/>
                                <w:b/>
                                <w:bCs/>
                                <w:color w:val="000000" w:themeColor="text1"/>
                                <w:sz w:val="20"/>
                                <w:szCs w:val="22"/>
                                <w:lang w:val="en-US" w:eastAsia="zh-CN"/>
                                <w14:textFill>
                                  <w14:solidFill>
                                    <w14:schemeClr w14:val="tx1"/>
                                  </w14:solidFill>
                                </w14:textFill>
                              </w:rPr>
                            </w:pPr>
                            <w:r>
                              <w:rPr>
                                <w:rFonts w:hint="eastAsia"/>
                                <w:b/>
                                <w:bCs/>
                                <w:color w:val="000000" w:themeColor="text1"/>
                                <w:sz w:val="20"/>
                                <w:szCs w:val="22"/>
                                <w:lang w:val="en-US" w:eastAsia="zh-CN"/>
                                <w14:textFill>
                                  <w14:solidFill>
                                    <w14:schemeClr w14:val="tx1"/>
                                  </w14:solidFill>
                                </w14:textFill>
                              </w:rPr>
                              <w:t>园区综合楼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25pt;margin-top:269.25pt;height:36.05pt;width:73.05pt;z-index:251745280;mso-width-relative:page;mso-height-relative:page;" filled="f" stroked="f" coordsize="21600,21600" o:gfxdata="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5a8DDZAAAACwEAAA8AAAAAAAAAAQAgAAAAIgAAAGRycy9k&#10;b3ducmV2LnhtbFBLAQIUABQAAAAIAIdO4kCVO++bOgIAAGcEAAAOAAAAAAAAAAEAIAAAACgBAABk&#10;cnMvZTJvRG9jLnhtbFBLBQYAAAAABgAGAFkBAADUBQAAAAA=&#10;">
                <v:fill on="f" focussize="0,0"/>
                <v:stroke on="f" weight="0.5pt"/>
                <v:imagedata o:title=""/>
                <o:lock v:ext="edit" aspectratio="f"/>
                <v:textbox>
                  <w:txbxContent>
                    <w:p w14:paraId="5E1B33EB">
                      <w:pPr>
                        <w:jc w:val="center"/>
                        <w:rPr>
                          <w:rFonts w:hint="eastAsia"/>
                          <w:b/>
                          <w:bCs/>
                          <w:color w:val="000000" w:themeColor="text1"/>
                          <w:sz w:val="20"/>
                          <w:szCs w:val="22"/>
                          <w:lang w:val="en-US" w:eastAsia="zh-CN"/>
                          <w14:textFill>
                            <w14:solidFill>
                              <w14:schemeClr w14:val="tx1"/>
                            </w14:solidFill>
                          </w14:textFill>
                        </w:rPr>
                      </w:pPr>
                      <w:r>
                        <w:rPr>
                          <w:rFonts w:hint="eastAsia"/>
                          <w:b/>
                          <w:bCs/>
                          <w:color w:val="000000" w:themeColor="text1"/>
                          <w:sz w:val="20"/>
                          <w:szCs w:val="22"/>
                          <w:lang w:val="en-US" w:eastAsia="zh-CN"/>
                          <w14:textFill>
                            <w14:solidFill>
                              <w14:schemeClr w14:val="tx1"/>
                            </w14:solidFill>
                          </w14:textFill>
                        </w:rPr>
                        <w:t>园区综合楼</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44256" behindDoc="0" locked="0" layoutInCell="1" allowOverlap="1">
            <wp:simplePos x="0" y="0"/>
            <wp:positionH relativeFrom="column">
              <wp:posOffset>3531235</wp:posOffset>
            </wp:positionH>
            <wp:positionV relativeFrom="paragraph">
              <wp:posOffset>3424555</wp:posOffset>
            </wp:positionV>
            <wp:extent cx="981710" cy="168275"/>
            <wp:effectExtent l="0" t="0" r="8890" b="3175"/>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7"/>
                    <a:stretch>
                      <a:fillRect/>
                    </a:stretch>
                  </pic:blipFill>
                  <pic:spPr>
                    <a:xfrm>
                      <a:off x="0" y="0"/>
                      <a:ext cx="981710" cy="168275"/>
                    </a:xfrm>
                    <a:prstGeom prst="rect">
                      <a:avLst/>
                    </a:prstGeom>
                    <a:noFill/>
                    <a:ln>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4877435</wp:posOffset>
                </wp:positionH>
                <wp:positionV relativeFrom="paragraph">
                  <wp:posOffset>2945130</wp:posOffset>
                </wp:positionV>
                <wp:extent cx="1238250" cy="822960"/>
                <wp:effectExtent l="4445" t="4445" r="14605" b="10795"/>
                <wp:wrapNone/>
                <wp:docPr id="51" name="任意多边形 51"/>
                <wp:cNvGraphicFramePr/>
                <a:graphic xmlns:a="http://schemas.openxmlformats.org/drawingml/2006/main">
                  <a:graphicData uri="http://schemas.microsoft.com/office/word/2010/wordprocessingShape">
                    <wps:wsp>
                      <wps:cNvSpPr/>
                      <wps:spPr>
                        <a:xfrm>
                          <a:off x="5768975" y="4024630"/>
                          <a:ext cx="1238250" cy="822960"/>
                        </a:xfrm>
                        <a:custGeom>
                          <a:avLst/>
                          <a:gdLst>
                            <a:gd name="connisteX0" fmla="*/ 0 w 1238250"/>
                            <a:gd name="connsiteY0" fmla="*/ 95250 h 822960"/>
                            <a:gd name="connisteX1" fmla="*/ 0 w 1238250"/>
                            <a:gd name="connsiteY1" fmla="*/ 753110 h 822960"/>
                            <a:gd name="connisteX2" fmla="*/ 182245 w 1238250"/>
                            <a:gd name="connsiteY2" fmla="*/ 822960 h 822960"/>
                            <a:gd name="connisteX3" fmla="*/ 1238250 w 1238250"/>
                            <a:gd name="connsiteY3" fmla="*/ 822960 h 822960"/>
                            <a:gd name="connisteX4" fmla="*/ 1221105 w 1238250"/>
                            <a:gd name="connsiteY4" fmla="*/ 0 h 822960"/>
                            <a:gd name="connisteX5" fmla="*/ 8890 w 1238250"/>
                            <a:gd name="connsiteY5" fmla="*/ 34925 h 822960"/>
                            <a:gd name="connisteX6" fmla="*/ 0 w 1238250"/>
                            <a:gd name="connsiteY6" fmla="*/ 95250 h 8229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38250" h="822960">
                              <a:moveTo>
                                <a:pt x="0" y="95250"/>
                              </a:moveTo>
                              <a:lnTo>
                                <a:pt x="0" y="753110"/>
                              </a:lnTo>
                              <a:lnTo>
                                <a:pt x="182245" y="822960"/>
                              </a:lnTo>
                              <a:lnTo>
                                <a:pt x="1238250" y="822960"/>
                              </a:lnTo>
                              <a:lnTo>
                                <a:pt x="1221105" y="0"/>
                              </a:lnTo>
                              <a:lnTo>
                                <a:pt x="8890" y="34925"/>
                              </a:lnTo>
                              <a:lnTo>
                                <a:pt x="0" y="95250"/>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4.05pt;margin-top:231.9pt;height:64.8pt;width:97.5pt;z-index:251687936;mso-width-relative:page;mso-height-relative:page;" fillcolor="#FDEADA" filled="t" stroked="t" coordsize="1238250,822960" o:gfxdata="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a1lZUNkAAAALAQAADwAAAAAAAAABACAAAAAi&#10;AAAAZHJzL2Rvd25yZXYueG1sUEsBAhQAFAAAAAgAh07iQMTSNC5fAwAAGwoAAA4AAAAAAAAAAQAg&#10;AAAAKAEAAGRycy9lMm9Eb2MueG1sUEsFBgAAAAAGAAYAWQEAAPkGAAAAAA==&#10;" path="m0,95250l0,753110,182245,822960,1238250,822960,1221105,0,8890,34925,0,95250xe">
                <v:path o:connectlocs="0,95250;0,753110;182245,822960;1238250,822960;1221105,0;8890,34925;0,95250" o:connectangles="0,0,0,0,0,0,0"/>
                <v:fill on="t" opacity="32768f" focussize="0,0"/>
                <v:stroke weight="0.5pt" color="#F79646 [3209]" joinstyle="round"/>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43232" behindDoc="0" locked="0" layoutInCell="1" allowOverlap="1">
                <wp:simplePos x="0" y="0"/>
                <wp:positionH relativeFrom="column">
                  <wp:posOffset>3548380</wp:posOffset>
                </wp:positionH>
                <wp:positionV relativeFrom="paragraph">
                  <wp:posOffset>3446145</wp:posOffset>
                </wp:positionV>
                <wp:extent cx="926465" cy="86360"/>
                <wp:effectExtent l="13970" t="13970" r="31115" b="33020"/>
                <wp:wrapNone/>
                <wp:docPr id="15" name="矩形 15"/>
                <wp:cNvGraphicFramePr/>
                <a:graphic xmlns:a="http://schemas.openxmlformats.org/drawingml/2006/main">
                  <a:graphicData uri="http://schemas.microsoft.com/office/word/2010/wordprocessingShape">
                    <wps:wsp>
                      <wps:cNvSpPr/>
                      <wps:spPr>
                        <a:xfrm>
                          <a:off x="4448810" y="4516755"/>
                          <a:ext cx="926465" cy="8636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4pt;margin-top:271.35pt;height:6.8pt;width:72.95pt;z-index:251743232;v-text-anchor:middle;mso-width-relative:page;mso-height-relative:page;" filled="f" stroked="t" coordsize="21600,21600" o:gfxdata="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BQfttkAAAALAQAADwAAAAAAAAABACAAAAAiAAAAZHJzL2Rvd25yZXYueG1s&#10;UEsBAhQAFAAAAAgAh07iQHEKsuJpAgAAwAQAAA4AAAAAAAAAAQAgAAAAKAEAAGRycy9lMm9Eb2Mu&#10;eG1sUEsFBgAAAAAGAAYAWQEAAAMGAAAAAA==&#10;">
                <v:fill on="f" focussize="0,0"/>
                <v:stroke weight="2.25pt" color="#000000 [3213]" joinstyle="round"/>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2208" behindDoc="0" locked="0" layoutInCell="1" allowOverlap="1">
                <wp:simplePos x="0" y="0"/>
                <wp:positionH relativeFrom="column">
                  <wp:posOffset>4932680</wp:posOffset>
                </wp:positionH>
                <wp:positionV relativeFrom="paragraph">
                  <wp:posOffset>2250440</wp:posOffset>
                </wp:positionV>
                <wp:extent cx="1144905" cy="58674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144905" cy="586740"/>
                        </a:xfrm>
                        <a:prstGeom prst="rect">
                          <a:avLst/>
                        </a:prstGeom>
                        <a:noFill/>
                        <a:ln w="6350">
                          <a:noFill/>
                        </a:ln>
                      </wps:spPr>
                      <wps:txbx>
                        <w:txbxContent>
                          <w:p w14:paraId="37B876F4">
                            <w:pPr>
                              <w:jc w:val="center"/>
                              <w:rPr>
                                <w:rFonts w:hint="eastAsia"/>
                                <w:b/>
                                <w:bCs/>
                                <w:color w:val="000000" w:themeColor="text1"/>
                                <w:sz w:val="21"/>
                                <w:szCs w:val="24"/>
                                <w:highlight w:val="none"/>
                                <w:lang w:val="en-US" w:eastAsia="zh-CN"/>
                                <w14:textFill>
                                  <w14:solidFill>
                                    <w14:schemeClr w14:val="tx1"/>
                                  </w14:solidFill>
                                </w14:textFill>
                              </w:rPr>
                            </w:pPr>
                            <w:r>
                              <w:rPr>
                                <w:rFonts w:hint="eastAsia"/>
                                <w:b/>
                                <w:bCs/>
                                <w:color w:val="000000" w:themeColor="text1"/>
                                <w:sz w:val="21"/>
                                <w:szCs w:val="24"/>
                                <w:highlight w:val="none"/>
                                <w:lang w:val="en-US" w:eastAsia="zh-CN"/>
                                <w14:textFill>
                                  <w14:solidFill>
                                    <w14:schemeClr w14:val="tx1"/>
                                  </w14:solidFill>
                                </w14:textFill>
                              </w:rPr>
                              <w:t>广东熙诚环保科技有限公司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4pt;margin-top:177.2pt;height:46.2pt;width:90.15pt;z-index:251742208;mso-width-relative:page;mso-height-relative:page;" filled="f" stroked="f" coordsize="21600,21600" o:gfxdata="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TEQdPcAAAACwEAAA8AAAAAAAAAAQAgAAAAIgAAAGRy&#10;cy9kb3ducmV2LnhtbFBLAQIUABQAAAAIAIdO4kAeT8V6OgIAAGgEAAAOAAAAAAAAAAEAIAAAACsB&#10;AABkcnMvZTJvRG9jLnhtbFBLBQYAAAAABgAGAFkBAADXBQAAAAA=&#10;">
                <v:fill on="f" focussize="0,0"/>
                <v:stroke on="f" weight="0.5pt"/>
                <v:imagedata o:title=""/>
                <o:lock v:ext="edit" aspectratio="f"/>
                <v:textbox>
                  <w:txbxContent>
                    <w:p w14:paraId="37B876F4">
                      <w:pPr>
                        <w:jc w:val="center"/>
                        <w:rPr>
                          <w:rFonts w:hint="eastAsia"/>
                          <w:b/>
                          <w:bCs/>
                          <w:color w:val="000000" w:themeColor="text1"/>
                          <w:sz w:val="21"/>
                          <w:szCs w:val="24"/>
                          <w:highlight w:val="none"/>
                          <w:lang w:val="en-US" w:eastAsia="zh-CN"/>
                          <w14:textFill>
                            <w14:solidFill>
                              <w14:schemeClr w14:val="tx1"/>
                            </w14:solidFill>
                          </w14:textFill>
                        </w:rPr>
                      </w:pPr>
                      <w:r>
                        <w:rPr>
                          <w:rFonts w:hint="eastAsia"/>
                          <w:b/>
                          <w:bCs/>
                          <w:color w:val="000000" w:themeColor="text1"/>
                          <w:sz w:val="21"/>
                          <w:szCs w:val="24"/>
                          <w:highlight w:val="none"/>
                          <w:lang w:val="en-US" w:eastAsia="zh-CN"/>
                          <w14:textFill>
                            <w14:solidFill>
                              <w14:schemeClr w14:val="tx1"/>
                            </w14:solidFill>
                          </w14:textFill>
                        </w:rPr>
                        <w:t>广东熙诚环保科技有限公司</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262255</wp:posOffset>
                </wp:positionH>
                <wp:positionV relativeFrom="paragraph">
                  <wp:posOffset>5291455</wp:posOffset>
                </wp:positionV>
                <wp:extent cx="299085" cy="133350"/>
                <wp:effectExtent l="4445" t="4445" r="20320" b="14605"/>
                <wp:wrapNone/>
                <wp:docPr id="69" name="矩形 69"/>
                <wp:cNvGraphicFramePr/>
                <a:graphic xmlns:a="http://schemas.openxmlformats.org/drawingml/2006/main">
                  <a:graphicData uri="http://schemas.microsoft.com/office/word/2010/wordprocessingShape">
                    <wps:wsp>
                      <wps:cNvSpPr/>
                      <wps:spPr>
                        <a:xfrm>
                          <a:off x="0" y="0"/>
                          <a:ext cx="299085" cy="133350"/>
                        </a:xfrm>
                        <a:prstGeom prst="rect">
                          <a:avLst/>
                        </a:pr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5pt;margin-top:416.65pt;height:10.5pt;width:23.55pt;z-index:251697152;v-text-anchor:middle;mso-width-relative:page;mso-height-relative:page;" fillcolor="#FDEADA" filled="t" stroked="t" coordsize="21600,21600" o:gfxdata="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7fX/c9gAAAAJAQAADwAAAAAAAAABACAAAAAiAAAAZHJz&#10;L2Rvd25yZXYueG1sUEsBAhQAFAAAAAgAh07iQNGahGx2AgAA/gQAAA4AAAAAAAAAAQAgAAAAJwEA&#10;AGRycy9lMm9Eb2MueG1sUEsFBgAAAAAGAAYAWQEAAA8GAAAAAA==&#10;">
                <v:fill on="t" opacity="32768f" focussize="0,0"/>
                <v:stroke weight="0.5pt" color="#F79646 [3209]"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257175</wp:posOffset>
                </wp:positionH>
                <wp:positionV relativeFrom="paragraph">
                  <wp:posOffset>4969510</wp:posOffset>
                </wp:positionV>
                <wp:extent cx="299085" cy="122555"/>
                <wp:effectExtent l="12700" t="12700" r="31115" b="17145"/>
                <wp:wrapNone/>
                <wp:docPr id="56" name="矩形 56"/>
                <wp:cNvGraphicFramePr/>
                <a:graphic xmlns:a="http://schemas.openxmlformats.org/drawingml/2006/main">
                  <a:graphicData uri="http://schemas.microsoft.com/office/word/2010/wordprocessingShape">
                    <wps:wsp>
                      <wps:cNvSpPr/>
                      <wps:spPr>
                        <a:xfrm>
                          <a:off x="1036320" y="6384290"/>
                          <a:ext cx="299085" cy="1225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5pt;margin-top:391.3pt;height:9.65pt;width:23.55pt;z-index:251665408;v-text-anchor:middle;mso-width-relative:page;mso-height-relative:page;" filled="f" stroked="t" coordsize="21600,21600" o:gfxdata="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X55s12AAAAAkBAAAPAAAAAAAAAAEAIAAAACIAAABkcnMvZG93bnJldi54&#10;bWxQSwECFAAUAAAACACHTuJAnJfddmwCAADBBAAADgAAAAAAAAABACAAAAAnAQAAZHJzL2Uyb0Rv&#10;Yy54bWxQSwUGAAAAAAYABgBZAQAABQYAAAAA&#10;">
                <v:fill on="f" focussize="0,0"/>
                <v:stroke weight="2pt" color="#FF0000 [2404]"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161925</wp:posOffset>
                </wp:positionH>
                <wp:positionV relativeFrom="paragraph">
                  <wp:posOffset>4534535</wp:posOffset>
                </wp:positionV>
                <wp:extent cx="1609725" cy="1015365"/>
                <wp:effectExtent l="5080" t="4445" r="4445" b="8890"/>
                <wp:wrapNone/>
                <wp:docPr id="24" name="文本框 24"/>
                <wp:cNvGraphicFramePr/>
                <a:graphic xmlns:a="http://schemas.openxmlformats.org/drawingml/2006/main">
                  <a:graphicData uri="http://schemas.microsoft.com/office/word/2010/wordprocessingShape">
                    <wps:wsp>
                      <wps:cNvSpPr txBox="1"/>
                      <wps:spPr>
                        <a:xfrm>
                          <a:off x="954405" y="5486400"/>
                          <a:ext cx="1609725" cy="1015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877B3D">
                            <w:pPr>
                              <w:spacing w:line="360" w:lineRule="auto"/>
                              <w:jc w:val="center"/>
                              <w:rPr>
                                <w:rFonts w:hint="eastAsia"/>
                                <w:b/>
                                <w:bCs/>
                                <w:sz w:val="28"/>
                                <w:szCs w:val="28"/>
                                <w:lang w:val="en-US" w:eastAsia="zh-CN"/>
                              </w:rPr>
                            </w:pPr>
                            <w:r>
                              <w:rPr>
                                <w:rFonts w:hint="eastAsia"/>
                                <w:b/>
                                <w:bCs/>
                                <w:sz w:val="28"/>
                                <w:szCs w:val="28"/>
                                <w:lang w:val="en-US" w:eastAsia="zh-CN"/>
                              </w:rPr>
                              <w:t>图例</w:t>
                            </w:r>
                          </w:p>
                          <w:p w14:paraId="47A406A9">
                            <w:pPr>
                              <w:pStyle w:val="2"/>
                              <w:spacing w:line="360" w:lineRule="auto"/>
                              <w:jc w:val="center"/>
                              <w:rPr>
                                <w:rFonts w:hint="eastAsia"/>
                                <w:sz w:val="28"/>
                                <w:szCs w:val="28"/>
                                <w:lang w:val="en-US" w:eastAsia="zh-CN"/>
                              </w:rPr>
                            </w:pPr>
                            <w:r>
                              <w:rPr>
                                <w:rFonts w:hint="eastAsia"/>
                                <w:sz w:val="28"/>
                                <w:szCs w:val="28"/>
                                <w:lang w:val="en-US" w:eastAsia="zh-CN"/>
                              </w:rPr>
                              <w:t>项目位置</w:t>
                            </w:r>
                          </w:p>
                          <w:p w14:paraId="6B8C995B">
                            <w:pPr>
                              <w:pStyle w:val="2"/>
                              <w:spacing w:line="360" w:lineRule="auto"/>
                              <w:jc w:val="center"/>
                              <w:rPr>
                                <w:rFonts w:hint="default" w:ascii="宋体" w:eastAsia="宋体" w:cs="Times New Roman"/>
                                <w:sz w:val="28"/>
                                <w:szCs w:val="28"/>
                                <w:lang w:val="en-US" w:eastAsia="zh-CN"/>
                              </w:rPr>
                            </w:pPr>
                            <w:r>
                              <w:rPr>
                                <w:rFonts w:hint="eastAsia" w:ascii="宋体" w:eastAsia="宋体" w:cs="Times New Roman"/>
                                <w:sz w:val="28"/>
                                <w:szCs w:val="28"/>
                                <w:lang w:val="en-US" w:eastAsia="zh-CN"/>
                              </w:rPr>
                              <w:t>项目四至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5pt;margin-top:357.05pt;height:79.95pt;width:126.75pt;z-index:251664384;mso-width-relative:page;mso-height-relative:page;" fillcolor="#FFFFFF [3201]" filled="t" stroked="t" coordsize="21600,21600" o:gfxdata="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tcBfG2AAAAAoBAAAPAAAAAAAAAAEAIAAAACIAAABkcnMvZG93bnJldi54bWxQSwEC&#10;FAAUAAAACACHTuJA5bMKEmYCAADFBAAADgAAAAAAAAABACAAAAAnAQAAZHJzL2Uyb0RvYy54bWxQ&#10;SwUGAAAAAAYABgBZAQAA/wUAAAAA&#10;">
                <v:fill on="t" focussize="0,0"/>
                <v:stroke weight="0.5pt" color="#000000 [3204]" joinstyle="round"/>
                <v:imagedata o:title=""/>
                <o:lock v:ext="edit" aspectratio="f"/>
                <v:textbox>
                  <w:txbxContent>
                    <w:p w14:paraId="08877B3D">
                      <w:pPr>
                        <w:spacing w:line="360" w:lineRule="auto"/>
                        <w:jc w:val="center"/>
                        <w:rPr>
                          <w:rFonts w:hint="eastAsia"/>
                          <w:b/>
                          <w:bCs/>
                          <w:sz w:val="28"/>
                          <w:szCs w:val="28"/>
                          <w:lang w:val="en-US" w:eastAsia="zh-CN"/>
                        </w:rPr>
                      </w:pPr>
                      <w:r>
                        <w:rPr>
                          <w:rFonts w:hint="eastAsia"/>
                          <w:b/>
                          <w:bCs/>
                          <w:sz w:val="28"/>
                          <w:szCs w:val="28"/>
                          <w:lang w:val="en-US" w:eastAsia="zh-CN"/>
                        </w:rPr>
                        <w:t>图例</w:t>
                      </w:r>
                    </w:p>
                    <w:p w14:paraId="47A406A9">
                      <w:pPr>
                        <w:pStyle w:val="2"/>
                        <w:spacing w:line="360" w:lineRule="auto"/>
                        <w:jc w:val="center"/>
                        <w:rPr>
                          <w:rFonts w:hint="eastAsia"/>
                          <w:sz w:val="28"/>
                          <w:szCs w:val="28"/>
                          <w:lang w:val="en-US" w:eastAsia="zh-CN"/>
                        </w:rPr>
                      </w:pPr>
                      <w:r>
                        <w:rPr>
                          <w:rFonts w:hint="eastAsia"/>
                          <w:sz w:val="28"/>
                          <w:szCs w:val="28"/>
                          <w:lang w:val="en-US" w:eastAsia="zh-CN"/>
                        </w:rPr>
                        <w:t>项目位置</w:t>
                      </w:r>
                    </w:p>
                    <w:p w14:paraId="6B8C995B">
                      <w:pPr>
                        <w:pStyle w:val="2"/>
                        <w:spacing w:line="360" w:lineRule="auto"/>
                        <w:jc w:val="center"/>
                        <w:rPr>
                          <w:rFonts w:hint="default" w:ascii="宋体" w:eastAsia="宋体" w:cs="Times New Roman"/>
                          <w:sz w:val="28"/>
                          <w:szCs w:val="28"/>
                          <w:lang w:val="en-US" w:eastAsia="zh-CN"/>
                        </w:rPr>
                      </w:pPr>
                      <w:r>
                        <w:rPr>
                          <w:rFonts w:hint="eastAsia" w:ascii="宋体" w:eastAsia="宋体" w:cs="Times New Roman"/>
                          <w:sz w:val="28"/>
                          <w:szCs w:val="28"/>
                          <w:lang w:val="en-US" w:eastAsia="zh-CN"/>
                        </w:rPr>
                        <w:t>项目四至</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6128" behindDoc="0" locked="0" layoutInCell="1" allowOverlap="1">
                <wp:simplePos x="0" y="0"/>
                <wp:positionH relativeFrom="column">
                  <wp:posOffset>3559175</wp:posOffset>
                </wp:positionH>
                <wp:positionV relativeFrom="paragraph">
                  <wp:posOffset>2461895</wp:posOffset>
                </wp:positionV>
                <wp:extent cx="927735" cy="457835"/>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927735" cy="457835"/>
                        </a:xfrm>
                        <a:prstGeom prst="rect">
                          <a:avLst/>
                        </a:prstGeom>
                        <a:noFill/>
                        <a:ln w="6350">
                          <a:noFill/>
                        </a:ln>
                      </wps:spPr>
                      <wps:txbx>
                        <w:txbxContent>
                          <w:p w14:paraId="5860E3E4">
                            <w:pPr>
                              <w:jc w:val="center"/>
                              <w:rPr>
                                <w:rFonts w:hint="eastAsia"/>
                                <w:b/>
                                <w:bCs/>
                                <w:color w:val="000000" w:themeColor="text1"/>
                                <w:sz w:val="20"/>
                                <w:szCs w:val="22"/>
                                <w:lang w:val="en-US" w:eastAsia="zh-CN"/>
                                <w14:textFill>
                                  <w14:solidFill>
                                    <w14:schemeClr w14:val="tx1"/>
                                  </w14:solidFill>
                                </w14:textFill>
                              </w:rPr>
                            </w:pPr>
                            <w:r>
                              <w:rPr>
                                <w:rFonts w:hint="eastAsia"/>
                                <w:b/>
                                <w:bCs/>
                                <w:color w:val="000000" w:themeColor="text1"/>
                                <w:sz w:val="20"/>
                                <w:szCs w:val="22"/>
                                <w:lang w:val="en-US" w:eastAsia="zh-CN"/>
                                <w14:textFill>
                                  <w14:solidFill>
                                    <w14:schemeClr w14:val="tx1"/>
                                  </w14:solidFill>
                                </w14:textFill>
                              </w:rPr>
                              <w:t>粤湘光电产业园的AB栋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25pt;margin-top:193.85pt;height:36.05pt;width:73.05pt;z-index:251696128;mso-width-relative:page;mso-height-relative:page;" filled="f" stroked="f" coordsize="21600,21600" o:gfxdata="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qnLy3cAAAACwEAAA8AAAAAAAAAAQAgAAAAIgAAAGRy&#10;cy9kb3ducmV2LnhtbFBLAQIUABQAAAAIAIdO4kD8Va6dOgIAAGcEAAAOAAAAAAAAAAEAIAAAACsB&#10;AABkcnMvZTJvRG9jLnhtbFBLBQYAAAAABgAGAFkBAADXBQAAAAA=&#10;">
                <v:fill on="f" focussize="0,0"/>
                <v:stroke on="f" weight="0.5pt"/>
                <v:imagedata o:title=""/>
                <o:lock v:ext="edit" aspectratio="f"/>
                <v:textbox>
                  <w:txbxContent>
                    <w:p w14:paraId="5860E3E4">
                      <w:pPr>
                        <w:jc w:val="center"/>
                        <w:rPr>
                          <w:rFonts w:hint="eastAsia"/>
                          <w:b/>
                          <w:bCs/>
                          <w:color w:val="000000" w:themeColor="text1"/>
                          <w:sz w:val="20"/>
                          <w:szCs w:val="22"/>
                          <w:lang w:val="en-US" w:eastAsia="zh-CN"/>
                          <w14:textFill>
                            <w14:solidFill>
                              <w14:schemeClr w14:val="tx1"/>
                            </w14:solidFill>
                          </w14:textFill>
                        </w:rPr>
                      </w:pPr>
                      <w:r>
                        <w:rPr>
                          <w:rFonts w:hint="eastAsia"/>
                          <w:b/>
                          <w:bCs/>
                          <w:color w:val="000000" w:themeColor="text1"/>
                          <w:sz w:val="20"/>
                          <w:szCs w:val="22"/>
                          <w:lang w:val="en-US" w:eastAsia="zh-CN"/>
                          <w14:textFill>
                            <w14:solidFill>
                              <w14:schemeClr w14:val="tx1"/>
                            </w14:solidFill>
                          </w14:textFill>
                        </w:rPr>
                        <w:t>粤湘光电产业园的AB栋</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5104" behindDoc="0" locked="0" layoutInCell="1" allowOverlap="1">
                <wp:simplePos x="0" y="0"/>
                <wp:positionH relativeFrom="column">
                  <wp:posOffset>3461385</wp:posOffset>
                </wp:positionH>
                <wp:positionV relativeFrom="paragraph">
                  <wp:posOffset>2406015</wp:posOffset>
                </wp:positionV>
                <wp:extent cx="1039495" cy="587375"/>
                <wp:effectExtent l="4445" t="4445" r="22860" b="17780"/>
                <wp:wrapNone/>
                <wp:docPr id="65" name="任意多边形 65"/>
                <wp:cNvGraphicFramePr/>
                <a:graphic xmlns:a="http://schemas.openxmlformats.org/drawingml/2006/main">
                  <a:graphicData uri="http://schemas.microsoft.com/office/word/2010/wordprocessingShape">
                    <wps:wsp>
                      <wps:cNvSpPr/>
                      <wps:spPr>
                        <a:xfrm>
                          <a:off x="4361815" y="3476625"/>
                          <a:ext cx="1039495" cy="587375"/>
                        </a:xfrm>
                        <a:custGeom>
                          <a:avLst/>
                          <a:gdLst>
                            <a:gd name="connisteX0" fmla="*/ 23495 w 1039495"/>
                            <a:gd name="connsiteY0" fmla="*/ 40005 h 587375"/>
                            <a:gd name="connisteX1" fmla="*/ 0 w 1039495"/>
                            <a:gd name="connsiteY1" fmla="*/ 587375 h 587375"/>
                            <a:gd name="connisteX2" fmla="*/ 1039495 w 1039495"/>
                            <a:gd name="connsiteY2" fmla="*/ 571500 h 587375"/>
                            <a:gd name="connisteX3" fmla="*/ 1039495 w 1039495"/>
                            <a:gd name="connsiteY3" fmla="*/ 0 h 587375"/>
                            <a:gd name="connisteX4" fmla="*/ 23495 w 1039495"/>
                            <a:gd name="connsiteY4" fmla="*/ 40005 h 5873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39495" h="587375">
                              <a:moveTo>
                                <a:pt x="23495" y="40005"/>
                              </a:moveTo>
                              <a:lnTo>
                                <a:pt x="0" y="587375"/>
                              </a:lnTo>
                              <a:lnTo>
                                <a:pt x="1039495" y="571500"/>
                              </a:lnTo>
                              <a:lnTo>
                                <a:pt x="1039495" y="0"/>
                              </a:lnTo>
                              <a:lnTo>
                                <a:pt x="23495" y="40005"/>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2.55pt;margin-top:189.45pt;height:46.25pt;width:81.85pt;z-index:251695104;mso-width-relative:page;mso-height-relative:page;" fillcolor="#FDEADA" filled="t" stroked="t" coordsize="1039495,587375" o:gfxdata="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Kxnne2wAAAAsBAAAPAAAAAAAAAAEAIAAAACIAAABkcnMv&#10;ZG93bnJldi54bWxQSwECFAAUAAAACACHTuJASCpxqh0DAACNCAAADgAAAAAAAAABACAAAAAqAQAA&#10;ZHJzL2Uyb0RvYy54bWxQSwUGAAAAAAYABgBZAQAAuQYAAAAA&#10;" path="m23495,40005l0,587375,1039495,571500,1039495,0,23495,40005xe">
                <v:path o:connectlocs="23495,40005;0,587375;1039495,571500;1039495,0;23495,40005" o:connectangles="0,0,0,0,0"/>
                <v:fill on="t" opacity="32768f" focussize="0,0"/>
                <v:stroke weight="0.5pt" color="#F79646 [3209]"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4080" behindDoc="0" locked="0" layoutInCell="1" allowOverlap="1">
                <wp:simplePos x="0" y="0"/>
                <wp:positionH relativeFrom="column">
                  <wp:posOffset>3387725</wp:posOffset>
                </wp:positionH>
                <wp:positionV relativeFrom="paragraph">
                  <wp:posOffset>1243330</wp:posOffset>
                </wp:positionV>
                <wp:extent cx="2393950" cy="610235"/>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2393950" cy="610235"/>
                        </a:xfrm>
                        <a:prstGeom prst="rect">
                          <a:avLst/>
                        </a:prstGeom>
                        <a:noFill/>
                        <a:ln w="6350">
                          <a:noFill/>
                        </a:ln>
                      </wps:spPr>
                      <wps:txbx>
                        <w:txbxContent>
                          <w:p w14:paraId="2BD9A414">
                            <w:pPr>
                              <w:jc w:val="center"/>
                              <w:rPr>
                                <w:rFonts w:hint="eastAsia"/>
                                <w:b/>
                                <w:bCs/>
                                <w:color w:val="000000" w:themeColor="text1"/>
                                <w:sz w:val="21"/>
                                <w:szCs w:val="24"/>
                                <w:lang w:val="en-US" w:eastAsia="zh-CN"/>
                                <w14:textFill>
                                  <w14:solidFill>
                                    <w14:schemeClr w14:val="tx1"/>
                                  </w14:solidFill>
                                </w14:textFill>
                              </w:rPr>
                            </w:pPr>
                            <w:r>
                              <w:rPr>
                                <w:rFonts w:hint="eastAsia"/>
                                <w:b/>
                                <w:bCs/>
                                <w:color w:val="000000" w:themeColor="text1"/>
                                <w:sz w:val="21"/>
                                <w:szCs w:val="24"/>
                                <w:lang w:val="en-US" w:eastAsia="zh-CN"/>
                                <w14:textFill>
                                  <w14:solidFill>
                                    <w14:schemeClr w14:val="tx1"/>
                                  </w14:solidFill>
                                </w14:textFill>
                              </w:rPr>
                              <w:t>广东金之地新材料科技有限公司、广东邦嘉科技有限公司等其他厂房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75pt;margin-top:97.9pt;height:48.05pt;width:188.5pt;z-index:251694080;mso-width-relative:page;mso-height-relative:page;" filled="f" stroked="f" coordsize="21600,21600" o:gfxdata="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T0JE/bAAAACwEAAA8AAAAAAAAAAQAgAAAAIgAAAGRy&#10;cy9kb3ducmV2LnhtbFBLAQIUABQAAAAIAIdO4kDxzpJmOwIAAGgEAAAOAAAAAAAAAAEAIAAAACoB&#10;AABkcnMvZTJvRG9jLnhtbFBLBQYAAAAABgAGAFkBAADXBQAAAAA=&#10;">
                <v:fill on="f" focussize="0,0"/>
                <v:stroke on="f" weight="0.5pt"/>
                <v:imagedata o:title=""/>
                <o:lock v:ext="edit" aspectratio="f"/>
                <v:textbox>
                  <w:txbxContent>
                    <w:p w14:paraId="2BD9A414">
                      <w:pPr>
                        <w:jc w:val="center"/>
                        <w:rPr>
                          <w:rFonts w:hint="eastAsia"/>
                          <w:b/>
                          <w:bCs/>
                          <w:color w:val="000000" w:themeColor="text1"/>
                          <w:sz w:val="21"/>
                          <w:szCs w:val="24"/>
                          <w:lang w:val="en-US" w:eastAsia="zh-CN"/>
                          <w14:textFill>
                            <w14:solidFill>
                              <w14:schemeClr w14:val="tx1"/>
                            </w14:solidFill>
                          </w14:textFill>
                        </w:rPr>
                      </w:pPr>
                      <w:r>
                        <w:rPr>
                          <w:rFonts w:hint="eastAsia"/>
                          <w:b/>
                          <w:bCs/>
                          <w:color w:val="000000" w:themeColor="text1"/>
                          <w:sz w:val="21"/>
                          <w:szCs w:val="24"/>
                          <w:lang w:val="en-US" w:eastAsia="zh-CN"/>
                          <w14:textFill>
                            <w14:solidFill>
                              <w14:schemeClr w14:val="tx1"/>
                            </w14:solidFill>
                          </w14:textFill>
                        </w:rPr>
                        <w:t>广东金之地新材料科技有限公司、广东邦嘉科技有限公司等其他厂房</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3056" behindDoc="0" locked="0" layoutInCell="1" allowOverlap="1">
                <wp:simplePos x="0" y="0"/>
                <wp:positionH relativeFrom="column">
                  <wp:posOffset>4927600</wp:posOffset>
                </wp:positionH>
                <wp:positionV relativeFrom="paragraph">
                  <wp:posOffset>3077210</wp:posOffset>
                </wp:positionV>
                <wp:extent cx="1144905" cy="58674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144905" cy="586740"/>
                        </a:xfrm>
                        <a:prstGeom prst="rect">
                          <a:avLst/>
                        </a:prstGeom>
                        <a:noFill/>
                        <a:ln w="6350">
                          <a:noFill/>
                        </a:ln>
                      </wps:spPr>
                      <wps:txbx>
                        <w:txbxContent>
                          <w:p w14:paraId="27F96587">
                            <w:pPr>
                              <w:jc w:val="center"/>
                              <w:rPr>
                                <w:rFonts w:hint="eastAsia"/>
                                <w:b/>
                                <w:bCs/>
                                <w:color w:val="000000" w:themeColor="text1"/>
                                <w:sz w:val="21"/>
                                <w:szCs w:val="24"/>
                                <w:highlight w:val="none"/>
                                <w:lang w:val="en-US" w:eastAsia="zh-CN"/>
                                <w14:textFill>
                                  <w14:solidFill>
                                    <w14:schemeClr w14:val="tx1"/>
                                  </w14:solidFill>
                                </w14:textFill>
                              </w:rPr>
                            </w:pPr>
                            <w:r>
                              <w:rPr>
                                <w:rFonts w:hint="eastAsia"/>
                                <w:b/>
                                <w:bCs/>
                                <w:color w:val="000000" w:themeColor="text1"/>
                                <w:sz w:val="21"/>
                                <w:szCs w:val="24"/>
                                <w:highlight w:val="none"/>
                                <w:lang w:val="en-US" w:eastAsia="zh-CN"/>
                                <w14:textFill>
                                  <w14:solidFill>
                                    <w14:schemeClr w14:val="tx1"/>
                                  </w14:solidFill>
                                </w14:textFill>
                              </w:rPr>
                              <w:t>空置厂房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pt;margin-top:242.3pt;height:46.2pt;width:90.15pt;z-index:251693056;mso-width-relative:page;mso-height-relative:page;" filled="f" stroked="f" coordsize="21600,21600" o:gfxdata="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&#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1jYbdwAAAALAQAADwAAAAAAAAABACAAAAAiAAAA&#10;ZHJzL2Rvd25yZXYueG1sUEsBAhQAFAAAAAgAh07iQHJdJgg8AgAAaAQAAA4AAAAAAAAAAQAgAAAA&#10;KwEAAGRycy9lMm9Eb2MueG1sUEsFBgAAAAAGAAYAWQEAANkFAAAAAA==&#10;">
                <v:fill on="f" focussize="0,0"/>
                <v:stroke on="f" weight="0.5pt"/>
                <v:imagedata o:title=""/>
                <o:lock v:ext="edit" aspectratio="f"/>
                <v:textbox>
                  <w:txbxContent>
                    <w:p w14:paraId="27F96587">
                      <w:pPr>
                        <w:jc w:val="center"/>
                        <w:rPr>
                          <w:rFonts w:hint="eastAsia"/>
                          <w:b/>
                          <w:bCs/>
                          <w:color w:val="000000" w:themeColor="text1"/>
                          <w:sz w:val="21"/>
                          <w:szCs w:val="24"/>
                          <w:highlight w:val="none"/>
                          <w:lang w:val="en-US" w:eastAsia="zh-CN"/>
                          <w14:textFill>
                            <w14:solidFill>
                              <w14:schemeClr w14:val="tx1"/>
                            </w14:solidFill>
                          </w14:textFill>
                        </w:rPr>
                      </w:pPr>
                      <w:r>
                        <w:rPr>
                          <w:rFonts w:hint="eastAsia"/>
                          <w:b/>
                          <w:bCs/>
                          <w:color w:val="000000" w:themeColor="text1"/>
                          <w:sz w:val="21"/>
                          <w:szCs w:val="24"/>
                          <w:highlight w:val="none"/>
                          <w:lang w:val="en-US" w:eastAsia="zh-CN"/>
                          <w14:textFill>
                            <w14:solidFill>
                              <w14:schemeClr w14:val="tx1"/>
                            </w14:solidFill>
                          </w14:textFill>
                        </w:rPr>
                        <w:t>空置厂房</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2781935</wp:posOffset>
                </wp:positionH>
                <wp:positionV relativeFrom="paragraph">
                  <wp:posOffset>1162685</wp:posOffset>
                </wp:positionV>
                <wp:extent cx="430530" cy="132461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430530" cy="1324610"/>
                        </a:xfrm>
                        <a:prstGeom prst="rect">
                          <a:avLst/>
                        </a:prstGeom>
                        <a:noFill/>
                        <a:ln w="6350">
                          <a:noFill/>
                        </a:ln>
                      </wps:spPr>
                      <wps:txbx>
                        <w:txbxContent>
                          <w:p w14:paraId="36E2D639">
                            <w:pPr>
                              <w:rPr>
                                <w:color w:val="000000" w:themeColor="text1"/>
                                <w:sz w:val="28"/>
                                <w:szCs w:val="36"/>
                                <w14:textFill>
                                  <w14:solidFill>
                                    <w14:schemeClr w14:val="tx1"/>
                                  </w14:solidFill>
                                </w14:textFill>
                              </w:rPr>
                            </w:pPr>
                            <w:r>
                              <w:rPr>
                                <w:rFonts w:hint="eastAsia"/>
                                <w:b/>
                                <w:bCs/>
                                <w:color w:val="000000" w:themeColor="text1"/>
                                <w:sz w:val="28"/>
                                <w:szCs w:val="36"/>
                                <w:lang w:val="en-US" w:eastAsia="zh-CN"/>
                                <w14:textFill>
                                  <w14:solidFill>
                                    <w14:schemeClr w14:val="tx1"/>
                                  </w14:solidFill>
                                </w14:textFill>
                              </w:rPr>
                              <w:t>乐园大道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05pt;margin-top:91.55pt;height:104.3pt;width:33.9pt;z-index:251692032;mso-width-relative:page;mso-height-relative:page;" filled="f" stroked="f" coordsize="21600,21600" o:gfxdata="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KbAefcAAAACwEAAA8AAAAAAAAAAQAgAAAAIgAA&#10;AGRycy9kb3ducmV2LnhtbFBLAQIUABQAAAAIAIdO4kCeoXMFPQIAAGgEAAAOAAAAAAAAAAEAIAAA&#10;ACsBAABkcnMvZTJvRG9jLnhtbFBLBQYAAAAABgAGAFkBAADaBQAAAAA=&#10;">
                <v:fill on="f" focussize="0,0"/>
                <v:stroke on="f" weight="0.5pt"/>
                <v:imagedata o:title=""/>
                <o:lock v:ext="edit" aspectratio="f"/>
                <v:textbox>
                  <w:txbxContent>
                    <w:p w14:paraId="36E2D639">
                      <w:pPr>
                        <w:rPr>
                          <w:color w:val="000000" w:themeColor="text1"/>
                          <w:sz w:val="28"/>
                          <w:szCs w:val="36"/>
                          <w14:textFill>
                            <w14:solidFill>
                              <w14:schemeClr w14:val="tx1"/>
                            </w14:solidFill>
                          </w14:textFill>
                        </w:rPr>
                      </w:pPr>
                      <w:r>
                        <w:rPr>
                          <w:rFonts w:hint="eastAsia"/>
                          <w:b/>
                          <w:bCs/>
                          <w:color w:val="000000" w:themeColor="text1"/>
                          <w:sz w:val="28"/>
                          <w:szCs w:val="36"/>
                          <w:lang w:val="en-US" w:eastAsia="zh-CN"/>
                          <w14:textFill>
                            <w14:solidFill>
                              <w14:schemeClr w14:val="tx1"/>
                            </w14:solidFill>
                          </w14:textFill>
                        </w:rPr>
                        <w:t>乐园大道</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9984" behindDoc="0" locked="0" layoutInCell="1" allowOverlap="1">
                <wp:simplePos x="0" y="0"/>
                <wp:positionH relativeFrom="column">
                  <wp:posOffset>2643505</wp:posOffset>
                </wp:positionH>
                <wp:positionV relativeFrom="paragraph">
                  <wp:posOffset>27305</wp:posOffset>
                </wp:positionV>
                <wp:extent cx="484505" cy="5549900"/>
                <wp:effectExtent l="4445" t="4445" r="6350" b="8255"/>
                <wp:wrapNone/>
                <wp:docPr id="53" name="任意多边形 53"/>
                <wp:cNvGraphicFramePr/>
                <a:graphic xmlns:a="http://schemas.openxmlformats.org/drawingml/2006/main">
                  <a:graphicData uri="http://schemas.microsoft.com/office/word/2010/wordprocessingShape">
                    <wps:wsp>
                      <wps:cNvSpPr/>
                      <wps:spPr>
                        <a:xfrm>
                          <a:off x="3543935" y="1097915"/>
                          <a:ext cx="484505" cy="5549900"/>
                        </a:xfrm>
                        <a:custGeom>
                          <a:avLst/>
                          <a:gdLst>
                            <a:gd name="connisteX0" fmla="*/ 0 w 484505"/>
                            <a:gd name="connsiteY0" fmla="*/ 5524500 h 5549900"/>
                            <a:gd name="connisteX1" fmla="*/ 78105 w 484505"/>
                            <a:gd name="connsiteY1" fmla="*/ 4866640 h 5549900"/>
                            <a:gd name="connisteX2" fmla="*/ 121285 w 484505"/>
                            <a:gd name="connsiteY2" fmla="*/ 4493260 h 5549900"/>
                            <a:gd name="connisteX3" fmla="*/ 129540 w 484505"/>
                            <a:gd name="connsiteY3" fmla="*/ 3914140 h 5549900"/>
                            <a:gd name="connisteX4" fmla="*/ 147320 w 484505"/>
                            <a:gd name="connsiteY4" fmla="*/ 3445510 h 5549900"/>
                            <a:gd name="connisteX5" fmla="*/ 164465 w 484505"/>
                            <a:gd name="connsiteY5" fmla="*/ 2164715 h 5549900"/>
                            <a:gd name="connisteX6" fmla="*/ 224790 w 484505"/>
                            <a:gd name="connsiteY6" fmla="*/ 840105 h 5549900"/>
                            <a:gd name="connisteX7" fmla="*/ 233680 w 484505"/>
                            <a:gd name="connsiteY7" fmla="*/ 0 h 5549900"/>
                            <a:gd name="connisteX8" fmla="*/ 484505 w 484505"/>
                            <a:gd name="connsiteY8" fmla="*/ 34925 h 5549900"/>
                            <a:gd name="connisteX9" fmla="*/ 459105 w 484505"/>
                            <a:gd name="connsiteY9" fmla="*/ 2025650 h 5549900"/>
                            <a:gd name="connisteX10" fmla="*/ 415290 w 484505"/>
                            <a:gd name="connsiteY10" fmla="*/ 2736215 h 5549900"/>
                            <a:gd name="connisteX11" fmla="*/ 389255 w 484505"/>
                            <a:gd name="connsiteY11" fmla="*/ 3159760 h 5549900"/>
                            <a:gd name="connisteX12" fmla="*/ 415290 w 484505"/>
                            <a:gd name="connsiteY12" fmla="*/ 3533140 h 5549900"/>
                            <a:gd name="connisteX13" fmla="*/ 441325 w 484505"/>
                            <a:gd name="connsiteY13" fmla="*/ 3956685 h 5549900"/>
                            <a:gd name="connisteX14" fmla="*/ 407035 w 484505"/>
                            <a:gd name="connsiteY14" fmla="*/ 4554855 h 5549900"/>
                            <a:gd name="connisteX15" fmla="*/ 311785 w 484505"/>
                            <a:gd name="connsiteY15" fmla="*/ 5057140 h 5549900"/>
                            <a:gd name="connisteX16" fmla="*/ 294005 w 484505"/>
                            <a:gd name="connsiteY16" fmla="*/ 5549900 h 5549900"/>
                            <a:gd name="connisteX17" fmla="*/ 0 w 484505"/>
                            <a:gd name="connsiteY17" fmla="*/ 5524500 h 5549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484505" h="5549900">
                              <a:moveTo>
                                <a:pt x="0" y="5524500"/>
                              </a:moveTo>
                              <a:lnTo>
                                <a:pt x="78105" y="4866640"/>
                              </a:lnTo>
                              <a:lnTo>
                                <a:pt x="121285" y="4493260"/>
                              </a:lnTo>
                              <a:lnTo>
                                <a:pt x="129540" y="3914140"/>
                              </a:lnTo>
                              <a:lnTo>
                                <a:pt x="147320" y="3445510"/>
                              </a:lnTo>
                              <a:lnTo>
                                <a:pt x="164465" y="2164715"/>
                              </a:lnTo>
                              <a:lnTo>
                                <a:pt x="224790" y="840105"/>
                              </a:lnTo>
                              <a:lnTo>
                                <a:pt x="233680" y="0"/>
                              </a:lnTo>
                              <a:lnTo>
                                <a:pt x="484505" y="34925"/>
                              </a:lnTo>
                              <a:lnTo>
                                <a:pt x="459105" y="2025650"/>
                              </a:lnTo>
                              <a:lnTo>
                                <a:pt x="415290" y="2736215"/>
                              </a:lnTo>
                              <a:lnTo>
                                <a:pt x="389255" y="3159760"/>
                              </a:lnTo>
                              <a:lnTo>
                                <a:pt x="415290" y="3533140"/>
                              </a:lnTo>
                              <a:lnTo>
                                <a:pt x="441325" y="3956685"/>
                              </a:lnTo>
                              <a:lnTo>
                                <a:pt x="407035" y="4554855"/>
                              </a:lnTo>
                              <a:lnTo>
                                <a:pt x="311785" y="5057140"/>
                              </a:lnTo>
                              <a:lnTo>
                                <a:pt x="294005" y="5549900"/>
                              </a:lnTo>
                              <a:lnTo>
                                <a:pt x="0" y="5524500"/>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8.15pt;margin-top:2.15pt;height:437pt;width:38.15pt;z-index:251689984;mso-width-relative:page;mso-height-relative:page;" fillcolor="#FDEADA" filled="t" stroked="t" coordsize="484505,5549900" o:gfxdata="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" path="m0,5524500l78105,4866640,121285,4493260,129540,3914140,147320,3445510,164465,2164715,224790,840105,233680,0,484505,34925,459105,2025650,415290,2736215,389255,3159760,415290,3533140,441325,3956685,407035,4554855,311785,5057140,294005,5549900,0,5524500xe">
                <v:path o:connectlocs="0,5524500;78105,4866640;121285,4493260;129540,3914140;147320,3445510;164465,2164715;224790,840105;233680,0;484505,34925;459105,2025650;415290,2736215;389255,3159760;415290,3533140;441325,3956685;407035,4554855;311785,5057140;294005,5549900;0,5524500" o:connectangles="0,0,0,0,0,0,0,0,0,0,0,0,0,0,0,0,0,0"/>
                <v:fill on="t" opacity="32768f" focussize="0,0"/>
                <v:stroke weight="0.5pt" color="#F79646 [3209]" joinstyle="round"/>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8960" behindDoc="0" locked="0" layoutInCell="1" allowOverlap="1">
                <wp:simplePos x="0" y="0"/>
                <wp:positionH relativeFrom="column">
                  <wp:posOffset>3336290</wp:posOffset>
                </wp:positionH>
                <wp:positionV relativeFrom="paragraph">
                  <wp:posOffset>970915</wp:posOffset>
                </wp:positionV>
                <wp:extent cx="2701290" cy="1073150"/>
                <wp:effectExtent l="4445" t="4445" r="18415" b="8255"/>
                <wp:wrapNone/>
                <wp:docPr id="52" name="任意多边形 52"/>
                <wp:cNvGraphicFramePr/>
                <a:graphic xmlns:a="http://schemas.openxmlformats.org/drawingml/2006/main">
                  <a:graphicData uri="http://schemas.microsoft.com/office/word/2010/wordprocessingShape">
                    <wps:wsp>
                      <wps:cNvSpPr/>
                      <wps:spPr>
                        <a:xfrm>
                          <a:off x="4236720" y="2041525"/>
                          <a:ext cx="2701290" cy="1073150"/>
                        </a:xfrm>
                        <a:custGeom>
                          <a:avLst/>
                          <a:gdLst>
                            <a:gd name="connisteX0" fmla="*/ 0 w 2701290"/>
                            <a:gd name="connsiteY0" fmla="*/ 164465 h 1073150"/>
                            <a:gd name="connisteX1" fmla="*/ 8255 w 2701290"/>
                            <a:gd name="connsiteY1" fmla="*/ 1073150 h 1073150"/>
                            <a:gd name="connisteX2" fmla="*/ 2303145 w 2701290"/>
                            <a:gd name="connsiteY2" fmla="*/ 1039495 h 1073150"/>
                            <a:gd name="connisteX3" fmla="*/ 2701290 w 2701290"/>
                            <a:gd name="connsiteY3" fmla="*/ 1056640 h 1073150"/>
                            <a:gd name="connisteX4" fmla="*/ 2701290 w 2701290"/>
                            <a:gd name="connsiteY4" fmla="*/ 0 h 1073150"/>
                            <a:gd name="connisteX5" fmla="*/ 17145 w 2701290"/>
                            <a:gd name="connsiteY5" fmla="*/ 86995 h 1073150"/>
                            <a:gd name="connisteX6" fmla="*/ 0 w 2701290"/>
                            <a:gd name="connsiteY6" fmla="*/ 164465 h 1073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701290" h="1073150">
                              <a:moveTo>
                                <a:pt x="0" y="164465"/>
                              </a:moveTo>
                              <a:lnTo>
                                <a:pt x="8255" y="1073150"/>
                              </a:lnTo>
                              <a:lnTo>
                                <a:pt x="2303145" y="1039495"/>
                              </a:lnTo>
                              <a:lnTo>
                                <a:pt x="2701290" y="1056640"/>
                              </a:lnTo>
                              <a:lnTo>
                                <a:pt x="2701290" y="0"/>
                              </a:lnTo>
                              <a:lnTo>
                                <a:pt x="17145" y="86995"/>
                              </a:lnTo>
                              <a:lnTo>
                                <a:pt x="0" y="164465"/>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2.7pt;margin-top:76.45pt;height:84.5pt;width:212.7pt;z-index:251688960;mso-width-relative:page;mso-height-relative:page;" fillcolor="#FDEADA" filled="t" stroked="t" coordsize="2701290,1073150" o:gfxdata="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AyiQ5I2AAAAAsBAAAPAAAAAAAA&#10;AAEAIAAAACIAAABkcnMvZG93bnJldi54bWxQSwECFAAUAAAACACHTuJAzW1sEGgDAAA4CgAADgAA&#10;AAAAAAABACAAAAAnAQAAZHJzL2Uyb0RvYy54bWxQSwUGAAAAAAYABgBZAQAAAQcAAAAA&#10;" path="m0,164465l8255,1073150,2303145,1039495,2701290,1056640,2701290,0,17145,86995,0,164465xe">
                <v:path o:connectlocs="0,164465;8255,1073150;2303145,1039495;2701290,1056640;2701290,0;17145,86995;0,164465" o:connectangles="0,0,0,0,0,0,0"/>
                <v:fill on="t" opacity="32768f" focussize="0,0"/>
                <v:stroke weight="0.5pt" color="#F79646 [3209]"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olumn">
                  <wp:posOffset>3582670</wp:posOffset>
                </wp:positionH>
                <wp:positionV relativeFrom="paragraph">
                  <wp:posOffset>4566285</wp:posOffset>
                </wp:positionV>
                <wp:extent cx="1144905" cy="30924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144905" cy="309489"/>
                        </a:xfrm>
                        <a:prstGeom prst="rect">
                          <a:avLst/>
                        </a:prstGeom>
                        <a:noFill/>
                        <a:ln w="6350">
                          <a:noFill/>
                        </a:ln>
                      </wps:spPr>
                      <wps:txbx>
                        <w:txbxContent>
                          <w:p w14:paraId="7874CE77">
                            <w:pPr>
                              <w:rPr>
                                <w:rFonts w:hint="eastAsia" w:eastAsia="宋体"/>
                                <w:b/>
                                <w:bCs/>
                                <w:color w:val="000000" w:themeColor="text1"/>
                                <w:sz w:val="28"/>
                                <w:szCs w:val="36"/>
                                <w:lang w:val="en-US" w:eastAsia="zh-CN"/>
                                <w14:textFill>
                                  <w14:solidFill>
                                    <w14:schemeClr w14:val="tx1"/>
                                  </w14:solidFill>
                                </w14:textFill>
                              </w:rPr>
                            </w:pPr>
                            <w:r>
                              <w:rPr>
                                <w:rFonts w:hint="eastAsia"/>
                                <w:b/>
                                <w:bCs/>
                                <w:color w:val="000000" w:themeColor="text1"/>
                                <w:sz w:val="28"/>
                                <w:szCs w:val="36"/>
                                <w:lang w:val="en-US" w:eastAsia="zh-CN"/>
                                <w14:textFill>
                                  <w14:solidFill>
                                    <w14:schemeClr w14:val="tx1"/>
                                  </w14:solidFill>
                                </w14:textFill>
                              </w:rPr>
                              <w:t>池塘、林地</w:t>
                            </w:r>
                          </w:p>
                          <w:p w14:paraId="45E5E7E5">
                            <w:pPr>
                              <w:rPr>
                                <w:color w:val="000000" w:themeColor="text1"/>
                                <w:sz w:val="28"/>
                                <w:szCs w:val="36"/>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1pt;margin-top:359.55pt;height:24.35pt;width:90.15pt;z-index:251686912;mso-width-relative:page;mso-height-relative:page;" filled="f" stroked="f" coordsize="21600,21600" o:gfxdata="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jtuG2wAAAAsBAAAPAAAAAAAAAAEAIAAAACIAAABk&#10;cnMvZG93bnJldi54bWxQSwECFAAUAAAACACHTuJAleQi3zwCAABoBAAADgAAAAAAAAABACAAAAAq&#10;AQAAZHJzL2Uyb0RvYy54bWxQSwUGAAAAAAYABgBZAQAA2AUAAAAA&#10;">
                <v:fill on="f" focussize="0,0"/>
                <v:stroke on="f" weight="0.5pt"/>
                <v:imagedata o:title=""/>
                <o:lock v:ext="edit" aspectratio="f"/>
                <v:textbox>
                  <w:txbxContent>
                    <w:p w14:paraId="7874CE77">
                      <w:pPr>
                        <w:rPr>
                          <w:rFonts w:hint="eastAsia" w:eastAsia="宋体"/>
                          <w:b/>
                          <w:bCs/>
                          <w:color w:val="000000" w:themeColor="text1"/>
                          <w:sz w:val="28"/>
                          <w:szCs w:val="36"/>
                          <w:lang w:val="en-US" w:eastAsia="zh-CN"/>
                          <w14:textFill>
                            <w14:solidFill>
                              <w14:schemeClr w14:val="tx1"/>
                            </w14:solidFill>
                          </w14:textFill>
                        </w:rPr>
                      </w:pPr>
                      <w:r>
                        <w:rPr>
                          <w:rFonts w:hint="eastAsia"/>
                          <w:b/>
                          <w:bCs/>
                          <w:color w:val="000000" w:themeColor="text1"/>
                          <w:sz w:val="28"/>
                          <w:szCs w:val="36"/>
                          <w:lang w:val="en-US" w:eastAsia="zh-CN"/>
                          <w14:textFill>
                            <w14:solidFill>
                              <w14:schemeClr w14:val="tx1"/>
                            </w14:solidFill>
                          </w14:textFill>
                        </w:rPr>
                        <w:t>池塘、林地</w:t>
                      </w:r>
                    </w:p>
                    <w:p w14:paraId="45E5E7E5">
                      <w:pPr>
                        <w:rPr>
                          <w:color w:val="000000" w:themeColor="text1"/>
                          <w:sz w:val="28"/>
                          <w:szCs w:val="36"/>
                          <w14:textFill>
                            <w14:solidFill>
                              <w14:schemeClr w14:val="tx1"/>
                            </w14:solidFill>
                          </w14:textFill>
                        </w:rPr>
                      </w:pP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2945765</wp:posOffset>
                </wp:positionH>
                <wp:positionV relativeFrom="paragraph">
                  <wp:posOffset>4010660</wp:posOffset>
                </wp:positionV>
                <wp:extent cx="5351780" cy="1557655"/>
                <wp:effectExtent l="4445" t="4445" r="15875" b="19050"/>
                <wp:wrapNone/>
                <wp:docPr id="43" name="任意多边形 43"/>
                <wp:cNvGraphicFramePr/>
                <a:graphic xmlns:a="http://schemas.openxmlformats.org/drawingml/2006/main">
                  <a:graphicData uri="http://schemas.microsoft.com/office/word/2010/wordprocessingShape">
                    <wps:wsp>
                      <wps:cNvSpPr/>
                      <wps:spPr>
                        <a:xfrm>
                          <a:off x="3863975" y="5081270"/>
                          <a:ext cx="5351780" cy="1557655"/>
                        </a:xfrm>
                        <a:custGeom>
                          <a:avLst/>
                          <a:gdLst>
                            <a:gd name="connsiteX0" fmla="*/ 205 w 8428"/>
                            <a:gd name="connsiteY0" fmla="*/ 53 h 2453"/>
                            <a:gd name="connsiteX1" fmla="*/ 164 w 8428"/>
                            <a:gd name="connsiteY1" fmla="*/ 1022 h 2453"/>
                            <a:gd name="connsiteX2" fmla="*/ 55 w 8428"/>
                            <a:gd name="connsiteY2" fmla="*/ 1663 h 2453"/>
                            <a:gd name="connsiteX3" fmla="*/ 0 w 8428"/>
                            <a:gd name="connsiteY3" fmla="*/ 2453 h 2453"/>
                            <a:gd name="connsiteX4" fmla="*/ 8428 w 8428"/>
                            <a:gd name="connsiteY4" fmla="*/ 2453 h 2453"/>
                            <a:gd name="connsiteX5" fmla="*/ 8428 w 8428"/>
                            <a:gd name="connsiteY5" fmla="*/ 1541 h 2453"/>
                            <a:gd name="connsiteX6" fmla="*/ 4582 w 8428"/>
                            <a:gd name="connsiteY6" fmla="*/ 1527 h 2453"/>
                            <a:gd name="connsiteX7" fmla="*/ 3887 w 8428"/>
                            <a:gd name="connsiteY7" fmla="*/ 1417 h 2453"/>
                            <a:gd name="connsiteX8" fmla="*/ 3082 w 8428"/>
                            <a:gd name="connsiteY8" fmla="*/ 627 h 2453"/>
                            <a:gd name="connsiteX9" fmla="*/ 2537 w 8428"/>
                            <a:gd name="connsiteY9" fmla="*/ 313 h 2453"/>
                            <a:gd name="connsiteX10" fmla="*/ 1528 w 8428"/>
                            <a:gd name="connsiteY10" fmla="*/ 82 h 2453"/>
                            <a:gd name="connsiteX11" fmla="*/ 969 w 8428"/>
                            <a:gd name="connsiteY11" fmla="*/ 0 h 2453"/>
                            <a:gd name="connsiteX12" fmla="*/ 205 w 8428"/>
                            <a:gd name="connsiteY12" fmla="*/ 53 h 2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428" h="2453">
                              <a:moveTo>
                                <a:pt x="205" y="53"/>
                              </a:moveTo>
                              <a:lnTo>
                                <a:pt x="164" y="1022"/>
                              </a:lnTo>
                              <a:lnTo>
                                <a:pt x="55" y="1663"/>
                              </a:lnTo>
                              <a:lnTo>
                                <a:pt x="0" y="2453"/>
                              </a:lnTo>
                              <a:lnTo>
                                <a:pt x="8428" y="2453"/>
                              </a:lnTo>
                              <a:lnTo>
                                <a:pt x="8428" y="1541"/>
                              </a:lnTo>
                              <a:lnTo>
                                <a:pt x="4582" y="1527"/>
                              </a:lnTo>
                              <a:lnTo>
                                <a:pt x="3887" y="1417"/>
                              </a:lnTo>
                              <a:lnTo>
                                <a:pt x="3082" y="627"/>
                              </a:lnTo>
                              <a:lnTo>
                                <a:pt x="2537" y="313"/>
                              </a:lnTo>
                              <a:lnTo>
                                <a:pt x="1528" y="82"/>
                              </a:lnTo>
                              <a:lnTo>
                                <a:pt x="969" y="0"/>
                              </a:lnTo>
                              <a:lnTo>
                                <a:pt x="205" y="53"/>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1.95pt;margin-top:315.8pt;height:122.65pt;width:421.4pt;z-index:251685888;mso-width-relative:page;mso-height-relative:page;" fillcolor="#FDEADA" filled="t" stroked="t" coordsize="8428,2453" o:gfxdata="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" path="m205,53l164,1022,55,1663,0,2453,8428,2453,8428,1541,4582,1527,3887,1417,3082,627,2537,313,1528,82,969,0,205,53xe">
                <v:path o:connectlocs="130175,33655;104140,648970;34925,1056005;0,1557655;5351780,1557655;5351780,978535;2909570,969645;2468245,899795;1957070,398145;1610995,198755;970280,52070;615315,0;130175,33655" o:connectangles="0,0,0,0,0,0,0,0,0,0,0,0,0"/>
                <v:fill on="t" opacity="32768f" focussize="0,0"/>
                <v:stroke weight="0.5pt" color="#F79646 [3209]" joinstyle="round"/>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84864" behindDoc="0" locked="0" layoutInCell="1" allowOverlap="1">
            <wp:simplePos x="0" y="0"/>
            <wp:positionH relativeFrom="column">
              <wp:posOffset>7759700</wp:posOffset>
            </wp:positionH>
            <wp:positionV relativeFrom="paragraph">
              <wp:posOffset>12065</wp:posOffset>
            </wp:positionV>
            <wp:extent cx="976630" cy="996950"/>
            <wp:effectExtent l="0" t="0" r="13970" b="1270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4"/>
                    <a:stretch>
                      <a:fillRect/>
                    </a:stretch>
                  </pic:blipFill>
                  <pic:spPr>
                    <a:xfrm>
                      <a:off x="0" y="0"/>
                      <a:ext cx="976630" cy="99695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556625" cy="5549265"/>
            <wp:effectExtent l="9525" t="9525" r="25400" b="228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8"/>
                    <a:stretch>
                      <a:fillRect/>
                    </a:stretch>
                  </pic:blipFill>
                  <pic:spPr>
                    <a:xfrm>
                      <a:off x="0" y="0"/>
                      <a:ext cx="8556625" cy="5549265"/>
                    </a:xfrm>
                    <a:prstGeom prst="rect">
                      <a:avLst/>
                    </a:prstGeom>
                    <a:noFill/>
                    <a:ln>
                      <a:solidFill>
                        <a:schemeClr val="tx1"/>
                      </a:solid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4903470</wp:posOffset>
                </wp:positionH>
                <wp:positionV relativeFrom="paragraph">
                  <wp:posOffset>2122805</wp:posOffset>
                </wp:positionV>
                <wp:extent cx="1177290" cy="822325"/>
                <wp:effectExtent l="4445" t="4445" r="18415" b="11430"/>
                <wp:wrapNone/>
                <wp:docPr id="47" name="任意多边形 47"/>
                <wp:cNvGraphicFramePr/>
                <a:graphic xmlns:a="http://schemas.openxmlformats.org/drawingml/2006/main">
                  <a:graphicData uri="http://schemas.microsoft.com/office/word/2010/wordprocessingShape">
                    <wps:wsp>
                      <wps:cNvSpPr/>
                      <wps:spPr>
                        <a:xfrm>
                          <a:off x="0" y="0"/>
                          <a:ext cx="1177290" cy="822325"/>
                        </a:xfrm>
                        <a:custGeom>
                          <a:avLst/>
                          <a:gdLst>
                            <a:gd name="connisteX0" fmla="*/ 0 w 1177290"/>
                            <a:gd name="connsiteY0" fmla="*/ 69215 h 822325"/>
                            <a:gd name="connisteX1" fmla="*/ 0 w 1177290"/>
                            <a:gd name="connsiteY1" fmla="*/ 813435 h 822325"/>
                            <a:gd name="connisteX2" fmla="*/ 1177290 w 1177290"/>
                            <a:gd name="connsiteY2" fmla="*/ 822325 h 822325"/>
                            <a:gd name="connisteX3" fmla="*/ 1169035 w 1177290"/>
                            <a:gd name="connsiteY3" fmla="*/ 0 h 822325"/>
                            <a:gd name="connisteX4" fmla="*/ 0 w 1177290"/>
                            <a:gd name="connsiteY4" fmla="*/ 69215 h 8223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77290" h="822325">
                              <a:moveTo>
                                <a:pt x="0" y="69215"/>
                              </a:moveTo>
                              <a:lnTo>
                                <a:pt x="0" y="813435"/>
                              </a:lnTo>
                              <a:lnTo>
                                <a:pt x="1177290" y="822325"/>
                              </a:lnTo>
                              <a:lnTo>
                                <a:pt x="1169035" y="0"/>
                              </a:lnTo>
                              <a:lnTo>
                                <a:pt x="0" y="69215"/>
                              </a:lnTo>
                              <a:close/>
                            </a:path>
                          </a:pathLst>
                        </a:custGeom>
                        <a:solidFill>
                          <a:srgbClr val="FDEADA">
                            <a:alpha val="50000"/>
                          </a:srgbClr>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6.1pt;margin-top:167.15pt;height:64.75pt;width:92.7pt;z-index:251691008;mso-width-relative:page;mso-height-relative:page;" fillcolor="#FDEADA" filled="t" stroked="t" coordsize="1177290,822325" o:gfxdata="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DyFIwk3AAAAAsBAAAPAAAAAAAAAAEAIAAAACIAAABkcnMvZG93bnJldi54&#10;bWxQSwECFAAUAAAACACHTuJA0eg/cxMDAABxCAAADgAAAAAAAAABACAAAAArAQAAZHJzL2Uyb0Rv&#10;Yy54bWxQSwUGAAAAAAYABgBZAQAAsAYAAAAA&#10;" path="m0,69215l0,813435,1177290,822325,1169035,0,0,69215xe">
                <v:path o:connectlocs="0,69215;0,813435;1177290,822325;1169035,0;0,69215" o:connectangles="0,0,0,0,0"/>
                <v:fill on="t" opacity="32768f" focussize="0,0"/>
                <v:stroke weight="0.5pt" color="#F79646 [3209]" joinstyle="round"/>
                <v:imagedata o:title=""/>
                <o:lock v:ext="edit" aspectratio="f"/>
              </v:shape>
            </w:pict>
          </mc:Fallback>
        </mc:AlternateContent>
      </w:r>
    </w:p>
    <w:p w14:paraId="51EC7EDB">
      <w:pPr>
        <w:pStyle w:val="7"/>
        <w:spacing w:before="0" w:beforeAutospacing="0" w:after="0" w:afterAutospacing="0"/>
        <w:jc w:val="left"/>
        <w:rPr>
          <w:rFonts w:hint="default" w:ascii="Times New Roman" w:hAnsi="Times New Roman" w:cs="Times New Roman"/>
          <w:color w:val="auto"/>
          <w:sz w:val="24"/>
          <w:highlight w:val="none"/>
        </w:rPr>
      </w:pPr>
      <w:bookmarkStart w:id="42" w:name="_Toc20968"/>
      <w:r>
        <w:rPr>
          <w:rFonts w:hint="default" w:ascii="Times New Roman" w:hAnsi="Times New Roman" w:cs="Times New Roman"/>
          <w:color w:val="auto"/>
          <w:sz w:val="24"/>
          <w:highlight w:val="none"/>
        </w:rPr>
        <w:t>附图3项目总平面布置图</w:t>
      </w:r>
      <w:bookmarkEnd w:id="42"/>
    </w:p>
    <w:p w14:paraId="3EC80A0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794115" cy="5626100"/>
            <wp:effectExtent l="0" t="0" r="6985" b="12700"/>
            <wp:docPr id="1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0"/>
                    <pic:cNvPicPr>
                      <a:picLocks noChangeAspect="1"/>
                    </pic:cNvPicPr>
                  </pic:nvPicPr>
                  <pic:blipFill>
                    <a:blip r:embed="rId49"/>
                    <a:stretch>
                      <a:fillRect/>
                    </a:stretch>
                  </pic:blipFill>
                  <pic:spPr>
                    <a:xfrm>
                      <a:off x="0" y="0"/>
                      <a:ext cx="8794115" cy="5626100"/>
                    </a:xfrm>
                    <a:prstGeom prst="rect">
                      <a:avLst/>
                    </a:prstGeom>
                    <a:noFill/>
                    <a:ln>
                      <a:noFill/>
                    </a:ln>
                  </pic:spPr>
                </pic:pic>
              </a:graphicData>
            </a:graphic>
          </wp:inline>
        </w:drawing>
      </w:r>
    </w:p>
    <w:p w14:paraId="35285445">
      <w:pPr>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t>总平面布置图</w:t>
      </w:r>
    </w:p>
    <w:p w14:paraId="6E2336A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800465" cy="3452495"/>
            <wp:effectExtent l="0" t="0" r="635" b="14605"/>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50"/>
                    <a:stretch>
                      <a:fillRect/>
                    </a:stretch>
                  </pic:blipFill>
                  <pic:spPr>
                    <a:xfrm>
                      <a:off x="0" y="0"/>
                      <a:ext cx="8800465" cy="3452495"/>
                    </a:xfrm>
                    <a:prstGeom prst="rect">
                      <a:avLst/>
                    </a:prstGeom>
                    <a:noFill/>
                    <a:ln>
                      <a:noFill/>
                    </a:ln>
                  </pic:spPr>
                </pic:pic>
              </a:graphicData>
            </a:graphic>
          </wp:inline>
        </w:drawing>
      </w:r>
    </w:p>
    <w:p w14:paraId="3415D73A">
      <w:pPr>
        <w:jc w:val="center"/>
        <w:rPr>
          <w:rFonts w:hint="default" w:ascii="Times New Roman" w:hAnsi="Times New Roman" w:cs="Times New Roman"/>
          <w:b/>
          <w:bCs/>
          <w:color w:val="auto"/>
          <w:sz w:val="24"/>
          <w:szCs w:val="24"/>
          <w:highlight w:val="none"/>
          <w:lang w:eastAsia="zh-CN"/>
        </w:rPr>
        <w:sectPr>
          <w:pgSz w:w="16838" w:h="11906"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cs="Times New Roman"/>
          <w:b/>
          <w:bCs/>
          <w:color w:val="auto"/>
          <w:sz w:val="24"/>
          <w:szCs w:val="24"/>
          <w:highlight w:val="none"/>
          <w:lang w:eastAsia="zh-CN"/>
        </w:rPr>
        <w:t>一层平面布置图</w:t>
      </w:r>
    </w:p>
    <w:p w14:paraId="1BB32E29">
      <w:pPr>
        <w:jc w:val="center"/>
        <w:rPr>
          <w:rFonts w:hint="default" w:ascii="Times New Roman" w:hAnsi="Times New Roman" w:cs="Times New Roman"/>
          <w:color w:val="auto"/>
          <w:highlight w:val="none"/>
        </w:rPr>
      </w:pPr>
    </w:p>
    <w:p w14:paraId="5BF92E4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749376" behindDoc="0" locked="0" layoutInCell="1" allowOverlap="1">
            <wp:simplePos x="0" y="0"/>
            <wp:positionH relativeFrom="column">
              <wp:posOffset>7999730</wp:posOffset>
            </wp:positionH>
            <wp:positionV relativeFrom="paragraph">
              <wp:posOffset>13335</wp:posOffset>
            </wp:positionV>
            <wp:extent cx="813435" cy="862965"/>
            <wp:effectExtent l="0" t="0" r="0" b="0"/>
            <wp:wrapNone/>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4"/>
                    <a:srcRect r="3757"/>
                    <a:stretch>
                      <a:fillRect/>
                    </a:stretch>
                  </pic:blipFill>
                  <pic:spPr>
                    <a:xfrm>
                      <a:off x="0" y="0"/>
                      <a:ext cx="813435" cy="862965"/>
                    </a:xfrm>
                    <a:prstGeom prst="rect">
                      <a:avLst/>
                    </a:prstGeom>
                    <a:noFill/>
                    <a:ln>
                      <a:noFill/>
                    </a:ln>
                  </pic:spPr>
                </pic:pic>
              </a:graphicData>
            </a:graphic>
          </wp:anchor>
        </w:drawing>
      </w:r>
    </w:p>
    <w:p w14:paraId="6B5B077F">
      <w:pPr>
        <w:jc w:val="center"/>
        <w:rPr>
          <w:rFonts w:hint="default" w:ascii="Times New Roman" w:hAnsi="Times New Roman" w:cs="Times New Roman"/>
          <w:color w:val="auto"/>
          <w:highlight w:val="none"/>
        </w:rPr>
      </w:pPr>
    </w:p>
    <w:p w14:paraId="4AA96083">
      <w:pPr>
        <w:jc w:val="center"/>
        <w:rPr>
          <w:rFonts w:hint="default" w:ascii="Times New Roman" w:hAnsi="Times New Roman" w:cs="Times New Roman"/>
          <w:color w:val="auto"/>
          <w:highlight w:val="none"/>
        </w:rPr>
      </w:pPr>
    </w:p>
    <w:p w14:paraId="193ACDB8">
      <w:pPr>
        <w:jc w:val="center"/>
        <w:rPr>
          <w:rFonts w:hint="default" w:ascii="Times New Roman" w:hAnsi="Times New Roman" w:cs="Times New Roman"/>
          <w:color w:val="auto"/>
          <w:highlight w:val="none"/>
        </w:rPr>
      </w:pPr>
    </w:p>
    <w:p w14:paraId="04849993">
      <w:pPr>
        <w:jc w:val="center"/>
        <w:rPr>
          <w:rFonts w:hint="default" w:ascii="Times New Roman" w:hAnsi="Times New Roman" w:cs="Times New Roman"/>
          <w:color w:val="auto"/>
          <w:highlight w:val="none"/>
        </w:rPr>
      </w:pPr>
    </w:p>
    <w:p w14:paraId="44095DFC">
      <w:pPr>
        <w:jc w:val="center"/>
        <w:rPr>
          <w:rFonts w:hint="default" w:ascii="Times New Roman" w:hAnsi="Times New Roman" w:cs="Times New Roman"/>
          <w:color w:val="auto"/>
          <w:highlight w:val="none"/>
        </w:rPr>
      </w:pPr>
    </w:p>
    <w:p w14:paraId="5128C85C">
      <w:pPr>
        <w:jc w:val="center"/>
        <w:rPr>
          <w:rFonts w:hint="default" w:ascii="Times New Roman" w:hAnsi="Times New Roman" w:cs="Times New Roman"/>
          <w:color w:val="auto"/>
          <w:highlight w:val="none"/>
        </w:rPr>
      </w:pPr>
      <w:r>
        <w:rPr>
          <w:rFonts w:hint="default" w:ascii="Times New Roman" w:hAnsi="Times New Roman" w:cs="Times New Roman"/>
          <w:color w:val="auto"/>
          <w:sz w:val="21"/>
        </w:rPr>
        <mc:AlternateContent>
          <mc:Choice Requires="wps">
            <w:drawing>
              <wp:anchor distT="0" distB="0" distL="114300" distR="114300" simplePos="0" relativeHeight="251762688" behindDoc="0" locked="0" layoutInCell="1" allowOverlap="1">
                <wp:simplePos x="0" y="0"/>
                <wp:positionH relativeFrom="column">
                  <wp:posOffset>5598795</wp:posOffset>
                </wp:positionH>
                <wp:positionV relativeFrom="paragraph">
                  <wp:posOffset>1057910</wp:posOffset>
                </wp:positionV>
                <wp:extent cx="802640" cy="28575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80264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E44A47">
                            <w:pPr>
                              <w:rPr>
                                <w:rFonts w:hint="default" w:eastAsia="宋体"/>
                                <w:b/>
                                <w:bCs/>
                                <w:sz w:val="16"/>
                                <w:szCs w:val="20"/>
                                <w:lang w:val="en-US" w:eastAsia="zh-CN"/>
                              </w:rPr>
                            </w:pPr>
                            <w:r>
                              <w:rPr>
                                <w:rFonts w:hint="eastAsia"/>
                                <w:b/>
                                <w:bCs/>
                                <w:sz w:val="16"/>
                                <w:szCs w:val="20"/>
                                <w:lang w:val="en-US" w:eastAsia="zh-CN"/>
                              </w:rPr>
                              <w:t>检测、组装区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85pt;margin-top:83.3pt;height:22.5pt;width:63.2pt;z-index:251762688;mso-width-relative:page;mso-height-relative:page;" filled="f" stroked="f" coordsize="21600,21600" o:gfxdata="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bETmTaAAAADAEAAA8AAAAAAAAAAQAgAAAAIgAAAGRy&#10;cy9kb3ducmV2LnhtbFBLAQIUABQAAAAIAIdO4kAeOcg0PAIAAGkEAAAOAAAAAAAAAAEAIAAAACkB&#10;AABkcnMvZTJvRG9jLnhtbFBLBQYAAAAABgAGAFkBAADXBQAAAAA=&#10;">
                <v:fill on="f" focussize="0,0"/>
                <v:stroke on="f" weight="0.5pt"/>
                <v:imagedata o:title=""/>
                <o:lock v:ext="edit" aspectratio="f"/>
                <v:textbox>
                  <w:txbxContent>
                    <w:p w14:paraId="71E44A47">
                      <w:pPr>
                        <w:rPr>
                          <w:rFonts w:hint="default" w:eastAsia="宋体"/>
                          <w:b/>
                          <w:bCs/>
                          <w:sz w:val="16"/>
                          <w:szCs w:val="20"/>
                          <w:lang w:val="en-US" w:eastAsia="zh-CN"/>
                        </w:rPr>
                      </w:pPr>
                      <w:r>
                        <w:rPr>
                          <w:rFonts w:hint="eastAsia"/>
                          <w:b/>
                          <w:bCs/>
                          <w:sz w:val="16"/>
                          <w:szCs w:val="20"/>
                          <w:lang w:val="en-US" w:eastAsia="zh-CN"/>
                        </w:rPr>
                        <w:t>检测、组装区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61664" behindDoc="0" locked="0" layoutInCell="1" allowOverlap="1">
                <wp:simplePos x="0" y="0"/>
                <wp:positionH relativeFrom="column">
                  <wp:posOffset>3279140</wp:posOffset>
                </wp:positionH>
                <wp:positionV relativeFrom="paragraph">
                  <wp:posOffset>1751330</wp:posOffset>
                </wp:positionV>
                <wp:extent cx="574675" cy="28575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C0ECDD">
                            <w:pPr>
                              <w:rPr>
                                <w:rFonts w:hint="default" w:eastAsia="宋体"/>
                                <w:b/>
                                <w:bCs/>
                                <w:sz w:val="16"/>
                                <w:szCs w:val="20"/>
                                <w:lang w:val="en-US" w:eastAsia="zh-CN"/>
                              </w:rPr>
                            </w:pPr>
                            <w:r>
                              <w:rPr>
                                <w:rFonts w:hint="eastAsia"/>
                                <w:b/>
                                <w:bCs/>
                                <w:sz w:val="16"/>
                                <w:szCs w:val="20"/>
                                <w:lang w:val="en-US" w:eastAsia="zh-CN"/>
                              </w:rPr>
                              <w:t>打粒区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2pt;margin-top:137.9pt;height:22.5pt;width:45.25pt;z-index:251761664;mso-width-relative:page;mso-height-relative:page;" filled="f" stroked="f" coordsize="21600,21600" o:gfxdata="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unyEdwAAAALAQAADwAAAAAAAAABACAAAAAiAAAA&#10;ZHJzL2Rvd25yZXYueG1sUEsBAhQAFAAAAAgAh07iQOXCVUU8AgAAaQQAAA4AAAAAAAAAAQAgAAAA&#10;KwEAAGRycy9lMm9Eb2MueG1sUEsFBgAAAAAGAAYAWQEAANkFAAAAAA==&#10;">
                <v:fill on="f" focussize="0,0"/>
                <v:stroke on="f" weight="0.5pt"/>
                <v:imagedata o:title=""/>
                <o:lock v:ext="edit" aspectratio="f"/>
                <v:textbox>
                  <w:txbxContent>
                    <w:p w14:paraId="49C0ECDD">
                      <w:pPr>
                        <w:rPr>
                          <w:rFonts w:hint="default" w:eastAsia="宋体"/>
                          <w:b/>
                          <w:bCs/>
                          <w:sz w:val="16"/>
                          <w:szCs w:val="20"/>
                          <w:lang w:val="en-US" w:eastAsia="zh-CN"/>
                        </w:rPr>
                      </w:pPr>
                      <w:r>
                        <w:rPr>
                          <w:rFonts w:hint="eastAsia"/>
                          <w:b/>
                          <w:bCs/>
                          <w:sz w:val="16"/>
                          <w:szCs w:val="20"/>
                          <w:lang w:val="en-US" w:eastAsia="zh-CN"/>
                        </w:rPr>
                        <w:t>打粒区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60640" behindDoc="0" locked="0" layoutInCell="1" allowOverlap="1">
                <wp:simplePos x="0" y="0"/>
                <wp:positionH relativeFrom="column">
                  <wp:posOffset>2297430</wp:posOffset>
                </wp:positionH>
                <wp:positionV relativeFrom="paragraph">
                  <wp:posOffset>199390</wp:posOffset>
                </wp:positionV>
                <wp:extent cx="701040" cy="28575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70104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CFE239">
                            <w:pPr>
                              <w:rPr>
                                <w:rFonts w:hint="default" w:eastAsia="宋体"/>
                                <w:b/>
                                <w:bCs/>
                                <w:sz w:val="16"/>
                                <w:szCs w:val="20"/>
                                <w:lang w:val="en-US" w:eastAsia="zh-CN"/>
                              </w:rPr>
                            </w:pPr>
                            <w:r>
                              <w:rPr>
                                <w:rFonts w:hint="eastAsia"/>
                                <w:b/>
                                <w:bCs/>
                                <w:sz w:val="16"/>
                                <w:szCs w:val="20"/>
                                <w:lang w:val="en-US" w:eastAsia="zh-CN"/>
                              </w:rPr>
                              <w:t>UV固化区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9pt;margin-top:15.7pt;height:22.5pt;width:55.2pt;z-index:251760640;mso-width-relative:page;mso-height-relative:page;" filled="f" stroked="f" coordsize="21600,21600" o:gfxdata="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b99Z3bAAAACQEAAA8AAAAAAAAAAQAgAAAAIgAAAGRy&#10;cy9kb3ducmV2LnhtbFBLAQIUABQAAAAIAIdO4kC8hOwVOwIAAGkEAAAOAAAAAAAAAAEAIAAAACoB&#10;AABkcnMvZTJvRG9jLnhtbFBLBQYAAAAABgAGAFkBAADXBQAAAAA=&#10;">
                <v:fill on="f" focussize="0,0"/>
                <v:stroke on="f" weight="0.5pt"/>
                <v:imagedata o:title=""/>
                <o:lock v:ext="edit" aspectratio="f"/>
                <v:textbox>
                  <w:txbxContent>
                    <w:p w14:paraId="1ACFE239">
                      <w:pPr>
                        <w:rPr>
                          <w:rFonts w:hint="default" w:eastAsia="宋体"/>
                          <w:b/>
                          <w:bCs/>
                          <w:sz w:val="16"/>
                          <w:szCs w:val="20"/>
                          <w:lang w:val="en-US" w:eastAsia="zh-CN"/>
                        </w:rPr>
                      </w:pPr>
                      <w:r>
                        <w:rPr>
                          <w:rFonts w:hint="eastAsia"/>
                          <w:b/>
                          <w:bCs/>
                          <w:sz w:val="16"/>
                          <w:szCs w:val="20"/>
                          <w:lang w:val="en-US" w:eastAsia="zh-CN"/>
                        </w:rPr>
                        <w:t>UV固化区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59616" behindDoc="0" locked="0" layoutInCell="1" allowOverlap="1">
                <wp:simplePos x="0" y="0"/>
                <wp:positionH relativeFrom="column">
                  <wp:posOffset>1543685</wp:posOffset>
                </wp:positionH>
                <wp:positionV relativeFrom="paragraph">
                  <wp:posOffset>371475</wp:posOffset>
                </wp:positionV>
                <wp:extent cx="574675" cy="28575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D17DD">
                            <w:pPr>
                              <w:rPr>
                                <w:rFonts w:hint="default" w:eastAsia="宋体"/>
                                <w:b/>
                                <w:bCs/>
                                <w:sz w:val="16"/>
                                <w:szCs w:val="20"/>
                                <w:lang w:val="en-US" w:eastAsia="zh-CN"/>
                              </w:rPr>
                            </w:pPr>
                            <w:r>
                              <w:rPr>
                                <w:rFonts w:hint="eastAsia"/>
                                <w:b/>
                                <w:bCs/>
                                <w:sz w:val="16"/>
                                <w:szCs w:val="20"/>
                                <w:lang w:val="en-US" w:eastAsia="zh-CN"/>
                              </w:rPr>
                              <w:t>灌晶区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55pt;margin-top:29.25pt;height:22.5pt;width:45.25pt;z-index:251759616;mso-width-relative:page;mso-height-relative:page;" filled="f" stroked="f" coordsize="21600,21600" o:gfxdata="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&#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WYOYtsAAAAKAQAADwAAAAAAAAABACAAAAAiAAAA&#10;ZHJzL2Rvd25yZXYueG1sUEsBAhQAFAAAAAgAh07iQMvjBfE9AgAAaQQAAA4AAAAAAAAAAQAgAAAA&#10;KgEAAGRycy9lMm9Eb2MueG1sUEsFBgAAAAAGAAYAWQEAANkFAAAAAA==&#10;">
                <v:fill on="f" focussize="0,0"/>
                <v:stroke on="f" weight="0.5pt"/>
                <v:imagedata o:title=""/>
                <o:lock v:ext="edit" aspectratio="f"/>
                <v:textbox>
                  <w:txbxContent>
                    <w:p w14:paraId="6CFD17DD">
                      <w:pPr>
                        <w:rPr>
                          <w:rFonts w:hint="default" w:eastAsia="宋体"/>
                          <w:b/>
                          <w:bCs/>
                          <w:sz w:val="16"/>
                          <w:szCs w:val="20"/>
                          <w:lang w:val="en-US" w:eastAsia="zh-CN"/>
                        </w:rPr>
                      </w:pPr>
                      <w:r>
                        <w:rPr>
                          <w:rFonts w:hint="eastAsia"/>
                          <w:b/>
                          <w:bCs/>
                          <w:sz w:val="16"/>
                          <w:szCs w:val="20"/>
                          <w:lang w:val="en-US" w:eastAsia="zh-CN"/>
                        </w:rPr>
                        <w:t>灌晶区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58592" behindDoc="0" locked="0" layoutInCell="1" allowOverlap="1">
                <wp:simplePos x="0" y="0"/>
                <wp:positionH relativeFrom="column">
                  <wp:posOffset>4845685</wp:posOffset>
                </wp:positionH>
                <wp:positionV relativeFrom="paragraph">
                  <wp:posOffset>193675</wp:posOffset>
                </wp:positionV>
                <wp:extent cx="574675" cy="28575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E476C5">
                            <w:pPr>
                              <w:rPr>
                                <w:rFonts w:hint="default" w:eastAsia="宋体"/>
                                <w:b/>
                                <w:bCs/>
                                <w:sz w:val="16"/>
                                <w:szCs w:val="20"/>
                                <w:lang w:val="en-US" w:eastAsia="zh-CN"/>
                              </w:rPr>
                            </w:pPr>
                            <w:r>
                              <w:rPr>
                                <w:rFonts w:hint="eastAsia"/>
                                <w:b/>
                                <w:bCs/>
                                <w:sz w:val="16"/>
                                <w:szCs w:val="20"/>
                                <w:lang w:val="en-US" w:eastAsia="zh-CN"/>
                              </w:rPr>
                              <w:t>消泡区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55pt;margin-top:15.25pt;height:22.5pt;width:45.25pt;z-index:251758592;mso-width-relative:page;mso-height-relative:page;" filled="f" stroked="f" coordsize="21600,21600" o:gfxdata="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AxeDd2gAAAAkBAAAPAAAAAAAAAAEAIAAAACIAAABk&#10;cnMvZG93bnJldi54bWxQSwECFAAUAAAACACHTuJAIyUTOj0CAABpBAAADgAAAAAAAAABACAAAAAp&#10;AQAAZHJzL2Uyb0RvYy54bWxQSwUGAAAAAAYABgBZAQAA2AUAAAAA&#10;">
                <v:fill on="f" focussize="0,0"/>
                <v:stroke on="f" weight="0.5pt"/>
                <v:imagedata o:title=""/>
                <o:lock v:ext="edit" aspectratio="f"/>
                <v:textbox>
                  <w:txbxContent>
                    <w:p w14:paraId="42E476C5">
                      <w:pPr>
                        <w:rPr>
                          <w:rFonts w:hint="default" w:eastAsia="宋体"/>
                          <w:b/>
                          <w:bCs/>
                          <w:sz w:val="16"/>
                          <w:szCs w:val="20"/>
                          <w:lang w:val="en-US" w:eastAsia="zh-CN"/>
                        </w:rPr>
                      </w:pPr>
                      <w:r>
                        <w:rPr>
                          <w:rFonts w:hint="eastAsia"/>
                          <w:b/>
                          <w:bCs/>
                          <w:sz w:val="16"/>
                          <w:szCs w:val="20"/>
                          <w:lang w:val="en-US" w:eastAsia="zh-CN"/>
                        </w:rPr>
                        <w:t>消泡区</w:t>
                      </w:r>
                    </w:p>
                  </w:txbxContent>
                </v:textbox>
              </v:shape>
            </w:pict>
          </mc:Fallback>
        </mc:AlternateContent>
      </w:r>
      <w:r>
        <w:rPr>
          <w:rFonts w:hint="default" w:ascii="Times New Roman" w:hAnsi="Times New Roman" w:cs="Times New Roman"/>
          <w:color w:val="auto"/>
          <w:highlight w:val="none"/>
        </w:rPr>
        <w:drawing>
          <wp:inline distT="0" distB="0" distL="114300" distR="114300">
            <wp:extent cx="8884920" cy="2378075"/>
            <wp:effectExtent l="0" t="0" r="0" b="1460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51"/>
                    <a:stretch>
                      <a:fillRect/>
                    </a:stretch>
                  </pic:blipFill>
                  <pic:spPr>
                    <a:xfrm>
                      <a:off x="0" y="0"/>
                      <a:ext cx="8884920" cy="2378075"/>
                    </a:xfrm>
                    <a:prstGeom prst="rect">
                      <a:avLst/>
                    </a:prstGeom>
                    <a:noFill/>
                    <a:ln>
                      <a:noFill/>
                    </a:ln>
                  </pic:spPr>
                </pic:pic>
              </a:graphicData>
            </a:graphic>
          </wp:inline>
        </w:drawing>
      </w:r>
      <w:r>
        <w:rPr>
          <w:rFonts w:hint="default" w:ascii="Times New Roman" w:hAnsi="Times New Roman" w:cs="Times New Roman"/>
          <w:color w:val="auto"/>
          <w:sz w:val="21"/>
        </w:rPr>
        <mc:AlternateContent>
          <mc:Choice Requires="wps">
            <w:drawing>
              <wp:anchor distT="0" distB="0" distL="114300" distR="114300" simplePos="0" relativeHeight="251756544" behindDoc="0" locked="0" layoutInCell="1" allowOverlap="1">
                <wp:simplePos x="0" y="0"/>
                <wp:positionH relativeFrom="column">
                  <wp:posOffset>3034030</wp:posOffset>
                </wp:positionH>
                <wp:positionV relativeFrom="paragraph">
                  <wp:posOffset>1285875</wp:posOffset>
                </wp:positionV>
                <wp:extent cx="574675" cy="28575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C20909">
                            <w:pPr>
                              <w:rPr>
                                <w:rFonts w:hint="default" w:eastAsia="宋体"/>
                                <w:b/>
                                <w:bCs/>
                                <w:sz w:val="16"/>
                                <w:szCs w:val="20"/>
                                <w:lang w:val="en-US" w:eastAsia="zh-CN"/>
                              </w:rPr>
                            </w:pPr>
                            <w:r>
                              <w:rPr>
                                <w:rFonts w:hint="eastAsia"/>
                                <w:b/>
                                <w:bCs/>
                                <w:sz w:val="16"/>
                                <w:szCs w:val="20"/>
                                <w:lang w:val="en-US" w:eastAsia="zh-CN"/>
                              </w:rPr>
                              <w:t>切割区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9pt;margin-top:101.25pt;height:22.5pt;width:45.25pt;z-index:251756544;mso-width-relative:page;mso-height-relative:page;" filled="f" stroked="f" coordsize="21600,21600" o:gfxdata="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cZdJzcAAAACwEAAA8AAAAAAAAAAQAgAAAAIgAA&#10;AGRycy9kb3ducmV2LnhtbFBLAQIUABQAAAAIAIdO4kDSkFZDPQIAAGkEAAAOAAAAAAAAAAEAIAAA&#10;ACsBAABkcnMvZTJvRG9jLnhtbFBLBQYAAAAABgAGAFkBAADaBQAAAAA=&#10;">
                <v:fill on="f" focussize="0,0"/>
                <v:stroke on="f" weight="0.5pt"/>
                <v:imagedata o:title=""/>
                <o:lock v:ext="edit" aspectratio="f"/>
                <v:textbox>
                  <w:txbxContent>
                    <w:p w14:paraId="58C20909">
                      <w:pPr>
                        <w:rPr>
                          <w:rFonts w:hint="default" w:eastAsia="宋体"/>
                          <w:b/>
                          <w:bCs/>
                          <w:sz w:val="16"/>
                          <w:szCs w:val="20"/>
                          <w:lang w:val="en-US" w:eastAsia="zh-CN"/>
                        </w:rPr>
                      </w:pPr>
                      <w:r>
                        <w:rPr>
                          <w:rFonts w:hint="eastAsia"/>
                          <w:b/>
                          <w:bCs/>
                          <w:sz w:val="16"/>
                          <w:szCs w:val="20"/>
                          <w:lang w:val="en-US" w:eastAsia="zh-CN"/>
                        </w:rPr>
                        <w:t>切割区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57568" behindDoc="0" locked="0" layoutInCell="1" allowOverlap="1">
                <wp:simplePos x="0" y="0"/>
                <wp:positionH relativeFrom="column">
                  <wp:posOffset>3093720</wp:posOffset>
                </wp:positionH>
                <wp:positionV relativeFrom="paragraph">
                  <wp:posOffset>498475</wp:posOffset>
                </wp:positionV>
                <wp:extent cx="574675" cy="28575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5558D8">
                            <w:pPr>
                              <w:rPr>
                                <w:rFonts w:hint="default" w:eastAsia="宋体"/>
                                <w:b/>
                                <w:bCs/>
                                <w:sz w:val="16"/>
                                <w:szCs w:val="20"/>
                                <w:lang w:val="en-US" w:eastAsia="zh-CN"/>
                              </w:rPr>
                            </w:pPr>
                            <w:r>
                              <w:rPr>
                                <w:rFonts w:hint="eastAsia"/>
                                <w:b/>
                                <w:bCs/>
                                <w:sz w:val="16"/>
                                <w:szCs w:val="20"/>
                                <w:lang w:val="en-US" w:eastAsia="zh-CN"/>
                              </w:rPr>
                              <w:t>清洗区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6pt;margin-top:39.25pt;height:22.5pt;width:45.25pt;z-index:251757568;mso-width-relative:page;mso-height-relative:page;" filled="f" stroked="f" coordsize="21600,21600" o:gfxdata="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&#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xFXj9sAAAAKAQAADwAAAAAAAAABACAAAAAiAAAA&#10;ZHJzL2Rvd25yZXYueG1sUEsBAhQAFAAAAAgAh07iQGuhLq09AgAAaQQAAA4AAAAAAAAAAQAgAAAA&#10;KgEAAGRycy9lMm9Eb2MueG1sUEsFBgAAAAAGAAYAWQEAANkFAAAAAA==&#10;">
                <v:fill on="f" focussize="0,0"/>
                <v:stroke on="f" weight="0.5pt"/>
                <v:imagedata o:title=""/>
                <o:lock v:ext="edit" aspectratio="f"/>
                <v:textbox>
                  <w:txbxContent>
                    <w:p w14:paraId="3F5558D8">
                      <w:pPr>
                        <w:rPr>
                          <w:rFonts w:hint="default" w:eastAsia="宋体"/>
                          <w:b/>
                          <w:bCs/>
                          <w:sz w:val="16"/>
                          <w:szCs w:val="20"/>
                          <w:lang w:val="en-US" w:eastAsia="zh-CN"/>
                        </w:rPr>
                      </w:pPr>
                      <w:r>
                        <w:rPr>
                          <w:rFonts w:hint="eastAsia"/>
                          <w:b/>
                          <w:bCs/>
                          <w:sz w:val="16"/>
                          <w:szCs w:val="20"/>
                          <w:lang w:val="en-US" w:eastAsia="zh-CN"/>
                        </w:rPr>
                        <w:t>清洗区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55520" behindDoc="0" locked="0" layoutInCell="1" allowOverlap="1">
                <wp:simplePos x="0" y="0"/>
                <wp:positionH relativeFrom="column">
                  <wp:posOffset>2331085</wp:posOffset>
                </wp:positionH>
                <wp:positionV relativeFrom="paragraph">
                  <wp:posOffset>2251075</wp:posOffset>
                </wp:positionV>
                <wp:extent cx="574675" cy="28575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7F5676">
                            <w:pPr>
                              <w:rPr>
                                <w:rFonts w:hint="default" w:eastAsia="宋体"/>
                                <w:b/>
                                <w:bCs/>
                                <w:sz w:val="16"/>
                                <w:szCs w:val="20"/>
                                <w:lang w:val="en-US" w:eastAsia="zh-CN"/>
                              </w:rPr>
                            </w:pPr>
                            <w:r>
                              <w:rPr>
                                <w:rFonts w:hint="eastAsia"/>
                                <w:b/>
                                <w:bCs/>
                                <w:sz w:val="16"/>
                                <w:szCs w:val="20"/>
                                <w:lang w:val="en-US" w:eastAsia="zh-CN"/>
                              </w:rPr>
                              <w:t>点胶区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55pt;margin-top:177.25pt;height:22.5pt;width:45.25pt;z-index:251755520;mso-width-relative:page;mso-height-relative:page;" filled="f" stroked="f" coordsize="21600,21600" o:gfxdata="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dnH6DcAAAACwEAAA8AAAAAAAAAAQAgAAAAIgAA&#10;AGRycy9kb3ducmV2LnhtbFBLAQIUABQAAAAIAIdO4kD5RhE+PQIAAGkEAAAOAAAAAAAAAAEAIAAA&#10;ACsBAABkcnMvZTJvRG9jLnhtbFBLBQYAAAAABgAGAFkBAADaBQAAAAA=&#10;">
                <v:fill on="f" focussize="0,0"/>
                <v:stroke on="f" weight="0.5pt"/>
                <v:imagedata o:title=""/>
                <o:lock v:ext="edit" aspectratio="f"/>
                <v:textbox>
                  <w:txbxContent>
                    <w:p w14:paraId="457F5676">
                      <w:pPr>
                        <w:rPr>
                          <w:rFonts w:hint="default" w:eastAsia="宋体"/>
                          <w:b/>
                          <w:bCs/>
                          <w:sz w:val="16"/>
                          <w:szCs w:val="20"/>
                          <w:lang w:val="en-US" w:eastAsia="zh-CN"/>
                        </w:rPr>
                      </w:pPr>
                      <w:r>
                        <w:rPr>
                          <w:rFonts w:hint="eastAsia"/>
                          <w:b/>
                          <w:bCs/>
                          <w:sz w:val="16"/>
                          <w:szCs w:val="20"/>
                          <w:lang w:val="en-US" w:eastAsia="zh-CN"/>
                        </w:rPr>
                        <w:t>点胶区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54496" behindDoc="0" locked="0" layoutInCell="1" allowOverlap="1">
                <wp:simplePos x="0" y="0"/>
                <wp:positionH relativeFrom="column">
                  <wp:posOffset>2331085</wp:posOffset>
                </wp:positionH>
                <wp:positionV relativeFrom="paragraph">
                  <wp:posOffset>1576705</wp:posOffset>
                </wp:positionV>
                <wp:extent cx="574675" cy="285750"/>
                <wp:effectExtent l="0" t="0" r="0" b="0"/>
                <wp:wrapNone/>
                <wp:docPr id="92" name="文本框 92"/>
                <wp:cNvGraphicFramePr/>
                <a:graphic xmlns:a="http://schemas.openxmlformats.org/drawingml/2006/main">
                  <a:graphicData uri="http://schemas.microsoft.com/office/word/2010/wordprocessingShape">
                    <wps:wsp>
                      <wps:cNvSpPr txBox="1"/>
                      <wps:spPr>
                        <a:xfrm>
                          <a:off x="3315970" y="3395345"/>
                          <a:ext cx="57467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82F2AE">
                            <w:pPr>
                              <w:rPr>
                                <w:rFonts w:hint="default" w:eastAsia="宋体"/>
                                <w:b/>
                                <w:bCs/>
                                <w:sz w:val="16"/>
                                <w:szCs w:val="20"/>
                                <w:lang w:val="en-US" w:eastAsia="zh-CN"/>
                              </w:rPr>
                            </w:pPr>
                            <w:r>
                              <w:rPr>
                                <w:rFonts w:hint="eastAsia"/>
                                <w:b/>
                                <w:bCs/>
                                <w:sz w:val="16"/>
                                <w:szCs w:val="20"/>
                                <w:lang w:val="en-US" w:eastAsia="zh-CN"/>
                              </w:rPr>
                              <w:t>点胶区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55pt;margin-top:124.15pt;height:22.5pt;width:45.25pt;z-index:251754496;mso-width-relative:page;mso-height-relative:page;" filled="f" stroked="f" coordsize="21600,21600" o:gfxdata="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UggxN0AAAALAQAADwAAAAAA&#10;AAABACAAAAAiAAAAZHJzL2Rvd25yZXYueG1sUEsBAhQAFAAAAAgAh07iQAtOoUlHAgAAcwQAAA4A&#10;AAAAAAAAAQAgAAAALAEAAGRycy9lMm9Eb2MueG1sUEsFBgAAAAAGAAYAWQEAAOUFAAAAAA==&#10;">
                <v:fill on="f" focussize="0,0"/>
                <v:stroke on="f" weight="0.5pt"/>
                <v:imagedata o:title=""/>
                <o:lock v:ext="edit" aspectratio="f"/>
                <v:textbox>
                  <w:txbxContent>
                    <w:p w14:paraId="5782F2AE">
                      <w:pPr>
                        <w:rPr>
                          <w:rFonts w:hint="default" w:eastAsia="宋体"/>
                          <w:b/>
                          <w:bCs/>
                          <w:sz w:val="16"/>
                          <w:szCs w:val="20"/>
                          <w:lang w:val="en-US" w:eastAsia="zh-CN"/>
                        </w:rPr>
                      </w:pPr>
                      <w:r>
                        <w:rPr>
                          <w:rFonts w:hint="eastAsia"/>
                          <w:b/>
                          <w:bCs/>
                          <w:sz w:val="16"/>
                          <w:szCs w:val="20"/>
                          <w:lang w:val="en-US" w:eastAsia="zh-CN"/>
                        </w:rPr>
                        <w:t>点胶区</w:t>
                      </w:r>
                    </w:p>
                  </w:txbxContent>
                </v:textbox>
              </v:shape>
            </w:pict>
          </mc:Fallback>
        </mc:AlternateContent>
      </w:r>
    </w:p>
    <w:p w14:paraId="3E679453">
      <w:pPr>
        <w:jc w:val="center"/>
        <w:rPr>
          <w:rFonts w:hint="default" w:ascii="Times New Roman" w:hAnsi="Times New Roman" w:cs="Times New Roman"/>
          <w:color w:val="auto"/>
          <w:highlight w:val="none"/>
        </w:rPr>
      </w:pPr>
    </w:p>
    <w:p w14:paraId="36E45E82">
      <w:pPr>
        <w:jc w:val="center"/>
        <w:rPr>
          <w:rFonts w:hint="default" w:ascii="Times New Roman" w:hAnsi="Times New Roman" w:cs="Times New Roman"/>
          <w:color w:val="auto"/>
          <w:highlight w:val="none"/>
        </w:rPr>
        <w:sectPr>
          <w:pgSz w:w="16838" w:h="11906"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cs="Times New Roman"/>
          <w:b/>
          <w:bCs/>
          <w:color w:val="auto"/>
          <w:sz w:val="24"/>
          <w:szCs w:val="24"/>
          <w:highlight w:val="none"/>
          <w:lang w:eastAsia="zh-CN"/>
        </w:rPr>
        <w:t>二层平面布置图</w:t>
      </w:r>
    </w:p>
    <w:p w14:paraId="6039B129">
      <w:pPr>
        <w:jc w:val="center"/>
        <w:rPr>
          <w:rFonts w:hint="default" w:ascii="Times New Roman" w:hAnsi="Times New Roman" w:cs="Times New Roman"/>
          <w:color w:val="auto"/>
          <w:highlight w:val="none"/>
        </w:rPr>
      </w:pPr>
    </w:p>
    <w:p w14:paraId="460B3C50">
      <w:pPr>
        <w:jc w:val="center"/>
        <w:rPr>
          <w:rFonts w:hint="default" w:ascii="Times New Roman" w:hAnsi="Times New Roman" w:eastAsia="宋体" w:cs="Times New Roman"/>
          <w:b/>
          <w:bCs/>
          <w:color w:val="auto"/>
          <w:sz w:val="24"/>
          <w:szCs w:val="24"/>
          <w:highlight w:val="none"/>
          <w:lang w:eastAsia="zh-CN"/>
        </w:rPr>
      </w:pPr>
    </w:p>
    <w:p w14:paraId="12512C75">
      <w:pPr>
        <w:jc w:val="center"/>
        <w:rPr>
          <w:rFonts w:hint="default" w:ascii="Times New Roman" w:hAnsi="Times New Roman" w:cs="Times New Roman"/>
          <w:color w:val="auto"/>
          <w:highlight w:val="none"/>
        </w:rPr>
      </w:pPr>
      <w:r>
        <w:rPr>
          <w:rFonts w:hint="default" w:ascii="Times New Roman" w:hAnsi="Times New Roman" w:cs="Times New Roman"/>
          <w:color w:val="auto"/>
          <w:sz w:val="21"/>
        </w:rPr>
        <mc:AlternateContent>
          <mc:Choice Requires="wps">
            <w:drawing>
              <wp:anchor distT="0" distB="0" distL="114300" distR="114300" simplePos="0" relativeHeight="251765760" behindDoc="0" locked="0" layoutInCell="1" allowOverlap="1">
                <wp:simplePos x="0" y="0"/>
                <wp:positionH relativeFrom="column">
                  <wp:posOffset>3931285</wp:posOffset>
                </wp:positionH>
                <wp:positionV relativeFrom="paragraph">
                  <wp:posOffset>1843405</wp:posOffset>
                </wp:positionV>
                <wp:extent cx="963930" cy="28575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96393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570D9A">
                            <w:pPr>
                              <w:rPr>
                                <w:rFonts w:hint="default" w:eastAsia="宋体"/>
                                <w:b/>
                                <w:bCs/>
                                <w:sz w:val="16"/>
                                <w:szCs w:val="20"/>
                                <w:lang w:val="en-US" w:eastAsia="zh-CN"/>
                              </w:rPr>
                            </w:pPr>
                            <w:r>
                              <w:rPr>
                                <w:rFonts w:hint="eastAsia"/>
                                <w:b/>
                                <w:bCs/>
                                <w:sz w:val="16"/>
                                <w:szCs w:val="20"/>
                                <w:lang w:val="en-US" w:eastAsia="zh-CN"/>
                              </w:rPr>
                              <w:t>贴膜区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55pt;margin-top:145.15pt;height:22.5pt;width:75.9pt;z-index:251765760;mso-width-relative:page;mso-height-relative:page;" filled="f" stroked="f" coordsize="21600,21600" o:gfxdata="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q+hOdwAAAALAQAADwAAAAAAAAABACAAAAAiAAAA&#10;ZHJzL2Rvd25yZXYueG1sUEsBAhQAFAAAAAgAh07iQLxlW6M8AgAAaQQAAA4AAAAAAAAAAQAgAAAA&#10;KwEAAGRycy9lMm9Eb2MueG1sUEsFBgAAAAAGAAYAWQEAANkFAAAAAA==&#10;">
                <v:fill on="f" focussize="0,0"/>
                <v:stroke on="f" weight="0.5pt"/>
                <v:imagedata o:title=""/>
                <o:lock v:ext="edit" aspectratio="f"/>
                <v:textbox>
                  <w:txbxContent>
                    <w:p w14:paraId="07570D9A">
                      <w:pPr>
                        <w:rPr>
                          <w:rFonts w:hint="default" w:eastAsia="宋体"/>
                          <w:b/>
                          <w:bCs/>
                          <w:sz w:val="16"/>
                          <w:szCs w:val="20"/>
                          <w:lang w:val="en-US" w:eastAsia="zh-CN"/>
                        </w:rPr>
                      </w:pPr>
                      <w:r>
                        <w:rPr>
                          <w:rFonts w:hint="eastAsia"/>
                          <w:b/>
                          <w:bCs/>
                          <w:sz w:val="16"/>
                          <w:szCs w:val="20"/>
                          <w:lang w:val="en-US" w:eastAsia="zh-CN"/>
                        </w:rPr>
                        <w:t>贴膜区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64736" behindDoc="0" locked="0" layoutInCell="1" allowOverlap="1">
                <wp:simplePos x="0" y="0"/>
                <wp:positionH relativeFrom="column">
                  <wp:posOffset>2475230</wp:posOffset>
                </wp:positionH>
                <wp:positionV relativeFrom="paragraph">
                  <wp:posOffset>1795145</wp:posOffset>
                </wp:positionV>
                <wp:extent cx="963930" cy="28575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96393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C6074C">
                            <w:pPr>
                              <w:rPr>
                                <w:rFonts w:hint="default" w:eastAsia="宋体"/>
                                <w:b/>
                                <w:bCs/>
                                <w:sz w:val="16"/>
                                <w:szCs w:val="20"/>
                                <w:lang w:val="en-US" w:eastAsia="zh-CN"/>
                              </w:rPr>
                            </w:pPr>
                            <w:r>
                              <w:rPr>
                                <w:rFonts w:hint="eastAsia"/>
                                <w:b/>
                                <w:bCs/>
                                <w:sz w:val="16"/>
                                <w:szCs w:val="20"/>
                                <w:lang w:val="en-US" w:eastAsia="zh-CN"/>
                              </w:rPr>
                              <w:t>覆膜、套板区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pt;margin-top:141.35pt;height:22.5pt;width:75.9pt;z-index:251764736;mso-width-relative:page;mso-height-relative:page;" filled="f" stroked="f" coordsize="21600,21600" o:gfxdata="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J8rtdwAAAALAQAADwAAAAAAAAABACAAAAAiAAAA&#10;ZHJzL2Rvd25yZXYueG1sUEsBAhQAFAAAAAgAh07iQDFqQ5U8AgAAaQQAAA4AAAAAAAAAAQAgAAAA&#10;KwEAAGRycy9lMm9Eb2MueG1sUEsFBgAAAAAGAAYAWQEAANkFAAAAAA==&#10;">
                <v:fill on="f" focussize="0,0"/>
                <v:stroke on="f" weight="0.5pt"/>
                <v:imagedata o:title=""/>
                <o:lock v:ext="edit" aspectratio="f"/>
                <v:textbox>
                  <w:txbxContent>
                    <w:p w14:paraId="47C6074C">
                      <w:pPr>
                        <w:rPr>
                          <w:rFonts w:hint="default" w:eastAsia="宋体"/>
                          <w:b/>
                          <w:bCs/>
                          <w:sz w:val="16"/>
                          <w:szCs w:val="20"/>
                          <w:lang w:val="en-US" w:eastAsia="zh-CN"/>
                        </w:rPr>
                      </w:pPr>
                      <w:r>
                        <w:rPr>
                          <w:rFonts w:hint="eastAsia"/>
                          <w:b/>
                          <w:bCs/>
                          <w:sz w:val="16"/>
                          <w:szCs w:val="20"/>
                          <w:lang w:val="en-US" w:eastAsia="zh-CN"/>
                        </w:rPr>
                        <w:t>覆膜、套板区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63712" behindDoc="0" locked="0" layoutInCell="1" allowOverlap="1">
                <wp:simplePos x="0" y="0"/>
                <wp:positionH relativeFrom="column">
                  <wp:posOffset>5370830</wp:posOffset>
                </wp:positionH>
                <wp:positionV relativeFrom="paragraph">
                  <wp:posOffset>1832610</wp:posOffset>
                </wp:positionV>
                <wp:extent cx="963930" cy="28575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96393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88C21F">
                            <w:pPr>
                              <w:rPr>
                                <w:rFonts w:hint="default" w:eastAsia="宋体"/>
                                <w:b/>
                                <w:bCs/>
                                <w:sz w:val="16"/>
                                <w:szCs w:val="20"/>
                                <w:lang w:val="en-US" w:eastAsia="zh-CN"/>
                              </w:rPr>
                            </w:pPr>
                            <w:r>
                              <w:rPr>
                                <w:rFonts w:hint="eastAsia"/>
                                <w:b/>
                                <w:bCs/>
                                <w:sz w:val="16"/>
                                <w:szCs w:val="20"/>
                                <w:lang w:val="en-US" w:eastAsia="zh-CN"/>
                              </w:rPr>
                              <w:t>检测区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9pt;margin-top:144.3pt;height:22.5pt;width:75.9pt;z-index:251763712;mso-width-relative:page;mso-height-relative:page;" filled="f" stroked="f" coordsize="21600,21600" o:gfxdata="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blqPE3QAAAAsBAAAPAAAAAAAAAAEAIAAAACIA&#10;AABkcnMvZG93bnJldi54bWxQSwECFAAUAAAACACHTuJAzOnvwj0CAABpBAAADgAAAAAAAAABACAA&#10;AAAsAQAAZHJzL2Uyb0RvYy54bWxQSwUGAAAAAAYABgBZAQAA2wUAAAAA&#10;">
                <v:fill on="f" focussize="0,0"/>
                <v:stroke on="f" weight="0.5pt"/>
                <v:imagedata o:title=""/>
                <o:lock v:ext="edit" aspectratio="f"/>
                <v:textbox>
                  <w:txbxContent>
                    <w:p w14:paraId="3688C21F">
                      <w:pPr>
                        <w:rPr>
                          <w:rFonts w:hint="default" w:eastAsia="宋体"/>
                          <w:b/>
                          <w:bCs/>
                          <w:sz w:val="16"/>
                          <w:szCs w:val="20"/>
                          <w:lang w:val="en-US" w:eastAsia="zh-CN"/>
                        </w:rPr>
                      </w:pPr>
                      <w:r>
                        <w:rPr>
                          <w:rFonts w:hint="eastAsia"/>
                          <w:b/>
                          <w:bCs/>
                          <w:sz w:val="16"/>
                          <w:szCs w:val="20"/>
                          <w:lang w:val="en-US" w:eastAsia="zh-CN"/>
                        </w:rPr>
                        <w:t>检测区</w:t>
                      </w:r>
                    </w:p>
                  </w:txbxContent>
                </v:textbox>
              </v:shape>
            </w:pict>
          </mc:Fallback>
        </mc:AlternateContent>
      </w:r>
      <w:r>
        <w:rPr>
          <w:rFonts w:hint="default" w:ascii="Times New Roman" w:hAnsi="Times New Roman" w:cs="Times New Roman"/>
          <w:color w:val="auto"/>
          <w:highlight w:val="none"/>
        </w:rPr>
        <w:drawing>
          <wp:inline distT="0" distB="0" distL="114300" distR="114300">
            <wp:extent cx="8735695" cy="3197225"/>
            <wp:effectExtent l="0" t="0" r="12065" b="3175"/>
            <wp:docPr id="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8"/>
                    <pic:cNvPicPr>
                      <a:picLocks noChangeAspect="1"/>
                    </pic:cNvPicPr>
                  </pic:nvPicPr>
                  <pic:blipFill>
                    <a:blip r:embed="rId52"/>
                    <a:stretch>
                      <a:fillRect/>
                    </a:stretch>
                  </pic:blipFill>
                  <pic:spPr>
                    <a:xfrm>
                      <a:off x="0" y="0"/>
                      <a:ext cx="8735695" cy="3197225"/>
                    </a:xfrm>
                    <a:prstGeom prst="rect">
                      <a:avLst/>
                    </a:prstGeom>
                    <a:noFill/>
                    <a:ln>
                      <a:noFill/>
                    </a:ln>
                  </pic:spPr>
                </pic:pic>
              </a:graphicData>
            </a:graphic>
          </wp:inline>
        </w:drawing>
      </w:r>
    </w:p>
    <w:p w14:paraId="69D4DE94">
      <w:pPr>
        <w:jc w:val="center"/>
        <w:rPr>
          <w:rFonts w:hint="default" w:ascii="Times New Roman" w:hAnsi="Times New Roman" w:cs="Times New Roman"/>
          <w:color w:val="auto"/>
          <w:highlight w:val="none"/>
        </w:rPr>
      </w:pPr>
    </w:p>
    <w:p w14:paraId="3E9B9E07">
      <w:pPr>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t>三层平面布置图</w:t>
      </w:r>
    </w:p>
    <w:p w14:paraId="061890FB">
      <w:pPr>
        <w:jc w:val="center"/>
        <w:rPr>
          <w:rFonts w:hint="default" w:ascii="Times New Roman" w:hAnsi="Times New Roman" w:cs="Times New Roman"/>
          <w:color w:val="auto"/>
          <w:highlight w:val="none"/>
        </w:rPr>
      </w:pPr>
    </w:p>
    <w:p w14:paraId="454E72A8">
      <w:pPr>
        <w:rPr>
          <w:rFonts w:hint="default"/>
          <w:color w:val="auto"/>
        </w:rPr>
      </w:pPr>
      <w:r>
        <w:rPr>
          <w:rFonts w:hint="default"/>
          <w:color w:val="auto"/>
        </w:rPr>
        <mc:AlternateContent>
          <mc:Choice Requires="wps">
            <w:drawing>
              <wp:anchor distT="0" distB="0" distL="114300" distR="114300" simplePos="0" relativeHeight="251668480" behindDoc="0" locked="0" layoutInCell="1" allowOverlap="1">
                <wp:simplePos x="0" y="0"/>
                <wp:positionH relativeFrom="column">
                  <wp:posOffset>7512050</wp:posOffset>
                </wp:positionH>
                <wp:positionV relativeFrom="paragraph">
                  <wp:posOffset>10520045</wp:posOffset>
                </wp:positionV>
                <wp:extent cx="171450" cy="171450"/>
                <wp:effectExtent l="12700" t="12700" r="25400" b="25400"/>
                <wp:wrapNone/>
                <wp:docPr id="141" name="椭圆 141"/>
                <wp:cNvGraphicFramePr/>
                <a:graphic xmlns:a="http://schemas.openxmlformats.org/drawingml/2006/main">
                  <a:graphicData uri="http://schemas.microsoft.com/office/word/2010/wordprocessingShape">
                    <wps:wsp>
                      <wps:cNvSpPr/>
                      <wps:spPr>
                        <a:xfrm>
                          <a:off x="8289290" y="12030710"/>
                          <a:ext cx="171450" cy="17145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1.5pt;margin-top:828.35pt;height:13.5pt;width:13.5pt;z-index:251668480;v-text-anchor:middle;mso-width-relative:page;mso-height-relative:page;" fillcolor="#FF0000" filled="t" stroked="t" coordsize="21600,21600" o:gfxdata="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hoOsPdoAAAAPAQAADwAAAAAAAAABACAAAAAiAAAAZHJzL2Rv&#10;d25yZXYueG1sUEsBAhQAFAAAAAgAh07iQCOaUZhxAgAA8AQAAA4AAAAAAAAAAQAgAAAAKQEAAGRy&#10;cy9lMm9Eb2MueG1sUEsFBgAAAAAGAAYAWQEAAAwGAAAAAA==&#10;">
                <v:fill on="t" focussize="0,0"/>
                <v:stroke weight="2pt" color="#000000 [3213]" joinstyle="round"/>
                <v:imagedata o:title=""/>
                <o:lock v:ext="edit" aspectratio="f"/>
              </v:shape>
            </w:pict>
          </mc:Fallback>
        </mc:AlternateContent>
      </w:r>
      <w:r>
        <w:rPr>
          <w:rFonts w:hint="default"/>
          <w:color w:val="auto"/>
        </w:rPr>
        <mc:AlternateContent>
          <mc:Choice Requires="wps">
            <w:drawing>
              <wp:anchor distT="0" distB="0" distL="114300" distR="114300" simplePos="0" relativeHeight="251669504" behindDoc="0" locked="0" layoutInCell="1" allowOverlap="1">
                <wp:simplePos x="0" y="0"/>
                <wp:positionH relativeFrom="column">
                  <wp:posOffset>7437120</wp:posOffset>
                </wp:positionH>
                <wp:positionV relativeFrom="paragraph">
                  <wp:posOffset>10196195</wp:posOffset>
                </wp:positionV>
                <wp:extent cx="299085" cy="122555"/>
                <wp:effectExtent l="12700" t="12700" r="31115" b="17145"/>
                <wp:wrapNone/>
                <wp:docPr id="143" name="矩形 143"/>
                <wp:cNvGraphicFramePr/>
                <a:graphic xmlns:a="http://schemas.openxmlformats.org/drawingml/2006/main">
                  <a:graphicData uri="http://schemas.microsoft.com/office/word/2010/wordprocessingShape">
                    <wps:wsp>
                      <wps:cNvSpPr/>
                      <wps:spPr>
                        <a:xfrm>
                          <a:off x="0" y="0"/>
                          <a:ext cx="299085" cy="1225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5.6pt;margin-top:802.85pt;height:9.65pt;width:23.55pt;z-index:251669504;v-text-anchor:middle;mso-width-relative:page;mso-height-relative:page;" filled="f" stroked="t" coordsize="21600,21600" o:gfxdata="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SSzBh3AAAAA8BAAAPAAAAAAAAAAEAIAAAACIAAABkcnMvZG93bnJldi54bWxQSwECFAAU&#10;AAAACACHTuJAHiNDhV8CAAC3BAAADgAAAAAAAAABACAAAAArAQAAZHJzL2Uyb0RvYy54bWxQSwUG&#10;AAAAAAYABgBZAQAA/AUAAAAA&#10;">
                <v:fill on="f" focussize="0,0"/>
                <v:stroke weight="2pt" color="#FF0000 [2404]" joinstyle="round"/>
                <v:imagedata o:title=""/>
                <o:lock v:ext="edit" aspectratio="f"/>
              </v:rect>
            </w:pict>
          </mc:Fallback>
        </mc:AlternateContent>
      </w:r>
      <w:r>
        <w:rPr>
          <w:rFonts w:hint="default"/>
          <w:color w:val="auto"/>
        </w:rPr>
        <w:br w:type="page"/>
      </w:r>
    </w:p>
    <w:p w14:paraId="613007A6">
      <w:pPr>
        <w:pStyle w:val="7"/>
        <w:spacing w:before="0" w:beforeAutospacing="0" w:after="0" w:afterAutospacing="0"/>
        <w:jc w:val="left"/>
        <w:rPr>
          <w:rFonts w:hint="default" w:ascii="Times New Roman" w:hAnsi="Times New Roman" w:cs="Times New Roman"/>
          <w:color w:val="auto"/>
          <w:sz w:val="24"/>
          <w:highlight w:val="none"/>
        </w:rPr>
        <w:sectPr>
          <w:pgSz w:w="16838" w:h="11906"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p>
    <w:p w14:paraId="1BE4797F">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43" w:name="_Toc23683"/>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4敏感点分布图</w:t>
      </w:r>
      <w:bookmarkEnd w:id="43"/>
    </w:p>
    <w:p w14:paraId="2451C3D2">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lang w:val="en-US" w:eastAsia="zh-CN" w:bidi="ar-SA"/>
        </w:rPr>
        <w:sectPr>
          <w:pgSz w:w="16838" w:h="11906" w:orient="landscape"/>
          <w:pgMar w:top="850" w:right="1417" w:bottom="850" w:left="1417" w:header="851" w:footer="992"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color w:val="auto"/>
          <w:sz w:val="21"/>
          <w:highlight w:val="none"/>
        </w:rPr>
        <mc:AlternateContent>
          <mc:Choice Requires="wps">
            <w:drawing>
              <wp:anchor distT="0" distB="0" distL="114300" distR="114300" simplePos="0" relativeHeight="251776000" behindDoc="0" locked="0" layoutInCell="1" allowOverlap="1">
                <wp:simplePos x="0" y="0"/>
                <wp:positionH relativeFrom="column">
                  <wp:posOffset>2569845</wp:posOffset>
                </wp:positionH>
                <wp:positionV relativeFrom="paragraph">
                  <wp:posOffset>1794510</wp:posOffset>
                </wp:positionV>
                <wp:extent cx="744220" cy="242570"/>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744220" cy="242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E1950B">
                            <w:pPr>
                              <w:rPr>
                                <w:rFonts w:hint="default" w:eastAsia="宋体"/>
                                <w:b/>
                                <w:bCs/>
                                <w:lang w:val="en-US" w:eastAsia="zh-CN"/>
                              </w:rPr>
                            </w:pPr>
                            <w:r>
                              <w:rPr>
                                <w:rFonts w:hint="eastAsia"/>
                                <w:b/>
                                <w:bCs/>
                                <w:lang w:val="en-US" w:eastAsia="zh-CN"/>
                              </w:rPr>
                              <w:t>约440m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5pt;margin-top:141.3pt;height:19.1pt;width:58.6pt;z-index:251776000;mso-width-relative:page;mso-height-relative:page;" filled="f" stroked="f" coordsize="21600,21600" o:gfxdata="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srFT3cAAAACwEAAA8AAAAAAAAAAQAgAAAAIgAA&#10;AGRycy9kb3ducmV2LnhtbFBLAQIUABQAAAAIAIdO4kA4clKxPQIAAGkEAAAOAAAAAAAAAAEAIAAA&#10;ACsBAABkcnMvZTJvRG9jLnhtbFBLBQYAAAAABgAGAFkBAADaBQAAAAA=&#10;">
                <v:fill on="f" focussize="0,0"/>
                <v:stroke on="f" weight="0.5pt"/>
                <v:imagedata o:title=""/>
                <o:lock v:ext="edit" aspectratio="f"/>
                <v:textbox>
                  <w:txbxContent>
                    <w:p w14:paraId="2BE1950B">
                      <w:pPr>
                        <w:rPr>
                          <w:rFonts w:hint="default" w:eastAsia="宋体"/>
                          <w:b/>
                          <w:bCs/>
                          <w:lang w:val="en-US" w:eastAsia="zh-CN"/>
                        </w:rPr>
                      </w:pPr>
                      <w:r>
                        <w:rPr>
                          <w:rFonts w:hint="eastAsia"/>
                          <w:b/>
                          <w:bCs/>
                          <w:lang w:val="en-US" w:eastAsia="zh-CN"/>
                        </w:rPr>
                        <w:t>约440m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74976" behindDoc="0" locked="0" layoutInCell="1" allowOverlap="1">
                <wp:simplePos x="0" y="0"/>
                <wp:positionH relativeFrom="column">
                  <wp:posOffset>4558665</wp:posOffset>
                </wp:positionH>
                <wp:positionV relativeFrom="paragraph">
                  <wp:posOffset>2113280</wp:posOffset>
                </wp:positionV>
                <wp:extent cx="744220" cy="24257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744220" cy="242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3688C6">
                            <w:pPr>
                              <w:rPr>
                                <w:rFonts w:hint="default" w:eastAsia="宋体"/>
                                <w:b/>
                                <w:bCs/>
                                <w:lang w:val="en-US" w:eastAsia="zh-CN"/>
                              </w:rPr>
                            </w:pPr>
                            <w:r>
                              <w:rPr>
                                <w:rFonts w:hint="eastAsia"/>
                                <w:b/>
                                <w:bCs/>
                                <w:lang w:val="en-US" w:eastAsia="zh-CN"/>
                              </w:rPr>
                              <w:t>约275m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95pt;margin-top:166.4pt;height:19.1pt;width:58.6pt;z-index:251774976;mso-width-relative:page;mso-height-relative:page;" filled="f" stroked="f" coordsize="21600,21600" o:gfxdata="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u7b+q3AAAAAsBAAAPAAAAAAAAAAEAIAAAACIA&#10;AABkcnMvZG93bnJldi54bWxQSwECFAAUAAAACACHTuJAm1waMz4CAABpBAAADgAAAAAAAAABACAA&#10;AAArAQAAZHJzL2Uyb0RvYy54bWxQSwUGAAAAAAYABgBZAQAA2wUAAAAA&#10;">
                <v:fill on="f" focussize="0,0"/>
                <v:stroke on="f" weight="0.5pt"/>
                <v:imagedata o:title=""/>
                <o:lock v:ext="edit" aspectratio="f"/>
                <v:textbox>
                  <w:txbxContent>
                    <w:p w14:paraId="1D3688C6">
                      <w:pPr>
                        <w:rPr>
                          <w:rFonts w:hint="default" w:eastAsia="宋体"/>
                          <w:b/>
                          <w:bCs/>
                          <w:lang w:val="en-US" w:eastAsia="zh-CN"/>
                        </w:rPr>
                      </w:pPr>
                      <w:r>
                        <w:rPr>
                          <w:rFonts w:hint="eastAsia"/>
                          <w:b/>
                          <w:bCs/>
                          <w:lang w:val="en-US" w:eastAsia="zh-CN"/>
                        </w:rPr>
                        <w:t>约275m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0224" behindDoc="0" locked="0" layoutInCell="1" allowOverlap="1">
                <wp:simplePos x="0" y="0"/>
                <wp:positionH relativeFrom="column">
                  <wp:posOffset>4804410</wp:posOffset>
                </wp:positionH>
                <wp:positionV relativeFrom="paragraph">
                  <wp:posOffset>3540760</wp:posOffset>
                </wp:positionV>
                <wp:extent cx="744220" cy="242570"/>
                <wp:effectExtent l="0" t="0" r="0" b="0"/>
                <wp:wrapNone/>
                <wp:docPr id="77" name="文本框 77"/>
                <wp:cNvGraphicFramePr/>
                <a:graphic xmlns:a="http://schemas.openxmlformats.org/drawingml/2006/main">
                  <a:graphicData uri="http://schemas.microsoft.com/office/word/2010/wordprocessingShape">
                    <wps:wsp>
                      <wps:cNvSpPr txBox="1"/>
                      <wps:spPr>
                        <a:xfrm>
                          <a:off x="5645150" y="4530725"/>
                          <a:ext cx="744220" cy="242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45B351">
                            <w:pPr>
                              <w:rPr>
                                <w:rFonts w:hint="default" w:eastAsia="宋体"/>
                                <w:b/>
                                <w:bCs/>
                                <w:lang w:val="en-US" w:eastAsia="zh-CN"/>
                              </w:rPr>
                            </w:pPr>
                            <w:r>
                              <w:rPr>
                                <w:rFonts w:hint="eastAsia"/>
                                <w:b/>
                                <w:bCs/>
                                <w:lang w:val="en-US" w:eastAsia="zh-CN"/>
                              </w:rPr>
                              <w:t>约300m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3pt;margin-top:278.8pt;height:19.1pt;width:58.6pt;z-index:251700224;mso-width-relative:page;mso-height-relative:page;" filled="f" stroked="f" coordsize="21600,21600" o:gfxdata="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SVKxNwAAAALAQAADwAAAAAA&#10;AAABACAAAAAiAAAAZHJzL2Rvd25yZXYueG1sUEsBAhQAFAAAAAgAh07iQFlNYiBIAgAAcwQAAA4A&#10;AAAAAAAAAQAgAAAAKwEAAGRycy9lMm9Eb2MueG1sUEsFBgAAAAAGAAYAWQEAAOUFAAAAAA==&#10;">
                <v:fill on="f" focussize="0,0"/>
                <v:stroke on="f" weight="0.5pt"/>
                <v:imagedata o:title=""/>
                <o:lock v:ext="edit" aspectratio="f"/>
                <v:textbox>
                  <w:txbxContent>
                    <w:p w14:paraId="3645B351">
                      <w:pPr>
                        <w:rPr>
                          <w:rFonts w:hint="default" w:eastAsia="宋体"/>
                          <w:b/>
                          <w:bCs/>
                          <w:lang w:val="en-US" w:eastAsia="zh-CN"/>
                        </w:rPr>
                      </w:pPr>
                      <w:r>
                        <w:rPr>
                          <w:rFonts w:hint="eastAsia"/>
                          <w:b/>
                          <w:bCs/>
                          <w:lang w:val="en-US" w:eastAsia="zh-CN"/>
                        </w:rPr>
                        <w:t>约300m</w:t>
                      </w:r>
                    </w:p>
                  </w:txbxContent>
                </v:textbox>
              </v:shape>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2306955</wp:posOffset>
                </wp:positionH>
                <wp:positionV relativeFrom="paragraph">
                  <wp:posOffset>1711960</wp:posOffset>
                </wp:positionV>
                <wp:extent cx="1583055" cy="1061085"/>
                <wp:effectExtent l="0" t="0" r="17145" b="20955"/>
                <wp:wrapNone/>
                <wp:docPr id="202" name="直接箭头连接符 202"/>
                <wp:cNvGraphicFramePr/>
                <a:graphic xmlns:a="http://schemas.openxmlformats.org/drawingml/2006/main">
                  <a:graphicData uri="http://schemas.microsoft.com/office/word/2010/wordprocessingShape">
                    <wps:wsp>
                      <wps:cNvCnPr/>
                      <wps:spPr>
                        <a:xfrm flipH="1" flipV="1">
                          <a:off x="0" y="0"/>
                          <a:ext cx="1583055" cy="10610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81.65pt;margin-top:134.8pt;height:83.55pt;width:124.65pt;z-index:251773952;mso-width-relative:page;mso-height-relative:page;" filled="f" stroked="t" coordsize="21600,21600" o:gfxdata="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ezy7DaAAAACwEAAA8AAAAAAAAAAQAg&#10;AAAAIgAAAGRycy9kb3ducmV2LnhtbFBLAQIUABQAAAAIAIdO4kCdD0RZDAIAAOYDAAAOAAAAAAAA&#10;AAEAIAAAACkBAABkcnMvZTJvRG9jLnhtbFBLBQYAAAAABgAGAFkBAACnBQAAAAA=&#10;">
                <v:fill on="f" focussize="0,0"/>
                <v:stroke weight="2pt" color="#000000 [3213]"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4398010</wp:posOffset>
                </wp:positionH>
                <wp:positionV relativeFrom="paragraph">
                  <wp:posOffset>2346960</wp:posOffset>
                </wp:positionV>
                <wp:extent cx="880745" cy="381000"/>
                <wp:effectExtent l="5080" t="13335" r="13335" b="17145"/>
                <wp:wrapNone/>
                <wp:docPr id="201" name="直接箭头连接符 201"/>
                <wp:cNvGraphicFramePr/>
                <a:graphic xmlns:a="http://schemas.openxmlformats.org/drawingml/2006/main">
                  <a:graphicData uri="http://schemas.microsoft.com/office/word/2010/wordprocessingShape">
                    <wps:wsp>
                      <wps:cNvCnPr/>
                      <wps:spPr>
                        <a:xfrm flipV="1">
                          <a:off x="5297805" y="3171825"/>
                          <a:ext cx="880745" cy="3810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6.3pt;margin-top:184.8pt;height:30pt;width:69.35pt;z-index:251772928;mso-width-relative:page;mso-height-relative:page;" filled="f" stroked="t" coordsize="21600,21600" o:gfxdata="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wpQ2tkAAAALAQAADwAAAAAA&#10;AAABACAAAAAiAAAAZHJzL2Rvd25yZXYueG1sUEsBAhQAFAAAAAgAh07iQNuE7WESAgAA5gMAAA4A&#10;AAAAAAAAAQAgAAAAKAEAAGRycy9lMm9Eb2MueG1sUEsFBgAAAAAGAAYAWQEAAKwFAAAAAA==&#10;">
                <v:fill on="f" focussize="0,0"/>
                <v:stroke weight="2pt" color="#000000 [3213]" joinstyle="round" endarrow="open"/>
                <v:imagedata o:title=""/>
                <o:lock v:ext="edit" aspectratio="f"/>
              </v:shape>
            </w:pict>
          </mc:Fallback>
        </mc:AlternateContent>
      </w:r>
      <w:r>
        <w:rPr>
          <w:color w:val="auto"/>
        </w:rPr>
        <w:drawing>
          <wp:anchor distT="0" distB="0" distL="114300" distR="114300" simplePos="0" relativeHeight="251771904" behindDoc="0" locked="0" layoutInCell="1" allowOverlap="1">
            <wp:simplePos x="0" y="0"/>
            <wp:positionH relativeFrom="column">
              <wp:posOffset>5281295</wp:posOffset>
            </wp:positionH>
            <wp:positionV relativeFrom="paragraph">
              <wp:posOffset>2142490</wp:posOffset>
            </wp:positionV>
            <wp:extent cx="158115" cy="175895"/>
            <wp:effectExtent l="0" t="0" r="9525" b="6985"/>
            <wp:wrapNone/>
            <wp:docPr id="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1"/>
                    </pic:cNvPicPr>
                  </pic:nvPicPr>
                  <pic:blipFill>
                    <a:blip r:embed="rId53"/>
                    <a:srcRect r="-17143" b="17374"/>
                    <a:stretch>
                      <a:fillRect/>
                    </a:stretch>
                  </pic:blipFill>
                  <pic:spPr>
                    <a:xfrm>
                      <a:off x="0" y="0"/>
                      <a:ext cx="158115" cy="175895"/>
                    </a:xfrm>
                    <a:prstGeom prst="rect">
                      <a:avLst/>
                    </a:prstGeom>
                    <a:noFill/>
                    <a:ln>
                      <a:noFill/>
                    </a:ln>
                  </pic:spPr>
                </pic:pic>
              </a:graphicData>
            </a:graphic>
          </wp:anchor>
        </w:drawing>
      </w:r>
      <w:r>
        <w:rPr>
          <w:color w:val="auto"/>
        </w:rPr>
        <w:drawing>
          <wp:anchor distT="0" distB="0" distL="114300" distR="114300" simplePos="0" relativeHeight="251770880" behindDoc="0" locked="0" layoutInCell="1" allowOverlap="1">
            <wp:simplePos x="0" y="0"/>
            <wp:positionH relativeFrom="column">
              <wp:posOffset>2098040</wp:posOffset>
            </wp:positionH>
            <wp:positionV relativeFrom="paragraph">
              <wp:posOffset>1470660</wp:posOffset>
            </wp:positionV>
            <wp:extent cx="158115" cy="175895"/>
            <wp:effectExtent l="0" t="0" r="9525" b="6985"/>
            <wp:wrapNone/>
            <wp:docPr id="1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pic:cNvPicPr>
                      <a:picLocks noChangeAspect="1"/>
                    </pic:cNvPicPr>
                  </pic:nvPicPr>
                  <pic:blipFill>
                    <a:blip r:embed="rId53"/>
                    <a:srcRect r="-17143" b="17374"/>
                    <a:stretch>
                      <a:fillRect/>
                    </a:stretch>
                  </pic:blipFill>
                  <pic:spPr>
                    <a:xfrm>
                      <a:off x="0" y="0"/>
                      <a:ext cx="158115" cy="17589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5236845</wp:posOffset>
                </wp:positionH>
                <wp:positionV relativeFrom="paragraph">
                  <wp:posOffset>2290445</wp:posOffset>
                </wp:positionV>
                <wp:extent cx="906145" cy="28829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90614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2DE889">
                            <w:pPr>
                              <w:jc w:val="center"/>
                              <w:rPr>
                                <w:rFonts w:hint="default" w:eastAsia="宋体"/>
                                <w:b/>
                                <w:bCs/>
                                <w:color w:val="FF0000"/>
                                <w:lang w:val="en-US" w:eastAsia="zh-CN"/>
                              </w:rPr>
                            </w:pPr>
                            <w:r>
                              <w:rPr>
                                <w:rFonts w:hint="eastAsia"/>
                                <w:b/>
                                <w:bCs/>
                                <w:color w:val="FF0000"/>
                                <w:lang w:val="en-US" w:eastAsia="zh-CN"/>
                              </w:rPr>
                              <w:t>宿舍2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35pt;margin-top:180.35pt;height:22.7pt;width:71.35pt;z-index:251769856;mso-width-relative:page;mso-height-relative:page;" filled="f" stroked="f" coordsize="21600,21600" o:gfxdata="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SXtjA3AAAAAsBAAAPAAAAAAAAAAEAIAAAACIA&#10;AABkcnMvZG93bnJldi54bWxQSwECFAAUAAAACACHTuJACc7/HT4CAABpBAAADgAAAAAAAAABACAA&#10;AAArAQAAZHJzL2Uyb0RvYy54bWxQSwUGAAAAAAYABgBZAQAA2wUAAAAA&#10;">
                <v:fill on="f" focussize="0,0"/>
                <v:stroke on="f" weight="0.5pt"/>
                <v:imagedata o:title=""/>
                <o:lock v:ext="edit" aspectratio="f"/>
                <v:textbox>
                  <w:txbxContent>
                    <w:p w14:paraId="4B2DE889">
                      <w:pPr>
                        <w:jc w:val="center"/>
                        <w:rPr>
                          <w:rFonts w:hint="default" w:eastAsia="宋体"/>
                          <w:b/>
                          <w:bCs/>
                          <w:color w:val="FF0000"/>
                          <w:lang w:val="en-US" w:eastAsia="zh-CN"/>
                        </w:rPr>
                      </w:pPr>
                      <w:r>
                        <w:rPr>
                          <w:rFonts w:hint="eastAsia"/>
                          <w:b/>
                          <w:bCs/>
                          <w:color w:val="FF0000"/>
                          <w:lang w:val="en-US" w:eastAsia="zh-CN"/>
                        </w:rPr>
                        <w:t>宿舍2</w:t>
                      </w:r>
                    </w:p>
                  </w:txbxContent>
                </v:textbox>
              </v:shape>
            </w:pict>
          </mc:Fallback>
        </mc:AlternateContent>
      </w:r>
      <w:r>
        <w:rPr>
          <w:color w:val="auto"/>
          <w:sz w:val="21"/>
        </w:rPr>
        <mc:AlternateContent>
          <mc:Choice Requires="wps">
            <w:drawing>
              <wp:anchor distT="0" distB="0" distL="114300" distR="114300" simplePos="0" relativeHeight="251768832" behindDoc="0" locked="0" layoutInCell="1" allowOverlap="1">
                <wp:simplePos x="0" y="0"/>
                <wp:positionH relativeFrom="column">
                  <wp:posOffset>1672590</wp:posOffset>
                </wp:positionH>
                <wp:positionV relativeFrom="paragraph">
                  <wp:posOffset>1711325</wp:posOffset>
                </wp:positionV>
                <wp:extent cx="906145" cy="288290"/>
                <wp:effectExtent l="0" t="0" r="0" b="0"/>
                <wp:wrapNone/>
                <wp:docPr id="123" name="文本框 123"/>
                <wp:cNvGraphicFramePr/>
                <a:graphic xmlns:a="http://schemas.openxmlformats.org/drawingml/2006/main">
                  <a:graphicData uri="http://schemas.microsoft.com/office/word/2010/wordprocessingShape">
                    <wps:wsp>
                      <wps:cNvSpPr txBox="1"/>
                      <wps:spPr>
                        <a:xfrm>
                          <a:off x="3333750" y="2167255"/>
                          <a:ext cx="90614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91A3B9">
                            <w:pPr>
                              <w:jc w:val="center"/>
                              <w:rPr>
                                <w:rFonts w:hint="default" w:eastAsia="宋体"/>
                                <w:b/>
                                <w:bCs/>
                                <w:color w:val="FF0000"/>
                                <w:lang w:val="en-US" w:eastAsia="zh-CN"/>
                              </w:rPr>
                            </w:pPr>
                            <w:r>
                              <w:rPr>
                                <w:rFonts w:hint="eastAsia"/>
                                <w:b/>
                                <w:bCs/>
                                <w:color w:val="FF0000"/>
                                <w:lang w:val="en-US" w:eastAsia="zh-CN"/>
                              </w:rPr>
                              <w:t>宿舍1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7pt;margin-top:134.75pt;height:22.7pt;width:71.35pt;z-index:251768832;mso-width-relative:page;mso-height-relative:page;" filled="f" stroked="f" coordsize="21600,21600" o:gfxdata="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Tc7cAAAACwEAAA8AAAAA&#10;AAAAAQAgAAAAIgAAAGRycy9kb3ducmV2LnhtbFBLAQIUABQAAAAIAIdO4kC5WmrSSQIAAHUEAAAO&#10;AAAAAAAAAAEAIAAAACsBAABkcnMvZTJvRG9jLnhtbFBLBQYAAAAABgAGAFkBAADmBQAAAAA=&#10;">
                <v:fill on="f" focussize="0,0"/>
                <v:stroke on="f" weight="0.5pt"/>
                <v:imagedata o:title=""/>
                <o:lock v:ext="edit" aspectratio="f"/>
                <v:textbox>
                  <w:txbxContent>
                    <w:p w14:paraId="3291A3B9">
                      <w:pPr>
                        <w:jc w:val="center"/>
                        <w:rPr>
                          <w:rFonts w:hint="default" w:eastAsia="宋体"/>
                          <w:b/>
                          <w:bCs/>
                          <w:color w:val="FF0000"/>
                          <w:lang w:val="en-US" w:eastAsia="zh-CN"/>
                        </w:rPr>
                      </w:pPr>
                      <w:r>
                        <w:rPr>
                          <w:rFonts w:hint="eastAsia"/>
                          <w:b/>
                          <w:bCs/>
                          <w:color w:val="FF0000"/>
                          <w:lang w:val="en-US" w:eastAsia="zh-CN"/>
                        </w:rPr>
                        <w:t>宿舍1</w:t>
                      </w:r>
                    </w:p>
                  </w:txbxContent>
                </v:textbox>
              </v:shape>
            </w:pict>
          </mc:Fallback>
        </mc:AlternateContent>
      </w: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1951355</wp:posOffset>
                </wp:positionH>
                <wp:positionV relativeFrom="paragraph">
                  <wp:posOffset>1586865</wp:posOffset>
                </wp:positionV>
                <wp:extent cx="337820" cy="118745"/>
                <wp:effectExtent l="4445" t="4445" r="8255" b="13970"/>
                <wp:wrapNone/>
                <wp:docPr id="122" name="矩形 122"/>
                <wp:cNvGraphicFramePr/>
                <a:graphic xmlns:a="http://schemas.openxmlformats.org/drawingml/2006/main">
                  <a:graphicData uri="http://schemas.microsoft.com/office/word/2010/wordprocessingShape">
                    <wps:wsp>
                      <wps:cNvSpPr/>
                      <wps:spPr>
                        <a:xfrm>
                          <a:off x="0" y="0"/>
                          <a:ext cx="337820" cy="118745"/>
                        </a:xfrm>
                        <a:prstGeom prst="rect">
                          <a:avLst/>
                        </a:prstGeom>
                        <a:solidFill>
                          <a:srgbClr val="0500EC">
                            <a:alpha val="50000"/>
                          </a:srgbClr>
                        </a:solid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65pt;margin-top:124.95pt;height:9.35pt;width:26.6pt;z-index:251767808;v-text-anchor:middle;mso-width-relative:page;mso-height-relative:page;" fillcolor="#0500EC" filled="t" stroked="t" coordsize="21600,21600" o:gfxdata="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6J8FtkAAAALAQAADwAAAAAAAAABACAAAAAiAAAAZHJz&#10;L2Rvd25yZXYueG1sUEsBAhQAFAAAAAgAh07iQI7XSzV1AgAAAAUAAA4AAAAAAAAAAQAgAAAAKAEA&#10;AGRycy9lMm9Eb2MueG1sUEsFBgAAAAAGAAYAWQEAAA8GAAAAAA==&#10;">
                <v:fill on="t" opacity="32768f" focussize="0,0"/>
                <v:stroke weight="0.5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66784" behindDoc="0" locked="0" layoutInCell="1" allowOverlap="1">
                <wp:simplePos x="0" y="0"/>
                <wp:positionH relativeFrom="column">
                  <wp:posOffset>5270500</wp:posOffset>
                </wp:positionH>
                <wp:positionV relativeFrom="paragraph">
                  <wp:posOffset>2269490</wp:posOffset>
                </wp:positionV>
                <wp:extent cx="101600" cy="118745"/>
                <wp:effectExtent l="4445" t="4445" r="15875" b="13970"/>
                <wp:wrapNone/>
                <wp:docPr id="27" name="矩形 27"/>
                <wp:cNvGraphicFramePr/>
                <a:graphic xmlns:a="http://schemas.openxmlformats.org/drawingml/2006/main">
                  <a:graphicData uri="http://schemas.microsoft.com/office/word/2010/wordprocessingShape">
                    <wps:wsp>
                      <wps:cNvSpPr/>
                      <wps:spPr>
                        <a:xfrm>
                          <a:off x="6170295" y="3006725"/>
                          <a:ext cx="101600" cy="118745"/>
                        </a:xfrm>
                        <a:prstGeom prst="rect">
                          <a:avLst/>
                        </a:prstGeom>
                        <a:solidFill>
                          <a:srgbClr val="0500EC">
                            <a:alpha val="50000"/>
                          </a:srgbClr>
                        </a:solid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5pt;margin-top:178.7pt;height:9.35pt;width:8pt;z-index:251766784;v-text-anchor:middle;mso-width-relative:page;mso-height-relative:page;" fillcolor="#0500EC" filled="t" stroked="t" coordsize="21600,21600" o:gfxdata="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X3wxQ2AAAAAsBAAAPAAAAAAAAAAEA&#10;IAAAACIAAABkcnMvZG93bnJldi54bWxQSwECFAAUAAAACACHTuJAdqFqK4ECAAAKBQAADgAAAAAA&#10;AAABACAAAAAnAQAAZHJzL2Uyb0RvYy54bWxQSwUGAAAAAAYABgBZAQAAGgYAAAAA&#10;">
                <v:fill on="t" opacity="32768f" focussize="0,0"/>
                <v:stroke weight="0.5pt" color="#FF0000 [2404]"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9200" behindDoc="0" locked="0" layoutInCell="1" allowOverlap="1">
                <wp:simplePos x="0" y="0"/>
                <wp:positionH relativeFrom="column">
                  <wp:posOffset>4370705</wp:posOffset>
                </wp:positionH>
                <wp:positionV relativeFrom="paragraph">
                  <wp:posOffset>2874010</wp:posOffset>
                </wp:positionV>
                <wp:extent cx="498475" cy="1409065"/>
                <wp:effectExtent l="12065" t="4445" r="22860" b="15240"/>
                <wp:wrapNone/>
                <wp:docPr id="76" name="直接箭头连接符 76"/>
                <wp:cNvGraphicFramePr/>
                <a:graphic xmlns:a="http://schemas.openxmlformats.org/drawingml/2006/main">
                  <a:graphicData uri="http://schemas.microsoft.com/office/word/2010/wordprocessingShape">
                    <wps:wsp>
                      <wps:cNvCnPr/>
                      <wps:spPr>
                        <a:xfrm>
                          <a:off x="5316220" y="3979545"/>
                          <a:ext cx="498475" cy="140906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44.15pt;margin-top:226.3pt;height:110.95pt;width:39.25pt;z-index:251699200;mso-width-relative:page;mso-height-relative:page;" filled="f" stroked="t" coordsize="21600,21600" o:gfxdata="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QDCRZ2wAAAAsBAAAPAAAAAAAA&#10;AAEAIAAAACIAAABkcnMvZG93bnJldi54bWxQSwECFAAUAAAACACHTuJAFaIIBg8CAADbAwAADgAA&#10;AAAAAAABACAAAAAqAQAAZHJzL2Uyb0RvYy54bWxQSwUGAAAAAAYABgBZAQAAqwUAAAAA&#10;">
                <v:fill on="f" focussize="0,0"/>
                <v:stroke weight="2pt" color="#000000 [3213]" joinstyle="round"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46304" behindDoc="0" locked="0" layoutInCell="1" allowOverlap="1">
            <wp:simplePos x="0" y="0"/>
            <wp:positionH relativeFrom="column">
              <wp:posOffset>3897630</wp:posOffset>
            </wp:positionH>
            <wp:positionV relativeFrom="paragraph">
              <wp:posOffset>2919095</wp:posOffset>
            </wp:positionV>
            <wp:extent cx="464185" cy="80010"/>
            <wp:effectExtent l="0" t="0" r="12065" b="15240"/>
            <wp:wrapNone/>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47"/>
                    <a:stretch>
                      <a:fillRect/>
                    </a:stretch>
                  </pic:blipFill>
                  <pic:spPr>
                    <a:xfrm>
                      <a:off x="0" y="0"/>
                      <a:ext cx="464185" cy="80010"/>
                    </a:xfrm>
                    <a:prstGeom prst="rect">
                      <a:avLst/>
                    </a:prstGeom>
                    <a:noFill/>
                    <a:ln>
                      <a:noFill/>
                    </a:ln>
                  </pic:spPr>
                </pic:pic>
              </a:graphicData>
            </a:graphic>
          </wp:anchor>
        </w:drawing>
      </w:r>
      <w:r>
        <w:rPr>
          <w:rFonts w:hint="default" w:ascii="Times New Roman" w:hAnsi="Times New Roman" w:cs="Times New Roman"/>
          <w:color w:val="auto"/>
          <w:highlight w:val="none"/>
        </w:rPr>
        <w:drawing>
          <wp:anchor distT="0" distB="0" distL="114300" distR="114300" simplePos="0" relativeHeight="251698176" behindDoc="0" locked="0" layoutInCell="1" allowOverlap="1">
            <wp:simplePos x="0" y="0"/>
            <wp:positionH relativeFrom="column">
              <wp:posOffset>7742555</wp:posOffset>
            </wp:positionH>
            <wp:positionV relativeFrom="paragraph">
              <wp:posOffset>27305</wp:posOffset>
            </wp:positionV>
            <wp:extent cx="976630" cy="996950"/>
            <wp:effectExtent l="0" t="0" r="13970" b="12700"/>
            <wp:wrapNone/>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44"/>
                    <a:stretch>
                      <a:fillRect/>
                    </a:stretch>
                  </pic:blipFill>
                  <pic:spPr>
                    <a:xfrm>
                      <a:off x="0" y="0"/>
                      <a:ext cx="976630" cy="99695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549005" cy="5565775"/>
            <wp:effectExtent l="9525" t="9525" r="21590" b="17780"/>
            <wp:docPr id="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pic:cNvPicPr>
                      <a:picLocks noChangeAspect="1"/>
                    </pic:cNvPicPr>
                  </pic:nvPicPr>
                  <pic:blipFill>
                    <a:blip r:embed="rId54"/>
                    <a:srcRect l="5889" t="4733" b="3849"/>
                    <a:stretch>
                      <a:fillRect/>
                    </a:stretch>
                  </pic:blipFill>
                  <pic:spPr>
                    <a:xfrm>
                      <a:off x="0" y="0"/>
                      <a:ext cx="8549005" cy="5565775"/>
                    </a:xfrm>
                    <a:prstGeom prst="rect">
                      <a:avLst/>
                    </a:prstGeom>
                    <a:noFill/>
                    <a:ln>
                      <a:solidFill>
                        <a:schemeClr val="tx1"/>
                      </a:solidFill>
                    </a:ln>
                  </pic:spPr>
                </pic:pic>
              </a:graphicData>
            </a:graphic>
          </wp:inline>
        </w:drawing>
      </w:r>
    </w:p>
    <w:p w14:paraId="00369A4C">
      <w:pPr>
        <w:pStyle w:val="7"/>
        <w:spacing w:before="0" w:beforeAutospacing="0" w:after="0" w:afterAutospacing="0"/>
        <w:jc w:val="left"/>
        <w:rPr>
          <w:rFonts w:hint="default" w:ascii="Times New Roman" w:hAnsi="Times New Roman" w:cs="Times New Roman"/>
          <w:color w:val="auto"/>
          <w:sz w:val="24"/>
          <w:highlight w:val="none"/>
        </w:rPr>
      </w:pPr>
      <w:bookmarkStart w:id="44" w:name="_Toc66354936"/>
      <w:bookmarkStart w:id="45" w:name="_Toc9267"/>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5</w:t>
      </w:r>
      <w:bookmarkEnd w:id="44"/>
      <w:r>
        <w:rPr>
          <w:rFonts w:hint="default" w:ascii="Times New Roman" w:hAnsi="Times New Roman" w:cs="Times New Roman"/>
          <w:color w:val="auto"/>
          <w:sz w:val="24"/>
          <w:highlight w:val="none"/>
        </w:rPr>
        <w:t>建设项目土地利用规划图</w:t>
      </w:r>
      <w:bookmarkEnd w:id="45"/>
    </w:p>
    <w:p w14:paraId="69D78C06">
      <w:pPr>
        <w:pStyle w:val="2"/>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3164840</wp:posOffset>
                </wp:positionH>
                <wp:positionV relativeFrom="paragraph">
                  <wp:posOffset>4737735</wp:posOffset>
                </wp:positionV>
                <wp:extent cx="748665" cy="301625"/>
                <wp:effectExtent l="12700" t="12700" r="19685" b="257175"/>
                <wp:wrapNone/>
                <wp:docPr id="78" name="矩形标注 78"/>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E8BFE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9.2pt;margin-top:373.05pt;height:23.75pt;width:58.95pt;z-index:251735040;v-text-anchor:middle;mso-width-relative:page;mso-height-relative:page;" filled="f" stroked="t" coordsize="21600,21600" o:gfxdata="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p0/ti2QAAAAsBAAAPAAAAAAAAAAEAIAAAACIAAABkcnMvZG93bnJldi54bWxQSwEC&#10;FAAUAAAACACHTuJACWnSgZ4CAAAlBQAADgAAAAAAAAABACAAAAAoAQAAZHJzL2Uyb0RvYy54bWxQ&#10;SwUGAAAAAAYABgBZAQAAOAYAAAAA&#10;" adj="6323,37921">
                <v:fill on="f" focussize="0,0"/>
                <v:stroke weight="2pt" color="#FFFF00 [2404]" joinstyle="round"/>
                <v:imagedata o:title=""/>
                <o:lock v:ext="edit" aspectratio="f"/>
                <v:textbox>
                  <w:txbxContent>
                    <w:p w14:paraId="1CE8BFE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3237865</wp:posOffset>
                </wp:positionH>
                <wp:positionV relativeFrom="paragraph">
                  <wp:posOffset>5307965</wp:posOffset>
                </wp:positionV>
                <wp:extent cx="165100" cy="78105"/>
                <wp:effectExtent l="12700" t="12700" r="12700" b="23495"/>
                <wp:wrapNone/>
                <wp:docPr id="130" name="矩形 130"/>
                <wp:cNvGraphicFramePr/>
                <a:graphic xmlns:a="http://schemas.openxmlformats.org/drawingml/2006/main">
                  <a:graphicData uri="http://schemas.microsoft.com/office/word/2010/wordprocessingShape">
                    <wps:wsp>
                      <wps:cNvSpPr/>
                      <wps:spPr>
                        <a:xfrm>
                          <a:off x="4137660" y="6405880"/>
                          <a:ext cx="165100" cy="7810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95pt;margin-top:417.95pt;height:6.15pt;width:13pt;z-index:251738112;v-text-anchor:middle;mso-width-relative:page;mso-height-relative:page;" filled="f" stroked="t" coordsize="21600,21600" o:gfxdata="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KOtQ2AAAAAsBAAAPAAAAAAAAAAEAIAAAACIAAABkcnMvZG93bnJldi54bWxQ&#10;SwECFAAUAAAACACHTuJAFZA6bWkCAADCBAAADgAAAAAAAAABACAAAAAnAQAAZHJzL2Uyb0RvYy54&#10;bWxQSwUGAAAAAAYABgBZAQAAAgYAAAAA&#10;">
                <v:fill on="f" focussize="0,0"/>
                <v:stroke weight="2pt" color="#FFFF00 [2404]" joinstyle="round"/>
                <v:imagedata o:title=""/>
                <o:lock v:ext="edit" aspectratio="f"/>
              </v:rect>
            </w:pict>
          </mc:Fallback>
        </mc:AlternateContent>
      </w:r>
      <w:r>
        <w:rPr>
          <w:rFonts w:hint="default" w:ascii="Times New Roman" w:hAnsi="Times New Roman" w:eastAsia="宋体" w:cs="Times New Roman"/>
          <w:color w:val="auto"/>
          <w:highlight w:val="none"/>
          <w:lang w:eastAsia="zh-CN"/>
        </w:rPr>
        <w:drawing>
          <wp:inline distT="0" distB="0" distL="114300" distR="114300">
            <wp:extent cx="5934075" cy="8392160"/>
            <wp:effectExtent l="0" t="0" r="9525" b="8890"/>
            <wp:docPr id="80" name="图片 80" descr="乐昌土地利用规划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乐昌土地利用规划图_02"/>
                    <pic:cNvPicPr>
                      <a:picLocks noChangeAspect="1"/>
                    </pic:cNvPicPr>
                  </pic:nvPicPr>
                  <pic:blipFill>
                    <a:blip r:embed="rId55"/>
                    <a:stretch>
                      <a:fillRect/>
                    </a:stretch>
                  </pic:blipFill>
                  <pic:spPr>
                    <a:xfrm>
                      <a:off x="0" y="0"/>
                      <a:ext cx="5934075" cy="8392160"/>
                    </a:xfrm>
                    <a:prstGeom prst="rect">
                      <a:avLst/>
                    </a:prstGeom>
                  </pic:spPr>
                </pic:pic>
              </a:graphicData>
            </a:graphic>
          </wp:inline>
        </w:drawing>
      </w:r>
    </w:p>
    <w:p w14:paraId="4388F644">
      <w:pPr>
        <w:pageBreakBefore w:val="0"/>
        <w:wordWrap w:val="0"/>
        <w:overflowPunct/>
        <w:bidi w:val="0"/>
        <w:rPr>
          <w:rFonts w:hint="default" w:ascii="Times New Roman" w:hAnsi="Times New Roman" w:cs="Times New Roman"/>
          <w:color w:val="auto"/>
          <w:highlight w:val="none"/>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0DBB3A1">
      <w:pPr>
        <w:pStyle w:val="7"/>
        <w:spacing w:before="0" w:beforeAutospacing="0" w:after="0" w:afterAutospacing="0"/>
        <w:jc w:val="left"/>
        <w:rPr>
          <w:rFonts w:hint="default" w:ascii="Times New Roman" w:hAnsi="Times New Roman" w:cs="Times New Roman"/>
          <w:color w:val="auto"/>
          <w:sz w:val="24"/>
          <w:highlight w:val="none"/>
        </w:rPr>
      </w:pPr>
      <w:bookmarkStart w:id="46" w:name="_Toc15183"/>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水环境功能区划图</w:t>
      </w:r>
      <w:bookmarkEnd w:id="46"/>
    </w:p>
    <w:p w14:paraId="34A7E0BD">
      <w:pPr>
        <w:pStyle w:val="2"/>
        <w:pageBreakBefore w:val="0"/>
        <w:wordWrap w:val="0"/>
        <w:overflowPunct/>
        <w:bidi w:val="0"/>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5625465</wp:posOffset>
                </wp:positionH>
                <wp:positionV relativeFrom="paragraph">
                  <wp:posOffset>3609975</wp:posOffset>
                </wp:positionV>
                <wp:extent cx="145415" cy="123825"/>
                <wp:effectExtent l="12700" t="12700" r="13335" b="15875"/>
                <wp:wrapNone/>
                <wp:docPr id="81" name="十字星 81"/>
                <wp:cNvGraphicFramePr/>
                <a:graphic xmlns:a="http://schemas.openxmlformats.org/drawingml/2006/main">
                  <a:graphicData uri="http://schemas.microsoft.com/office/word/2010/wordprocessingShape">
                    <wps:wsp>
                      <wps:cNvSpPr/>
                      <wps:spPr>
                        <a:xfrm>
                          <a:off x="0" y="0"/>
                          <a:ext cx="145415" cy="12382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2.95pt;margin-top:284.25pt;height:9.75pt;width:11.45pt;z-index:251708416;v-text-anchor:middle;mso-width-relative:page;mso-height-relative:page;" fillcolor="#FF0000" filled="t" stroked="t" coordsize="21600,21600" o:gfxdata="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mgMY22gAAAAsBAAAPAAAAAAAAAAEAIAAAACIAAABkcnMvZG93bnJldi54bWxQSwEC&#10;FAAUAAAACACHTuJAYuCKnmQCAADiBAAADgAAAAAAAAABACAAAAApAQAAZHJzL2Uyb0RvYy54bWxQ&#10;SwUGAAAAAAYABgBZAQAA/wUAAAAA&#10;" adj="8100">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1274445</wp:posOffset>
                </wp:positionH>
                <wp:positionV relativeFrom="paragraph">
                  <wp:posOffset>3863975</wp:posOffset>
                </wp:positionV>
                <wp:extent cx="748665" cy="301625"/>
                <wp:effectExtent l="12700" t="12700" r="19685" b="257175"/>
                <wp:wrapNone/>
                <wp:docPr id="33" name="矩形标注 33"/>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CBC2F7">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0.35pt;margin-top:304.25pt;height:23.75pt;width:58.95pt;z-index:251705344;v-text-anchor:middle;mso-width-relative:page;mso-height-relative:page;" filled="f" stroked="t" coordsize="21600,21600" o:gfxdata="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P9ZJTPXAAAACwEAAA8AAAAAAAAAAQAgAAAAIgAAAGRycy9kb3ducmV2LnhtbFBLAQIU&#10;ABQAAAAIAIdO4kD1y/iunwIAACUFAAAOAAAAAAAAAAEAIAAAACYBAABkcnMvZTJvRG9jLnhtbFBL&#10;BQYAAAAABgAGAFkBAAA3BgAAAAA=&#10;" adj="6323,37921">
                <v:fill on="f" focussize="0,0"/>
                <v:stroke weight="2pt" color="#FF0000 [2404]" joinstyle="round"/>
                <v:imagedata o:title=""/>
                <o:lock v:ext="edit" aspectratio="f"/>
                <v:textbox>
                  <w:txbxContent>
                    <w:p w14:paraId="33CBC2F7">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1427480</wp:posOffset>
                </wp:positionH>
                <wp:positionV relativeFrom="paragraph">
                  <wp:posOffset>4343400</wp:posOffset>
                </wp:positionV>
                <wp:extent cx="153035" cy="154305"/>
                <wp:effectExtent l="12700" t="12700" r="24765" b="23495"/>
                <wp:wrapNone/>
                <wp:docPr id="32" name="十字星 32"/>
                <wp:cNvGraphicFramePr/>
                <a:graphic xmlns:a="http://schemas.openxmlformats.org/drawingml/2006/main">
                  <a:graphicData uri="http://schemas.microsoft.com/office/word/2010/wordprocessingShape">
                    <wps:wsp>
                      <wps:cNvSpPr/>
                      <wps:spPr>
                        <a:xfrm>
                          <a:off x="4747260" y="5708015"/>
                          <a:ext cx="153035" cy="15430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12.4pt;margin-top:342pt;height:12.15pt;width:12.05pt;z-index:251704320;v-text-anchor:middle;mso-width-relative:page;mso-height-relative:page;" fillcolor="#FF0000" filled="t" stroked="t" coordsize="21600,21600" o:gfxdata="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&#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YEpKeNsAAAALAQAADwAAAAAAAAABACAAAAAiAAAA&#10;ZHJzL2Rvd25yZXYueG1sUEsBAhQAFAAAAAgAh07iQBmgvW92AgAA7gQAAA4AAAAAAAAAAQAgAAAA&#10;KgEAAGRycy9lMm9Eb2MueG1sUEsFBgAAAAAGAAYAWQEAABIGAAAAAA==&#10;" adj="8100">
                <v:fill on="t" focussize="0,0"/>
                <v:stroke weight="2pt" color="#FF0000 [2404]" joinstyle="round"/>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02272" behindDoc="0" locked="0" layoutInCell="1" allowOverlap="1">
            <wp:simplePos x="0" y="0"/>
            <wp:positionH relativeFrom="column">
              <wp:posOffset>854710</wp:posOffset>
            </wp:positionH>
            <wp:positionV relativeFrom="paragraph">
              <wp:posOffset>3515995</wp:posOffset>
            </wp:positionV>
            <wp:extent cx="1865630" cy="1760855"/>
            <wp:effectExtent l="12700" t="12700" r="26670" b="17145"/>
            <wp:wrapNone/>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56"/>
                    <a:stretch>
                      <a:fillRect/>
                    </a:stretch>
                  </pic:blipFill>
                  <pic:spPr>
                    <a:xfrm>
                      <a:off x="0" y="0"/>
                      <a:ext cx="1865630" cy="1760855"/>
                    </a:xfrm>
                    <a:prstGeom prst="rect">
                      <a:avLst/>
                    </a:prstGeom>
                    <a:noFill/>
                    <a:ln w="12700">
                      <a:solidFill>
                        <a:srgbClr val="FF0000"/>
                      </a:solidFill>
                      <a:prstDash val="dash"/>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2720340</wp:posOffset>
                </wp:positionH>
                <wp:positionV relativeFrom="paragraph">
                  <wp:posOffset>3670935</wp:posOffset>
                </wp:positionV>
                <wp:extent cx="2956560" cy="725805"/>
                <wp:effectExtent l="3175" t="31750" r="12065" b="23495"/>
                <wp:wrapNone/>
                <wp:docPr id="85" name="直接箭头连接符 85"/>
                <wp:cNvGraphicFramePr/>
                <a:graphic xmlns:a="http://schemas.openxmlformats.org/drawingml/2006/main">
                  <a:graphicData uri="http://schemas.microsoft.com/office/word/2010/wordprocessingShape">
                    <wps:wsp>
                      <wps:cNvCnPr>
                        <a:stCxn id="84" idx="3"/>
                      </wps:cNvCnPr>
                      <wps:spPr>
                        <a:xfrm flipV="1">
                          <a:off x="5440680" y="4858385"/>
                          <a:ext cx="2956560" cy="72580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4.2pt;margin-top:289.05pt;height:57.15pt;width:232.8pt;z-index:251703296;mso-width-relative:page;mso-height-relative:page;" filled="f" stroked="t" coordsize="21600,21600" o:gfxdata="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nJ5Ch3QAAAAsBAAAPAAAAAAAAAAEAIAAAACIAAABkcnMvZG93bnJldi54bWxQSwECFAAU&#10;AAAACACHTuJA+rEA6yUCAAALBAAADgAAAAAAAAABACAAAAAsAQAAZHJzL2Uyb0RvYy54bWxQSwUG&#10;AAAAAAYABgBZAQAAwwUAAAAA&#10;">
                <v:fill on="f" focussize="0,0"/>
                <v:stroke weight="2pt" color="#FF0000 [3204]" joinstyle="round" dashstyle="dash" endarrow="open"/>
                <v:imagedata o:title=""/>
                <o:lock v:ext="edit" aspectratio="f"/>
              </v:shape>
            </w:pict>
          </mc:Fallback>
        </mc:AlternateContent>
      </w:r>
      <w:r>
        <w:rPr>
          <w:rFonts w:hint="default" w:ascii="Times New Roman" w:hAnsi="Times New Roman" w:eastAsia="宋体" w:cs="Times New Roman"/>
          <w:b/>
          <w:bCs/>
          <w:color w:val="auto"/>
          <w:sz w:val="24"/>
          <w:szCs w:val="24"/>
          <w:highlight w:val="none"/>
          <w:lang w:eastAsia="zh-CN"/>
        </w:rPr>
        <w:drawing>
          <wp:inline distT="0" distB="0" distL="114300" distR="114300">
            <wp:extent cx="7895590" cy="5551170"/>
            <wp:effectExtent l="0" t="0" r="10160" b="11430"/>
            <wp:docPr id="86" name="图片 86" descr="乐昌市十四五规划图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乐昌市十四五规划图_103"/>
                    <pic:cNvPicPr>
                      <a:picLocks noChangeAspect="1"/>
                    </pic:cNvPicPr>
                  </pic:nvPicPr>
                  <pic:blipFill>
                    <a:blip r:embed="rId57"/>
                    <a:srcRect l="15225" t="17541" r="14734" b="12836"/>
                    <a:stretch>
                      <a:fillRect/>
                    </a:stretch>
                  </pic:blipFill>
                  <pic:spPr>
                    <a:xfrm>
                      <a:off x="0" y="0"/>
                      <a:ext cx="7895590" cy="5551170"/>
                    </a:xfrm>
                    <a:prstGeom prst="rect">
                      <a:avLst/>
                    </a:prstGeom>
                  </pic:spPr>
                </pic:pic>
              </a:graphicData>
            </a:graphic>
          </wp:inline>
        </w:drawing>
      </w:r>
    </w:p>
    <w:p w14:paraId="762CE24D">
      <w:pPr>
        <w:pageBreakBefore w:val="0"/>
        <w:wordWrap w:val="0"/>
        <w:overflowPunct/>
        <w:bidi w:val="0"/>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A725FB9">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47" w:name="_Toc32102"/>
      <w:bookmarkStart w:id="48" w:name="_Toc8196"/>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lang w:eastAsia="zh-CN"/>
        </w:rPr>
        <w:t>大气环境功能区划图</w:t>
      </w:r>
      <w:bookmarkEnd w:id="47"/>
      <w:bookmarkEnd w:id="48"/>
    </w:p>
    <w:p w14:paraId="1ECD11FB">
      <w:pPr>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2498725</wp:posOffset>
                </wp:positionH>
                <wp:positionV relativeFrom="paragraph">
                  <wp:posOffset>3837305</wp:posOffset>
                </wp:positionV>
                <wp:extent cx="739775" cy="254635"/>
                <wp:effectExtent l="12700" t="12700" r="28575" b="304165"/>
                <wp:wrapNone/>
                <wp:docPr id="87" name="矩形标注 87"/>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F0A7D67">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6.75pt;margin-top:302.15pt;height:20.05pt;width:58.25pt;z-index:251711488;v-text-anchor:middle;mso-width-relative:page;mso-height-relative:page;" filled="f" stroked="t" coordsize="21600,21600" o:gfxdata="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C1eBGDbAAAACwEAAA8AAAAAAAAAAQAgAAAAIgAAAGRycy9kb3ducmV2LnhtbFBL&#10;AQIUABQAAAAIAIdO4kC5+cKBngIAACUFAAAOAAAAAAAAAAEAIAAAACoBAABkcnMvZTJvRG9jLnht&#10;bFBLBQYAAAAABgAGAFkBAAA6BgAAAAA=&#10;" adj="6323,46001">
                <v:fill on="f" focussize="0,0"/>
                <v:stroke weight="2pt" color="#FF0000 [2404]" joinstyle="round"/>
                <v:imagedata o:title=""/>
                <o:lock v:ext="edit" aspectratio="f"/>
                <v:textbox>
                  <w:txbxContent>
                    <w:p w14:paraId="7F0A7D67">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2636520</wp:posOffset>
                </wp:positionH>
                <wp:positionV relativeFrom="paragraph">
                  <wp:posOffset>4305300</wp:posOffset>
                </wp:positionV>
                <wp:extent cx="168275" cy="168275"/>
                <wp:effectExtent l="12700" t="12700" r="28575" b="28575"/>
                <wp:wrapNone/>
                <wp:docPr id="88" name="十字星 88"/>
                <wp:cNvGraphicFramePr/>
                <a:graphic xmlns:a="http://schemas.openxmlformats.org/drawingml/2006/main">
                  <a:graphicData uri="http://schemas.microsoft.com/office/word/2010/wordprocessingShape">
                    <wps:wsp>
                      <wps:cNvSpPr/>
                      <wps:spPr>
                        <a:xfrm>
                          <a:off x="0" y="0"/>
                          <a:ext cx="168275" cy="16827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07.6pt;margin-top:339pt;height:13.25pt;width:13.25pt;z-index:251710464;v-text-anchor:middle;mso-width-relative:page;mso-height-relative:page;" fillcolor="#FF0000" filled="t" stroked="t" coordsize="21600,21600" o:gfxdata="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OnWB/bAAAACwEAAA8AAAAAAAAAAQAgAAAAIgAAAGRycy9kb3ducmV2LnhtbFBLAQIU&#10;ABQAAAAIAIdO4kBvFTQTYgIAAOIEAAAOAAAAAAAAAAEAIAAAACoBAABkcnMvZTJvRG9jLnhtbFBL&#10;BQYAAAAABgAGAFkBAAD+BQAAAAA=&#10;" adj="8100">
                <v:fill on="t" focussize="0,0"/>
                <v:stroke weight="2pt" color="#FF0000 [2404]" joinstyle="round"/>
                <v:imagedata o:title=""/>
                <o:lock v:ext="edit" aspectratio="f"/>
              </v:shape>
            </w:pict>
          </mc:Fallback>
        </mc:AlternateContent>
      </w:r>
      <w:r>
        <w:rPr>
          <w:rFonts w:hint="default" w:ascii="Times New Roman" w:hAnsi="Times New Roman" w:cs="Times New Roman"/>
          <w:color w:val="auto"/>
          <w:highlight w:val="none"/>
          <w:lang w:eastAsia="zh-CN"/>
        </w:rPr>
        <w:drawing>
          <wp:inline distT="0" distB="0" distL="114300" distR="114300">
            <wp:extent cx="7611110" cy="5397500"/>
            <wp:effectExtent l="0" t="0" r="8890" b="12700"/>
            <wp:docPr id="34" name="图片 34" descr="乐昌市十四五规划图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乐昌市十四五规划图_104"/>
                    <pic:cNvPicPr>
                      <a:picLocks noChangeAspect="1"/>
                    </pic:cNvPicPr>
                  </pic:nvPicPr>
                  <pic:blipFill>
                    <a:blip r:embed="rId58"/>
                    <a:srcRect l="13737" t="15249" r="13799" b="12087"/>
                    <a:stretch>
                      <a:fillRect/>
                    </a:stretch>
                  </pic:blipFill>
                  <pic:spPr>
                    <a:xfrm>
                      <a:off x="0" y="0"/>
                      <a:ext cx="7611110" cy="5397500"/>
                    </a:xfrm>
                    <a:prstGeom prst="rect">
                      <a:avLst/>
                    </a:prstGeom>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5560060</wp:posOffset>
                </wp:positionH>
                <wp:positionV relativeFrom="paragraph">
                  <wp:posOffset>3537585</wp:posOffset>
                </wp:positionV>
                <wp:extent cx="87630" cy="102870"/>
                <wp:effectExtent l="12700" t="12700" r="13970" b="17780"/>
                <wp:wrapNone/>
                <wp:docPr id="89" name="十字星 89"/>
                <wp:cNvGraphicFramePr/>
                <a:graphic xmlns:a="http://schemas.openxmlformats.org/drawingml/2006/main">
                  <a:graphicData uri="http://schemas.microsoft.com/office/word/2010/wordprocessingShape">
                    <wps:wsp>
                      <wps:cNvSpPr/>
                      <wps:spPr>
                        <a:xfrm>
                          <a:off x="0" y="0"/>
                          <a:ext cx="87630" cy="10287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37.8pt;margin-top:278.55pt;height:8.1pt;width:6.9pt;z-index:251709440;v-text-anchor:middle;mso-width-relative:page;mso-height-relative:page;" fillcolor="#FF0000" filled="t" stroked="t" coordsize="21600,21600" o:gfxdata="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ieoMPcAAAACwEAAA8AAAAAAAAAAQAgAAAAIgAAAGRycy9kb3ducmV2Lnht&#10;bFBLAQIUABQAAAAIAIdO4kATJVGlZwIAAOEEAAAOAAAAAAAAAAEAIAAAACsBAABkcnMvZTJvRG9j&#10;LnhtbFBLBQYAAAAABgAGAFkBAAAEBgAAAAA=&#10;" adj="8100">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3816350</wp:posOffset>
                </wp:positionH>
                <wp:positionV relativeFrom="paragraph">
                  <wp:posOffset>3604260</wp:posOffset>
                </wp:positionV>
                <wp:extent cx="1757680" cy="764540"/>
                <wp:effectExtent l="5080" t="12700" r="8890" b="22860"/>
                <wp:wrapNone/>
                <wp:docPr id="36" name="直接箭头连接符 36"/>
                <wp:cNvGraphicFramePr/>
                <a:graphic xmlns:a="http://schemas.openxmlformats.org/drawingml/2006/main">
                  <a:graphicData uri="http://schemas.microsoft.com/office/word/2010/wordprocessingShape">
                    <wps:wsp>
                      <wps:cNvCnPr>
                        <a:stCxn id="35" idx="3"/>
                      </wps:cNvCnPr>
                      <wps:spPr>
                        <a:xfrm flipV="1">
                          <a:off x="4806315" y="4778375"/>
                          <a:ext cx="1757680" cy="76454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0.5pt;margin-top:283.8pt;height:60.2pt;width:138.4pt;z-index:251707392;mso-width-relative:page;mso-height-relative:page;" filled="f" stroked="t" coordsize="21600,21600" o:gfxdata="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EOgEzbAAAACwEAAA8AAAAAAAAAAQAgAAAAIgAAAGRycy9kb3ducmV2LnhtbFBLAQIUABQAAAAI&#10;AIdO4kCRhIvfIwIAAAsEAAAOAAAAAAAAAAEAIAAAACoBAABkcnMvZTJvRG9jLnhtbFBLBQYAAAAA&#10;BgAGAFkBAAC/BQAAAAA=&#10;">
                <v:fill on="f" focussize="0,0"/>
                <v:stroke weight="2pt" color="#FF0000 [3204]" joinstyle="round" dashstyle="dash"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06368" behindDoc="0" locked="0" layoutInCell="1" allowOverlap="1">
            <wp:simplePos x="0" y="0"/>
            <wp:positionH relativeFrom="column">
              <wp:posOffset>1882775</wp:posOffset>
            </wp:positionH>
            <wp:positionV relativeFrom="paragraph">
              <wp:posOffset>3597275</wp:posOffset>
            </wp:positionV>
            <wp:extent cx="1933575" cy="1543050"/>
            <wp:effectExtent l="12700" t="12700" r="15875" b="25400"/>
            <wp:wrapNone/>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9"/>
                    <a:stretch>
                      <a:fillRect/>
                    </a:stretch>
                  </pic:blipFill>
                  <pic:spPr>
                    <a:xfrm>
                      <a:off x="0" y="0"/>
                      <a:ext cx="1933575" cy="1543050"/>
                    </a:xfrm>
                    <a:prstGeom prst="rect">
                      <a:avLst/>
                    </a:prstGeom>
                    <a:noFill/>
                    <a:ln w="12700">
                      <a:solidFill>
                        <a:srgbClr val="FF0000"/>
                      </a:solidFill>
                      <a:prstDash val="dash"/>
                    </a:ln>
                  </pic:spPr>
                </pic:pic>
              </a:graphicData>
            </a:graphic>
          </wp:anchor>
        </w:drawing>
      </w:r>
    </w:p>
    <w:p w14:paraId="65496EB3">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80E2EA8">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49" w:name="_Toc10871"/>
      <w:bookmarkStart w:id="50" w:name="_Toc27402"/>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lang w:eastAsia="zh-CN"/>
        </w:rPr>
        <w:t>声环境功能区划图</w:t>
      </w:r>
      <w:bookmarkEnd w:id="49"/>
      <w:bookmarkEnd w:id="50"/>
    </w:p>
    <w:p w14:paraId="2F0E4622">
      <w:pPr>
        <w:pageBreakBefore w:val="0"/>
        <w:wordWrap w:val="0"/>
        <w:overflowPunct/>
        <w:bidi w:val="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5897245</wp:posOffset>
                </wp:positionH>
                <wp:positionV relativeFrom="paragraph">
                  <wp:posOffset>1859280</wp:posOffset>
                </wp:positionV>
                <wp:extent cx="806450" cy="321310"/>
                <wp:effectExtent l="12700" t="12700" r="19050" b="313690"/>
                <wp:wrapNone/>
                <wp:docPr id="14" name="矩形标注 14"/>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33307"/>
                            <a:gd name="adj2" fmla="val 138142"/>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3648CF1">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4.35pt;margin-top:146.4pt;height:25.3pt;width:63.5pt;z-index:251737088;v-text-anchor:middle;mso-width-relative:page;mso-height-relative:page;" filled="f" stroked="t" coordsize="21600,21600" o:gfxdata="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A29xWz1wAAAAwBAAAPAAAAAAAAAAEAIAAAACIAAABkcnMvZG93bnJldi54bWxQSwECFAAU&#10;AAAACACHTuJAg40nlp0CAAAlBQAADgAAAAAAAAABACAAAAAmAQAAZHJzL2Uyb0RvYy54bWxQSwUG&#10;AAAAAAYABgBZAQAANQYAAAAA&#10;" adj="3606,40639">
                <v:fill on="f" focussize="0,0"/>
                <v:stroke weight="2pt" color="#FFFF00 [2404]" joinstyle="round"/>
                <v:imagedata o:title=""/>
                <o:lock v:ext="edit" aspectratio="f"/>
                <v:textbox>
                  <w:txbxContent>
                    <w:p w14:paraId="73648CF1">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5960110</wp:posOffset>
                </wp:positionH>
                <wp:positionV relativeFrom="paragraph">
                  <wp:posOffset>2440940</wp:posOffset>
                </wp:positionV>
                <wp:extent cx="160020" cy="154305"/>
                <wp:effectExtent l="12700" t="12700" r="17780" b="23495"/>
                <wp:wrapNone/>
                <wp:docPr id="13" name="十字星 13"/>
                <wp:cNvGraphicFramePr/>
                <a:graphic xmlns:a="http://schemas.openxmlformats.org/drawingml/2006/main">
                  <a:graphicData uri="http://schemas.microsoft.com/office/word/2010/wordprocessingShape">
                    <wps:wsp>
                      <wps:cNvSpPr/>
                      <wps:spPr>
                        <a:xfrm>
                          <a:off x="0" y="0"/>
                          <a:ext cx="160020" cy="154305"/>
                        </a:xfrm>
                        <a:prstGeom prst="star4">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69.3pt;margin-top:192.2pt;height:12.15pt;width:12.6pt;z-index:251736064;v-text-anchor:middle;mso-width-relative:page;mso-height-relative:page;" fillcolor="#FFFF00" filled="t" stroked="t" coordsize="21600,21600" o:gfxdata="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8LPFO3AAAAAsBAAAPAAAAAAAAAAEAIAAAACIAAABkcnMvZG93bnJldi54bWxQ&#10;SwECFAAUAAAACACHTuJAlGJHsWUCAADiBAAADgAAAAAAAAABACAAAAArAQAAZHJzL2Uyb0RvYy54&#10;bWxQSwUGAAAAAAYABgBZAQAAAgYAAAAA&#10;" adj="8100">
                <v:fill on="t" focussize="0,0"/>
                <v:stroke weight="2pt" color="#FFFF00 [2404]" joinstyle="round"/>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7452360" cy="5273675"/>
            <wp:effectExtent l="0" t="0" r="15240" b="317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60"/>
                    <a:stretch>
                      <a:fillRect/>
                    </a:stretch>
                  </pic:blipFill>
                  <pic:spPr>
                    <a:xfrm>
                      <a:off x="0" y="0"/>
                      <a:ext cx="7452360" cy="5273675"/>
                    </a:xfrm>
                    <a:prstGeom prst="rect">
                      <a:avLst/>
                    </a:prstGeom>
                    <a:noFill/>
                    <a:ln>
                      <a:noFill/>
                    </a:ln>
                  </pic:spPr>
                </pic:pic>
              </a:graphicData>
            </a:graphic>
          </wp:inline>
        </w:drawing>
      </w:r>
    </w:p>
    <w:p w14:paraId="17C86EF7">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6CB8B80">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51" w:name="_Toc26578"/>
      <w:bookmarkStart w:id="52" w:name="_Toc30773"/>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eastAsia="zh-CN"/>
        </w:rPr>
        <w:t>生态红线分布图</w:t>
      </w:r>
      <w:bookmarkEnd w:id="51"/>
      <w:bookmarkEnd w:id="52"/>
    </w:p>
    <w:p w14:paraId="31B0B10B">
      <w:pPr>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5658485</wp:posOffset>
                </wp:positionH>
                <wp:positionV relativeFrom="paragraph">
                  <wp:posOffset>3489325</wp:posOffset>
                </wp:positionV>
                <wp:extent cx="160020" cy="154305"/>
                <wp:effectExtent l="12700" t="12700" r="17780" b="23495"/>
                <wp:wrapNone/>
                <wp:docPr id="94" name="十字星 94"/>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5.55pt;margin-top:274.75pt;height:12.15pt;width:12.6pt;z-index:251714560;v-text-anchor:middle;mso-width-relative:page;mso-height-relative:page;" fillcolor="#000000 [3213]" filled="t" stroked="t" coordsize="21600,21600" o:gfxdata="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1KcCd2wAAAAsBAAAPAAAAAAAAAAEAIAAAACIAAABkcnMvZG93bnJldi54bWxQSwEC&#10;FAAUAAAACACHTuJAmQsAD2MCAADiBAAADgAAAAAAAAABACAAAAAqAQAAZHJzL2Uyb0RvYy54bWxQ&#10;SwUGAAAAAAYABgBZAQAA/wUAAAAA&#10;" adj="8100">
                <v:fill on="t"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1922780</wp:posOffset>
                </wp:positionH>
                <wp:positionV relativeFrom="paragraph">
                  <wp:posOffset>3723005</wp:posOffset>
                </wp:positionV>
                <wp:extent cx="160020" cy="154305"/>
                <wp:effectExtent l="12700" t="12700" r="17780" b="23495"/>
                <wp:wrapNone/>
                <wp:docPr id="93" name="十字星 93"/>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51.4pt;margin-top:293.15pt;height:12.15pt;width:12.6pt;z-index:251715584;v-text-anchor:middle;mso-width-relative:page;mso-height-relative:page;" fillcolor="#000000 [3213]" filled="t" stroked="t" coordsize="21600,21600" o:gfxdata="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S8y/vaAAAACwEAAA8AAAAAAAAAAQAgAAAAIgAAAGRycy9kb3ducmV2LnhtbFBLAQIU&#10;ABQAAAAIAIdO4kCqdh55YwIAAOIEAAAOAAAAAAAAAAEAIAAAACkBAABkcnMvZTJvRG9jLnhtbFBL&#10;BQYAAAAABgAGAFkBAAD+BQAAAAA=&#10;" adj="8100">
                <v:fill on="t"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2168525</wp:posOffset>
                </wp:positionH>
                <wp:positionV relativeFrom="paragraph">
                  <wp:posOffset>3402330</wp:posOffset>
                </wp:positionV>
                <wp:extent cx="806450" cy="321310"/>
                <wp:effectExtent l="153035" t="12700" r="31115" b="66040"/>
                <wp:wrapNone/>
                <wp:docPr id="58" name="矩形标注 58"/>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DF3014">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0.75pt;margin-top:267.9pt;height:25.3pt;width:63.5pt;z-index:251716608;v-text-anchor:middle;mso-width-relative:page;mso-height-relative:page;" filled="f" stroked="t" coordsize="21600,21600" o:gfxdata="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PfAnfTXAAAACwEAAA8AAAAAAAAAAQAgAAAAIgAAAGRycy9kb3ducmV2LnhtbFBLAQIUABQAAAAI&#10;AIdO4kASy2pAmQIAACQFAAAOAAAAAAAAAAEAIAAAACYBAABkcnMvZTJvRG9jLnhtbFBLBQYAAAAA&#10;BgAGAFkBAAAxBgAAAAA=&#10;" adj="-3767,24305">
                <v:fill on="f" focussize="0,0"/>
                <v:stroke weight="2pt" color="#000000 [3213]" joinstyle="round"/>
                <v:imagedata o:title=""/>
                <o:lock v:ext="edit" aspectratio="f"/>
                <v:textbox>
                  <w:txbxContent>
                    <w:p w14:paraId="36DF3014">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12512" behindDoc="0" locked="0" layoutInCell="1" allowOverlap="1">
            <wp:simplePos x="0" y="0"/>
            <wp:positionH relativeFrom="column">
              <wp:posOffset>890270</wp:posOffset>
            </wp:positionH>
            <wp:positionV relativeFrom="paragraph">
              <wp:posOffset>2904490</wp:posOffset>
            </wp:positionV>
            <wp:extent cx="2916555" cy="2233295"/>
            <wp:effectExtent l="12700" t="12700" r="23495" b="20955"/>
            <wp:wrapNone/>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61"/>
                    <a:stretch>
                      <a:fillRect/>
                    </a:stretch>
                  </pic:blipFill>
                  <pic:spPr>
                    <a:xfrm>
                      <a:off x="0" y="0"/>
                      <a:ext cx="2916555" cy="2233295"/>
                    </a:xfrm>
                    <a:prstGeom prst="rect">
                      <a:avLst/>
                    </a:prstGeom>
                    <a:noFill/>
                    <a:ln w="12700">
                      <a:solidFill>
                        <a:schemeClr val="tx1"/>
                      </a:solidFill>
                      <a:prstDash val="dash"/>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3806825</wp:posOffset>
                </wp:positionH>
                <wp:positionV relativeFrom="paragraph">
                  <wp:posOffset>3561080</wp:posOffset>
                </wp:positionV>
                <wp:extent cx="1884680" cy="460375"/>
                <wp:effectExtent l="3175" t="31750" r="17145" b="22225"/>
                <wp:wrapNone/>
                <wp:docPr id="50" name="直接箭头连接符 50"/>
                <wp:cNvGraphicFramePr/>
                <a:graphic xmlns:a="http://schemas.openxmlformats.org/drawingml/2006/main">
                  <a:graphicData uri="http://schemas.microsoft.com/office/word/2010/wordprocessingShape">
                    <wps:wsp>
                      <wps:cNvCnPr>
                        <a:stCxn id="95" idx="3"/>
                      </wps:cNvCnPr>
                      <wps:spPr>
                        <a:xfrm flipV="1">
                          <a:off x="4811395" y="4845050"/>
                          <a:ext cx="1884680" cy="46037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9.75pt;margin-top:280.4pt;height:36.25pt;width:148.4pt;z-index:251713536;mso-width-relative:page;mso-height-relative:page;" filled="f" stroked="t" coordsize="21600,21600" o:gfxdata="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2kPF&#10;G9sAAAALAQAADwAAAAAAAAABACAAAAAiAAAAZHJzL2Rvd25yZXYueG1sUEsBAhQAFAAAAAgAh07i&#10;QM+LIH0fAgAACwQAAA4AAAAAAAAAAQAgAAAAKgEAAGRycy9lMm9Eb2MueG1sUEsFBgAAAAAGAAYA&#10;WQEAALsFAAAAAA==&#10;">
                <v:fill on="f" focussize="0,0"/>
                <v:stroke weight="2pt" color="#000000 [3213]" joinstyle="round" dashstyle="dash" endarrow="open"/>
                <v:imagedata o:title=""/>
                <o:lock v:ext="edit" aspectratio="f"/>
              </v:shape>
            </w:pict>
          </mc:Fallback>
        </mc:AlternateContent>
      </w:r>
      <w:r>
        <w:rPr>
          <w:rFonts w:hint="default" w:ascii="Times New Roman" w:hAnsi="Times New Roman" w:cs="Times New Roman"/>
          <w:color w:val="auto"/>
          <w:highlight w:val="none"/>
          <w:lang w:eastAsia="zh-CN"/>
        </w:rPr>
        <w:drawing>
          <wp:inline distT="0" distB="0" distL="114300" distR="114300">
            <wp:extent cx="7407275" cy="5237480"/>
            <wp:effectExtent l="0" t="0" r="3175" b="1270"/>
            <wp:docPr id="46" name="图片 46" descr="乐昌市十四五规划图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乐昌市十四五规划图_105"/>
                    <pic:cNvPicPr>
                      <a:picLocks noChangeAspect="1"/>
                    </pic:cNvPicPr>
                  </pic:nvPicPr>
                  <pic:blipFill>
                    <a:blip r:embed="rId62"/>
                    <a:srcRect l="14454" t="14996" r="14516" b="13993"/>
                    <a:stretch>
                      <a:fillRect/>
                    </a:stretch>
                  </pic:blipFill>
                  <pic:spPr>
                    <a:xfrm>
                      <a:off x="0" y="0"/>
                      <a:ext cx="7407275" cy="5237480"/>
                    </a:xfrm>
                    <a:prstGeom prst="rect">
                      <a:avLst/>
                    </a:prstGeom>
                  </pic:spPr>
                </pic:pic>
              </a:graphicData>
            </a:graphic>
          </wp:inline>
        </w:drawing>
      </w:r>
    </w:p>
    <w:p w14:paraId="2C1B7BAF">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B092D8C">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53" w:name="_Toc20841"/>
      <w:bookmarkStart w:id="54" w:name="_Toc15376"/>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lang w:eastAsia="zh-CN"/>
        </w:rPr>
        <w:t>水环境管控单元图</w:t>
      </w:r>
      <w:bookmarkEnd w:id="53"/>
      <w:bookmarkEnd w:id="54"/>
    </w:p>
    <w:p w14:paraId="5C7F9019">
      <w:pPr>
        <w:pStyle w:val="3"/>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1633855</wp:posOffset>
                </wp:positionH>
                <wp:positionV relativeFrom="paragraph">
                  <wp:posOffset>3364230</wp:posOffset>
                </wp:positionV>
                <wp:extent cx="908685" cy="307340"/>
                <wp:effectExtent l="12700" t="12700" r="31115" b="365760"/>
                <wp:wrapNone/>
                <wp:docPr id="99" name="矩形标注 99"/>
                <wp:cNvGraphicFramePr/>
                <a:graphic xmlns:a="http://schemas.openxmlformats.org/drawingml/2006/main">
                  <a:graphicData uri="http://schemas.microsoft.com/office/word/2010/wordprocessingShape">
                    <wps:wsp>
                      <wps:cNvSpPr/>
                      <wps:spPr>
                        <a:xfrm>
                          <a:off x="0" y="0"/>
                          <a:ext cx="908685" cy="307340"/>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80D529">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8.65pt;margin-top:264.9pt;height:24.2pt;width:71.55pt;z-index:251721728;v-text-anchor:middle;mso-width-relative:page;mso-height-relative:page;" filled="f" stroked="t" coordsize="21600,21600" o:gfxdata="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z/2OLbAAAACwEAAA8AAAAAAAAAAQAgAAAAIgAAAGRycy9kb3ducmV2Lnht&#10;bFBLAQIUABQAAAAIAIdO4kATYSOnoQIAACUFAAAOAAAAAAAAAAEAIAAAACoBAABkcnMvZTJvRG9j&#10;LnhtbFBLBQYAAAAABgAGAFkBAAA9BgAAAAA=&#10;" adj="6323,46001">
                <v:fill on="f" focussize="0,0"/>
                <v:stroke weight="2pt" color="#FF0000 [2404]" joinstyle="round"/>
                <v:imagedata o:title=""/>
                <o:lock v:ext="edit" aspectratio="f"/>
                <v:textbox>
                  <w:txbxContent>
                    <w:p w14:paraId="1180D529">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5657215</wp:posOffset>
                </wp:positionH>
                <wp:positionV relativeFrom="paragraph">
                  <wp:posOffset>3502025</wp:posOffset>
                </wp:positionV>
                <wp:extent cx="145415" cy="123825"/>
                <wp:effectExtent l="12700" t="12700" r="13335" b="15875"/>
                <wp:wrapNone/>
                <wp:docPr id="97" name="十字星 97"/>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5.45pt;margin-top:275.75pt;height:9.75pt;width:11.45pt;z-index:251719680;v-text-anchor:middle;mso-width-relative:page;mso-height-relative:page;" fillcolor="#FF0000" filled="t" stroked="t" coordsize="21600,21600" o:gfxdata="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r4j2tdoAAAALAQAADwAAAAAAAAABACAA&#10;AAAiAAAAZHJzL2Rvd25yZXYueG1sUEsBAhQAFAAAAAgAh07iQG7aYXp9AgAADgUAAA4AAAAAAAAA&#10;AQAgAAAAKQEAAGRycy9lMm9Eb2MueG1sUEsFBgAAAAAGAAYAWQEAABgGAAAAAA==&#10;" adj="8086">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1795145</wp:posOffset>
                </wp:positionH>
                <wp:positionV relativeFrom="paragraph">
                  <wp:posOffset>3915410</wp:posOffset>
                </wp:positionV>
                <wp:extent cx="153035" cy="175260"/>
                <wp:effectExtent l="12700" t="12700" r="24765" b="21590"/>
                <wp:wrapNone/>
                <wp:docPr id="96" name="十字星 96"/>
                <wp:cNvGraphicFramePr/>
                <a:graphic xmlns:a="http://schemas.openxmlformats.org/drawingml/2006/main">
                  <a:graphicData uri="http://schemas.microsoft.com/office/word/2010/wordprocessingShape">
                    <wps:wsp>
                      <wps:cNvSpPr/>
                      <wps:spPr>
                        <a:xfrm>
                          <a:off x="0" y="0"/>
                          <a:ext cx="153035" cy="17526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41.35pt;margin-top:308.3pt;height:13.8pt;width:12.05pt;z-index:251720704;v-text-anchor:middle;mso-width-relative:page;mso-height-relative:page;" fillcolor="#FF0000" filled="t" stroked="t" coordsize="21600,21600" o:gfxdata="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xUipbaAAAACwEAAA8AAAAAAAAAAQAgAAAAIgAAAGRycy9kb3ducmV2Lnht&#10;bFBLAQIUABQAAAAIAIdO4kAuLIiHaQIAAOIEAAAOAAAAAAAAAAEAIAAAACkBAABkcnMvZTJvRG9j&#10;LnhtbFBLBQYAAAAABgAGAFkBAAAEBgAAAAA=&#10;" adj="8100">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3841750</wp:posOffset>
                </wp:positionH>
                <wp:positionV relativeFrom="paragraph">
                  <wp:posOffset>3552825</wp:posOffset>
                </wp:positionV>
                <wp:extent cx="1864360" cy="434975"/>
                <wp:effectExtent l="3175" t="33020" r="18415" b="27305"/>
                <wp:wrapNone/>
                <wp:docPr id="100" name="直接箭头连接符 100"/>
                <wp:cNvGraphicFramePr/>
                <a:graphic xmlns:a="http://schemas.openxmlformats.org/drawingml/2006/main">
                  <a:graphicData uri="http://schemas.microsoft.com/office/word/2010/wordprocessingShape">
                    <wps:wsp>
                      <wps:cNvCnPr>
                        <a:stCxn id="101" idx="3"/>
                      </wps:cNvCnPr>
                      <wps:spPr>
                        <a:xfrm flipV="1">
                          <a:off x="4831715" y="4726940"/>
                          <a:ext cx="1864360" cy="43497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2.5pt;margin-top:279.75pt;height:34.25pt;width:146.8pt;z-index:251718656;mso-width-relative:page;mso-height-relative:page;" filled="f" stroked="t" coordsize="21600,21600" o:gfxdata="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VIr1s90AAAALAQAADwAAAAAAAAABACAAAAAiAAAAZHJzL2Rvd25yZXYueG1sUEsBAhQAFAAA&#10;AAgAh07iQEXG0AMjAgAADgQAAA4AAAAAAAAAAQAgAAAALAEAAGRycy9lMm9Eb2MueG1sUEsFBgAA&#10;AAAGAAYAWQEAAMEFAAAAAA==&#10;">
                <v:fill on="f" focussize="0,0"/>
                <v:stroke weight="2pt" color="#FF0000 [3204]" joinstyle="round" dashstyle="dash"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17632" behindDoc="0" locked="0" layoutInCell="1" allowOverlap="1">
            <wp:simplePos x="0" y="0"/>
            <wp:positionH relativeFrom="column">
              <wp:posOffset>791845</wp:posOffset>
            </wp:positionH>
            <wp:positionV relativeFrom="paragraph">
              <wp:posOffset>2788285</wp:posOffset>
            </wp:positionV>
            <wp:extent cx="3049905" cy="2399030"/>
            <wp:effectExtent l="12700" t="12700" r="23495" b="26670"/>
            <wp:wrapNone/>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63"/>
                    <a:stretch>
                      <a:fillRect/>
                    </a:stretch>
                  </pic:blipFill>
                  <pic:spPr>
                    <a:xfrm>
                      <a:off x="0" y="0"/>
                      <a:ext cx="3049905" cy="2399030"/>
                    </a:xfrm>
                    <a:prstGeom prst="rect">
                      <a:avLst/>
                    </a:prstGeom>
                    <a:noFill/>
                    <a:ln w="12700">
                      <a:solidFill>
                        <a:srgbClr val="FF0000"/>
                      </a:solidFill>
                      <a:prstDash val="dash"/>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7487920" cy="5297170"/>
            <wp:effectExtent l="0" t="0" r="17780" b="17780"/>
            <wp:docPr id="102" name="图片 102" descr="乐昌市十四五规划图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乐昌市十四五规划图_109"/>
                    <pic:cNvPicPr>
                      <a:picLocks noChangeAspect="1"/>
                    </pic:cNvPicPr>
                  </pic:nvPicPr>
                  <pic:blipFill>
                    <a:blip r:embed="rId64"/>
                    <a:srcRect l="14423" t="14863" r="14360" b="13905"/>
                    <a:stretch>
                      <a:fillRect/>
                    </a:stretch>
                  </pic:blipFill>
                  <pic:spPr>
                    <a:xfrm>
                      <a:off x="0" y="0"/>
                      <a:ext cx="7487920" cy="5297170"/>
                    </a:xfrm>
                    <a:prstGeom prst="rect">
                      <a:avLst/>
                    </a:prstGeom>
                  </pic:spPr>
                </pic:pic>
              </a:graphicData>
            </a:graphic>
          </wp:inline>
        </w:drawing>
      </w:r>
    </w:p>
    <w:p w14:paraId="1349C217">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E68F187">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55" w:name="_Toc8569"/>
      <w:bookmarkStart w:id="56" w:name="_Toc19588"/>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lang w:eastAsia="zh-CN"/>
        </w:rPr>
        <w:t>大气环境管控单元图</w:t>
      </w:r>
      <w:bookmarkEnd w:id="55"/>
      <w:bookmarkEnd w:id="56"/>
    </w:p>
    <w:p w14:paraId="5E73AC8F">
      <w:pPr>
        <w:pStyle w:val="3"/>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5744845</wp:posOffset>
                </wp:positionH>
                <wp:positionV relativeFrom="paragraph">
                  <wp:posOffset>3882390</wp:posOffset>
                </wp:positionV>
                <wp:extent cx="145415" cy="123825"/>
                <wp:effectExtent l="12700" t="12700" r="13335" b="15875"/>
                <wp:wrapNone/>
                <wp:docPr id="103" name="十字星 103"/>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52.35pt;margin-top:305.7pt;height:9.75pt;width:11.45pt;z-index:251723776;v-text-anchor:middle;mso-width-relative:page;mso-height-relative:page;" fillcolor="#000000 [3213]" filled="t" stroked="t" coordsize="21600,21600" o:gfxdata="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B/UgR2wAAAAsBAAAPAAAAAAAAAAEAIAAA&#10;ACIAAABkcnMvZG93bnJldi54bWxQSwECFAAUAAAACACHTuJAo9mz93sCAAAQBQAADgAAAAAAAAAB&#10;ACAAAAAqAQAAZHJzL2Uyb0RvYy54bWxQSwUGAAAAAAYABgBZAQAAFwYAAAAA&#10;" adj="8086">
                <v:fill on="t"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2210435</wp:posOffset>
                </wp:positionH>
                <wp:positionV relativeFrom="paragraph">
                  <wp:posOffset>4521835</wp:posOffset>
                </wp:positionV>
                <wp:extent cx="768350" cy="311785"/>
                <wp:effectExtent l="146685" t="12700" r="18415" b="56515"/>
                <wp:wrapNone/>
                <wp:docPr id="106" name="矩形标注 106"/>
                <wp:cNvGraphicFramePr/>
                <a:graphic xmlns:a="http://schemas.openxmlformats.org/drawingml/2006/main">
                  <a:graphicData uri="http://schemas.microsoft.com/office/word/2010/wordprocessingShape">
                    <wps:wsp>
                      <wps:cNvSpPr/>
                      <wps:spPr>
                        <a:xfrm>
                          <a:off x="0" y="0"/>
                          <a:ext cx="768350" cy="311785"/>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6FB4FC">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4.05pt;margin-top:356.05pt;height:24.55pt;width:60.5pt;z-index:251726848;v-text-anchor:middle;mso-width-relative:page;mso-height-relative:page;" filled="f" stroked="t" coordsize="21600,21600" o:gfxdata="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AFw6ry1wAAAAsBAAAPAAAAAAAAAAEAIAAAACIAAABkcnMvZG93bnJldi54bWxQSwECFAAUAAAA&#10;CACHTuJADGib15oCAAAmBQAADgAAAAAAAAABACAAAAAmAQAAZHJzL2Uyb0RvYy54bWxQSwUGAAAA&#10;AAYABgBZAQAAMgYAAAAA&#10;" adj="-3767,24305">
                <v:fill on="f" focussize="0,0"/>
                <v:stroke weight="2pt" color="#000000 [3213]" joinstyle="round"/>
                <v:imagedata o:title=""/>
                <o:lock v:ext="edit" aspectratio="f"/>
                <v:textbox>
                  <w:txbxContent>
                    <w:p w14:paraId="7E6FB4FC">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1948180</wp:posOffset>
                </wp:positionH>
                <wp:positionV relativeFrom="paragraph">
                  <wp:posOffset>4860290</wp:posOffset>
                </wp:positionV>
                <wp:extent cx="153035" cy="175260"/>
                <wp:effectExtent l="12700" t="12700" r="24765" b="21590"/>
                <wp:wrapNone/>
                <wp:docPr id="105" name="十字星 105"/>
                <wp:cNvGraphicFramePr/>
                <a:graphic xmlns:a="http://schemas.openxmlformats.org/drawingml/2006/main">
                  <a:graphicData uri="http://schemas.microsoft.com/office/word/2010/wordprocessingShape">
                    <wps:wsp>
                      <wps:cNvSpPr/>
                      <wps:spPr>
                        <a:xfrm>
                          <a:off x="0" y="0"/>
                          <a:ext cx="153035" cy="175260"/>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53.4pt;margin-top:382.7pt;height:13.8pt;width:12.05pt;z-index:251725824;v-text-anchor:middle;mso-width-relative:page;mso-height-relative:page;" fillcolor="#000000 [3213]" filled="t" stroked="t" coordsize="21600,21600" o:gfxdata="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qzpgtsAAAALAQAADwAAAAAAAAABACAAAAAiAAAAZHJzL2Rvd25yZXYueG1s&#10;UEsBAhQAFAAAAAgAh07iQO0y12VnAgAA5AQAAA4AAAAAAAAAAQAgAAAAKgEAAGRycy9lMm9Eb2Mu&#10;eG1sUEsFBgAAAAAGAAYAWQEAAAMGAAAAAA==&#10;" adj="8100">
                <v:fill on="t"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3134995</wp:posOffset>
                </wp:positionH>
                <wp:positionV relativeFrom="paragraph">
                  <wp:posOffset>3944620</wp:posOffset>
                </wp:positionV>
                <wp:extent cx="2609850" cy="248285"/>
                <wp:effectExtent l="1270" t="47625" r="17780" b="27940"/>
                <wp:wrapNone/>
                <wp:docPr id="104" name="直接箭头连接符 104"/>
                <wp:cNvGraphicFramePr/>
                <a:graphic xmlns:a="http://schemas.openxmlformats.org/drawingml/2006/main">
                  <a:graphicData uri="http://schemas.microsoft.com/office/word/2010/wordprocessingShape">
                    <wps:wsp>
                      <wps:cNvCnPr>
                        <a:stCxn id="107" idx="3"/>
                        <a:endCxn id="103" idx="1"/>
                      </wps:cNvCnPr>
                      <wps:spPr>
                        <a:xfrm flipV="1">
                          <a:off x="0" y="0"/>
                          <a:ext cx="2609850" cy="24828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6.85pt;margin-top:310.6pt;height:19.55pt;width:205.5pt;z-index:251724800;mso-width-relative:page;mso-height-relative:page;" filled="f" stroked="t" coordsize="21600,21600" o:gfxdata="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KYyPs&#10;2wAAAAsBAAAPAAAAAAAAAAEAIAAAACIAAABkcnMvZG93bnJldi54bWxQSwECFAAUAAAACACHTuJA&#10;BNLWkh4CAAAeBAAADgAAAAAAAAABACAAAAAqAQAAZHJzL2Uyb0RvYy54bWxQSwUGAAAAAAYABgBZ&#10;AQAAugUAAAAA&#10;">
                <v:fill on="f" focussize="0,0"/>
                <v:stroke weight="2pt" color="#000000 [3213]" joinstyle="round" dashstyle="dash"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22752" behindDoc="0" locked="0" layoutInCell="1" allowOverlap="1">
            <wp:simplePos x="0" y="0"/>
            <wp:positionH relativeFrom="column">
              <wp:posOffset>763270</wp:posOffset>
            </wp:positionH>
            <wp:positionV relativeFrom="paragraph">
              <wp:posOffset>3059430</wp:posOffset>
            </wp:positionV>
            <wp:extent cx="2371725" cy="2266950"/>
            <wp:effectExtent l="12700" t="12700" r="15875" b="25400"/>
            <wp:wrapNone/>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65"/>
                    <a:stretch>
                      <a:fillRect/>
                    </a:stretch>
                  </pic:blipFill>
                  <pic:spPr>
                    <a:xfrm>
                      <a:off x="0" y="0"/>
                      <a:ext cx="2371725" cy="2266950"/>
                    </a:xfrm>
                    <a:prstGeom prst="rect">
                      <a:avLst/>
                    </a:prstGeom>
                    <a:noFill/>
                    <a:ln w="12700">
                      <a:solidFill>
                        <a:schemeClr val="tx1"/>
                      </a:solidFill>
                      <a:prstDash val="dash"/>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7590790" cy="5360035"/>
            <wp:effectExtent l="0" t="0" r="10160" b="12065"/>
            <wp:docPr id="108" name="图片 108" descr="乐昌市十四五规划图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乐昌市十四五规划图_110"/>
                    <pic:cNvPicPr>
                      <a:picLocks noChangeAspect="1"/>
                    </pic:cNvPicPr>
                  </pic:nvPicPr>
                  <pic:blipFill>
                    <a:blip r:embed="rId66"/>
                    <a:srcRect l="14423" t="14742" r="14181" b="13982"/>
                    <a:stretch>
                      <a:fillRect/>
                    </a:stretch>
                  </pic:blipFill>
                  <pic:spPr>
                    <a:xfrm>
                      <a:off x="0" y="0"/>
                      <a:ext cx="7590790" cy="5360035"/>
                    </a:xfrm>
                    <a:prstGeom prst="rect">
                      <a:avLst/>
                    </a:prstGeom>
                  </pic:spPr>
                </pic:pic>
              </a:graphicData>
            </a:graphic>
          </wp:inline>
        </w:drawing>
      </w:r>
    </w:p>
    <w:p w14:paraId="647EFF36">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FD8ACA9">
      <w:pPr>
        <w:pStyle w:val="7"/>
        <w:spacing w:before="0" w:beforeAutospacing="0" w:after="0" w:afterAutospacing="0"/>
        <w:jc w:val="left"/>
        <w:rPr>
          <w:rFonts w:hint="default" w:ascii="Times New Roman" w:hAnsi="Times New Roman" w:cs="Times New Roman"/>
          <w:color w:val="auto"/>
          <w:sz w:val="24"/>
          <w:highlight w:val="none"/>
          <w:lang w:eastAsia="zh-CN"/>
        </w:rPr>
      </w:pPr>
      <w:bookmarkStart w:id="57" w:name="_Toc30069"/>
      <w:bookmarkStart w:id="58" w:name="_Toc27857"/>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lang w:eastAsia="zh-CN"/>
        </w:rPr>
        <w:t>生态管控单元分区图</w:t>
      </w:r>
      <w:bookmarkEnd w:id="57"/>
      <w:bookmarkEnd w:id="58"/>
    </w:p>
    <w:p w14:paraId="0049AB36">
      <w:pPr>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1553210</wp:posOffset>
                </wp:positionH>
                <wp:positionV relativeFrom="paragraph">
                  <wp:posOffset>3697605</wp:posOffset>
                </wp:positionV>
                <wp:extent cx="866140" cy="318135"/>
                <wp:effectExtent l="12700" t="12700" r="16510" b="374015"/>
                <wp:wrapNone/>
                <wp:docPr id="111" name="矩形标注 111"/>
                <wp:cNvGraphicFramePr/>
                <a:graphic xmlns:a="http://schemas.openxmlformats.org/drawingml/2006/main">
                  <a:graphicData uri="http://schemas.microsoft.com/office/word/2010/wordprocessingShape">
                    <wps:wsp>
                      <wps:cNvSpPr/>
                      <wps:spPr>
                        <a:xfrm>
                          <a:off x="0" y="0"/>
                          <a:ext cx="866140" cy="3181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F71F4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3pt;margin-top:291.15pt;height:25.05pt;width:68.2pt;z-index:251731968;v-text-anchor:middle;mso-width-relative:page;mso-height-relative:page;" filled="f" stroked="t" coordsize="21600,21600" o:gfxdata="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Hd+olPbAAAACwEAAA8AAAAAAAAAAQAgAAAAIgAAAGRycy9kb3ducmV2LnhtbFBL&#10;AQIUABQAAAAIAIdO4kA6+CO/ngIAACcFAAAOAAAAAAAAAAEAIAAAACoBAABkcnMvZTJvRG9jLnht&#10;bFBLBQYAAAAABgAGAFkBAAA6BgAAAAA=&#10;" adj="6323,46001">
                <v:fill on="f" focussize="0,0"/>
                <v:stroke weight="2pt" color="#FF0000 [2404]" joinstyle="round"/>
                <v:imagedata o:title=""/>
                <o:lock v:ext="edit" aspectratio="f"/>
                <v:textbox>
                  <w:txbxContent>
                    <w:p w14:paraId="4AF71F4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0944" behindDoc="0" locked="0" layoutInCell="1" allowOverlap="1">
                <wp:simplePos x="0" y="0"/>
                <wp:positionH relativeFrom="column">
                  <wp:posOffset>1661160</wp:posOffset>
                </wp:positionH>
                <wp:positionV relativeFrom="paragraph">
                  <wp:posOffset>4227830</wp:posOffset>
                </wp:positionV>
                <wp:extent cx="232410" cy="204470"/>
                <wp:effectExtent l="12700" t="12700" r="21590" b="30480"/>
                <wp:wrapNone/>
                <wp:docPr id="110" name="十字星 110"/>
                <wp:cNvGraphicFramePr/>
                <a:graphic xmlns:a="http://schemas.openxmlformats.org/drawingml/2006/main">
                  <a:graphicData uri="http://schemas.microsoft.com/office/word/2010/wordprocessingShape">
                    <wps:wsp>
                      <wps:cNvSpPr/>
                      <wps:spPr>
                        <a:xfrm>
                          <a:off x="0" y="0"/>
                          <a:ext cx="232410" cy="204470"/>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30.8pt;margin-top:332.9pt;height:16.1pt;width:18.3pt;z-index:251730944;v-text-anchor:middle;mso-width-relative:page;mso-height-relative:page;" fillcolor="#FF0000" filled="t" stroked="t" coordsize="21600,21600" o:gfxdata="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GgJCdsAAAALAQAADwAAAAAAAAABACAAAAAi&#10;AAAAZHJzL2Rvd25yZXYueG1sUEsBAhQAFAAAAAgAh07iQPXXIuV5AgAAEAUAAA4AAAAAAAAAAQAg&#10;AAAAKgEAAGRycy9lMm9Eb2MueG1sUEsFBgAAAAAGAAYAWQEAABUGAAAAAA==&#10;" adj="8086">
                <v:fill on="t" focussize="0,0"/>
                <v:stroke weight="2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5727700</wp:posOffset>
                </wp:positionH>
                <wp:positionV relativeFrom="paragraph">
                  <wp:posOffset>3638550</wp:posOffset>
                </wp:positionV>
                <wp:extent cx="145415" cy="123825"/>
                <wp:effectExtent l="12700" t="12700" r="13335" b="15875"/>
                <wp:wrapNone/>
                <wp:docPr id="109" name="十字星 109"/>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51pt;margin-top:286.5pt;height:9.75pt;width:11.45pt;z-index:251729920;v-text-anchor:middle;mso-width-relative:page;mso-height-relative:page;" fillcolor="#FF0000" filled="t" stroked="t" coordsize="21600,21600" o:gfxdata="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jcA7ktsAAAALAQAADwAAAAAAAAABACAA&#10;AAAiAAAAZHJzL2Rvd25yZXYueG1sUEsBAhQAFAAAAAgAh07iQBEcur18AgAAEAUAAA4AAAAAAAAA&#10;AQAgAAAAKgEAAGRycy9lMm9Eb2MueG1sUEsFBgAAAAAGAAYAWQEAABgGAAAAAA==&#10;" adj="8086">
                <v:fill on="t" focussize="0,0"/>
                <v:stroke weight="2pt" color="#FF0000 [2404]" joinstyle="round"/>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27872" behindDoc="0" locked="0" layoutInCell="1" allowOverlap="1">
            <wp:simplePos x="0" y="0"/>
            <wp:positionH relativeFrom="column">
              <wp:posOffset>775970</wp:posOffset>
            </wp:positionH>
            <wp:positionV relativeFrom="paragraph">
              <wp:posOffset>3027680</wp:posOffset>
            </wp:positionV>
            <wp:extent cx="2919095" cy="2280285"/>
            <wp:effectExtent l="12700" t="12700" r="20955" b="31115"/>
            <wp:wrapNone/>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67"/>
                    <a:stretch>
                      <a:fillRect/>
                    </a:stretch>
                  </pic:blipFill>
                  <pic:spPr>
                    <a:xfrm>
                      <a:off x="0" y="0"/>
                      <a:ext cx="2919095" cy="2280285"/>
                    </a:xfrm>
                    <a:prstGeom prst="rect">
                      <a:avLst/>
                    </a:prstGeom>
                    <a:noFill/>
                    <a:ln w="12700">
                      <a:solidFill>
                        <a:srgbClr val="FF0000"/>
                      </a:solidFill>
                      <a:prstDash val="dash"/>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3695065</wp:posOffset>
                </wp:positionH>
                <wp:positionV relativeFrom="paragraph">
                  <wp:posOffset>3707130</wp:posOffset>
                </wp:positionV>
                <wp:extent cx="2069465" cy="461010"/>
                <wp:effectExtent l="2540" t="34290" r="4445" b="19050"/>
                <wp:wrapNone/>
                <wp:docPr id="113" name="直接箭头连接符 113"/>
                <wp:cNvGraphicFramePr/>
                <a:graphic xmlns:a="http://schemas.openxmlformats.org/drawingml/2006/main">
                  <a:graphicData uri="http://schemas.microsoft.com/office/word/2010/wordprocessingShape">
                    <wps:wsp>
                      <wps:cNvCnPr>
                        <a:stCxn id="112" idx="3"/>
                      </wps:cNvCnPr>
                      <wps:spPr>
                        <a:xfrm flipV="1">
                          <a:off x="0" y="0"/>
                          <a:ext cx="2069465" cy="46101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95pt;margin-top:291.9pt;height:36.3pt;width:162.95pt;z-index:251728896;mso-width-relative:page;mso-height-relative:page;" filled="f" stroked="t" coordsize="21600,21600" o:gfxdata="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udTLLdAAAA&#10;CwEAAA8AAAAAAAAAAQAgAAAAIgAAAGRycy9kb3ducmV2LnhtbFBLAQIUABQAAAAIAIdO4kDQ1qBr&#10;GAIAAAIEAAAOAAAAAAAAAAEAIAAAACwBAABkcnMvZTJvRG9jLnhtbFBLBQYAAAAABgAGAFkBAAC2&#10;BQAAAAA=&#10;">
                <v:fill on="f" focussize="0,0"/>
                <v:stroke weight="2pt" color="#FF0000 [3204]" joinstyle="round" dashstyle="dash" endarrow="open"/>
                <v:imagedata o:title=""/>
                <o:lock v:ext="edit" aspectratio="f"/>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7572375" cy="5368925"/>
            <wp:effectExtent l="0" t="0" r="9525" b="3175"/>
            <wp:docPr id="114" name="图片 114" descr="乐昌市十四五规划图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乐昌市十四五规划图_111"/>
                    <pic:cNvPicPr>
                      <a:picLocks noChangeAspect="1"/>
                    </pic:cNvPicPr>
                  </pic:nvPicPr>
                  <pic:blipFill>
                    <a:blip r:embed="rId68"/>
                    <a:srcRect l="14376" t="14863" r="14454" b="13795"/>
                    <a:stretch>
                      <a:fillRect/>
                    </a:stretch>
                  </pic:blipFill>
                  <pic:spPr>
                    <a:xfrm>
                      <a:off x="0" y="0"/>
                      <a:ext cx="7572375" cy="5368925"/>
                    </a:xfrm>
                    <a:prstGeom prst="rect">
                      <a:avLst/>
                    </a:prstGeom>
                  </pic:spPr>
                </pic:pic>
              </a:graphicData>
            </a:graphic>
          </wp:inline>
        </w:drawing>
      </w:r>
    </w:p>
    <w:p w14:paraId="202E17C9">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8093831">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59" w:name="_Toc27482"/>
      <w:bookmarkStart w:id="60" w:name="_Toc22638"/>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13广东省“三线一单”截图</w:t>
      </w:r>
      <w:bookmarkEnd w:id="59"/>
      <w:bookmarkEnd w:id="60"/>
    </w:p>
    <w:p w14:paraId="20EB6B4E">
      <w:pPr>
        <w:pStyle w:val="4"/>
        <w:pageBreakBefore w:val="0"/>
        <w:wordWrap w:val="0"/>
        <w:overflowPunct/>
        <w:bidi w:val="0"/>
        <w:ind w:lef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z w:val="32"/>
          <w:highlight w:val="none"/>
        </w:rPr>
        <mc:AlternateContent>
          <mc:Choice Requires="wps">
            <w:drawing>
              <wp:anchor distT="0" distB="0" distL="114300" distR="114300" simplePos="0" relativeHeight="251734016" behindDoc="0" locked="0" layoutInCell="1" allowOverlap="1">
                <wp:simplePos x="0" y="0"/>
                <wp:positionH relativeFrom="column">
                  <wp:posOffset>76200</wp:posOffset>
                </wp:positionH>
                <wp:positionV relativeFrom="paragraph">
                  <wp:posOffset>2259965</wp:posOffset>
                </wp:positionV>
                <wp:extent cx="2111375" cy="765810"/>
                <wp:effectExtent l="12700" t="12700" r="24765" b="13970"/>
                <wp:wrapNone/>
                <wp:docPr id="119" name="矩形 119"/>
                <wp:cNvGraphicFramePr/>
                <a:graphic xmlns:a="http://schemas.openxmlformats.org/drawingml/2006/main">
                  <a:graphicData uri="http://schemas.microsoft.com/office/word/2010/wordprocessingShape">
                    <wps:wsp>
                      <wps:cNvSpPr/>
                      <wps:spPr>
                        <a:xfrm>
                          <a:off x="1252220" y="3223260"/>
                          <a:ext cx="2111375" cy="7658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pt;margin-top:177.95pt;height:60.3pt;width:166.25pt;z-index:251734016;v-text-anchor:middle;mso-width-relative:page;mso-height-relative:page;" filled="f" stroked="t" coordsize="21600,21600" o:gfxdata="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tSRS3aAAAACgEAAA8AAAAAAAAAAQAgAAAAIgAAAGRycy9kb3ducmV2&#10;LnhtbFBLAQIUABQAAAAIAIdO4kBVeKeWbAIAAMQEAAAOAAAAAAAAAAEAIAAAACkBAABkcnMvZTJv&#10;RG9jLnhtbFBLBQYAAAAABgAGAFkBAAAHBgAAAAA=&#10;">
                <v:fill on="f" focussize="0,0"/>
                <v:stroke weight="2pt" color="#FF0000 [2404]" joinstyle="round"/>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2992" behindDoc="0" locked="0" layoutInCell="1" allowOverlap="1">
                <wp:simplePos x="0" y="0"/>
                <wp:positionH relativeFrom="column">
                  <wp:posOffset>4505325</wp:posOffset>
                </wp:positionH>
                <wp:positionV relativeFrom="paragraph">
                  <wp:posOffset>3673475</wp:posOffset>
                </wp:positionV>
                <wp:extent cx="776605" cy="321310"/>
                <wp:effectExtent l="4445" t="4445" r="38100" b="264795"/>
                <wp:wrapNone/>
                <wp:docPr id="118" name="圆角矩形标注 38"/>
                <wp:cNvGraphicFramePr/>
                <a:graphic xmlns:a="http://schemas.openxmlformats.org/drawingml/2006/main">
                  <a:graphicData uri="http://schemas.microsoft.com/office/word/2010/wordprocessingShape">
                    <wps:wsp>
                      <wps:cNvSpPr/>
                      <wps:spPr>
                        <a:xfrm>
                          <a:off x="0" y="0"/>
                          <a:ext cx="776605" cy="321310"/>
                        </a:xfrm>
                        <a:prstGeom prst="wedgeRoundRectCallout">
                          <a:avLst>
                            <a:gd name="adj1" fmla="val 52371"/>
                            <a:gd name="adj2" fmla="val 129841"/>
                            <a:gd name="adj3" fmla="val 16667"/>
                          </a:avLst>
                        </a:prstGeom>
                        <a:solidFill>
                          <a:schemeClr val="bg1"/>
                        </a:solidFill>
                        <a:ln w="317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0FABCC97">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54.75pt;margin-top:289.25pt;height:25.3pt;width:61.15pt;z-index:251732992;v-text-anchor:middle;mso-width-relative:page;mso-height-relative:page;" fillcolor="#FFFFFF [3212]" filled="t" stroked="t" coordsize="21600,21600" o:gfxdata="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9Kk/DNcAAAALAQAADwAAAAAAAAABACAA&#10;AAAiAAAAZHJzL2Rvd25yZXYueG1sUEsBAhQAFAAAAAgAh07iQARiaqS5AgAAfAUAAA4AAAAAAAAA&#10;AQAgAAAAJgEAAGRycy9lMm9Eb2MueG1sUEsFBgAAAAAGAAYAWQEAAFEGAAAAAA==&#10;" adj="22112,38846,14400">
                <v:fill on="t" focussize="0,0"/>
                <v:stroke weight="0.25pt" color="#000000 [3213]" joinstyle="round"/>
                <v:imagedata o:title=""/>
                <o:lock v:ext="edit" aspectratio="f"/>
                <v:textbox>
                  <w:txbxContent>
                    <w:p w14:paraId="0FABCC97">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40160" behindDoc="0" locked="0" layoutInCell="1" allowOverlap="1">
                <wp:simplePos x="0" y="0"/>
                <wp:positionH relativeFrom="column">
                  <wp:posOffset>5271770</wp:posOffset>
                </wp:positionH>
                <wp:positionV relativeFrom="paragraph">
                  <wp:posOffset>4221480</wp:posOffset>
                </wp:positionV>
                <wp:extent cx="75565" cy="75565"/>
                <wp:effectExtent l="4445" t="4445" r="15240" b="15240"/>
                <wp:wrapNone/>
                <wp:docPr id="134" name="椭圆 134"/>
                <wp:cNvGraphicFramePr/>
                <a:graphic xmlns:a="http://schemas.openxmlformats.org/drawingml/2006/main">
                  <a:graphicData uri="http://schemas.microsoft.com/office/word/2010/wordprocessingShape">
                    <wps:wsp>
                      <wps:cNvSpPr/>
                      <wps:spPr>
                        <a:xfrm>
                          <a:off x="5205095" y="4483100"/>
                          <a:ext cx="75565" cy="75565"/>
                        </a:xfrm>
                        <a:prstGeom prst="ellipse">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5.1pt;margin-top:332.4pt;height:5.95pt;width:5.95pt;z-index:251740160;v-text-anchor:middle;mso-width-relative:page;mso-height-relative:page;" fillcolor="#FF0000" filled="t" stroked="t" coordsize="21600,21600" o:gfxdata="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eTDuI2gAAAAsBAAAPAAAAAAAAAAEAIAAAACIAAABkcnMvZG93&#10;bnJldi54bWxQSwECFAAUAAAACACHTuJAGmiwGXACAADsBAAADgAAAAAAAAABACAAAAApAQAAZHJz&#10;L2Uyb0RvYy54bWxQSwUGAAAAAAYABgBZAQAACwYAAAAA&#10;">
                <v:fill on="t" focussize="0,0"/>
                <v:stroke weight="0.25pt" color="#000000 [3213]" joinstyle="round"/>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8835390" cy="5337175"/>
            <wp:effectExtent l="0" t="0" r="3810" b="15875"/>
            <wp:docPr id="1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
                    <pic:cNvPicPr>
                      <a:picLocks noChangeAspect="1"/>
                    </pic:cNvPicPr>
                  </pic:nvPicPr>
                  <pic:blipFill>
                    <a:blip r:embed="rId69"/>
                    <a:srcRect t="640" r="20241"/>
                    <a:stretch>
                      <a:fillRect/>
                    </a:stretch>
                  </pic:blipFill>
                  <pic:spPr>
                    <a:xfrm>
                      <a:off x="0" y="0"/>
                      <a:ext cx="8835390" cy="5337175"/>
                    </a:xfrm>
                    <a:prstGeom prst="rect">
                      <a:avLst/>
                    </a:prstGeom>
                    <a:noFill/>
                    <a:ln>
                      <a:noFill/>
                    </a:ln>
                  </pic:spPr>
                </pic:pic>
              </a:graphicData>
            </a:graphic>
          </wp:inline>
        </w:drawing>
      </w:r>
    </w:p>
    <w:p w14:paraId="57CD0B40">
      <w:pPr>
        <w:pStyle w:val="4"/>
        <w:pageBreakBefore w:val="0"/>
        <w:wordWrap w:val="0"/>
        <w:overflowPunct/>
        <w:bidi w:val="0"/>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052377D9">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61" w:name="_Toc5149"/>
      <w:bookmarkStart w:id="62" w:name="_Toc3080"/>
      <w:r>
        <w:rPr>
          <w:rFonts w:hint="default" w:ascii="Times New Roman" w:hAnsi="Times New Roman" w:cs="Times New Roman"/>
          <w:color w:val="auto"/>
          <w:sz w:val="24"/>
          <w:highlight w:val="none"/>
          <w:lang w:eastAsia="zh-CN"/>
        </w:rPr>
        <w:t>附图</w:t>
      </w:r>
      <w:r>
        <w:rPr>
          <w:rFonts w:hint="default" w:ascii="Times New Roman" w:hAnsi="Times New Roman" w:cs="Times New Roman"/>
          <w:color w:val="auto"/>
          <w:sz w:val="24"/>
          <w:highlight w:val="none"/>
          <w:lang w:val="en-US" w:eastAsia="zh-CN"/>
        </w:rPr>
        <w:t>14乐昌产业转移工业园管网分布图</w:t>
      </w:r>
      <w:bookmarkEnd w:id="61"/>
      <w:bookmarkEnd w:id="62"/>
    </w:p>
    <w:p w14:paraId="682426E7">
      <w:pPr>
        <w:pStyle w:val="2"/>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3180080</wp:posOffset>
                </wp:positionH>
                <wp:positionV relativeFrom="paragraph">
                  <wp:posOffset>6507480</wp:posOffset>
                </wp:positionV>
                <wp:extent cx="899160" cy="308610"/>
                <wp:effectExtent l="9525" t="9525" r="24765" b="177165"/>
                <wp:wrapNone/>
                <wp:docPr id="72" name="圆角矩形标注 38"/>
                <wp:cNvGraphicFramePr/>
                <a:graphic xmlns:a="http://schemas.openxmlformats.org/drawingml/2006/main">
                  <a:graphicData uri="http://schemas.microsoft.com/office/word/2010/wordprocessingShape">
                    <wps:wsp>
                      <wps:cNvSpPr/>
                      <wps:spPr>
                        <a:xfrm>
                          <a:off x="0" y="0"/>
                          <a:ext cx="899160" cy="30861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0D4C04D7">
                            <w:pPr>
                              <w:jc w:val="center"/>
                              <w:rPr>
                                <w:rFonts w:hint="eastAsia" w:eastAsiaTheme="minorEastAsia"/>
                                <w:color w:val="FF0000"/>
                                <w:lang w:eastAsia="zh-CN"/>
                                <w14:textOutline w14:w="9525">
                                  <w14:solidFill>
                                    <w14:srgbClr w14:val="000000"/>
                                  </w14:solidFill>
                                  <w14:round/>
                                </w14:textOutline>
                              </w:rPr>
                            </w:pPr>
                            <w:r>
                              <w:rPr>
                                <w:rFonts w:hint="eastAsia"/>
                                <w:color w:val="FF0000"/>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250.4pt;margin-top:512.4pt;height:24.3pt;width:70.8pt;z-index:251701248;v-text-anchor:middle;mso-width-relative:page;mso-height-relative:page;" fillcolor="#FFFFFF [3212]" filled="t" stroked="t" coordsize="21600,21600" o:gfxdata="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CZqoUvbAAAADQEAAA8A&#10;AAAAAAAAAQAgAAAAIgAAAGRycy9kb3ducmV2LnhtbFBLAQIUABQAAAAIAIdO4kC1nx5OvwIAAH0F&#10;AAAOAAAAAAAAAAEAIAAAACoBAABkcnMvZTJvRG9jLnhtbFBLBQYAAAAABgAGAFkBAABbBgAAAAA=&#10;" adj="6148,33019,14400">
                <v:fill on="t" focussize="0,0"/>
                <v:stroke weight="1.5pt" color="#000000 [3213]" joinstyle="round"/>
                <v:imagedata o:title=""/>
                <o:lock v:ext="edit" aspectratio="f"/>
                <v:textbox>
                  <w:txbxContent>
                    <w:p w14:paraId="0D4C04D7">
                      <w:pPr>
                        <w:jc w:val="center"/>
                        <w:rPr>
                          <w:rFonts w:hint="eastAsia" w:eastAsiaTheme="minorEastAsia"/>
                          <w:color w:val="FF0000"/>
                          <w:lang w:eastAsia="zh-CN"/>
                          <w14:textOutline w14:w="9525">
                            <w14:solidFill>
                              <w14:srgbClr w14:val="000000"/>
                            </w14:solidFill>
                            <w14:round/>
                          </w14:textOutline>
                        </w:rPr>
                      </w:pPr>
                      <w:r>
                        <w:rPr>
                          <w:rFonts w:hint="eastAsia"/>
                          <w:color w:val="FF0000"/>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1184" behindDoc="0" locked="0" layoutInCell="1" allowOverlap="1">
                <wp:simplePos x="0" y="0"/>
                <wp:positionH relativeFrom="column">
                  <wp:posOffset>3232785</wp:posOffset>
                </wp:positionH>
                <wp:positionV relativeFrom="paragraph">
                  <wp:posOffset>6991350</wp:posOffset>
                </wp:positionV>
                <wp:extent cx="196215" cy="75565"/>
                <wp:effectExtent l="4445" t="4445" r="8890" b="15240"/>
                <wp:wrapNone/>
                <wp:docPr id="135" name="矩形 135"/>
                <wp:cNvGraphicFramePr/>
                <a:graphic xmlns:a="http://schemas.openxmlformats.org/drawingml/2006/main">
                  <a:graphicData uri="http://schemas.microsoft.com/office/word/2010/wordprocessingShape">
                    <wps:wsp>
                      <wps:cNvSpPr/>
                      <wps:spPr>
                        <a:xfrm>
                          <a:off x="4137660" y="8098155"/>
                          <a:ext cx="196215" cy="75565"/>
                        </a:xfrm>
                        <a:prstGeom prst="rect">
                          <a:avLst/>
                        </a:pr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55pt;margin-top:550.5pt;height:5.95pt;width:15.45pt;z-index:251741184;v-text-anchor:middle;mso-width-relative:page;mso-height-relative:page;" filled="f" stroked="t" coordsize="21600,21600" o:gfxdata="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C6wLNkAAAANAQAADwAAAAAAAAABACAAAAAiAAAAZHJzL2Rvd25yZXYu&#10;eG1sUEsBAhQAFAAAAAgAh07iQNSrXlBsAgAAwQQAAA4AAAAAAAAAAQAgAAAAKAEAAGRycy9lMm9E&#10;b2MueG1sUEsFBgAAAAAGAAYAWQEAAAYGAAAAAA==&#10;">
                <v:fill on="f" focussize="0,0"/>
                <v:stroke color="#FF0000 [2404]" joinstyle="round"/>
                <v:imagedata o:title=""/>
                <o:lock v:ext="edit" aspectratio="f"/>
              </v:rect>
            </w:pict>
          </mc:Fallback>
        </mc:AlternateContent>
      </w:r>
      <w:r>
        <w:rPr>
          <w:rFonts w:hint="default" w:ascii="Times New Roman" w:hAnsi="Times New Roman" w:cs="Times New Roman"/>
          <w:color w:val="auto"/>
          <w:highlight w:val="none"/>
        </w:rPr>
        <w:drawing>
          <wp:inline distT="0" distB="0" distL="114300" distR="114300">
            <wp:extent cx="5361305" cy="7717790"/>
            <wp:effectExtent l="0" t="0" r="10795" b="16510"/>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70"/>
                    <a:stretch>
                      <a:fillRect/>
                    </a:stretch>
                  </pic:blipFill>
                  <pic:spPr>
                    <a:xfrm>
                      <a:off x="0" y="0"/>
                      <a:ext cx="5361305" cy="7717790"/>
                    </a:xfrm>
                    <a:prstGeom prst="rect">
                      <a:avLst/>
                    </a:prstGeom>
                    <a:noFill/>
                    <a:ln>
                      <a:noFill/>
                    </a:ln>
                  </pic:spPr>
                </pic:pic>
              </a:graphicData>
            </a:graphic>
          </wp:inline>
        </w:drawing>
      </w:r>
    </w:p>
    <w:p w14:paraId="7BB70171">
      <w:pPr>
        <w:pageBreakBefore w:val="0"/>
        <w:wordWrap w:val="0"/>
        <w:overflowPunct/>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FC3954A">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63" w:name="_Toc9388"/>
      <w:r>
        <w:rPr>
          <w:rFonts w:hint="default" w:ascii="Times New Roman" w:hAnsi="Times New Roman" w:cs="Times New Roman"/>
          <w:color w:val="auto"/>
          <w:sz w:val="24"/>
          <w:highlight w:val="none"/>
          <w:lang w:val="en-US" w:eastAsia="zh-CN"/>
        </w:rPr>
        <w:t>附图15项目环境现状监测点位图</w:t>
      </w:r>
      <w:bookmarkEnd w:id="63"/>
    </w:p>
    <w:p w14:paraId="4174164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747328" behindDoc="0" locked="0" layoutInCell="1" allowOverlap="1">
            <wp:simplePos x="0" y="0"/>
            <wp:positionH relativeFrom="column">
              <wp:posOffset>2682875</wp:posOffset>
            </wp:positionH>
            <wp:positionV relativeFrom="paragraph">
              <wp:posOffset>1144270</wp:posOffset>
            </wp:positionV>
            <wp:extent cx="465455" cy="85725"/>
            <wp:effectExtent l="0" t="0" r="10795" b="9525"/>
            <wp:wrapNone/>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71"/>
                    <a:stretch>
                      <a:fillRect/>
                    </a:stretch>
                  </pic:blipFill>
                  <pic:spPr>
                    <a:xfrm flipV="1">
                      <a:off x="0" y="0"/>
                      <a:ext cx="465455" cy="8572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2372995</wp:posOffset>
                </wp:positionH>
                <wp:positionV relativeFrom="paragraph">
                  <wp:posOffset>2103120</wp:posOffset>
                </wp:positionV>
                <wp:extent cx="634365" cy="294640"/>
                <wp:effectExtent l="0" t="0" r="0" b="0"/>
                <wp:wrapNone/>
                <wp:docPr id="132" name="文本框 132"/>
                <wp:cNvGraphicFramePr/>
                <a:graphic xmlns:a="http://schemas.openxmlformats.org/drawingml/2006/main">
                  <a:graphicData uri="http://schemas.microsoft.com/office/word/2010/wordprocessingShape">
                    <wps:wsp>
                      <wps:cNvSpPr txBox="1"/>
                      <wps:spPr>
                        <a:xfrm>
                          <a:off x="3178175" y="3613150"/>
                          <a:ext cx="63436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FF3306">
                            <w:pPr>
                              <w:rPr>
                                <w:rFonts w:hint="default" w:eastAsia="宋体"/>
                                <w:b/>
                                <w:bCs/>
                                <w:highlight w:val="yellow"/>
                                <w:lang w:val="en-US" w:eastAsia="zh-CN"/>
                              </w:rPr>
                            </w:pPr>
                            <w:r>
                              <w:rPr>
                                <w:rFonts w:hint="eastAsia"/>
                                <w:b/>
                                <w:bCs/>
                                <w:highlight w:val="yellow"/>
                                <w:lang w:val="en-US" w:eastAsia="zh-CN"/>
                              </w:rPr>
                              <w:t>1060m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85pt;margin-top:165.6pt;height:23.2pt;width:49.95pt;z-index:251739136;mso-width-relative:page;mso-height-relative:page;" filled="f" stroked="f" coordsize="21600,21600" o:gfxdata="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8x84NsAAAALAQAADwAAAAAAAAAB&#10;ACAAAAAiAAAAZHJzL2Rvd25yZXYueG1sUEsBAhQAFAAAAAgAh07iQGHW9JhGAgAAdQQAAA4AAAAA&#10;AAAAAQAgAAAAKgEAAGRycy9lMm9Eb2MueG1sUEsFBgAAAAAGAAYAWQEAAOIFAAAAAA==&#10;">
                <v:fill on="f" focussize="0,0"/>
                <v:stroke on="f" weight="0.5pt"/>
                <v:imagedata o:title=""/>
                <o:lock v:ext="edit" aspectratio="f"/>
                <v:textbox>
                  <w:txbxContent>
                    <w:p w14:paraId="1EFF3306">
                      <w:pPr>
                        <w:rPr>
                          <w:rFonts w:hint="default" w:eastAsia="宋体"/>
                          <w:b/>
                          <w:bCs/>
                          <w:highlight w:val="yellow"/>
                          <w:lang w:val="en-US" w:eastAsia="zh-CN"/>
                        </w:rPr>
                      </w:pPr>
                      <w:r>
                        <w:rPr>
                          <w:rFonts w:hint="eastAsia"/>
                          <w:b/>
                          <w:bCs/>
                          <w:highlight w:val="yellow"/>
                          <w:lang w:val="en-US" w:eastAsia="zh-CN"/>
                        </w:rPr>
                        <w:t>1060m</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6896100</wp:posOffset>
                </wp:positionH>
                <wp:positionV relativeFrom="paragraph">
                  <wp:posOffset>4717415</wp:posOffset>
                </wp:positionV>
                <wp:extent cx="1423670" cy="923925"/>
                <wp:effectExtent l="4445" t="4445" r="19685" b="5080"/>
                <wp:wrapNone/>
                <wp:docPr id="128" name="文本框 128"/>
                <wp:cNvGraphicFramePr/>
                <a:graphic xmlns:a="http://schemas.openxmlformats.org/drawingml/2006/main">
                  <a:graphicData uri="http://schemas.microsoft.com/office/word/2010/wordprocessingShape">
                    <wps:wsp>
                      <wps:cNvSpPr txBox="1"/>
                      <wps:spPr>
                        <a:xfrm>
                          <a:off x="0" y="0"/>
                          <a:ext cx="1423670" cy="923925"/>
                        </a:xfrm>
                        <a:prstGeom prst="rect">
                          <a:avLst/>
                        </a:prstGeom>
                        <a:solidFill>
                          <a:schemeClr val="bg1">
                            <a:lumMod val="8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25CB96">
                            <w:pPr>
                              <w:keepNext w:val="0"/>
                              <w:keepLines w:val="0"/>
                              <w:pageBreakBefore w:val="0"/>
                              <w:kinsoku/>
                              <w:wordWrap/>
                              <w:overflowPunct/>
                              <w:topLinePunct w:val="0"/>
                              <w:bidi w:val="0"/>
                              <w:adjustRightInd w:val="0"/>
                              <w:spacing w:line="360" w:lineRule="auto"/>
                              <w:ind w:left="0" w:firstLine="0" w:firstLineChars="0"/>
                              <w:jc w:val="center"/>
                              <w:rPr>
                                <w:rFonts w:hint="eastAsia"/>
                                <w:b/>
                                <w:bCs/>
                                <w:sz w:val="21"/>
                                <w:szCs w:val="21"/>
                                <w:lang w:val="en-US" w:eastAsia="zh-CN"/>
                              </w:rPr>
                            </w:pPr>
                            <w:r>
                              <w:rPr>
                                <w:rFonts w:hint="eastAsia"/>
                                <w:b/>
                                <w:bCs/>
                                <w:sz w:val="21"/>
                                <w:szCs w:val="21"/>
                                <w:lang w:val="en-US" w:eastAsia="zh-CN"/>
                              </w:rPr>
                              <w:t>图例</w:t>
                            </w:r>
                          </w:p>
                          <w:p w14:paraId="4F9D4CDE">
                            <w:pPr>
                              <w:pStyle w:val="2"/>
                              <w:keepNext w:val="0"/>
                              <w:keepLines w:val="0"/>
                              <w:pageBreakBefore w:val="0"/>
                              <w:kinsoku/>
                              <w:wordWrap/>
                              <w:overflowPunct/>
                              <w:topLinePunct w:val="0"/>
                              <w:bidi w:val="0"/>
                              <w:adjustRightInd w:val="0"/>
                              <w:spacing w:line="360" w:lineRule="auto"/>
                              <w:ind w:left="0" w:firstLine="420" w:firstLineChars="200"/>
                              <w:rPr>
                                <w:rFonts w:hint="eastAsia"/>
                                <w:b w:val="0"/>
                                <w:bCs w:val="0"/>
                                <w:sz w:val="21"/>
                                <w:szCs w:val="21"/>
                                <w:lang w:val="en-US" w:eastAsia="zh-CN"/>
                              </w:rPr>
                            </w:pPr>
                            <w:r>
                              <w:rPr>
                                <w:rFonts w:hint="eastAsia"/>
                                <w:b w:val="0"/>
                                <w:bCs w:val="0"/>
                                <w:sz w:val="21"/>
                                <w:szCs w:val="21"/>
                                <w:lang w:val="en-US" w:eastAsia="zh-CN"/>
                              </w:rPr>
                              <w:t>项目位置</w:t>
                            </w:r>
                          </w:p>
                          <w:p w14:paraId="24F4CEB1">
                            <w:pPr>
                              <w:pStyle w:val="4"/>
                              <w:keepNext w:val="0"/>
                              <w:keepLines w:val="0"/>
                              <w:pageBreakBefore w:val="0"/>
                              <w:kinsoku/>
                              <w:wordWrap/>
                              <w:overflowPunct/>
                              <w:topLinePunct w:val="0"/>
                              <w:bidi w:val="0"/>
                              <w:adjustRightInd w:val="0"/>
                              <w:spacing w:line="360" w:lineRule="auto"/>
                              <w:ind w:left="0" w:firstLine="420" w:firstLineChars="200"/>
                              <w:rPr>
                                <w:rFonts w:hint="default"/>
                                <w:b w:val="0"/>
                                <w:bCs w:val="0"/>
                                <w:sz w:val="21"/>
                                <w:szCs w:val="21"/>
                                <w:lang w:val="en-US" w:eastAsia="zh-CN"/>
                              </w:rPr>
                            </w:pPr>
                            <w:r>
                              <w:rPr>
                                <w:rFonts w:hint="eastAsia"/>
                                <w:b w:val="0"/>
                                <w:bCs w:val="0"/>
                                <w:sz w:val="21"/>
                                <w:szCs w:val="21"/>
                                <w:lang w:val="en-US" w:eastAsia="zh-CN"/>
                              </w:rPr>
                              <w:t>大气监测点位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pt;margin-top:371.45pt;height:72.75pt;width:112.1pt;z-index:251666432;mso-width-relative:page;mso-height-relative:page;" fillcolor="#D9D9D9 [2732]" filled="t" stroked="t" coordsize="21600,21600" o:gfxdata="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y4G//aAAAADQEAAA8AAAAAAAAAAQAgAAAAIgAAAGRycy9kb3du&#10;cmV2LnhtbFBLAQIUABQAAAAIAIdO4kDSzUBIbwIAAN0EAAAOAAAAAAAAAAEAIAAAACkBAABkcnMv&#10;ZTJvRG9jLnhtbFBLBQYAAAAABgAGAFkBAAAKBgAAAAA=&#10;">
                <v:fill on="t" focussize="0,0"/>
                <v:stroke weight="0.5pt" color="#000000 [3204]" joinstyle="round"/>
                <v:imagedata o:title=""/>
                <o:lock v:ext="edit" aspectratio="f"/>
                <v:textbox>
                  <w:txbxContent>
                    <w:p w14:paraId="5025CB96">
                      <w:pPr>
                        <w:keepNext w:val="0"/>
                        <w:keepLines w:val="0"/>
                        <w:pageBreakBefore w:val="0"/>
                        <w:kinsoku/>
                        <w:wordWrap/>
                        <w:overflowPunct/>
                        <w:topLinePunct w:val="0"/>
                        <w:bidi w:val="0"/>
                        <w:adjustRightInd w:val="0"/>
                        <w:spacing w:line="360" w:lineRule="auto"/>
                        <w:ind w:left="0" w:firstLine="0" w:firstLineChars="0"/>
                        <w:jc w:val="center"/>
                        <w:rPr>
                          <w:rFonts w:hint="eastAsia"/>
                          <w:b/>
                          <w:bCs/>
                          <w:sz w:val="21"/>
                          <w:szCs w:val="21"/>
                          <w:lang w:val="en-US" w:eastAsia="zh-CN"/>
                        </w:rPr>
                      </w:pPr>
                      <w:r>
                        <w:rPr>
                          <w:rFonts w:hint="eastAsia"/>
                          <w:b/>
                          <w:bCs/>
                          <w:sz w:val="21"/>
                          <w:szCs w:val="21"/>
                          <w:lang w:val="en-US" w:eastAsia="zh-CN"/>
                        </w:rPr>
                        <w:t>图例</w:t>
                      </w:r>
                    </w:p>
                    <w:p w14:paraId="4F9D4CDE">
                      <w:pPr>
                        <w:pStyle w:val="2"/>
                        <w:keepNext w:val="0"/>
                        <w:keepLines w:val="0"/>
                        <w:pageBreakBefore w:val="0"/>
                        <w:kinsoku/>
                        <w:wordWrap/>
                        <w:overflowPunct/>
                        <w:topLinePunct w:val="0"/>
                        <w:bidi w:val="0"/>
                        <w:adjustRightInd w:val="0"/>
                        <w:spacing w:line="360" w:lineRule="auto"/>
                        <w:ind w:left="0" w:firstLine="420" w:firstLineChars="200"/>
                        <w:rPr>
                          <w:rFonts w:hint="eastAsia"/>
                          <w:b w:val="0"/>
                          <w:bCs w:val="0"/>
                          <w:sz w:val="21"/>
                          <w:szCs w:val="21"/>
                          <w:lang w:val="en-US" w:eastAsia="zh-CN"/>
                        </w:rPr>
                      </w:pPr>
                      <w:r>
                        <w:rPr>
                          <w:rFonts w:hint="eastAsia"/>
                          <w:b w:val="0"/>
                          <w:bCs w:val="0"/>
                          <w:sz w:val="21"/>
                          <w:szCs w:val="21"/>
                          <w:lang w:val="en-US" w:eastAsia="zh-CN"/>
                        </w:rPr>
                        <w:t>项目位置</w:t>
                      </w:r>
                    </w:p>
                    <w:p w14:paraId="24F4CEB1">
                      <w:pPr>
                        <w:pStyle w:val="4"/>
                        <w:keepNext w:val="0"/>
                        <w:keepLines w:val="0"/>
                        <w:pageBreakBefore w:val="0"/>
                        <w:kinsoku/>
                        <w:wordWrap/>
                        <w:overflowPunct/>
                        <w:topLinePunct w:val="0"/>
                        <w:bidi w:val="0"/>
                        <w:adjustRightInd w:val="0"/>
                        <w:spacing w:line="360" w:lineRule="auto"/>
                        <w:ind w:left="0" w:firstLine="420" w:firstLineChars="200"/>
                        <w:rPr>
                          <w:rFonts w:hint="default"/>
                          <w:b w:val="0"/>
                          <w:bCs w:val="0"/>
                          <w:sz w:val="21"/>
                          <w:szCs w:val="21"/>
                          <w:lang w:val="en-US" w:eastAsia="zh-CN"/>
                        </w:rPr>
                      </w:pPr>
                      <w:r>
                        <w:rPr>
                          <w:rFonts w:hint="eastAsia"/>
                          <w:b w:val="0"/>
                          <w:bCs w:val="0"/>
                          <w:sz w:val="21"/>
                          <w:szCs w:val="21"/>
                          <w:lang w:val="en-US" w:eastAsia="zh-CN"/>
                        </w:rPr>
                        <w:t>大气监测点位</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48352" behindDoc="0" locked="0" layoutInCell="1" allowOverlap="1">
                <wp:simplePos x="0" y="0"/>
                <wp:positionH relativeFrom="column">
                  <wp:posOffset>1325245</wp:posOffset>
                </wp:positionH>
                <wp:positionV relativeFrom="paragraph">
                  <wp:posOffset>1187450</wp:posOffset>
                </wp:positionV>
                <wp:extent cx="1357630" cy="3603625"/>
                <wp:effectExtent l="18415" t="4445" r="14605" b="11430"/>
                <wp:wrapNone/>
                <wp:docPr id="131" name="直接箭头连接符 131"/>
                <wp:cNvGraphicFramePr/>
                <a:graphic xmlns:a="http://schemas.openxmlformats.org/drawingml/2006/main">
                  <a:graphicData uri="http://schemas.microsoft.com/office/word/2010/wordprocessingShape">
                    <wps:wsp>
                      <wps:cNvCnPr>
                        <a:stCxn id="38" idx="1"/>
                      </wps:cNvCnPr>
                      <wps:spPr>
                        <a:xfrm flipH="1">
                          <a:off x="2225675" y="2173605"/>
                          <a:ext cx="1357630" cy="360362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04.35pt;margin-top:93.5pt;height:283.75pt;width:106.9pt;z-index:251748352;mso-width-relative:page;mso-height-relative:page;" filled="f" stroked="t" coordsize="21600,21600" o:gfxdata="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J8&#10;o/fZAAAACwEAAA8AAAAAAAAAAQAgAAAAIgAAAGRycy9kb3ducmV2LnhtbFBLAQIUABQAAAAIAIdO&#10;4kDNqQe5IgIAAA8EAAAOAAAAAAAAAAEAIAAAACgBAABkcnMvZTJvRG9jLnhtbFBLBQYAAAAABgAG&#10;AFkBAAC8BQAAAAA=&#10;">
                <v:fill on="f" focussize="0,0"/>
                <v:stroke weight="2pt" color="#FFFF00 [3204]" joinstyle="round"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76672" behindDoc="0" locked="0" layoutInCell="1" allowOverlap="1">
            <wp:simplePos x="0" y="0"/>
            <wp:positionH relativeFrom="column">
              <wp:posOffset>7949565</wp:posOffset>
            </wp:positionH>
            <wp:positionV relativeFrom="paragraph">
              <wp:posOffset>20955</wp:posOffset>
            </wp:positionV>
            <wp:extent cx="976630" cy="996950"/>
            <wp:effectExtent l="0" t="0" r="13970" b="12700"/>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4"/>
                    <a:stretch>
                      <a:fillRect/>
                    </a:stretch>
                  </pic:blipFill>
                  <pic:spPr>
                    <a:xfrm>
                      <a:off x="0" y="0"/>
                      <a:ext cx="976630" cy="996950"/>
                    </a:xfrm>
                    <a:prstGeom prst="rect">
                      <a:avLst/>
                    </a:prstGeom>
                    <a:noFill/>
                    <a:ln>
                      <a:noFill/>
                    </a:ln>
                  </pic:spPr>
                </pic:pic>
              </a:graphicData>
            </a:graphic>
          </wp:anchor>
        </w:drawing>
      </w:r>
      <w:r>
        <w:rPr>
          <w:rFonts w:hint="default" w:ascii="Times New Roman" w:hAnsi="Times New Roman" w:eastAsia="宋体" w:cs="Times New Roman"/>
          <w:color w:val="auto"/>
          <w:sz w:val="24"/>
          <w:szCs w:val="24"/>
          <w:highlight w:val="none"/>
        </w:rPr>
        <mc:AlternateContent>
          <mc:Choice Requires="wps">
            <w:drawing>
              <wp:anchor distT="0" distB="0" distL="114300" distR="114300" simplePos="0" relativeHeight="251667456" behindDoc="0" locked="0" layoutInCell="1" allowOverlap="1">
                <wp:simplePos x="0" y="0"/>
                <wp:positionH relativeFrom="column">
                  <wp:posOffset>6951980</wp:posOffset>
                </wp:positionH>
                <wp:positionV relativeFrom="paragraph">
                  <wp:posOffset>5059045</wp:posOffset>
                </wp:positionV>
                <wp:extent cx="247650" cy="98425"/>
                <wp:effectExtent l="6350" t="6350" r="12700" b="9525"/>
                <wp:wrapNone/>
                <wp:docPr id="129" name="矩形 129"/>
                <wp:cNvGraphicFramePr/>
                <a:graphic xmlns:a="http://schemas.openxmlformats.org/drawingml/2006/main">
                  <a:graphicData uri="http://schemas.microsoft.com/office/word/2010/wordprocessingShape">
                    <wps:wsp>
                      <wps:cNvSpPr/>
                      <wps:spPr>
                        <a:xfrm>
                          <a:off x="0" y="0"/>
                          <a:ext cx="247650" cy="98425"/>
                        </a:xfrm>
                        <a:prstGeom prst="rect">
                          <a:avLst/>
                        </a:prstGeom>
                        <a:noFill/>
                        <a:ln w="12700" cap="flat" cmpd="sng" algn="ctr">
                          <a:solidFill>
                            <a:srgbClr val="FF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4pt;margin-top:398.35pt;height:7.75pt;width:19.5pt;z-index:251667456;v-text-anchor:middle;mso-width-relative:page;mso-height-relative:page;" filled="f" stroked="t" coordsize="21600,21600" o:gfxdata="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OlM/72QAAAA0BAAAPAAAAAAAAAAEAIAAAACIAAABkcnMvZG93&#10;bnJldi54bWxQSwECFAAUAAAACACHTuJAx8tr7XECAADbBAAADgAAAAAAAAABACAAAAAoAQAAZHJz&#10;L2Uyb0RvYy54bWxQSwUGAAAAAAYABgBZAQAACwY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auto"/>
          <w:highlight w:val="none"/>
        </w:rPr>
        <w:drawing>
          <wp:anchor distT="0" distB="0" distL="114300" distR="114300" simplePos="0" relativeHeight="251677696" behindDoc="0" locked="0" layoutInCell="1" allowOverlap="1">
            <wp:simplePos x="0" y="0"/>
            <wp:positionH relativeFrom="column">
              <wp:posOffset>7048500</wp:posOffset>
            </wp:positionH>
            <wp:positionV relativeFrom="paragraph">
              <wp:posOffset>5278755</wp:posOffset>
            </wp:positionV>
            <wp:extent cx="95250" cy="180975"/>
            <wp:effectExtent l="0" t="0" r="0" b="9525"/>
            <wp:wrapNone/>
            <wp:docPr id="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pic:cNvPicPr>
                      <a:picLocks noChangeAspect="1"/>
                    </pic:cNvPicPr>
                  </pic:nvPicPr>
                  <pic:blipFill>
                    <a:blip r:embed="rId72"/>
                    <a:stretch>
                      <a:fillRect/>
                    </a:stretch>
                  </pic:blipFill>
                  <pic:spPr>
                    <a:xfrm>
                      <a:off x="0" y="0"/>
                      <a:ext cx="95250" cy="18097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902065" cy="5642610"/>
            <wp:effectExtent l="9525" t="9525" r="22860" b="24765"/>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73">
                      <a:lum bright="-6000"/>
                    </a:blip>
                    <a:stretch>
                      <a:fillRect/>
                    </a:stretch>
                  </pic:blipFill>
                  <pic:spPr>
                    <a:xfrm>
                      <a:off x="0" y="0"/>
                      <a:ext cx="8902065" cy="5642610"/>
                    </a:xfrm>
                    <a:prstGeom prst="rect">
                      <a:avLst/>
                    </a:prstGeom>
                    <a:noFill/>
                    <a:ln>
                      <a:solidFill>
                        <a:schemeClr val="tx1"/>
                      </a:solidFill>
                    </a:ln>
                  </pic:spPr>
                </pic:pic>
              </a:graphicData>
            </a:graphic>
          </wp:inline>
        </w:drawing>
      </w:r>
    </w:p>
    <w:p w14:paraId="4708ED28">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64" w:name="_Toc10920"/>
      <w:r>
        <w:rPr>
          <w:rFonts w:hint="default" w:ascii="Times New Roman" w:hAnsi="Times New Roman" w:cs="Times New Roman"/>
          <w:color w:val="auto"/>
          <w:sz w:val="24"/>
          <w:highlight w:val="none"/>
          <w:lang w:val="en-US" w:eastAsia="zh-CN"/>
        </w:rPr>
        <w:t>附图16乐昌市国土空间总体规划图</w:t>
      </w:r>
      <w:bookmarkEnd w:id="64"/>
    </w:p>
    <w:p w14:paraId="02A0471A">
      <w:pPr>
        <w:jc w:val="center"/>
        <w:rPr>
          <w:rFonts w:hint="default" w:ascii="Times New Roman" w:hAnsi="Times New Roman" w:cs="Times New Roman"/>
          <w:color w:val="auto"/>
        </w:rPr>
        <w:sectPr>
          <w:pgSz w:w="16840" w:h="11907"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cs="Times New Roman"/>
          <w:color w:val="auto"/>
          <w:highlight w:val="none"/>
        </w:rPr>
        <mc:AlternateContent>
          <mc:Choice Requires="wps">
            <w:drawing>
              <wp:anchor distT="0" distB="0" distL="114300" distR="114300" simplePos="0" relativeHeight="251752448" behindDoc="0" locked="0" layoutInCell="1" allowOverlap="1">
                <wp:simplePos x="0" y="0"/>
                <wp:positionH relativeFrom="column">
                  <wp:posOffset>4467860</wp:posOffset>
                </wp:positionH>
                <wp:positionV relativeFrom="paragraph">
                  <wp:posOffset>3554730</wp:posOffset>
                </wp:positionV>
                <wp:extent cx="776605" cy="321310"/>
                <wp:effectExtent l="4445" t="4445" r="26670" b="268605"/>
                <wp:wrapNone/>
                <wp:docPr id="193" name="圆角矩形标注 38"/>
                <wp:cNvGraphicFramePr/>
                <a:graphic xmlns:a="http://schemas.openxmlformats.org/drawingml/2006/main">
                  <a:graphicData uri="http://schemas.microsoft.com/office/word/2010/wordprocessingShape">
                    <wps:wsp>
                      <wps:cNvSpPr/>
                      <wps:spPr>
                        <a:xfrm>
                          <a:off x="0" y="0"/>
                          <a:ext cx="776605" cy="321310"/>
                        </a:xfrm>
                        <a:prstGeom prst="wedgeRoundRectCallout">
                          <a:avLst>
                            <a:gd name="adj1" fmla="val 52371"/>
                            <a:gd name="adj2" fmla="val 129841"/>
                            <a:gd name="adj3" fmla="val 16667"/>
                          </a:avLst>
                        </a:prstGeom>
                        <a:solidFill>
                          <a:schemeClr val="bg1"/>
                        </a:solidFill>
                        <a:ln w="317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28BD3A3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51.8pt;margin-top:279.9pt;height:25.3pt;width:61.15pt;z-index:251752448;v-text-anchor:middle;mso-width-relative:page;mso-height-relative:page;" fillcolor="#FFFFFF [3212]" filled="t" stroked="t" coordsize="21600,21600" o:gfxdata="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JtyxVtcAAAALAQAADwAAAAAAAAAB&#10;ACAAAAAiAAAAZHJzL2Rvd25yZXYueG1sUEsBAhQAFAAAAAgAh07iQCdw1z+8AgAAfAUAAA4AAAAA&#10;AAAAAQAgAAAAJgEAAGRycy9lMm9Eb2MueG1sUEsFBgAAAAAGAAYAWQEAAFQGAAAAAA==&#10;" adj="22112,38846,14400">
                <v:fill on="t" focussize="0,0"/>
                <v:stroke weight="0.25pt" color="#000000 [3213]" joinstyle="round"/>
                <v:imagedata o:title=""/>
                <o:lock v:ext="edit" aspectratio="f"/>
                <v:textbox>
                  <w:txbxContent>
                    <w:p w14:paraId="28BD3A3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53472" behindDoc="0" locked="0" layoutInCell="1" allowOverlap="1">
                <wp:simplePos x="0" y="0"/>
                <wp:positionH relativeFrom="column">
                  <wp:posOffset>5234305</wp:posOffset>
                </wp:positionH>
                <wp:positionV relativeFrom="paragraph">
                  <wp:posOffset>4102735</wp:posOffset>
                </wp:positionV>
                <wp:extent cx="75565" cy="75565"/>
                <wp:effectExtent l="4445" t="4445" r="11430" b="11430"/>
                <wp:wrapNone/>
                <wp:docPr id="192" name="椭圆 192"/>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2.15pt;margin-top:323.05pt;height:5.95pt;width:5.95pt;z-index:251753472;v-text-anchor:middle;mso-width-relative:page;mso-height-relative:page;" fillcolor="#FF0000" filled="t" stroked="t" coordsize="21600,21600" o:gfxdata="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1NYuLaAAAACwEAAA8AAAAAAAAAAQAgAAAAIgAAAGRycy9kb3ducmV2LnhtbFBLAQIU&#10;ABQAAAAIAIdO4kBgqx3IYwIAAOAEAAAOAAAAAAAAAAEAIAAAACkBAABkcnMvZTJvRG9jLnhtbFBL&#10;BQYAAAAABgAGAFkBAAD+BQAAAAA=&#10;">
                <v:fill on="t" focussize="0,0"/>
                <v:stroke weight="0.25pt" color="#000000 [3213]" joinstyle="round"/>
                <v:imagedata o:title=""/>
                <o:lock v:ext="edit" aspectratio="f"/>
              </v:shape>
            </w:pict>
          </mc:Fallback>
        </mc:AlternateContent>
      </w:r>
      <w:r>
        <w:rPr>
          <w:rFonts w:hint="default" w:ascii="Times New Roman" w:hAnsi="Times New Roman" w:cs="Times New Roman"/>
          <w:color w:val="auto"/>
        </w:rPr>
        <w:drawing>
          <wp:inline distT="0" distB="0" distL="114300" distR="114300">
            <wp:extent cx="8397875" cy="5860415"/>
            <wp:effectExtent l="0" t="0" r="14605" b="6985"/>
            <wp:docPr id="1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
                    <pic:cNvPicPr>
                      <a:picLocks noChangeAspect="1"/>
                    </pic:cNvPicPr>
                  </pic:nvPicPr>
                  <pic:blipFill>
                    <a:blip r:embed="rId74"/>
                    <a:stretch>
                      <a:fillRect/>
                    </a:stretch>
                  </pic:blipFill>
                  <pic:spPr>
                    <a:xfrm>
                      <a:off x="0" y="0"/>
                      <a:ext cx="8397875" cy="5860415"/>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750400" behindDoc="0" locked="0" layoutInCell="1" allowOverlap="1">
                <wp:simplePos x="0" y="0"/>
                <wp:positionH relativeFrom="column">
                  <wp:posOffset>4507230</wp:posOffset>
                </wp:positionH>
                <wp:positionV relativeFrom="paragraph">
                  <wp:posOffset>3618865</wp:posOffset>
                </wp:positionV>
                <wp:extent cx="776605" cy="321310"/>
                <wp:effectExtent l="4445" t="4445" r="26670" b="268605"/>
                <wp:wrapNone/>
                <wp:docPr id="190" name="圆角矩形标注 38"/>
                <wp:cNvGraphicFramePr/>
                <a:graphic xmlns:a="http://schemas.openxmlformats.org/drawingml/2006/main">
                  <a:graphicData uri="http://schemas.microsoft.com/office/word/2010/wordprocessingShape">
                    <wps:wsp>
                      <wps:cNvSpPr/>
                      <wps:spPr>
                        <a:xfrm>
                          <a:off x="0" y="0"/>
                          <a:ext cx="776605" cy="321310"/>
                        </a:xfrm>
                        <a:prstGeom prst="wedgeRoundRectCallout">
                          <a:avLst>
                            <a:gd name="adj1" fmla="val 52371"/>
                            <a:gd name="adj2" fmla="val 129841"/>
                            <a:gd name="adj3" fmla="val 16667"/>
                          </a:avLst>
                        </a:prstGeom>
                        <a:solidFill>
                          <a:schemeClr val="bg1"/>
                        </a:solidFill>
                        <a:ln w="317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AC144EC">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54.9pt;margin-top:284.95pt;height:25.3pt;width:61.15pt;z-index:251750400;v-text-anchor:middle;mso-width-relative:page;mso-height-relative:page;" fillcolor="#FFFFFF [3212]" filled="t" stroked="t" coordsize="21600,21600" o:gfxdata="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dRk91tcAAAALAQAADwAAAAAAAAABACAA&#10;AAAiAAAAZHJzL2Rvd25yZXYueG1sUEsBAhQAFAAAAAgAh07iQNDXT+u5AgAAfAUAAA4AAAAAAAAA&#10;AQAgAAAAJgEAAGRycy9lMm9Eb2MueG1sUEsFBgAAAAAGAAYAWQEAAFEGAAAAAA==&#10;" adj="22112,38846,14400">
                <v:fill on="t" focussize="0,0"/>
                <v:stroke weight="0.25pt" color="#000000 [3213]" joinstyle="round"/>
                <v:imagedata o:title=""/>
                <o:lock v:ext="edit" aspectratio="f"/>
                <v:textbox>
                  <w:txbxContent>
                    <w:p w14:paraId="1AC144EC">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51424" behindDoc="0" locked="0" layoutInCell="1" allowOverlap="1">
                <wp:simplePos x="0" y="0"/>
                <wp:positionH relativeFrom="column">
                  <wp:posOffset>5273675</wp:posOffset>
                </wp:positionH>
                <wp:positionV relativeFrom="paragraph">
                  <wp:posOffset>4166870</wp:posOffset>
                </wp:positionV>
                <wp:extent cx="75565" cy="75565"/>
                <wp:effectExtent l="4445" t="4445" r="11430" b="11430"/>
                <wp:wrapNone/>
                <wp:docPr id="191" name="椭圆 191"/>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5.25pt;margin-top:328.1pt;height:5.95pt;width:5.95pt;z-index:251751424;v-text-anchor:middle;mso-width-relative:page;mso-height-relative:page;" fillcolor="#FF0000" filled="t" stroked="t" coordsize="21600,21600" o:gfxdata="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omZiXbAAAACwEAAA8AAAAAAAAAAQAgAAAAIgAAAGRycy9kb3ducmV2LnhtbFBLAQIU&#10;ABQAAAAIAIdO4kCWak9tYgIAAOAEAAAOAAAAAAAAAAEAIAAAACoBAABkcnMvZTJvRG9jLnhtbFBL&#10;BQYAAAAABgAGAFkBAAD+BQAAAAA=&#10;">
                <v:fill on="t" focussize="0,0"/>
                <v:stroke weight="0.25pt" color="#000000 [3213]" joinstyle="round"/>
                <v:imagedata o:title=""/>
                <o:lock v:ext="edit" aspectratio="f"/>
              </v:shape>
            </w:pict>
          </mc:Fallback>
        </mc:AlternateContent>
      </w:r>
      <w:r>
        <w:rPr>
          <w:rFonts w:hint="default" w:ascii="Times New Roman" w:hAnsi="Times New Roman" w:cs="Times New Roman"/>
          <w:color w:val="auto"/>
        </w:rPr>
        <w:drawing>
          <wp:inline distT="0" distB="0" distL="114300" distR="114300">
            <wp:extent cx="8489315" cy="6008370"/>
            <wp:effectExtent l="0" t="0" r="14605" b="1143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75"/>
                    <a:stretch>
                      <a:fillRect/>
                    </a:stretch>
                  </pic:blipFill>
                  <pic:spPr>
                    <a:xfrm>
                      <a:off x="0" y="0"/>
                      <a:ext cx="8489315" cy="6008370"/>
                    </a:xfrm>
                    <a:prstGeom prst="rect">
                      <a:avLst/>
                    </a:prstGeom>
                    <a:noFill/>
                    <a:ln>
                      <a:noFill/>
                    </a:ln>
                  </pic:spPr>
                </pic:pic>
              </a:graphicData>
            </a:graphic>
          </wp:inline>
        </w:drawing>
      </w:r>
    </w:p>
    <w:p w14:paraId="02F34A21">
      <w:pPr>
        <w:pStyle w:val="7"/>
        <w:spacing w:before="0" w:beforeAutospacing="0" w:after="0" w:afterAutospacing="0"/>
        <w:jc w:val="left"/>
        <w:rPr>
          <w:rFonts w:hint="default" w:ascii="Times New Roman" w:hAnsi="Times New Roman" w:cs="Times New Roman"/>
          <w:color w:val="auto"/>
          <w:sz w:val="24"/>
          <w:highlight w:val="none"/>
          <w:lang w:val="en-US" w:eastAsia="zh-CN"/>
        </w:rPr>
      </w:pPr>
      <w:bookmarkStart w:id="65" w:name="_Toc10541"/>
      <w:r>
        <w:rPr>
          <w:rFonts w:hint="default" w:ascii="Times New Roman" w:hAnsi="Times New Roman" w:cs="Times New Roman"/>
          <w:color w:val="auto"/>
          <w:highlight w:val="none"/>
        </w:rPr>
        <w:drawing>
          <wp:anchor distT="0" distB="0" distL="114300" distR="114300" simplePos="0" relativeHeight="251777024" behindDoc="0" locked="0" layoutInCell="1" allowOverlap="1">
            <wp:simplePos x="0" y="0"/>
            <wp:positionH relativeFrom="column">
              <wp:posOffset>8011160</wp:posOffset>
            </wp:positionH>
            <wp:positionV relativeFrom="paragraph">
              <wp:posOffset>193040</wp:posOffset>
            </wp:positionV>
            <wp:extent cx="831850" cy="848995"/>
            <wp:effectExtent l="0" t="0" r="6350" b="4445"/>
            <wp:wrapNone/>
            <wp:docPr id="2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
                    <pic:cNvPicPr>
                      <a:picLocks noChangeAspect="1"/>
                    </pic:cNvPicPr>
                  </pic:nvPicPr>
                  <pic:blipFill>
                    <a:blip r:embed="rId44"/>
                    <a:stretch>
                      <a:fillRect/>
                    </a:stretch>
                  </pic:blipFill>
                  <pic:spPr>
                    <a:xfrm>
                      <a:off x="0" y="0"/>
                      <a:ext cx="831850" cy="848995"/>
                    </a:xfrm>
                    <a:prstGeom prst="rect">
                      <a:avLst/>
                    </a:prstGeom>
                    <a:noFill/>
                    <a:ln>
                      <a:noFill/>
                    </a:ln>
                  </pic:spPr>
                </pic:pic>
              </a:graphicData>
            </a:graphic>
          </wp:anchor>
        </w:drawing>
      </w:r>
      <w:r>
        <w:rPr>
          <w:rFonts w:hint="default" w:ascii="Times New Roman" w:hAnsi="Times New Roman" w:cs="Times New Roman"/>
          <w:color w:val="auto"/>
          <w:sz w:val="24"/>
          <w:highlight w:val="none"/>
          <w:lang w:val="en-US" w:eastAsia="zh-CN"/>
        </w:rPr>
        <w:t>附图1</w:t>
      </w:r>
      <w:r>
        <w:rPr>
          <w:rFonts w:hint="eastAsia" w:cs="Times New Roman"/>
          <w:color w:val="auto"/>
          <w:sz w:val="24"/>
          <w:highlight w:val="none"/>
          <w:lang w:val="en-US" w:eastAsia="zh-CN"/>
        </w:rPr>
        <w:t>7本项目与韶关市区武江饮用水水源地准保护区位置关系</w:t>
      </w:r>
      <w:r>
        <w:rPr>
          <w:rFonts w:hint="default" w:ascii="Times New Roman" w:hAnsi="Times New Roman" w:cs="Times New Roman"/>
          <w:color w:val="auto"/>
          <w:sz w:val="24"/>
          <w:highlight w:val="none"/>
          <w:lang w:val="en-US" w:eastAsia="zh-CN"/>
        </w:rPr>
        <w:t>图</w:t>
      </w:r>
      <w:bookmarkEnd w:id="65"/>
    </w:p>
    <w:p w14:paraId="2DF4ADCD">
      <w:pPr>
        <w:pStyle w:val="2"/>
        <w:jc w:val="center"/>
        <w:rPr>
          <w:rFonts w:hint="default"/>
          <w:color w:val="auto"/>
        </w:rPr>
        <w:sectPr>
          <w:pgSz w:w="16840" w:h="11907"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r>
        <w:rPr>
          <w:color w:val="auto"/>
          <w:sz w:val="24"/>
        </w:rPr>
        <mc:AlternateContent>
          <mc:Choice Requires="wps">
            <w:drawing>
              <wp:anchor distT="0" distB="0" distL="114300" distR="114300" simplePos="0" relativeHeight="251783168" behindDoc="0" locked="0" layoutInCell="1" allowOverlap="1">
                <wp:simplePos x="0" y="0"/>
                <wp:positionH relativeFrom="column">
                  <wp:posOffset>2192655</wp:posOffset>
                </wp:positionH>
                <wp:positionV relativeFrom="paragraph">
                  <wp:posOffset>525780</wp:posOffset>
                </wp:positionV>
                <wp:extent cx="32385" cy="4387215"/>
                <wp:effectExtent l="56515" t="0" r="33020" b="1905"/>
                <wp:wrapNone/>
                <wp:docPr id="214" name="直接箭头连接符 214"/>
                <wp:cNvGraphicFramePr/>
                <a:graphic xmlns:a="http://schemas.openxmlformats.org/drawingml/2006/main">
                  <a:graphicData uri="http://schemas.microsoft.com/office/word/2010/wordprocessingShape">
                    <wps:wsp>
                      <wps:cNvCnPr/>
                      <wps:spPr>
                        <a:xfrm flipH="1">
                          <a:off x="3093085" y="1443355"/>
                          <a:ext cx="32385" cy="438721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2.65pt;margin-top:41.4pt;height:345.45pt;width:2.55pt;z-index:251783168;mso-width-relative:page;mso-height-relative:page;" filled="f" stroked="t" coordsize="21600,21600" o:gfxdata="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fUt7d0AAAAKAQAA&#10;DwAAAAAAAAABACAAAAAiAAAAZHJzL2Rvd25yZXYueG1sUEsBAhQAFAAAAAgAh07iQFWb2DIUAgAA&#10;5QMAAA4AAAAAAAAAAQAgAAAALAEAAGRycy9lMm9Eb2MueG1sUEsFBgAAAAAGAAYAWQEAALIFAAAA&#10;AA==&#10;">
                <v:fill on="f" focussize="0,0"/>
                <v:stroke weight="2pt" color="#FF0000 [3204]" joinstyle="round" dashstyle="dash" endarrow="open"/>
                <v:imagedata o:title=""/>
                <o:lock v:ext="edit" aspectratio="f"/>
              </v:shape>
            </w:pict>
          </mc:Fallback>
        </mc:AlternateContent>
      </w:r>
      <w:r>
        <w:rPr>
          <w:color w:val="auto"/>
          <w:sz w:val="24"/>
        </w:rPr>
        <mc:AlternateContent>
          <mc:Choice Requires="wps">
            <w:drawing>
              <wp:anchor distT="0" distB="0" distL="114300" distR="114300" simplePos="0" relativeHeight="251782144" behindDoc="0" locked="0" layoutInCell="1" allowOverlap="1">
                <wp:simplePos x="0" y="0"/>
                <wp:positionH relativeFrom="column">
                  <wp:posOffset>2105660</wp:posOffset>
                </wp:positionH>
                <wp:positionV relativeFrom="paragraph">
                  <wp:posOffset>210185</wp:posOffset>
                </wp:positionV>
                <wp:extent cx="434975" cy="239395"/>
                <wp:effectExtent l="9525" t="9525" r="12700" b="10160"/>
                <wp:wrapNone/>
                <wp:docPr id="213" name="矩形 213"/>
                <wp:cNvGraphicFramePr/>
                <a:graphic xmlns:a="http://schemas.openxmlformats.org/drawingml/2006/main">
                  <a:graphicData uri="http://schemas.microsoft.com/office/word/2010/wordprocessingShape">
                    <wps:wsp>
                      <wps:cNvSpPr/>
                      <wps:spPr>
                        <a:xfrm>
                          <a:off x="3006090" y="1127760"/>
                          <a:ext cx="434975" cy="239395"/>
                        </a:xfrm>
                        <a:prstGeom prst="rect">
                          <a:avLst/>
                        </a:prstGeom>
                        <a:noFill/>
                        <a:ln w="19050">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8pt;margin-top:16.55pt;height:18.85pt;width:34.25pt;z-index:251782144;v-text-anchor:middle;mso-width-relative:page;mso-height-relative:page;" filled="f" stroked="t" coordsize="21600,21600" o:gfxdata="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b7MgraAAAACQEAAA8AAAAAAAAAAQAgAAAAIgAAAGRycy9kb3ducmV2&#10;LnhtbFBLAQIUABQAAAAIAIdO4kCdFxxKbAIAAMIEAAAOAAAAAAAAAAEAIAAAACkBAABkcnMvZTJv&#10;RG9jLnhtbFBLBQYAAAAABgAGAFkBAAAHBgAAAAA=&#10;">
                <v:fill on="f" focussize="0,0"/>
                <v:stroke weight="1.5pt" color="#FF0000 [2404]"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781120" behindDoc="0" locked="0" layoutInCell="1" allowOverlap="1">
                <wp:simplePos x="0" y="0"/>
                <wp:positionH relativeFrom="column">
                  <wp:posOffset>6372860</wp:posOffset>
                </wp:positionH>
                <wp:positionV relativeFrom="paragraph">
                  <wp:posOffset>3138170</wp:posOffset>
                </wp:positionV>
                <wp:extent cx="1001395" cy="326390"/>
                <wp:effectExtent l="0" t="0" r="0" b="0"/>
                <wp:wrapNone/>
                <wp:docPr id="212" name="文本框 212"/>
                <wp:cNvGraphicFramePr/>
                <a:graphic xmlns:a="http://schemas.openxmlformats.org/drawingml/2006/main">
                  <a:graphicData uri="http://schemas.microsoft.com/office/word/2010/wordprocessingShape">
                    <wps:wsp>
                      <wps:cNvSpPr txBox="1"/>
                      <wps:spPr>
                        <a:xfrm>
                          <a:off x="7371080" y="4186555"/>
                          <a:ext cx="1001395" cy="326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96E0AE">
                            <w:pPr>
                              <w:jc w:val="center"/>
                              <w:rPr>
                                <w:rFonts w:hint="default" w:eastAsia="宋体"/>
                                <w:b/>
                                <w:bCs/>
                                <w:color w:val="000000" w:themeColor="text1"/>
                                <w:sz w:val="24"/>
                                <w:highlight w:val="lightGray"/>
                                <w:lang w:val="en-US" w:eastAsia="zh-CN"/>
                                <w14:textFill>
                                  <w14:solidFill>
                                    <w14:schemeClr w14:val="tx1"/>
                                  </w14:solidFill>
                                </w14:textFill>
                              </w:rPr>
                            </w:pPr>
                            <w:r>
                              <w:rPr>
                                <w:rFonts w:hint="eastAsia"/>
                                <w:b/>
                                <w:bCs/>
                                <w:color w:val="000000" w:themeColor="text1"/>
                                <w:sz w:val="24"/>
                                <w:highlight w:val="lightGray"/>
                                <w:lang w:val="en-US" w:eastAsia="zh-CN"/>
                                <w14:textFill>
                                  <w14:solidFill>
                                    <w14:schemeClr w14:val="tx1"/>
                                  </w14:solidFill>
                                </w14:textFill>
                              </w:rPr>
                              <w:t>约4.2km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1.8pt;margin-top:247.1pt;height:25.7pt;width:78.85pt;z-index:251781120;mso-width-relative:page;mso-height-relative:page;" filled="f" stroked="f" coordsize="21600,21600" o:gfxdata="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tKliV3QAAAA0BAAAP&#10;AAAAAAAAAAEAIAAAACIAAABkcnMvZG93bnJldi54bWxQSwECFAAUAAAACACHTuJAM0ghykwCAAB2&#10;BAAADgAAAAAAAAABACAAAAAsAQAAZHJzL2Uyb0RvYy54bWxQSwUGAAAAAAYABgBZAQAA6gUAAAAA&#10;">
                <v:fill on="f" focussize="0,0"/>
                <v:stroke on="f" weight="0.5pt"/>
                <v:imagedata o:title=""/>
                <o:lock v:ext="edit" aspectratio="f"/>
                <v:textbox>
                  <w:txbxContent>
                    <w:p w14:paraId="2396E0AE">
                      <w:pPr>
                        <w:jc w:val="center"/>
                        <w:rPr>
                          <w:rFonts w:hint="default" w:eastAsia="宋体"/>
                          <w:b/>
                          <w:bCs/>
                          <w:color w:val="000000" w:themeColor="text1"/>
                          <w:sz w:val="24"/>
                          <w:highlight w:val="lightGray"/>
                          <w:lang w:val="en-US" w:eastAsia="zh-CN"/>
                          <w14:textFill>
                            <w14:solidFill>
                              <w14:schemeClr w14:val="tx1"/>
                            </w14:solidFill>
                          </w14:textFill>
                        </w:rPr>
                      </w:pPr>
                      <w:r>
                        <w:rPr>
                          <w:rFonts w:hint="eastAsia"/>
                          <w:b/>
                          <w:bCs/>
                          <w:color w:val="000000" w:themeColor="text1"/>
                          <w:sz w:val="24"/>
                          <w:highlight w:val="lightGray"/>
                          <w:lang w:val="en-US" w:eastAsia="zh-CN"/>
                          <w14:textFill>
                            <w14:solidFill>
                              <w14:schemeClr w14:val="tx1"/>
                            </w14:solidFill>
                          </w14:textFill>
                        </w:rPr>
                        <w:t>约4.2km</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1822450</wp:posOffset>
                </wp:positionH>
                <wp:positionV relativeFrom="paragraph">
                  <wp:posOffset>4989195</wp:posOffset>
                </wp:positionV>
                <wp:extent cx="979805" cy="838200"/>
                <wp:effectExtent l="0" t="0" r="10795" b="0"/>
                <wp:wrapNone/>
                <wp:docPr id="211" name="任意多边形 211"/>
                <wp:cNvGraphicFramePr/>
                <a:graphic xmlns:a="http://schemas.openxmlformats.org/drawingml/2006/main">
                  <a:graphicData uri="http://schemas.microsoft.com/office/word/2010/wordprocessingShape">
                    <wps:wsp>
                      <wps:cNvSpPr/>
                      <wps:spPr>
                        <a:xfrm>
                          <a:off x="2722880" y="5906770"/>
                          <a:ext cx="979805" cy="838200"/>
                        </a:xfrm>
                        <a:custGeom>
                          <a:avLst/>
                          <a:gdLst>
                            <a:gd name="connsiteX0" fmla="*/ 446 w 1543"/>
                            <a:gd name="connsiteY0" fmla="*/ 0 h 1320"/>
                            <a:gd name="connsiteX1" fmla="*/ 1543 w 1543"/>
                            <a:gd name="connsiteY1" fmla="*/ 16 h 1320"/>
                            <a:gd name="connsiteX2" fmla="*/ 1337 w 1543"/>
                            <a:gd name="connsiteY2" fmla="*/ 343 h 1320"/>
                            <a:gd name="connsiteX3" fmla="*/ 1131 w 1543"/>
                            <a:gd name="connsiteY3" fmla="*/ 514 h 1320"/>
                            <a:gd name="connsiteX4" fmla="*/ 1063 w 1543"/>
                            <a:gd name="connsiteY4" fmla="*/ 1011 h 1320"/>
                            <a:gd name="connsiteX5" fmla="*/ 1166 w 1543"/>
                            <a:gd name="connsiteY5" fmla="*/ 1302 h 1320"/>
                            <a:gd name="connsiteX6" fmla="*/ 0 w 1543"/>
                            <a:gd name="connsiteY6" fmla="*/ 1320 h 1320"/>
                            <a:gd name="connsiteX7" fmla="*/ 154 w 1543"/>
                            <a:gd name="connsiteY7" fmla="*/ 942 h 1320"/>
                            <a:gd name="connsiteX8" fmla="*/ 223 w 1543"/>
                            <a:gd name="connsiteY8" fmla="*/ 600 h 1320"/>
                            <a:gd name="connsiteX9" fmla="*/ 446 w 1543"/>
                            <a:gd name="connsiteY9" fmla="*/ 0 h 1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43" h="1320">
                              <a:moveTo>
                                <a:pt x="446" y="0"/>
                              </a:moveTo>
                              <a:lnTo>
                                <a:pt x="1543" y="16"/>
                              </a:lnTo>
                              <a:lnTo>
                                <a:pt x="1337" y="343"/>
                              </a:lnTo>
                              <a:lnTo>
                                <a:pt x="1131" y="514"/>
                              </a:lnTo>
                              <a:lnTo>
                                <a:pt x="1063" y="1011"/>
                              </a:lnTo>
                              <a:lnTo>
                                <a:pt x="1166" y="1302"/>
                              </a:lnTo>
                              <a:lnTo>
                                <a:pt x="0" y="1320"/>
                              </a:lnTo>
                              <a:lnTo>
                                <a:pt x="154" y="942"/>
                              </a:lnTo>
                              <a:lnTo>
                                <a:pt x="223" y="600"/>
                              </a:lnTo>
                              <a:lnTo>
                                <a:pt x="446" y="0"/>
                              </a:lnTo>
                              <a:close/>
                            </a:path>
                          </a:pathLst>
                        </a:custGeom>
                        <a:solidFill>
                          <a:srgbClr val="00B0F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3.5pt;margin-top:392.85pt;height:66pt;width:77.15pt;z-index:251780096;mso-width-relative:page;mso-height-relative:page;" fillcolor="#00B0F0" filled="t" stroked="f" coordsize="1543,1320" o:gfxdata="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" path="m446,0l1543,16,1337,343,1131,514,1063,1011,1166,1302,0,1320,154,942,223,600,446,0xe">
                <v:path o:connectlocs="283210,0;979805,10160;848995,217805;718185,326390;675005,641985;740410,826770;0,838200;97790,598170;141605,381000;283210,0" o:connectangles="0,0,0,0,0,0,0,0,0,0"/>
                <v:fill on="t" opacity="32768f" focussize="0,0"/>
                <v:stroke on="f" weight="2pt"/>
                <v:imagedata o:title=""/>
                <o:lock v:ext="edit" aspectratio="f"/>
              </v:shape>
            </w:pict>
          </mc:Fallback>
        </mc:AlternateContent>
      </w:r>
      <w:r>
        <w:rPr>
          <w:color w:val="auto"/>
          <w:sz w:val="24"/>
        </w:rPr>
        <mc:AlternateContent>
          <mc:Choice Requires="wps">
            <w:drawing>
              <wp:anchor distT="0" distB="0" distL="114300" distR="114300" simplePos="0" relativeHeight="251779072" behindDoc="0" locked="0" layoutInCell="1" allowOverlap="1">
                <wp:simplePos x="0" y="0"/>
                <wp:positionH relativeFrom="column">
                  <wp:posOffset>2802255</wp:posOffset>
                </wp:positionH>
                <wp:positionV relativeFrom="paragraph">
                  <wp:posOffset>2616835</wp:posOffset>
                </wp:positionV>
                <wp:extent cx="4898390" cy="2382520"/>
                <wp:effectExtent l="0" t="11430" r="8890" b="13970"/>
                <wp:wrapNone/>
                <wp:docPr id="210" name="直接箭头连接符 210"/>
                <wp:cNvGraphicFramePr/>
                <a:graphic xmlns:a="http://schemas.openxmlformats.org/drawingml/2006/main">
                  <a:graphicData uri="http://schemas.microsoft.com/office/word/2010/wordprocessingShape">
                    <wps:wsp>
                      <wps:cNvCnPr>
                        <a:endCxn id="211" idx="1"/>
                      </wps:cNvCnPr>
                      <wps:spPr>
                        <a:xfrm flipH="1">
                          <a:off x="3626485" y="3534410"/>
                          <a:ext cx="4898390" cy="238252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20.65pt;margin-top:206.05pt;height:187.6pt;width:385.7pt;z-index:251779072;mso-width-relative:page;mso-height-relative:page;" filled="f" stroked="t" coordsize="21600,21600" o:gfxdata="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07Jm8toAAAAMAQAADwAAAAAAAAABACAAAAAiAAAAZHJzL2Rvd25yZXYueG1sUEsBAhQAFAAAAAgA&#10;h07iQOO1UCEjAgAAEQQAAA4AAAAAAAAAAQAgAAAAKQEAAGRycy9lMm9Eb2MueG1sUEsFBgAAAAAG&#10;AAYAWQEAAL4FAAAAAA==&#10;">
                <v:fill on="f" focussize="0,0"/>
                <v:stroke weight="2pt" color="#000000 [3213]" joinstyle="round" endarrow="open"/>
                <v:imagedata o:title=""/>
                <o:lock v:ext="edit" aspectratio="f"/>
              </v:shape>
            </w:pict>
          </mc:Fallback>
        </mc:AlternateContent>
      </w:r>
      <w:r>
        <w:rPr>
          <w:color w:val="auto"/>
        </w:rPr>
        <w:drawing>
          <wp:anchor distT="0" distB="0" distL="114300" distR="114300" simplePos="0" relativeHeight="251778048" behindDoc="0" locked="0" layoutInCell="1" allowOverlap="1">
            <wp:simplePos x="0" y="0"/>
            <wp:positionH relativeFrom="column">
              <wp:posOffset>22225</wp:posOffset>
            </wp:positionH>
            <wp:positionV relativeFrom="paragraph">
              <wp:posOffset>10795</wp:posOffset>
            </wp:positionV>
            <wp:extent cx="5413375" cy="4091305"/>
            <wp:effectExtent l="9525" t="9525" r="17780" b="13970"/>
            <wp:wrapNone/>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pic:cNvPicPr>
                  </pic:nvPicPr>
                  <pic:blipFill>
                    <a:blip r:embed="rId76"/>
                    <a:srcRect r="23381" b="18038"/>
                    <a:stretch>
                      <a:fillRect/>
                    </a:stretch>
                  </pic:blipFill>
                  <pic:spPr>
                    <a:xfrm>
                      <a:off x="0" y="0"/>
                      <a:ext cx="5413375" cy="4091305"/>
                    </a:xfrm>
                    <a:prstGeom prst="rect">
                      <a:avLst/>
                    </a:prstGeom>
                    <a:noFill/>
                    <a:ln>
                      <a:solidFill>
                        <a:schemeClr val="tx1"/>
                      </a:solidFill>
                      <a:prstDash val="dash"/>
                    </a:ln>
                  </pic:spPr>
                </pic:pic>
              </a:graphicData>
            </a:graphic>
          </wp:anchor>
        </w:drawing>
      </w:r>
      <w:r>
        <w:rPr>
          <w:color w:val="auto"/>
        </w:rPr>
        <w:drawing>
          <wp:inline distT="0" distB="0" distL="114300" distR="114300">
            <wp:extent cx="8874125" cy="5842635"/>
            <wp:effectExtent l="0" t="0" r="10795" b="9525"/>
            <wp:docPr id="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pic:cNvPicPr>
                      <a:picLocks noChangeAspect="1"/>
                    </pic:cNvPicPr>
                  </pic:nvPicPr>
                  <pic:blipFill>
                    <a:blip r:embed="rId77"/>
                    <a:srcRect l="15602" r="504"/>
                    <a:stretch>
                      <a:fillRect/>
                    </a:stretch>
                  </pic:blipFill>
                  <pic:spPr>
                    <a:xfrm>
                      <a:off x="0" y="0"/>
                      <a:ext cx="8874125" cy="5842635"/>
                    </a:xfrm>
                    <a:prstGeom prst="rect">
                      <a:avLst/>
                    </a:prstGeom>
                    <a:noFill/>
                    <a:ln>
                      <a:noFill/>
                    </a:ln>
                  </pic:spPr>
                </pic:pic>
              </a:graphicData>
            </a:graphic>
          </wp:inline>
        </w:drawing>
      </w:r>
    </w:p>
    <w:p w14:paraId="06390946">
      <w:pPr>
        <w:pStyle w:val="7"/>
        <w:spacing w:before="0" w:beforeAutospacing="0" w:after="0" w:afterAutospacing="0"/>
        <w:jc w:val="left"/>
        <w:rPr>
          <w:rFonts w:hint="default" w:ascii="Times New Roman" w:hAnsi="Times New Roman" w:cs="Times New Roman"/>
          <w:color w:val="auto"/>
          <w:sz w:val="24"/>
          <w:highlight w:val="none"/>
        </w:rPr>
      </w:pPr>
      <w:bookmarkStart w:id="66" w:name="_Toc66354941"/>
      <w:bookmarkStart w:id="67" w:name="_Toc5599"/>
      <w:r>
        <w:rPr>
          <w:rFonts w:hint="default" w:ascii="Times New Roman" w:hAnsi="Times New Roman" w:cs="Times New Roman"/>
          <w:color w:val="auto"/>
          <w:sz w:val="24"/>
          <w:highlight w:val="none"/>
        </w:rPr>
        <w:t>附件1营业执照</w:t>
      </w:r>
      <w:bookmarkEnd w:id="66"/>
      <w:bookmarkEnd w:id="67"/>
    </w:p>
    <w:p w14:paraId="0A321A0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755005" cy="8578850"/>
            <wp:effectExtent l="0" t="0" r="12700" b="17145"/>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78"/>
                    <a:stretch>
                      <a:fillRect/>
                    </a:stretch>
                  </pic:blipFill>
                  <pic:spPr>
                    <a:xfrm rot="16200000">
                      <a:off x="0" y="0"/>
                      <a:ext cx="5755005" cy="8578850"/>
                    </a:xfrm>
                    <a:prstGeom prst="rect">
                      <a:avLst/>
                    </a:prstGeom>
                    <a:noFill/>
                    <a:ln>
                      <a:noFill/>
                    </a:ln>
                  </pic:spPr>
                </pic:pic>
              </a:graphicData>
            </a:graphic>
          </wp:inline>
        </w:drawing>
      </w:r>
    </w:p>
    <w:p w14:paraId="216E7D1E">
      <w:pPr>
        <w:pStyle w:val="7"/>
        <w:rPr>
          <w:rFonts w:hint="default" w:ascii="Times New Roman" w:hAnsi="Times New Roman" w:cs="Times New Roman"/>
          <w:color w:val="auto"/>
          <w:sz w:val="24"/>
          <w:highlight w:val="none"/>
        </w:rPr>
        <w:sectPr>
          <w:pgSz w:w="16840" w:h="11907" w:orient="landscape"/>
          <w:pgMar w:top="1134" w:right="1418" w:bottom="1134" w:left="1418" w:header="170" w:footer="170" w:gutter="0"/>
          <w:pgBorders>
            <w:top w:val="none" w:sz="0" w:space="0"/>
            <w:left w:val="none" w:sz="0" w:space="0"/>
            <w:bottom w:val="none" w:sz="0" w:space="0"/>
            <w:right w:val="none" w:sz="0" w:space="0"/>
          </w:pgBorders>
          <w:pgNumType w:fmt="decimal"/>
          <w:cols w:space="425" w:num="1"/>
          <w:docGrid w:linePitch="326" w:charSpace="0"/>
        </w:sectPr>
      </w:pPr>
    </w:p>
    <w:p w14:paraId="75586B2D">
      <w:pPr>
        <w:pStyle w:val="7"/>
        <w:spacing w:before="0" w:beforeAutospacing="0" w:after="0" w:afterAutospacing="0"/>
        <w:jc w:val="left"/>
        <w:rPr>
          <w:rFonts w:hint="default" w:ascii="Times New Roman" w:hAnsi="Times New Roman" w:cs="Times New Roman"/>
          <w:color w:val="auto"/>
          <w:sz w:val="24"/>
          <w:highlight w:val="none"/>
        </w:rPr>
      </w:pPr>
      <w:bookmarkStart w:id="68" w:name="_Toc2553"/>
      <w:bookmarkStart w:id="69" w:name="_Toc66354942"/>
      <w:r>
        <w:rPr>
          <w:rFonts w:hint="default" w:ascii="Times New Roman" w:hAnsi="Times New Roman" w:cs="Times New Roman"/>
          <w:color w:val="auto"/>
          <w:sz w:val="24"/>
          <w:highlight w:val="none"/>
        </w:rPr>
        <w:t>附件2法人身份证</w:t>
      </w:r>
      <w:bookmarkEnd w:id="68"/>
      <w:bookmarkEnd w:id="69"/>
    </w:p>
    <w:p w14:paraId="6545C97E">
      <w:pPr>
        <w:jc w:val="center"/>
        <w:rPr>
          <w:rFonts w:hint="default" w:ascii="Times New Roman" w:hAnsi="Times New Roman" w:cs="Times New Roman"/>
          <w:color w:val="auto"/>
          <w:highlight w:val="none"/>
        </w:rPr>
      </w:pPr>
    </w:p>
    <w:p w14:paraId="0766734F">
      <w:pPr>
        <w:widowControl/>
        <w:jc w:val="center"/>
        <w:rPr>
          <w:rFonts w:hint="default" w:ascii="Times New Roman" w:hAnsi="Times New Roman" w:cs="Times New Roman"/>
          <w:color w:val="auto"/>
          <w:highlight w:val="none"/>
        </w:rPr>
        <w:sectPr>
          <w:footerReference r:id="rId5" w:type="default"/>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010150" cy="6457950"/>
            <wp:effectExtent l="0" t="0" r="0" b="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7"/>
                    <pic:cNvPicPr>
                      <a:picLocks noChangeAspect="1"/>
                    </pic:cNvPicPr>
                  </pic:nvPicPr>
                  <pic:blipFill>
                    <a:blip r:embed="rId79"/>
                    <a:stretch>
                      <a:fillRect/>
                    </a:stretch>
                  </pic:blipFill>
                  <pic:spPr>
                    <a:xfrm>
                      <a:off x="0" y="0"/>
                      <a:ext cx="5010150" cy="6457950"/>
                    </a:xfrm>
                    <a:prstGeom prst="rect">
                      <a:avLst/>
                    </a:prstGeom>
                    <a:noFill/>
                    <a:ln>
                      <a:noFill/>
                    </a:ln>
                  </pic:spPr>
                </pic:pic>
              </a:graphicData>
            </a:graphic>
          </wp:inline>
        </w:drawing>
      </w:r>
    </w:p>
    <w:p w14:paraId="6440AE6B">
      <w:pPr>
        <w:pStyle w:val="7"/>
        <w:jc w:val="left"/>
        <w:rPr>
          <w:rFonts w:hint="default" w:ascii="Times New Roman" w:hAnsi="Times New Roman" w:eastAsia="黑体" w:cs="Times New Roman"/>
          <w:color w:val="auto"/>
          <w:highlight w:val="none"/>
          <w:lang w:eastAsia="zh-CN"/>
        </w:rPr>
      </w:pPr>
      <w:bookmarkStart w:id="70" w:name="_Toc26186"/>
      <w:r>
        <w:rPr>
          <w:rFonts w:hint="default" w:ascii="Times New Roman" w:hAnsi="Times New Roman" w:cs="Times New Roman"/>
          <w:color w:val="auto"/>
          <w:highlight w:val="none"/>
        </w:rPr>
        <w:t>附件3项目</w:t>
      </w:r>
      <w:r>
        <w:rPr>
          <w:rFonts w:hint="default" w:ascii="Times New Roman" w:hAnsi="Times New Roman" w:cs="Times New Roman"/>
          <w:color w:val="auto"/>
          <w:highlight w:val="none"/>
          <w:lang w:eastAsia="zh-CN"/>
        </w:rPr>
        <w:t>备案证</w:t>
      </w:r>
      <w:bookmarkEnd w:id="70"/>
    </w:p>
    <w:p w14:paraId="4798DD84">
      <w:pPr>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eastAsia="zh-CN"/>
        </w:rPr>
        <w:drawing>
          <wp:inline distT="0" distB="0" distL="114300" distR="114300">
            <wp:extent cx="8189595" cy="5798185"/>
            <wp:effectExtent l="0" t="0" r="8255" b="9525"/>
            <wp:docPr id="83" name="图片 83" descr="（为朴）广东省企业投资项目备案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为朴）广东省企业投资项目备案证(1)_01"/>
                    <pic:cNvPicPr>
                      <a:picLocks noChangeAspect="1"/>
                    </pic:cNvPicPr>
                  </pic:nvPicPr>
                  <pic:blipFill>
                    <a:blip r:embed="rId80"/>
                    <a:stretch>
                      <a:fillRect/>
                    </a:stretch>
                  </pic:blipFill>
                  <pic:spPr>
                    <a:xfrm rot="16200000">
                      <a:off x="0" y="0"/>
                      <a:ext cx="8189595" cy="5798185"/>
                    </a:xfrm>
                    <a:prstGeom prst="rect">
                      <a:avLst/>
                    </a:prstGeom>
                  </pic:spPr>
                </pic:pic>
              </a:graphicData>
            </a:graphic>
          </wp:inline>
        </w:drawing>
      </w:r>
    </w:p>
    <w:p w14:paraId="62F1DA43">
      <w:pPr>
        <w:jc w:val="left"/>
        <w:rPr>
          <w:rFonts w:hint="default" w:ascii="Times New Roman" w:hAnsi="Times New Roman" w:cs="Times New Roman"/>
          <w:color w:val="auto"/>
          <w:highlight w:val="none"/>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p>
    <w:p w14:paraId="04BA12EF">
      <w:pPr>
        <w:pStyle w:val="7"/>
        <w:jc w:val="left"/>
        <w:rPr>
          <w:rFonts w:hint="default" w:ascii="Times New Roman" w:hAnsi="Times New Roman" w:cs="Times New Roman"/>
          <w:color w:val="auto"/>
          <w:highlight w:val="none"/>
          <w:lang w:val="en-US" w:eastAsia="zh-CN"/>
        </w:rPr>
      </w:pPr>
      <w:bookmarkStart w:id="71" w:name="_Toc12777"/>
      <w:r>
        <w:rPr>
          <w:rFonts w:hint="default" w:ascii="Times New Roman" w:hAnsi="Times New Roman" w:cs="Times New Roman"/>
          <w:color w:val="auto"/>
          <w:highlight w:val="none"/>
          <w:lang w:eastAsia="zh-CN"/>
        </w:rPr>
        <w:t>附件</w:t>
      </w:r>
      <w:r>
        <w:rPr>
          <w:rFonts w:hint="default" w:ascii="Times New Roman" w:hAnsi="Times New Roman" w:cs="Times New Roman"/>
          <w:color w:val="auto"/>
          <w:highlight w:val="none"/>
          <w:lang w:val="en-US" w:eastAsia="zh-CN"/>
        </w:rPr>
        <w:t>4产权证及租赁合同</w:t>
      </w:r>
      <w:bookmarkEnd w:id="71"/>
    </w:p>
    <w:p w14:paraId="595143B5">
      <w:pPr>
        <w:rPr>
          <w:rFonts w:hint="default" w:ascii="Times New Roman" w:hAnsi="Times New Roman" w:cs="Times New Roman"/>
          <w:color w:val="auto"/>
        </w:rPr>
      </w:pPr>
      <w:r>
        <w:rPr>
          <w:rFonts w:hint="default" w:ascii="Times New Roman" w:hAnsi="Times New Roman" w:cs="Times New Roman"/>
          <w:color w:val="auto"/>
          <w:highlight w:val="none"/>
        </w:rPr>
        <w:drawing>
          <wp:inline distT="0" distB="0" distL="114300" distR="114300">
            <wp:extent cx="5720715" cy="8098790"/>
            <wp:effectExtent l="0" t="0" r="13335" b="16510"/>
            <wp:docPr id="40" name="图片 40" descr="微信图片_20260126232534_25_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60126232534_25_1478"/>
                    <pic:cNvPicPr>
                      <a:picLocks noChangeAspect="1"/>
                    </pic:cNvPicPr>
                  </pic:nvPicPr>
                  <pic:blipFill>
                    <a:blip r:embed="rId81"/>
                    <a:stretch>
                      <a:fillRect/>
                    </a:stretch>
                  </pic:blipFill>
                  <pic:spPr>
                    <a:xfrm>
                      <a:off x="0" y="0"/>
                      <a:ext cx="5720715" cy="8098790"/>
                    </a:xfrm>
                    <a:prstGeom prst="rect">
                      <a:avLst/>
                    </a:prstGeom>
                  </pic:spPr>
                </pic:pic>
              </a:graphicData>
            </a:graphic>
          </wp:inline>
        </w:drawing>
      </w:r>
    </w:p>
    <w:p w14:paraId="0FA1A8FF">
      <w:pPr>
        <w:jc w:val="center"/>
        <w:rPr>
          <w:rFonts w:hint="default" w:ascii="Times New Roman" w:hAnsi="Times New Roman" w:cs="Times New Roman"/>
          <w:color w:val="auto"/>
          <w:highlight w:val="none"/>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817870" cy="8198485"/>
            <wp:effectExtent l="0" t="0" r="11430" b="12065"/>
            <wp:docPr id="17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1"/>
                    <pic:cNvPicPr>
                      <a:picLocks noChangeAspect="1"/>
                    </pic:cNvPicPr>
                  </pic:nvPicPr>
                  <pic:blipFill>
                    <a:blip r:embed="rId82"/>
                    <a:stretch>
                      <a:fillRect/>
                    </a:stretch>
                  </pic:blipFill>
                  <pic:spPr>
                    <a:xfrm>
                      <a:off x="0" y="0"/>
                      <a:ext cx="5817870" cy="819848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3780" cy="8661400"/>
            <wp:effectExtent l="0" t="0" r="1270" b="6350"/>
            <wp:docPr id="1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2"/>
                    <pic:cNvPicPr>
                      <a:picLocks noChangeAspect="1"/>
                    </pic:cNvPicPr>
                  </pic:nvPicPr>
                  <pic:blipFill>
                    <a:blip r:embed="rId83"/>
                    <a:stretch>
                      <a:fillRect/>
                    </a:stretch>
                  </pic:blipFill>
                  <pic:spPr>
                    <a:xfrm>
                      <a:off x="0" y="0"/>
                      <a:ext cx="6113780" cy="86614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594725"/>
            <wp:effectExtent l="0" t="0" r="635" b="15875"/>
            <wp:docPr id="1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3"/>
                    <pic:cNvPicPr>
                      <a:picLocks noChangeAspect="1"/>
                    </pic:cNvPicPr>
                  </pic:nvPicPr>
                  <pic:blipFill>
                    <a:blip r:embed="rId84"/>
                    <a:stretch>
                      <a:fillRect/>
                    </a:stretch>
                  </pic:blipFill>
                  <pic:spPr>
                    <a:xfrm>
                      <a:off x="0" y="0"/>
                      <a:ext cx="6114415" cy="85947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6320" cy="8388350"/>
            <wp:effectExtent l="0" t="0" r="17780" b="12700"/>
            <wp:docPr id="18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4"/>
                    <pic:cNvPicPr>
                      <a:picLocks noChangeAspect="1"/>
                    </pic:cNvPicPr>
                  </pic:nvPicPr>
                  <pic:blipFill>
                    <a:blip r:embed="rId85"/>
                    <a:stretch>
                      <a:fillRect/>
                    </a:stretch>
                  </pic:blipFill>
                  <pic:spPr>
                    <a:xfrm>
                      <a:off x="0" y="0"/>
                      <a:ext cx="6116320" cy="83883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664575"/>
            <wp:effectExtent l="0" t="0" r="635" b="3175"/>
            <wp:docPr id="18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5"/>
                    <pic:cNvPicPr>
                      <a:picLocks noChangeAspect="1"/>
                    </pic:cNvPicPr>
                  </pic:nvPicPr>
                  <pic:blipFill>
                    <a:blip r:embed="rId86"/>
                    <a:stretch>
                      <a:fillRect/>
                    </a:stretch>
                  </pic:blipFill>
                  <pic:spPr>
                    <a:xfrm>
                      <a:off x="0" y="0"/>
                      <a:ext cx="6114415" cy="86645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078220" cy="8593455"/>
            <wp:effectExtent l="0" t="0" r="2540" b="1905"/>
            <wp:docPr id="140" name="图片 140" descr="[C幢]-租赁合同《更正说明》(为朴)-乐园大道2A号C幢-20250928(不动产编号错误)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幢]-租赁合同《更正说明》(为朴)-乐园大道2A号C幢-20250928(不动产编号错误)_01"/>
                    <pic:cNvPicPr>
                      <a:picLocks noChangeAspect="1"/>
                    </pic:cNvPicPr>
                  </pic:nvPicPr>
                  <pic:blipFill>
                    <a:blip r:embed="rId87"/>
                    <a:stretch>
                      <a:fillRect/>
                    </a:stretch>
                  </pic:blipFill>
                  <pic:spPr>
                    <a:xfrm>
                      <a:off x="0" y="0"/>
                      <a:ext cx="6078220" cy="8593455"/>
                    </a:xfrm>
                    <a:prstGeom prst="rect">
                      <a:avLst/>
                    </a:prstGeom>
                  </pic:spPr>
                </pic:pic>
              </a:graphicData>
            </a:graphic>
          </wp:inline>
        </w:drawing>
      </w:r>
      <w:r>
        <w:rPr>
          <w:rFonts w:hint="default" w:ascii="Times New Roman" w:hAnsi="Times New Roman" w:cs="Times New Roman"/>
          <w:color w:val="auto"/>
          <w:highlight w:val="none"/>
        </w:rPr>
        <w:drawing>
          <wp:inline distT="0" distB="0" distL="114300" distR="114300">
            <wp:extent cx="6116320" cy="8517890"/>
            <wp:effectExtent l="0" t="0" r="17780" b="16510"/>
            <wp:docPr id="18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6"/>
                    <pic:cNvPicPr>
                      <a:picLocks noChangeAspect="1"/>
                    </pic:cNvPicPr>
                  </pic:nvPicPr>
                  <pic:blipFill>
                    <a:blip r:embed="rId88"/>
                    <a:stretch>
                      <a:fillRect/>
                    </a:stretch>
                  </pic:blipFill>
                  <pic:spPr>
                    <a:xfrm>
                      <a:off x="0" y="0"/>
                      <a:ext cx="6116320" cy="851789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8225" cy="8695690"/>
            <wp:effectExtent l="0" t="0" r="15875" b="10160"/>
            <wp:docPr id="1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8"/>
                    <pic:cNvPicPr>
                      <a:picLocks noChangeAspect="1"/>
                    </pic:cNvPicPr>
                  </pic:nvPicPr>
                  <pic:blipFill>
                    <a:blip r:embed="rId89"/>
                    <a:stretch>
                      <a:fillRect/>
                    </a:stretch>
                  </pic:blipFill>
                  <pic:spPr>
                    <a:xfrm>
                      <a:off x="0" y="0"/>
                      <a:ext cx="6118225" cy="8695690"/>
                    </a:xfrm>
                    <a:prstGeom prst="rect">
                      <a:avLst/>
                    </a:prstGeom>
                    <a:noFill/>
                    <a:ln>
                      <a:noFill/>
                    </a:ln>
                  </pic:spPr>
                </pic:pic>
              </a:graphicData>
            </a:graphic>
          </wp:inline>
        </w:drawing>
      </w:r>
    </w:p>
    <w:p w14:paraId="34EAABAB">
      <w:pPr>
        <w:pStyle w:val="7"/>
        <w:jc w:val="left"/>
        <w:rPr>
          <w:rFonts w:hint="default" w:ascii="Times New Roman" w:hAnsi="Times New Roman" w:cs="Times New Roman"/>
          <w:color w:val="auto"/>
          <w:highlight w:val="none"/>
          <w:lang w:val="en-US" w:eastAsia="zh-CN"/>
        </w:rPr>
      </w:pPr>
      <w:bookmarkStart w:id="72" w:name="_Toc19977"/>
      <w:r>
        <w:rPr>
          <w:rFonts w:hint="default" w:ascii="Times New Roman" w:hAnsi="Times New Roman" w:cs="Times New Roman"/>
          <w:color w:val="auto"/>
          <w:highlight w:val="none"/>
          <w:lang w:eastAsia="zh-CN"/>
        </w:rPr>
        <w:t>附件</w:t>
      </w:r>
      <w:r>
        <w:rPr>
          <w:rFonts w:hint="default" w:ascii="Times New Roman" w:hAnsi="Times New Roman" w:cs="Times New Roman"/>
          <w:color w:val="auto"/>
          <w:highlight w:val="none"/>
          <w:lang w:val="en-US" w:eastAsia="zh-CN"/>
        </w:rPr>
        <w:t>5环境质量现状监测报告（摘录部分）</w:t>
      </w:r>
      <w:bookmarkEnd w:id="72"/>
    </w:p>
    <w:p w14:paraId="56E77156">
      <w:pPr>
        <w:jc w:val="center"/>
        <w:rPr>
          <w:rFonts w:hint="default" w:ascii="Times New Roman" w:hAnsi="Times New Roman" w:cs="Times New Roman"/>
          <w:color w:val="auto"/>
          <w:highlight w:val="none"/>
          <w:lang w:val="en-US" w:eastAsia="zh-CN"/>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774690" cy="8230870"/>
            <wp:effectExtent l="0" t="0" r="16510" b="17780"/>
            <wp:docPr id="1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8"/>
                    <pic:cNvPicPr>
                      <a:picLocks noChangeAspect="1"/>
                    </pic:cNvPicPr>
                  </pic:nvPicPr>
                  <pic:blipFill>
                    <a:blip r:embed="rId90"/>
                    <a:stretch>
                      <a:fillRect/>
                    </a:stretch>
                  </pic:blipFill>
                  <pic:spPr>
                    <a:xfrm>
                      <a:off x="0" y="0"/>
                      <a:ext cx="5774690" cy="823087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6320" cy="8724900"/>
            <wp:effectExtent l="0" t="0" r="17780" b="0"/>
            <wp:docPr id="1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9"/>
                    <pic:cNvPicPr>
                      <a:picLocks noChangeAspect="1"/>
                    </pic:cNvPicPr>
                  </pic:nvPicPr>
                  <pic:blipFill>
                    <a:blip r:embed="rId91"/>
                    <a:stretch>
                      <a:fillRect/>
                    </a:stretch>
                  </pic:blipFill>
                  <pic:spPr>
                    <a:xfrm>
                      <a:off x="0" y="0"/>
                      <a:ext cx="6116320" cy="87249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8225" cy="8680450"/>
            <wp:effectExtent l="0" t="0" r="15875" b="6350"/>
            <wp:docPr id="1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0"/>
                    <pic:cNvPicPr>
                      <a:picLocks noChangeAspect="1"/>
                    </pic:cNvPicPr>
                  </pic:nvPicPr>
                  <pic:blipFill>
                    <a:blip r:embed="rId92"/>
                    <a:stretch>
                      <a:fillRect/>
                    </a:stretch>
                  </pic:blipFill>
                  <pic:spPr>
                    <a:xfrm>
                      <a:off x="0" y="0"/>
                      <a:ext cx="6118225" cy="86804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8860" cy="8735695"/>
            <wp:effectExtent l="0" t="0" r="15240" b="8255"/>
            <wp:docPr id="1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1"/>
                    <pic:cNvPicPr>
                      <a:picLocks noChangeAspect="1"/>
                    </pic:cNvPicPr>
                  </pic:nvPicPr>
                  <pic:blipFill>
                    <a:blip r:embed="rId93"/>
                    <a:stretch>
                      <a:fillRect/>
                    </a:stretch>
                  </pic:blipFill>
                  <pic:spPr>
                    <a:xfrm>
                      <a:off x="0" y="0"/>
                      <a:ext cx="6118860" cy="87356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3780" cy="8550275"/>
            <wp:effectExtent l="0" t="0" r="1270" b="3175"/>
            <wp:docPr id="1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2"/>
                    <pic:cNvPicPr>
                      <a:picLocks noChangeAspect="1"/>
                    </pic:cNvPicPr>
                  </pic:nvPicPr>
                  <pic:blipFill>
                    <a:blip r:embed="rId94"/>
                    <a:stretch>
                      <a:fillRect/>
                    </a:stretch>
                  </pic:blipFill>
                  <pic:spPr>
                    <a:xfrm>
                      <a:off x="0" y="0"/>
                      <a:ext cx="6113780" cy="85502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8225" cy="8586470"/>
            <wp:effectExtent l="0" t="0" r="15875" b="5080"/>
            <wp:docPr id="1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4"/>
                    <pic:cNvPicPr>
                      <a:picLocks noChangeAspect="1"/>
                    </pic:cNvPicPr>
                  </pic:nvPicPr>
                  <pic:blipFill>
                    <a:blip r:embed="rId95"/>
                    <a:stretch>
                      <a:fillRect/>
                    </a:stretch>
                  </pic:blipFill>
                  <pic:spPr>
                    <a:xfrm>
                      <a:off x="0" y="0"/>
                      <a:ext cx="6118225" cy="858647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8225" cy="8612505"/>
            <wp:effectExtent l="0" t="0" r="15875" b="17145"/>
            <wp:docPr id="1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5"/>
                    <pic:cNvPicPr>
                      <a:picLocks noChangeAspect="1"/>
                    </pic:cNvPicPr>
                  </pic:nvPicPr>
                  <pic:blipFill>
                    <a:blip r:embed="rId96"/>
                    <a:stretch>
                      <a:fillRect/>
                    </a:stretch>
                  </pic:blipFill>
                  <pic:spPr>
                    <a:xfrm>
                      <a:off x="0" y="0"/>
                      <a:ext cx="6118225" cy="861250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7590" cy="8538210"/>
            <wp:effectExtent l="0" t="0" r="16510" b="15240"/>
            <wp:docPr id="1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6"/>
                    <pic:cNvPicPr>
                      <a:picLocks noChangeAspect="1"/>
                    </pic:cNvPicPr>
                  </pic:nvPicPr>
                  <pic:blipFill>
                    <a:blip r:embed="rId97"/>
                    <a:stretch>
                      <a:fillRect/>
                    </a:stretch>
                  </pic:blipFill>
                  <pic:spPr>
                    <a:xfrm>
                      <a:off x="0" y="0"/>
                      <a:ext cx="6117590" cy="853821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6320" cy="8543925"/>
            <wp:effectExtent l="0" t="0" r="17780" b="9525"/>
            <wp:docPr id="1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7"/>
                    <pic:cNvPicPr>
                      <a:picLocks noChangeAspect="1"/>
                    </pic:cNvPicPr>
                  </pic:nvPicPr>
                  <pic:blipFill>
                    <a:blip r:embed="rId98"/>
                    <a:stretch>
                      <a:fillRect/>
                    </a:stretch>
                  </pic:blipFill>
                  <pic:spPr>
                    <a:xfrm>
                      <a:off x="0" y="0"/>
                      <a:ext cx="6116320" cy="85439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6320" cy="8663940"/>
            <wp:effectExtent l="0" t="0" r="17780" b="3810"/>
            <wp:docPr id="1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8"/>
                    <pic:cNvPicPr>
                      <a:picLocks noChangeAspect="1"/>
                    </pic:cNvPicPr>
                  </pic:nvPicPr>
                  <pic:blipFill>
                    <a:blip r:embed="rId99"/>
                    <a:stretch>
                      <a:fillRect/>
                    </a:stretch>
                  </pic:blipFill>
                  <pic:spPr>
                    <a:xfrm>
                      <a:off x="0" y="0"/>
                      <a:ext cx="6116320" cy="866394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5685" cy="8660765"/>
            <wp:effectExtent l="0" t="0" r="18415" b="6985"/>
            <wp:docPr id="1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9"/>
                    <pic:cNvPicPr>
                      <a:picLocks noChangeAspect="1"/>
                    </pic:cNvPicPr>
                  </pic:nvPicPr>
                  <pic:blipFill>
                    <a:blip r:embed="rId100"/>
                    <a:stretch>
                      <a:fillRect/>
                    </a:stretch>
                  </pic:blipFill>
                  <pic:spPr>
                    <a:xfrm>
                      <a:off x="0" y="0"/>
                      <a:ext cx="6115685" cy="86607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395335"/>
            <wp:effectExtent l="0" t="0" r="635" b="5715"/>
            <wp:docPr id="1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0"/>
                    <pic:cNvPicPr>
                      <a:picLocks noChangeAspect="1"/>
                    </pic:cNvPicPr>
                  </pic:nvPicPr>
                  <pic:blipFill>
                    <a:blip r:embed="rId101"/>
                    <a:stretch>
                      <a:fillRect/>
                    </a:stretch>
                  </pic:blipFill>
                  <pic:spPr>
                    <a:xfrm>
                      <a:off x="0" y="0"/>
                      <a:ext cx="6114415" cy="8395335"/>
                    </a:xfrm>
                    <a:prstGeom prst="rect">
                      <a:avLst/>
                    </a:prstGeom>
                    <a:noFill/>
                    <a:ln>
                      <a:noFill/>
                    </a:ln>
                  </pic:spPr>
                </pic:pic>
              </a:graphicData>
            </a:graphic>
          </wp:inline>
        </w:drawing>
      </w:r>
    </w:p>
    <w:p w14:paraId="201025E5">
      <w:pPr>
        <w:pStyle w:val="7"/>
        <w:jc w:val="left"/>
        <w:rPr>
          <w:rFonts w:hint="default" w:ascii="Times New Roman" w:hAnsi="Times New Roman" w:cs="Times New Roman"/>
          <w:color w:val="auto"/>
          <w:sz w:val="24"/>
          <w:highlight w:val="none"/>
          <w:lang w:val="en-US" w:eastAsia="zh-CN"/>
        </w:rPr>
      </w:pPr>
      <w:bookmarkStart w:id="73" w:name="_Toc23199"/>
      <w:r>
        <w:rPr>
          <w:rFonts w:hint="default" w:ascii="Times New Roman" w:hAnsi="Times New Roman" w:cs="Times New Roman"/>
          <w:color w:val="auto"/>
          <w:sz w:val="24"/>
          <w:highlight w:val="none"/>
          <w:lang w:eastAsia="zh-CN"/>
        </w:rPr>
        <w:t>附件</w:t>
      </w:r>
      <w:r>
        <w:rPr>
          <w:rFonts w:hint="default" w:ascii="Times New Roman" w:hAnsi="Times New Roman" w:cs="Times New Roman"/>
          <w:color w:val="auto"/>
          <w:sz w:val="24"/>
          <w:highlight w:val="none"/>
          <w:lang w:val="en-US" w:eastAsia="zh-CN"/>
        </w:rPr>
        <w:t>6原料MSDS或VOCs检测报告</w:t>
      </w:r>
      <w:bookmarkEnd w:id="73"/>
    </w:p>
    <w:p w14:paraId="0CE975B0">
      <w:pPr>
        <w:numPr>
          <w:ilvl w:val="0"/>
          <w:numId w:val="18"/>
        </w:numP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封口胶</w:t>
      </w:r>
    </w:p>
    <w:p w14:paraId="34B9D491">
      <w:pPr>
        <w:numPr>
          <w:ilvl w:val="0"/>
          <w:numId w:val="0"/>
        </w:numPr>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rPr>
        <w:drawing>
          <wp:inline distT="0" distB="0" distL="114300" distR="114300">
            <wp:extent cx="5547360" cy="8063865"/>
            <wp:effectExtent l="0" t="0" r="13970" b="1905"/>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102"/>
                    <a:stretch>
                      <a:fillRect/>
                    </a:stretch>
                  </pic:blipFill>
                  <pic:spPr>
                    <a:xfrm>
                      <a:off x="0" y="0"/>
                      <a:ext cx="5547360" cy="8063865"/>
                    </a:xfrm>
                    <a:prstGeom prst="rect">
                      <a:avLst/>
                    </a:prstGeom>
                    <a:noFill/>
                    <a:ln>
                      <a:noFill/>
                    </a:ln>
                  </pic:spPr>
                </pic:pic>
              </a:graphicData>
            </a:graphic>
          </wp:inline>
        </w:drawing>
      </w:r>
    </w:p>
    <w:p w14:paraId="5D5FADD6">
      <w:pPr>
        <w:numPr>
          <w:ilvl w:val="0"/>
          <w:numId w:val="0"/>
        </w:numP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114300" distR="114300">
            <wp:extent cx="6116955" cy="8932545"/>
            <wp:effectExtent l="0" t="0" r="9525" b="13335"/>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103"/>
                    <a:stretch>
                      <a:fillRect/>
                    </a:stretch>
                  </pic:blipFill>
                  <pic:spPr>
                    <a:xfrm>
                      <a:off x="0" y="0"/>
                      <a:ext cx="6116955" cy="893254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6296025" cy="5509260"/>
            <wp:effectExtent l="0" t="0" r="13335" b="7620"/>
            <wp:docPr id="1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
                    <pic:cNvPicPr>
                      <a:picLocks noChangeAspect="1"/>
                    </pic:cNvPicPr>
                  </pic:nvPicPr>
                  <pic:blipFill>
                    <a:blip r:embed="rId104"/>
                    <a:stretch>
                      <a:fillRect/>
                    </a:stretch>
                  </pic:blipFill>
                  <pic:spPr>
                    <a:xfrm>
                      <a:off x="0" y="0"/>
                      <a:ext cx="6296025" cy="5509260"/>
                    </a:xfrm>
                    <a:prstGeom prst="rect">
                      <a:avLst/>
                    </a:prstGeom>
                    <a:noFill/>
                    <a:ln>
                      <a:noFill/>
                    </a:ln>
                  </pic:spPr>
                </pic:pic>
              </a:graphicData>
            </a:graphic>
          </wp:inline>
        </w:drawing>
      </w:r>
    </w:p>
    <w:p w14:paraId="60A3811B">
      <w:pPr>
        <w:numPr>
          <w:ilvl w:val="0"/>
          <w:numId w:val="0"/>
        </w:numPr>
        <w:rPr>
          <w:rFonts w:hint="default" w:ascii="Times New Roman" w:hAnsi="Times New Roman" w:cs="Times New Roman"/>
          <w:color w:val="auto"/>
          <w:highlight w:val="none"/>
        </w:rPr>
      </w:pPr>
    </w:p>
    <w:p w14:paraId="62FB9D7D">
      <w:pPr>
        <w:numPr>
          <w:ilvl w:val="0"/>
          <w:numId w:val="0"/>
        </w:num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6118225" cy="8776335"/>
            <wp:effectExtent l="0" t="0" r="8255" b="1905"/>
            <wp:docPr id="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
                    <pic:cNvPicPr>
                      <a:picLocks noChangeAspect="1"/>
                    </pic:cNvPicPr>
                  </pic:nvPicPr>
                  <pic:blipFill>
                    <a:blip r:embed="rId105"/>
                    <a:stretch>
                      <a:fillRect/>
                    </a:stretch>
                  </pic:blipFill>
                  <pic:spPr>
                    <a:xfrm>
                      <a:off x="0" y="0"/>
                      <a:ext cx="6118225" cy="877633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20130" cy="8769350"/>
            <wp:effectExtent l="0" t="0" r="6350" b="889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106"/>
                    <a:stretch>
                      <a:fillRect/>
                    </a:stretch>
                  </pic:blipFill>
                  <pic:spPr>
                    <a:xfrm>
                      <a:off x="0" y="0"/>
                      <a:ext cx="6120130" cy="87693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686800"/>
            <wp:effectExtent l="0" t="0" r="12065" b="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07"/>
                    <a:stretch>
                      <a:fillRect/>
                    </a:stretch>
                  </pic:blipFill>
                  <pic:spPr>
                    <a:xfrm>
                      <a:off x="0" y="0"/>
                      <a:ext cx="6114415" cy="86868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622665"/>
            <wp:effectExtent l="0" t="0" r="12065" b="3175"/>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08"/>
                    <a:stretch>
                      <a:fillRect/>
                    </a:stretch>
                  </pic:blipFill>
                  <pic:spPr>
                    <a:xfrm>
                      <a:off x="0" y="0"/>
                      <a:ext cx="6114415" cy="86226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712835"/>
            <wp:effectExtent l="0" t="0" r="12065" b="4445"/>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109"/>
                    <a:stretch>
                      <a:fillRect/>
                    </a:stretch>
                  </pic:blipFill>
                  <pic:spPr>
                    <a:xfrm>
                      <a:off x="0" y="0"/>
                      <a:ext cx="6114415" cy="8712835"/>
                    </a:xfrm>
                    <a:prstGeom prst="rect">
                      <a:avLst/>
                    </a:prstGeom>
                    <a:noFill/>
                    <a:ln>
                      <a:noFill/>
                    </a:ln>
                  </pic:spPr>
                </pic:pic>
              </a:graphicData>
            </a:graphic>
          </wp:inline>
        </w:drawing>
      </w:r>
    </w:p>
    <w:p w14:paraId="1BDF1509">
      <w:pPr>
        <w:rPr>
          <w:rFonts w:hint="default" w:ascii="Times New Roman" w:hAnsi="Times New Roman" w:cs="Times New Roman"/>
          <w:color w:val="auto"/>
          <w:highlight w:val="none"/>
        </w:rPr>
      </w:pPr>
    </w:p>
    <w:p w14:paraId="2E6FA4C3">
      <w:pPr>
        <w:rPr>
          <w:rFonts w:hint="default" w:ascii="Times New Roman" w:hAnsi="Times New Roman" w:cs="Times New Roman"/>
          <w:color w:val="auto"/>
          <w:highlight w:val="none"/>
        </w:rPr>
        <w:sectPr>
          <w:headerReference r:id="rId6" w:type="default"/>
          <w:footerReference r:id="rId7" w:type="default"/>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p>
    <w:p w14:paraId="075E808D">
      <w:pPr>
        <w:numPr>
          <w:ilvl w:val="0"/>
          <w:numId w:val="19"/>
        </w:numP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点胶剂</w:t>
      </w:r>
    </w:p>
    <w:p w14:paraId="490EF8C8">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397500" cy="8650605"/>
            <wp:effectExtent l="0" t="0" r="12700" b="5715"/>
            <wp:docPr id="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
                    <pic:cNvPicPr>
                      <a:picLocks noChangeAspect="1"/>
                    </pic:cNvPicPr>
                  </pic:nvPicPr>
                  <pic:blipFill>
                    <a:blip r:embed="rId110"/>
                    <a:stretch>
                      <a:fillRect/>
                    </a:stretch>
                  </pic:blipFill>
                  <pic:spPr>
                    <a:xfrm>
                      <a:off x="0" y="0"/>
                      <a:ext cx="5397500" cy="8650605"/>
                    </a:xfrm>
                    <a:prstGeom prst="rect">
                      <a:avLst/>
                    </a:prstGeom>
                    <a:noFill/>
                    <a:ln>
                      <a:noFill/>
                    </a:ln>
                  </pic:spPr>
                </pic:pic>
              </a:graphicData>
            </a:graphic>
          </wp:inline>
        </w:drawing>
      </w:r>
    </w:p>
    <w:p w14:paraId="33C69DBF">
      <w:pPr>
        <w:jc w:val="center"/>
        <w:rPr>
          <w:rFonts w:hint="default" w:ascii="Times New Roman" w:hAnsi="Times New Roman" w:cs="Times New Roman"/>
          <w:color w:val="auto"/>
          <w:highlight w:val="none"/>
          <w:lang w:val="en-US" w:eastAsia="zh-CN"/>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drawing>
          <wp:inline distT="0" distB="0" distL="114300" distR="114300">
            <wp:extent cx="5431155" cy="8888095"/>
            <wp:effectExtent l="0" t="0" r="9525" b="12065"/>
            <wp:docPr id="2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
                    <pic:cNvPicPr>
                      <a:picLocks noChangeAspect="1"/>
                    </pic:cNvPicPr>
                  </pic:nvPicPr>
                  <pic:blipFill>
                    <a:blip r:embed="rId111"/>
                    <a:stretch>
                      <a:fillRect/>
                    </a:stretch>
                  </pic:blipFill>
                  <pic:spPr>
                    <a:xfrm>
                      <a:off x="0" y="0"/>
                      <a:ext cx="5431155" cy="88880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229225" cy="8877935"/>
            <wp:effectExtent l="0" t="0" r="13335" b="6985"/>
            <wp:docPr id="1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2"/>
                    <pic:cNvPicPr>
                      <a:picLocks noChangeAspect="1"/>
                    </pic:cNvPicPr>
                  </pic:nvPicPr>
                  <pic:blipFill>
                    <a:blip r:embed="rId112"/>
                    <a:srcRect b="2358"/>
                    <a:stretch>
                      <a:fillRect/>
                    </a:stretch>
                  </pic:blipFill>
                  <pic:spPr>
                    <a:xfrm>
                      <a:off x="0" y="0"/>
                      <a:ext cx="5229225" cy="887793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68645" cy="8948420"/>
            <wp:effectExtent l="0" t="0" r="635" b="12700"/>
            <wp:docPr id="1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3"/>
                    <pic:cNvPicPr>
                      <a:picLocks noChangeAspect="1"/>
                    </pic:cNvPicPr>
                  </pic:nvPicPr>
                  <pic:blipFill>
                    <a:blip r:embed="rId113"/>
                    <a:stretch>
                      <a:fillRect/>
                    </a:stretch>
                  </pic:blipFill>
                  <pic:spPr>
                    <a:xfrm>
                      <a:off x="0" y="0"/>
                      <a:ext cx="5668645" cy="894842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9495" cy="8814435"/>
            <wp:effectExtent l="0" t="0" r="6985" b="9525"/>
            <wp:docPr id="1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4"/>
                    <pic:cNvPicPr>
                      <a:picLocks noChangeAspect="1"/>
                    </pic:cNvPicPr>
                  </pic:nvPicPr>
                  <pic:blipFill>
                    <a:blip r:embed="rId114"/>
                    <a:stretch>
                      <a:fillRect/>
                    </a:stretch>
                  </pic:blipFill>
                  <pic:spPr>
                    <a:xfrm>
                      <a:off x="0" y="0"/>
                      <a:ext cx="6119495" cy="881443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6114415" cy="8433435"/>
            <wp:effectExtent l="0" t="0" r="12065" b="9525"/>
            <wp:docPr id="1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5"/>
                    <pic:cNvPicPr>
                      <a:picLocks noChangeAspect="1"/>
                    </pic:cNvPicPr>
                  </pic:nvPicPr>
                  <pic:blipFill>
                    <a:blip r:embed="rId115"/>
                    <a:stretch>
                      <a:fillRect/>
                    </a:stretch>
                  </pic:blipFill>
                  <pic:spPr>
                    <a:xfrm>
                      <a:off x="0" y="0"/>
                      <a:ext cx="6114415" cy="8433435"/>
                    </a:xfrm>
                    <a:prstGeom prst="rect">
                      <a:avLst/>
                    </a:prstGeom>
                    <a:noFill/>
                    <a:ln>
                      <a:noFill/>
                    </a:ln>
                  </pic:spPr>
                </pic:pic>
              </a:graphicData>
            </a:graphic>
          </wp:inline>
        </w:drawing>
      </w:r>
    </w:p>
    <w:p w14:paraId="575A5A34">
      <w:pPr>
        <w:numPr>
          <w:ilvl w:val="0"/>
          <w:numId w:val="19"/>
        </w:numP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液晶</w:t>
      </w:r>
    </w:p>
    <w:p w14:paraId="6419D807">
      <w:pPr>
        <w:rPr>
          <w:rFonts w:hint="default" w:ascii="Times New Roman" w:hAnsi="Times New Roman" w:cs="Times New Roman"/>
          <w:color w:val="auto"/>
          <w:highlight w:val="none"/>
          <w:lang w:val="en-US" w:eastAsia="zh-CN"/>
        </w:rPr>
      </w:pPr>
    </w:p>
    <w:p w14:paraId="042FE546">
      <w:pPr>
        <w:jc w:val="center"/>
        <w:rPr>
          <w:rFonts w:hint="default" w:ascii="Times New Roman" w:hAnsi="Times New Roman" w:cs="Times New Roman"/>
          <w:color w:val="auto"/>
          <w:highlight w:val="none"/>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690870" cy="8387715"/>
            <wp:effectExtent l="0" t="0" r="5080" b="1333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116"/>
                    <a:stretch>
                      <a:fillRect/>
                    </a:stretch>
                  </pic:blipFill>
                  <pic:spPr>
                    <a:xfrm>
                      <a:off x="0" y="0"/>
                      <a:ext cx="5690870" cy="838771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17565" cy="8898890"/>
            <wp:effectExtent l="0" t="0" r="12065" b="1397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17"/>
                    <a:stretch>
                      <a:fillRect/>
                    </a:stretch>
                  </pic:blipFill>
                  <pic:spPr>
                    <a:xfrm>
                      <a:off x="0" y="0"/>
                      <a:ext cx="5917565" cy="8898890"/>
                    </a:xfrm>
                    <a:prstGeom prst="rect">
                      <a:avLst/>
                    </a:prstGeom>
                    <a:noFill/>
                    <a:ln>
                      <a:noFill/>
                    </a:ln>
                  </pic:spPr>
                </pic:pic>
              </a:graphicData>
            </a:graphic>
          </wp:inline>
        </w:drawing>
      </w:r>
    </w:p>
    <w:p w14:paraId="58F83A1A">
      <w:pPr>
        <w:numPr>
          <w:ilvl w:val="0"/>
          <w:numId w:val="19"/>
        </w:numP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清洗剂A</w:t>
      </w:r>
    </w:p>
    <w:p w14:paraId="6919FA65">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457190" cy="8355330"/>
            <wp:effectExtent l="0" t="0" r="13970" b="1143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18"/>
                    <a:stretch>
                      <a:fillRect/>
                    </a:stretch>
                  </pic:blipFill>
                  <pic:spPr>
                    <a:xfrm>
                      <a:off x="0" y="0"/>
                      <a:ext cx="5457190" cy="8355330"/>
                    </a:xfrm>
                    <a:prstGeom prst="rect">
                      <a:avLst/>
                    </a:prstGeom>
                    <a:noFill/>
                    <a:ln>
                      <a:noFill/>
                    </a:ln>
                  </pic:spPr>
                </pic:pic>
              </a:graphicData>
            </a:graphic>
          </wp:inline>
        </w:drawing>
      </w:r>
    </w:p>
    <w:p w14:paraId="752EBBFC">
      <w:pPr>
        <w:jc w:val="center"/>
        <w:rPr>
          <w:rFonts w:hint="default" w:ascii="Times New Roman" w:hAnsi="Times New Roman" w:cs="Times New Roman"/>
          <w:color w:val="auto"/>
          <w:highlight w:val="none"/>
          <w:lang w:val="en-US" w:eastAsia="zh-CN"/>
        </w:rPr>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466715" cy="8888095"/>
            <wp:effectExtent l="0" t="0" r="635" b="825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119"/>
                    <a:stretch>
                      <a:fillRect/>
                    </a:stretch>
                  </pic:blipFill>
                  <pic:spPr>
                    <a:xfrm>
                      <a:off x="0" y="0"/>
                      <a:ext cx="5466715" cy="88880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83860" cy="8888095"/>
            <wp:effectExtent l="0" t="0" r="2540" b="8255"/>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120"/>
                    <a:stretch>
                      <a:fillRect/>
                    </a:stretch>
                  </pic:blipFill>
                  <pic:spPr>
                    <a:xfrm>
                      <a:off x="0" y="0"/>
                      <a:ext cx="5483860" cy="8888095"/>
                    </a:xfrm>
                    <a:prstGeom prst="rect">
                      <a:avLst/>
                    </a:prstGeom>
                    <a:noFill/>
                    <a:ln>
                      <a:noFill/>
                    </a:ln>
                  </pic:spPr>
                </pic:pic>
              </a:graphicData>
            </a:graphic>
          </wp:inline>
        </w:drawing>
      </w:r>
    </w:p>
    <w:p w14:paraId="3419D50C">
      <w:pPr>
        <w:numPr>
          <w:ilvl w:val="0"/>
          <w:numId w:val="19"/>
        </w:numP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清洗剂B</w:t>
      </w:r>
    </w:p>
    <w:p w14:paraId="3693D88D">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5289550" cy="8611870"/>
            <wp:effectExtent l="0" t="0" r="6350" b="17780"/>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121"/>
                    <a:stretch>
                      <a:fillRect/>
                    </a:stretch>
                  </pic:blipFill>
                  <pic:spPr>
                    <a:xfrm>
                      <a:off x="0" y="0"/>
                      <a:ext cx="5289550" cy="8611870"/>
                    </a:xfrm>
                    <a:prstGeom prst="rect">
                      <a:avLst/>
                    </a:prstGeom>
                    <a:noFill/>
                    <a:ln>
                      <a:noFill/>
                    </a:ln>
                  </pic:spPr>
                </pic:pic>
              </a:graphicData>
            </a:graphic>
          </wp:inline>
        </w:drawing>
      </w:r>
    </w:p>
    <w:p w14:paraId="47DE7CEF">
      <w:pPr>
        <w:pStyle w:val="10"/>
        <w:numPr>
          <w:ilvl w:val="3"/>
          <w:numId w:val="0"/>
        </w:numPr>
        <w:ind w:leftChars="20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577840" cy="8887460"/>
            <wp:effectExtent l="0" t="0" r="3810" b="8890"/>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122"/>
                    <a:stretch>
                      <a:fillRect/>
                    </a:stretch>
                  </pic:blipFill>
                  <pic:spPr>
                    <a:xfrm>
                      <a:off x="0" y="0"/>
                      <a:ext cx="5577840" cy="888746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504180" cy="8888095"/>
            <wp:effectExtent l="0" t="0" r="1270" b="8255"/>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123"/>
                    <a:stretch>
                      <a:fillRect/>
                    </a:stretch>
                  </pic:blipFill>
                  <pic:spPr>
                    <a:xfrm>
                      <a:off x="0" y="0"/>
                      <a:ext cx="5504180" cy="8888095"/>
                    </a:xfrm>
                    <a:prstGeom prst="rect">
                      <a:avLst/>
                    </a:prstGeom>
                    <a:noFill/>
                    <a:ln>
                      <a:noFill/>
                    </a:ln>
                  </pic:spPr>
                </pic:pic>
              </a:graphicData>
            </a:graphic>
          </wp:inline>
        </w:drawing>
      </w:r>
    </w:p>
    <w:sectPr>
      <w:pgSz w:w="11906" w:h="16838"/>
      <w:pgMar w:top="1418" w:right="1134" w:bottom="1418" w:left="1134" w:header="567" w:footer="56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MS Mincho">
    <w:altName w:val="Yu Gothic UI"/>
    <w:panose1 w:val="02020609040002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仿宋_GB2312">
    <w:altName w:val="仿宋"/>
    <w:panose1 w:val="02010609030101010101"/>
    <w:charset w:val="86"/>
    <w:family w:val="modern"/>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Segoe UI">
    <w:panose1 w:val="020B0502040204020203"/>
    <w:charset w:val="00"/>
    <w:family w:val="auto"/>
    <w:pitch w:val="default"/>
    <w:sig w:usb0="E4002EFF" w:usb1="C000E47F"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8C9E54">
    <w:pPr>
      <w:pStyle w:val="3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9F23A">
    <w:pPr>
      <w:pStyle w:val="30"/>
      <w:rPr>
        <w:rFonts w:ascii="宋体" w:hAnsi="宋体" w:eastAsia="宋体"/>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C5614A">
                          <w:pPr>
                            <w:pStyle w:val="30"/>
                          </w:pPr>
                          <w:r>
                            <w:t xml:space="preserve">— </w:t>
                          </w:r>
                          <w:r>
                            <w:rPr>
                              <w:rFonts w:ascii="Times New Roman" w:hAnsi="Times New Roman" w:cs="Times New Roman"/>
                              <w:sz w:val="21"/>
                              <w:szCs w:val="21"/>
                            </w:rPr>
                            <w:fldChar w:fldCharType="begin"/>
                          </w:r>
                          <w:r>
                            <w:rPr>
                              <w:rFonts w:ascii="Times New Roman" w:hAnsi="Times New Roman" w:cs="Times New Roman"/>
                              <w:sz w:val="21"/>
                              <w:szCs w:val="21"/>
                            </w:rPr>
                            <w:instrText xml:space="preserve"> PAGE  \* MERGEFORMAT </w:instrText>
                          </w:r>
                          <w:r>
                            <w:rPr>
                              <w:rFonts w:ascii="Times New Roman" w:hAnsi="Times New Roman" w:cs="Times New Roman"/>
                              <w:sz w:val="21"/>
                              <w:szCs w:val="21"/>
                            </w:rPr>
                            <w:fldChar w:fldCharType="separate"/>
                          </w:r>
                          <w:r>
                            <w:rPr>
                              <w:rFonts w:ascii="Times New Roman" w:hAnsi="Times New Roman" w:cs="Times New Roman"/>
                              <w:sz w:val="21"/>
                              <w:szCs w:val="21"/>
                            </w:rPr>
                            <w:t>1</w:t>
                          </w:r>
                          <w:r>
                            <w:rPr>
                              <w:rFonts w:ascii="Times New Roman" w:hAnsi="Times New Roman" w:cs="Times New Roman"/>
                              <w:sz w:val="21"/>
                              <w:szCs w:val="21"/>
                            </w:rP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3EC5614A">
                    <w:pPr>
                      <w:pStyle w:val="30"/>
                    </w:pPr>
                    <w:r>
                      <w:t xml:space="preserve">— </w:t>
                    </w:r>
                    <w:r>
                      <w:rPr>
                        <w:rFonts w:ascii="Times New Roman" w:hAnsi="Times New Roman" w:cs="Times New Roman"/>
                        <w:sz w:val="21"/>
                        <w:szCs w:val="21"/>
                      </w:rPr>
                      <w:fldChar w:fldCharType="begin"/>
                    </w:r>
                    <w:r>
                      <w:rPr>
                        <w:rFonts w:ascii="Times New Roman" w:hAnsi="Times New Roman" w:cs="Times New Roman"/>
                        <w:sz w:val="21"/>
                        <w:szCs w:val="21"/>
                      </w:rPr>
                      <w:instrText xml:space="preserve"> PAGE  \* MERGEFORMAT </w:instrText>
                    </w:r>
                    <w:r>
                      <w:rPr>
                        <w:rFonts w:ascii="Times New Roman" w:hAnsi="Times New Roman" w:cs="Times New Roman"/>
                        <w:sz w:val="21"/>
                        <w:szCs w:val="21"/>
                      </w:rPr>
                      <w:fldChar w:fldCharType="separate"/>
                    </w:r>
                    <w:r>
                      <w:rPr>
                        <w:rFonts w:ascii="Times New Roman" w:hAnsi="Times New Roman" w:cs="Times New Roman"/>
                        <w:sz w:val="21"/>
                        <w:szCs w:val="21"/>
                      </w:rPr>
                      <w:t>1</w:t>
                    </w:r>
                    <w:r>
                      <w:rPr>
                        <w:rFonts w:ascii="Times New Roman" w:hAnsi="Times New Roman" w:cs="Times New Roman"/>
                        <w:sz w:val="21"/>
                        <w:szCs w:val="21"/>
                      </w:rP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D9182">
    <w:pPr>
      <w:pStyle w:val="30"/>
      <w:rPr>
        <w:rFonts w:asciiTheme="minorEastAsia" w:hAnsiTheme="minorEastAsia"/>
        <w:sz w:val="21"/>
        <w:szCs w:val="24"/>
      </w:rPr>
    </w:pPr>
    <w:r>
      <w:rPr>
        <w:sz w:val="21"/>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AEC696">
                          <w:pPr>
                            <w:pStyle w:val="30"/>
                          </w:pPr>
                          <w:r>
                            <w:t xml:space="preserve">— </w:t>
                          </w:r>
                          <w:r>
                            <w:fldChar w:fldCharType="begin"/>
                          </w:r>
                          <w:r>
                            <w:instrText xml:space="preserve"> PAGE  \* MERGEFORMAT </w:instrText>
                          </w:r>
                          <w:r>
                            <w:fldChar w:fldCharType="separate"/>
                          </w:r>
                          <w:r>
                            <w:t>91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J74X8zAgAAY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J74X8zAgAAYwQAAA4AAAAAAAAAAQAgAAAAHwEAAGRycy9lMm9Eb2MueG1sUEsF&#10;BgAAAAAGAAYAWQEAAMQFAAAAAA==&#10;">
              <v:fill on="f" focussize="0,0"/>
              <v:stroke on="f" weight="0.5pt"/>
              <v:imagedata o:title=""/>
              <o:lock v:ext="edit" aspectratio="f"/>
              <v:textbox inset="0mm,0mm,0mm,0mm" style="mso-fit-shape-to-text:t;">
                <w:txbxContent>
                  <w:p w14:paraId="1DAEC696">
                    <w:pPr>
                      <w:pStyle w:val="30"/>
                    </w:pPr>
                    <w:r>
                      <w:t xml:space="preserve">— </w:t>
                    </w:r>
                    <w:r>
                      <w:fldChar w:fldCharType="begin"/>
                    </w:r>
                    <w:r>
                      <w:instrText xml:space="preserve"> PAGE  \* MERGEFORMAT </w:instrText>
                    </w:r>
                    <w:r>
                      <w:fldChar w:fldCharType="separate"/>
                    </w:r>
                    <w:r>
                      <w:t>91</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68865">
    <w:pPr>
      <w:pStyle w:val="30"/>
      <w:rPr>
        <w:rFonts w:asciiTheme="minorEastAsia" w:hAnsiTheme="minorEastAsia"/>
        <w:sz w:val="21"/>
        <w:szCs w:val="24"/>
      </w:rPr>
    </w:pPr>
    <w:r>
      <w:rPr>
        <w:sz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BA35E9">
                          <w:pPr>
                            <w:pStyle w:val="30"/>
                          </w:pPr>
                          <w:r>
                            <w:t xml:space="preserve">— </w:t>
                          </w:r>
                          <w:r>
                            <w:fldChar w:fldCharType="begin"/>
                          </w:r>
                          <w:r>
                            <w:instrText xml:space="preserve"> PAGE  \* MERGEFORMAT </w:instrText>
                          </w:r>
                          <w:r>
                            <w:fldChar w:fldCharType="separate"/>
                          </w:r>
                          <w:r>
                            <w:t>115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eHZ4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teHZ4zAgAAYwQAAA4AAAAAAAAAAQAgAAAAHwEAAGRycy9lMm9Eb2MueG1sUEsF&#10;BgAAAAAGAAYAWQEAAMQFAAAAAA==&#10;">
              <v:fill on="f" focussize="0,0"/>
              <v:stroke on="f" weight="0.5pt"/>
              <v:imagedata o:title=""/>
              <o:lock v:ext="edit" aspectratio="f"/>
              <v:textbox inset="0mm,0mm,0mm,0mm" style="mso-fit-shape-to-text:t;">
                <w:txbxContent>
                  <w:p w14:paraId="2ABA35E9">
                    <w:pPr>
                      <w:pStyle w:val="30"/>
                    </w:pPr>
                    <w:r>
                      <w:t xml:space="preserve">— </w:t>
                    </w:r>
                    <w:r>
                      <w:fldChar w:fldCharType="begin"/>
                    </w:r>
                    <w:r>
                      <w:instrText xml:space="preserve"> PAGE  \* MERGEFORMAT </w:instrText>
                    </w:r>
                    <w:r>
                      <w:fldChar w:fldCharType="separate"/>
                    </w:r>
                    <w:r>
                      <w:t>115</w:t>
                    </w:r>
                    <w: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87DC9A">
    <w:pPr>
      <w:pStyle w:val="31"/>
      <w:pBdr>
        <w:bottom w:val="none" w:color="auto" w:sz="0" w:space="1"/>
      </w:pBdr>
      <w:rPr>
        <w:rFonts w:hint="eastAsia"/>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F57392"/>
    <w:multiLevelType w:val="singleLevel"/>
    <w:tmpl w:val="BFF57392"/>
    <w:lvl w:ilvl="0" w:tentative="0">
      <w:start w:val="1"/>
      <w:numFmt w:val="bullet"/>
      <w:pStyle w:val="17"/>
      <w:lvlText w:val=""/>
      <w:lvlJc w:val="left"/>
      <w:pPr>
        <w:tabs>
          <w:tab w:val="left" w:pos="780"/>
        </w:tabs>
        <w:ind w:left="780" w:hanging="360"/>
      </w:pPr>
      <w:rPr>
        <w:rFonts w:hint="default" w:ascii="Wingdings" w:hAnsi="Wingdings"/>
      </w:rPr>
    </w:lvl>
  </w:abstractNum>
  <w:abstractNum w:abstractNumId="1">
    <w:nsid w:val="C6EBC4C5"/>
    <w:multiLevelType w:val="multilevel"/>
    <w:tmpl w:val="C6EBC4C5"/>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D1DC21E3"/>
    <w:multiLevelType w:val="singleLevel"/>
    <w:tmpl w:val="D1DC21E3"/>
    <w:lvl w:ilvl="0" w:tentative="0">
      <w:start w:val="1"/>
      <w:numFmt w:val="bullet"/>
      <w:pStyle w:val="27"/>
      <w:lvlText w:val=""/>
      <w:lvlJc w:val="left"/>
      <w:pPr>
        <w:tabs>
          <w:tab w:val="left" w:pos="2040"/>
        </w:tabs>
        <w:ind w:left="2040" w:hanging="360"/>
      </w:pPr>
      <w:rPr>
        <w:rFonts w:hint="default" w:ascii="Wingdings" w:hAnsi="Wingdings"/>
      </w:rPr>
    </w:lvl>
  </w:abstractNum>
  <w:abstractNum w:abstractNumId="3">
    <w:nsid w:val="D7CED440"/>
    <w:multiLevelType w:val="singleLevel"/>
    <w:tmpl w:val="D7CED440"/>
    <w:lvl w:ilvl="0" w:tentative="0">
      <w:start w:val="1"/>
      <w:numFmt w:val="decimal"/>
      <w:suff w:val="nothing"/>
      <w:lvlText w:val="表4-%1"/>
      <w:lvlJc w:val="left"/>
      <w:pPr>
        <w:tabs>
          <w:tab w:val="left" w:pos="0"/>
        </w:tabs>
        <w:ind w:left="0" w:firstLine="0"/>
      </w:pPr>
      <w:rPr>
        <w:rFonts w:hint="default" w:ascii="Times New Roman" w:hAnsi="Times New Roman" w:eastAsia="宋体" w:cs="Times New Roman"/>
        <w:b/>
        <w:bCs/>
        <w:sz w:val="21"/>
        <w:szCs w:val="21"/>
      </w:rPr>
    </w:lvl>
  </w:abstractNum>
  <w:abstractNum w:abstractNumId="4">
    <w:nsid w:val="F040C67E"/>
    <w:multiLevelType w:val="singleLevel"/>
    <w:tmpl w:val="F040C67E"/>
    <w:lvl w:ilvl="0" w:tentative="0">
      <w:start w:val="1"/>
      <w:numFmt w:val="decimal"/>
      <w:suff w:val="nothing"/>
      <w:lvlText w:val="图2-%1"/>
      <w:lvlJc w:val="left"/>
      <w:pPr>
        <w:tabs>
          <w:tab w:val="left" w:pos="0"/>
        </w:tabs>
        <w:ind w:left="0" w:firstLine="0"/>
      </w:pPr>
      <w:rPr>
        <w:rFonts w:hint="default" w:ascii="Times New Roman" w:hAnsi="Times New Roman" w:eastAsia="宋体" w:cs="Times New Roman"/>
        <w:b/>
        <w:bCs/>
        <w:sz w:val="21"/>
        <w:szCs w:val="21"/>
      </w:rPr>
    </w:lvl>
  </w:abstractNum>
  <w:abstractNum w:abstractNumId="5">
    <w:nsid w:val="00000010"/>
    <w:multiLevelType w:val="multilevel"/>
    <w:tmpl w:val="00000010"/>
    <w:lvl w:ilvl="0" w:tentative="0">
      <w:start w:val="1"/>
      <w:numFmt w:val="lowerLetter"/>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0000002A"/>
    <w:multiLevelType w:val="multilevel"/>
    <w:tmpl w:val="0000002A"/>
    <w:lvl w:ilvl="0" w:tentative="0">
      <w:start w:val="1"/>
      <w:numFmt w:val="decimal"/>
      <w:suff w:val="space"/>
      <w:lvlText w:val="第%1章"/>
      <w:lvlJc w:val="center"/>
      <w:pPr>
        <w:ind w:left="0" w:firstLine="288"/>
      </w:pP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u w:val="none"/>
        <w:vertAlign w:val="baseline"/>
        <w:lang w:val="en-US"/>
      </w:rPr>
    </w:lvl>
    <w:lvl w:ilvl="1" w:tentative="0">
      <w:start w:val="1"/>
      <w:numFmt w:val="decimal"/>
      <w:pStyle w:val="83"/>
      <w:suff w:val="space"/>
      <w:lvlText w:val="%1.%2"/>
      <w:lvlJc w:val="left"/>
      <w:pPr>
        <w:ind w:left="0" w:firstLine="0"/>
      </w:pPr>
      <w:rPr>
        <w:rFonts w:hint="eastAsia"/>
      </w:rPr>
    </w:lvl>
    <w:lvl w:ilvl="2" w:tentative="0">
      <w:start w:val="1"/>
      <w:numFmt w:val="decimal"/>
      <w:pStyle w:val="82"/>
      <w:suff w:val="space"/>
      <w:lvlText w:val="%1.%2.%3"/>
      <w:lvlJc w:val="left"/>
      <w:pPr>
        <w:ind w:left="0" w:firstLine="0"/>
      </w:pPr>
      <w:rPr>
        <w:rFonts w:hint="eastAsia"/>
      </w:rPr>
    </w:lvl>
    <w:lvl w:ilvl="3" w:tentative="0">
      <w:start w:val="1"/>
      <w:numFmt w:val="decimal"/>
      <w:pStyle w:val="81"/>
      <w:suff w:val="space"/>
      <w:lvlText w:val="%1.%2.%3.%4"/>
      <w:lvlJc w:val="left"/>
      <w:pPr>
        <w:ind w:left="0" w:firstLine="0"/>
      </w:pPr>
      <w:rPr>
        <w:rFonts w:hint="eastAsia"/>
      </w:rPr>
    </w:lvl>
    <w:lvl w:ilvl="4" w:tentative="0">
      <w:start w:val="1"/>
      <w:numFmt w:val="decimal"/>
      <w:lvlRestart w:val="2"/>
      <w:pStyle w:val="63"/>
      <w:suff w:val="space"/>
      <w:lvlText w:val="表%1.%2-%5"/>
      <w:lvlJc w:val="left"/>
      <w:pPr>
        <w:ind w:left="3828" w:firstLine="0"/>
      </w:pPr>
    </w:lvl>
    <w:lvl w:ilvl="5" w:tentative="0">
      <w:start w:val="1"/>
      <w:numFmt w:val="decimal"/>
      <w:lvlRestart w:val="2"/>
      <w:suff w:val="space"/>
      <w:lvlText w:val="图%1.%2-%6"/>
      <w:lvlJc w:val="left"/>
      <w:pPr>
        <w:ind w:left="5103" w:firstLine="0"/>
      </w:pPr>
    </w:lvl>
    <w:lvl w:ilvl="6" w:tentative="0">
      <w:start w:val="0"/>
      <w:numFmt w:val="decimal"/>
      <w:lvlText w:val="%7"/>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7">
    <w:nsid w:val="14B04A75"/>
    <w:multiLevelType w:val="multilevel"/>
    <w:tmpl w:val="14B04A75"/>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2685B739"/>
    <w:multiLevelType w:val="singleLevel"/>
    <w:tmpl w:val="2685B739"/>
    <w:lvl w:ilvl="0" w:tentative="0">
      <w:start w:val="1"/>
      <w:numFmt w:val="decimal"/>
      <w:suff w:val="nothing"/>
      <w:lvlText w:val="（%1）"/>
      <w:lvlJc w:val="left"/>
    </w:lvl>
  </w:abstractNum>
  <w:abstractNum w:abstractNumId="9">
    <w:nsid w:val="2FFA361E"/>
    <w:multiLevelType w:val="singleLevel"/>
    <w:tmpl w:val="2FFA361E"/>
    <w:lvl w:ilvl="0" w:tentative="0">
      <w:start w:val="1"/>
      <w:numFmt w:val="decimal"/>
      <w:suff w:val="nothing"/>
      <w:lvlText w:val="表2-%1"/>
      <w:lvlJc w:val="left"/>
      <w:pPr>
        <w:tabs>
          <w:tab w:val="left" w:pos="0"/>
        </w:tabs>
        <w:ind w:left="0" w:firstLine="0"/>
      </w:pPr>
      <w:rPr>
        <w:rFonts w:hint="default" w:ascii="Times New Roman" w:hAnsi="Times New Roman" w:eastAsia="宋体" w:cs="Times New Roman"/>
        <w:b/>
        <w:bCs/>
        <w:sz w:val="21"/>
        <w:szCs w:val="21"/>
      </w:rPr>
    </w:lvl>
  </w:abstractNum>
  <w:abstractNum w:abstractNumId="10">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suff w:val="nothing"/>
      <w:lvlText w:val=""/>
      <w:lvlJc w:val="left"/>
      <w:pPr>
        <w:tabs>
          <w:tab w:val="left" w:pos="0"/>
        </w:tabs>
        <w:ind w:left="0" w:firstLine="0"/>
      </w:pPr>
      <w:rPr>
        <w:rFonts w:hint="eastAsia" w:ascii="宋体" w:hAnsi="宋体" w:eastAsia="宋体" w:cs="宋体"/>
      </w:rPr>
    </w:lvl>
    <w:lvl w:ilvl="2" w:tentative="0">
      <w:start w:val="1"/>
      <w:numFmt w:val="chineseCounting"/>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10"/>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1">
    <w:nsid w:val="4009FD67"/>
    <w:multiLevelType w:val="multilevel"/>
    <w:tmpl w:val="4009FD67"/>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449FF57E"/>
    <w:multiLevelType w:val="singleLevel"/>
    <w:tmpl w:val="449FF57E"/>
    <w:lvl w:ilvl="0" w:tentative="0">
      <w:start w:val="2"/>
      <w:numFmt w:val="decimal"/>
      <w:suff w:val="nothing"/>
      <w:lvlText w:val="（%1）"/>
      <w:lvlJc w:val="left"/>
    </w:lvl>
  </w:abstractNum>
  <w:abstractNum w:abstractNumId="13">
    <w:nsid w:val="47CD33EB"/>
    <w:multiLevelType w:val="singleLevel"/>
    <w:tmpl w:val="47CD33EB"/>
    <w:lvl w:ilvl="0" w:tentative="0">
      <w:start w:val="2"/>
      <w:numFmt w:val="decimal"/>
      <w:suff w:val="nothing"/>
      <w:lvlText w:val="（%1）"/>
      <w:lvlJc w:val="left"/>
    </w:lvl>
  </w:abstractNum>
  <w:abstractNum w:abstractNumId="14">
    <w:nsid w:val="513F61D2"/>
    <w:multiLevelType w:val="singleLevel"/>
    <w:tmpl w:val="513F61D2"/>
    <w:lvl w:ilvl="0" w:tentative="0">
      <w:start w:val="1"/>
      <w:numFmt w:val="chineseCounting"/>
      <w:pStyle w:val="135"/>
      <w:suff w:val="nothing"/>
      <w:lvlText w:val="（%1）"/>
      <w:lvlJc w:val="left"/>
      <w:pPr>
        <w:ind w:left="0" w:firstLine="420"/>
      </w:pPr>
      <w:rPr>
        <w:rFonts w:hint="eastAsia"/>
      </w:rPr>
    </w:lvl>
  </w:abstractNum>
  <w:abstractNum w:abstractNumId="15">
    <w:nsid w:val="6D4BDC68"/>
    <w:multiLevelType w:val="singleLevel"/>
    <w:tmpl w:val="6D4BDC68"/>
    <w:lvl w:ilvl="0" w:tentative="0">
      <w:start w:val="1"/>
      <w:numFmt w:val="decimal"/>
      <w:suff w:val="nothing"/>
      <w:lvlText w:val="表3-%1"/>
      <w:lvlJc w:val="left"/>
      <w:pPr>
        <w:tabs>
          <w:tab w:val="left" w:pos="0"/>
        </w:tabs>
        <w:ind w:left="0" w:firstLine="0"/>
      </w:pPr>
      <w:rPr>
        <w:rFonts w:hint="default" w:ascii="宋体" w:hAnsi="宋体" w:eastAsia="宋体" w:cs="宋体"/>
        <w:b/>
        <w:bCs/>
        <w:sz w:val="21"/>
        <w:szCs w:val="21"/>
      </w:rPr>
    </w:lvl>
  </w:abstractNum>
  <w:abstractNum w:abstractNumId="16">
    <w:nsid w:val="71E5EBCC"/>
    <w:multiLevelType w:val="singleLevel"/>
    <w:tmpl w:val="71E5EBCC"/>
    <w:lvl w:ilvl="0" w:tentative="0">
      <w:start w:val="1"/>
      <w:numFmt w:val="decimal"/>
      <w:suff w:val="space"/>
      <w:lvlText w:val="图4-%1"/>
      <w:lvlJc w:val="left"/>
      <w:pPr>
        <w:tabs>
          <w:tab w:val="left" w:pos="0"/>
        </w:tabs>
        <w:ind w:left="0" w:firstLine="0"/>
      </w:pPr>
      <w:rPr>
        <w:rFonts w:hint="default"/>
        <w:b/>
        <w:sz w:val="21"/>
        <w:szCs w:val="21"/>
      </w:rPr>
    </w:lvl>
  </w:abstractNum>
  <w:abstractNum w:abstractNumId="17">
    <w:nsid w:val="7D06ABF8"/>
    <w:multiLevelType w:val="singleLevel"/>
    <w:tmpl w:val="7D06ABF8"/>
    <w:lvl w:ilvl="0" w:tentative="0">
      <w:start w:val="2"/>
      <w:numFmt w:val="decimal"/>
      <w:suff w:val="nothing"/>
      <w:lvlText w:val="（%1）"/>
      <w:lvlJc w:val="left"/>
    </w:lvl>
  </w:abstractNum>
  <w:abstractNum w:abstractNumId="18">
    <w:nsid w:val="7FA12654"/>
    <w:multiLevelType w:val="singleLevel"/>
    <w:tmpl w:val="7FA12654"/>
    <w:lvl w:ilvl="0" w:tentative="0">
      <w:start w:val="2"/>
      <w:numFmt w:val="decimal"/>
      <w:suff w:val="nothing"/>
      <w:lvlText w:val="（%1）"/>
      <w:lvlJc w:val="left"/>
    </w:lvl>
  </w:abstractNum>
  <w:num w:numId="1">
    <w:abstractNumId w:val="10"/>
  </w:num>
  <w:num w:numId="2">
    <w:abstractNumId w:val="0"/>
  </w:num>
  <w:num w:numId="3">
    <w:abstractNumId w:val="2"/>
  </w:num>
  <w:num w:numId="4">
    <w:abstractNumId w:val="6"/>
  </w:num>
  <w:num w:numId="5">
    <w:abstractNumId w:val="14"/>
  </w:num>
  <w:num w:numId="6">
    <w:abstractNumId w:val="9"/>
  </w:num>
  <w:num w:numId="7">
    <w:abstractNumId w:val="4"/>
  </w:num>
  <w:num w:numId="8">
    <w:abstractNumId w:val="12"/>
  </w:num>
  <w:num w:numId="9">
    <w:abstractNumId w:val="15"/>
  </w:num>
  <w:num w:numId="10">
    <w:abstractNumId w:val="7"/>
  </w:num>
  <w:num w:numId="11">
    <w:abstractNumId w:val="3"/>
  </w:num>
  <w:num w:numId="12">
    <w:abstractNumId w:val="16"/>
  </w:num>
  <w:num w:numId="13">
    <w:abstractNumId w:val="5"/>
  </w:num>
  <w:num w:numId="14">
    <w:abstractNumId w:val="13"/>
  </w:num>
  <w:num w:numId="15">
    <w:abstractNumId w:val="18"/>
  </w:num>
  <w:num w:numId="16">
    <w:abstractNumId w:val="1"/>
  </w:num>
  <w:num w:numId="17">
    <w:abstractNumId w:val="11"/>
  </w:num>
  <w:num w:numId="18">
    <w:abstractNumId w:va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k4YjM5ODVkODcxMzM1ZDFmNThkMjc4NTlmMDc2MWYifQ=="/>
  </w:docVars>
  <w:rsids>
    <w:rsidRoot w:val="00172A27"/>
    <w:rsid w:val="0000039B"/>
    <w:rsid w:val="00001679"/>
    <w:rsid w:val="000065E6"/>
    <w:rsid w:val="00007064"/>
    <w:rsid w:val="000107A3"/>
    <w:rsid w:val="000124DF"/>
    <w:rsid w:val="000169D8"/>
    <w:rsid w:val="00030E81"/>
    <w:rsid w:val="00031BDD"/>
    <w:rsid w:val="000372B6"/>
    <w:rsid w:val="000375DF"/>
    <w:rsid w:val="000400EF"/>
    <w:rsid w:val="0004032D"/>
    <w:rsid w:val="0004255E"/>
    <w:rsid w:val="0004365A"/>
    <w:rsid w:val="00044CA7"/>
    <w:rsid w:val="00051F7B"/>
    <w:rsid w:val="00053221"/>
    <w:rsid w:val="00053947"/>
    <w:rsid w:val="00061467"/>
    <w:rsid w:val="000615E3"/>
    <w:rsid w:val="000624E7"/>
    <w:rsid w:val="00065D73"/>
    <w:rsid w:val="000672D7"/>
    <w:rsid w:val="00071355"/>
    <w:rsid w:val="0007179E"/>
    <w:rsid w:val="00072727"/>
    <w:rsid w:val="00072A8D"/>
    <w:rsid w:val="00081DCC"/>
    <w:rsid w:val="00082D7C"/>
    <w:rsid w:val="00085DEC"/>
    <w:rsid w:val="000947A1"/>
    <w:rsid w:val="00096CDA"/>
    <w:rsid w:val="00096D84"/>
    <w:rsid w:val="00096FA1"/>
    <w:rsid w:val="000A3BD7"/>
    <w:rsid w:val="000A51C7"/>
    <w:rsid w:val="000A6F2C"/>
    <w:rsid w:val="000A77A8"/>
    <w:rsid w:val="000B0686"/>
    <w:rsid w:val="000B60C6"/>
    <w:rsid w:val="000C0750"/>
    <w:rsid w:val="000C2396"/>
    <w:rsid w:val="000C620F"/>
    <w:rsid w:val="000D7E47"/>
    <w:rsid w:val="000E2C2D"/>
    <w:rsid w:val="000E3834"/>
    <w:rsid w:val="000E38BB"/>
    <w:rsid w:val="000E6299"/>
    <w:rsid w:val="000F3481"/>
    <w:rsid w:val="000F42E4"/>
    <w:rsid w:val="000F6EB4"/>
    <w:rsid w:val="00100532"/>
    <w:rsid w:val="00100883"/>
    <w:rsid w:val="00105B6C"/>
    <w:rsid w:val="00111F15"/>
    <w:rsid w:val="00112387"/>
    <w:rsid w:val="001177FC"/>
    <w:rsid w:val="00120CC2"/>
    <w:rsid w:val="001224B8"/>
    <w:rsid w:val="00124593"/>
    <w:rsid w:val="00124A81"/>
    <w:rsid w:val="0013227E"/>
    <w:rsid w:val="001370A3"/>
    <w:rsid w:val="00137A55"/>
    <w:rsid w:val="0014296E"/>
    <w:rsid w:val="001443DB"/>
    <w:rsid w:val="00146C7F"/>
    <w:rsid w:val="001502A0"/>
    <w:rsid w:val="00161735"/>
    <w:rsid w:val="001626AE"/>
    <w:rsid w:val="00163DDE"/>
    <w:rsid w:val="00164483"/>
    <w:rsid w:val="001649B8"/>
    <w:rsid w:val="00165D63"/>
    <w:rsid w:val="001663EC"/>
    <w:rsid w:val="001676AE"/>
    <w:rsid w:val="00172422"/>
    <w:rsid w:val="00173CA1"/>
    <w:rsid w:val="001766B1"/>
    <w:rsid w:val="001776DF"/>
    <w:rsid w:val="00177F86"/>
    <w:rsid w:val="001806AE"/>
    <w:rsid w:val="001817AC"/>
    <w:rsid w:val="00186B73"/>
    <w:rsid w:val="00193085"/>
    <w:rsid w:val="001936D7"/>
    <w:rsid w:val="00194BE0"/>
    <w:rsid w:val="00196268"/>
    <w:rsid w:val="001965CE"/>
    <w:rsid w:val="00196BB7"/>
    <w:rsid w:val="001A0A08"/>
    <w:rsid w:val="001A10A7"/>
    <w:rsid w:val="001A67FA"/>
    <w:rsid w:val="001B069D"/>
    <w:rsid w:val="001B291C"/>
    <w:rsid w:val="001B3B66"/>
    <w:rsid w:val="001B5181"/>
    <w:rsid w:val="001B6DBA"/>
    <w:rsid w:val="001C1E36"/>
    <w:rsid w:val="001C52C7"/>
    <w:rsid w:val="001C6B97"/>
    <w:rsid w:val="001D32F3"/>
    <w:rsid w:val="001D3BA4"/>
    <w:rsid w:val="001D4F8E"/>
    <w:rsid w:val="001D69AD"/>
    <w:rsid w:val="001D744A"/>
    <w:rsid w:val="001E538E"/>
    <w:rsid w:val="001E6DCB"/>
    <w:rsid w:val="001E71A7"/>
    <w:rsid w:val="001E7208"/>
    <w:rsid w:val="001F0558"/>
    <w:rsid w:val="001F1B31"/>
    <w:rsid w:val="001F324C"/>
    <w:rsid w:val="001F6468"/>
    <w:rsid w:val="00200FD7"/>
    <w:rsid w:val="002017BA"/>
    <w:rsid w:val="00202E30"/>
    <w:rsid w:val="00203061"/>
    <w:rsid w:val="002033C6"/>
    <w:rsid w:val="002035E6"/>
    <w:rsid w:val="0020719C"/>
    <w:rsid w:val="00207F14"/>
    <w:rsid w:val="002147C2"/>
    <w:rsid w:val="00214B86"/>
    <w:rsid w:val="00216617"/>
    <w:rsid w:val="00235100"/>
    <w:rsid w:val="002357C7"/>
    <w:rsid w:val="0023648C"/>
    <w:rsid w:val="0023651F"/>
    <w:rsid w:val="002374F3"/>
    <w:rsid w:val="00240010"/>
    <w:rsid w:val="00241D99"/>
    <w:rsid w:val="002432FC"/>
    <w:rsid w:val="00243B98"/>
    <w:rsid w:val="00245716"/>
    <w:rsid w:val="00246A25"/>
    <w:rsid w:val="0024788B"/>
    <w:rsid w:val="00247A66"/>
    <w:rsid w:val="0025316C"/>
    <w:rsid w:val="0025720A"/>
    <w:rsid w:val="002577F6"/>
    <w:rsid w:val="00260BAD"/>
    <w:rsid w:val="002626C5"/>
    <w:rsid w:val="00262998"/>
    <w:rsid w:val="002629A8"/>
    <w:rsid w:val="00263255"/>
    <w:rsid w:val="00263711"/>
    <w:rsid w:val="00265117"/>
    <w:rsid w:val="00265D76"/>
    <w:rsid w:val="0026643E"/>
    <w:rsid w:val="00266F86"/>
    <w:rsid w:val="00267C68"/>
    <w:rsid w:val="00271C3B"/>
    <w:rsid w:val="00271D28"/>
    <w:rsid w:val="002730E0"/>
    <w:rsid w:val="00274C12"/>
    <w:rsid w:val="00274C17"/>
    <w:rsid w:val="00274FD7"/>
    <w:rsid w:val="0027522D"/>
    <w:rsid w:val="00282518"/>
    <w:rsid w:val="00285CE5"/>
    <w:rsid w:val="00296C05"/>
    <w:rsid w:val="002971B0"/>
    <w:rsid w:val="002A3664"/>
    <w:rsid w:val="002A399C"/>
    <w:rsid w:val="002B3A70"/>
    <w:rsid w:val="002B4516"/>
    <w:rsid w:val="002B4874"/>
    <w:rsid w:val="002C022D"/>
    <w:rsid w:val="002C08EC"/>
    <w:rsid w:val="002C2442"/>
    <w:rsid w:val="002C4635"/>
    <w:rsid w:val="002C5604"/>
    <w:rsid w:val="002C614A"/>
    <w:rsid w:val="002C656D"/>
    <w:rsid w:val="002C765C"/>
    <w:rsid w:val="002C7E0F"/>
    <w:rsid w:val="002D3A8A"/>
    <w:rsid w:val="002E060A"/>
    <w:rsid w:val="002E355F"/>
    <w:rsid w:val="002E4998"/>
    <w:rsid w:val="002E6243"/>
    <w:rsid w:val="002E74E1"/>
    <w:rsid w:val="002F0170"/>
    <w:rsid w:val="002F2497"/>
    <w:rsid w:val="002F2C4C"/>
    <w:rsid w:val="002F4EAF"/>
    <w:rsid w:val="002F6AF5"/>
    <w:rsid w:val="002F71E8"/>
    <w:rsid w:val="003001E6"/>
    <w:rsid w:val="0030092C"/>
    <w:rsid w:val="0030309F"/>
    <w:rsid w:val="00304960"/>
    <w:rsid w:val="00306665"/>
    <w:rsid w:val="00307A5E"/>
    <w:rsid w:val="00315BB9"/>
    <w:rsid w:val="00322073"/>
    <w:rsid w:val="0032275E"/>
    <w:rsid w:val="00323BE4"/>
    <w:rsid w:val="0032590F"/>
    <w:rsid w:val="00325A34"/>
    <w:rsid w:val="0033081E"/>
    <w:rsid w:val="003323A6"/>
    <w:rsid w:val="003327CD"/>
    <w:rsid w:val="0033346A"/>
    <w:rsid w:val="003355AA"/>
    <w:rsid w:val="00335E6B"/>
    <w:rsid w:val="00336E13"/>
    <w:rsid w:val="003411ED"/>
    <w:rsid w:val="00341C0C"/>
    <w:rsid w:val="003429DB"/>
    <w:rsid w:val="00343C47"/>
    <w:rsid w:val="00347D77"/>
    <w:rsid w:val="00350B49"/>
    <w:rsid w:val="00353715"/>
    <w:rsid w:val="00355C6B"/>
    <w:rsid w:val="003612E9"/>
    <w:rsid w:val="003648F7"/>
    <w:rsid w:val="00366D22"/>
    <w:rsid w:val="00371641"/>
    <w:rsid w:val="003718D7"/>
    <w:rsid w:val="00372521"/>
    <w:rsid w:val="00374E3F"/>
    <w:rsid w:val="00376B77"/>
    <w:rsid w:val="00377710"/>
    <w:rsid w:val="00382015"/>
    <w:rsid w:val="00383CF0"/>
    <w:rsid w:val="003844C0"/>
    <w:rsid w:val="00387A72"/>
    <w:rsid w:val="00387D26"/>
    <w:rsid w:val="0039009F"/>
    <w:rsid w:val="00392E5E"/>
    <w:rsid w:val="0039472D"/>
    <w:rsid w:val="003A1766"/>
    <w:rsid w:val="003A23D1"/>
    <w:rsid w:val="003A2F0A"/>
    <w:rsid w:val="003A3D8B"/>
    <w:rsid w:val="003B52B6"/>
    <w:rsid w:val="003B5F7B"/>
    <w:rsid w:val="003C096C"/>
    <w:rsid w:val="003C0D93"/>
    <w:rsid w:val="003C1A0E"/>
    <w:rsid w:val="003C57D7"/>
    <w:rsid w:val="003C6B8B"/>
    <w:rsid w:val="003C6E68"/>
    <w:rsid w:val="003D3242"/>
    <w:rsid w:val="003D3D6E"/>
    <w:rsid w:val="003D4B44"/>
    <w:rsid w:val="003D65B1"/>
    <w:rsid w:val="003E19D5"/>
    <w:rsid w:val="003E1E5D"/>
    <w:rsid w:val="003E3F86"/>
    <w:rsid w:val="003E5449"/>
    <w:rsid w:val="003E592D"/>
    <w:rsid w:val="003E709E"/>
    <w:rsid w:val="003E7BF8"/>
    <w:rsid w:val="003F0CCD"/>
    <w:rsid w:val="003F41C0"/>
    <w:rsid w:val="003F4FAB"/>
    <w:rsid w:val="003F5FBE"/>
    <w:rsid w:val="003F6F44"/>
    <w:rsid w:val="003F75EA"/>
    <w:rsid w:val="00400338"/>
    <w:rsid w:val="00400CEB"/>
    <w:rsid w:val="00401E15"/>
    <w:rsid w:val="0040476A"/>
    <w:rsid w:val="0041085D"/>
    <w:rsid w:val="00410D7A"/>
    <w:rsid w:val="00413368"/>
    <w:rsid w:val="00414FEC"/>
    <w:rsid w:val="00420764"/>
    <w:rsid w:val="00420E5E"/>
    <w:rsid w:val="004259E0"/>
    <w:rsid w:val="00426105"/>
    <w:rsid w:val="00430FC8"/>
    <w:rsid w:val="0043193F"/>
    <w:rsid w:val="00433C9B"/>
    <w:rsid w:val="00434D54"/>
    <w:rsid w:val="00436B1D"/>
    <w:rsid w:val="004418E1"/>
    <w:rsid w:val="00442540"/>
    <w:rsid w:val="00443577"/>
    <w:rsid w:val="0044558E"/>
    <w:rsid w:val="00446A3D"/>
    <w:rsid w:val="00447778"/>
    <w:rsid w:val="00451AE0"/>
    <w:rsid w:val="004535C0"/>
    <w:rsid w:val="0045433E"/>
    <w:rsid w:val="00460093"/>
    <w:rsid w:val="0046053E"/>
    <w:rsid w:val="00460E4F"/>
    <w:rsid w:val="0046180D"/>
    <w:rsid w:val="00461C16"/>
    <w:rsid w:val="004634E3"/>
    <w:rsid w:val="00463C0F"/>
    <w:rsid w:val="0046402B"/>
    <w:rsid w:val="00470C06"/>
    <w:rsid w:val="00471FD7"/>
    <w:rsid w:val="00472DB2"/>
    <w:rsid w:val="00474427"/>
    <w:rsid w:val="004746CE"/>
    <w:rsid w:val="0048026E"/>
    <w:rsid w:val="00482E56"/>
    <w:rsid w:val="00486E1F"/>
    <w:rsid w:val="00490DD8"/>
    <w:rsid w:val="0049170B"/>
    <w:rsid w:val="00494415"/>
    <w:rsid w:val="0049500F"/>
    <w:rsid w:val="004969C7"/>
    <w:rsid w:val="00497884"/>
    <w:rsid w:val="00497908"/>
    <w:rsid w:val="00497B33"/>
    <w:rsid w:val="004A5357"/>
    <w:rsid w:val="004A5BF6"/>
    <w:rsid w:val="004A6BA6"/>
    <w:rsid w:val="004A742F"/>
    <w:rsid w:val="004B142C"/>
    <w:rsid w:val="004B20EE"/>
    <w:rsid w:val="004B25D3"/>
    <w:rsid w:val="004B4543"/>
    <w:rsid w:val="004B56DD"/>
    <w:rsid w:val="004C00AF"/>
    <w:rsid w:val="004C08C0"/>
    <w:rsid w:val="004C750A"/>
    <w:rsid w:val="004D0080"/>
    <w:rsid w:val="004D4171"/>
    <w:rsid w:val="004D7414"/>
    <w:rsid w:val="004E016D"/>
    <w:rsid w:val="004E49B3"/>
    <w:rsid w:val="004E587F"/>
    <w:rsid w:val="004E645A"/>
    <w:rsid w:val="004E7707"/>
    <w:rsid w:val="004F362E"/>
    <w:rsid w:val="004F40FB"/>
    <w:rsid w:val="004F48A1"/>
    <w:rsid w:val="004F5BB0"/>
    <w:rsid w:val="004F7691"/>
    <w:rsid w:val="005002C1"/>
    <w:rsid w:val="0050289B"/>
    <w:rsid w:val="00502941"/>
    <w:rsid w:val="005059ED"/>
    <w:rsid w:val="00506B72"/>
    <w:rsid w:val="005071EF"/>
    <w:rsid w:val="00507715"/>
    <w:rsid w:val="005125D8"/>
    <w:rsid w:val="005137C5"/>
    <w:rsid w:val="00513880"/>
    <w:rsid w:val="005155A4"/>
    <w:rsid w:val="005159BC"/>
    <w:rsid w:val="00522748"/>
    <w:rsid w:val="00523ED2"/>
    <w:rsid w:val="00526EC3"/>
    <w:rsid w:val="00531F12"/>
    <w:rsid w:val="00533125"/>
    <w:rsid w:val="005343E7"/>
    <w:rsid w:val="00534432"/>
    <w:rsid w:val="00534439"/>
    <w:rsid w:val="00544025"/>
    <w:rsid w:val="005442C9"/>
    <w:rsid w:val="00545D3C"/>
    <w:rsid w:val="005464E1"/>
    <w:rsid w:val="005466BC"/>
    <w:rsid w:val="00547568"/>
    <w:rsid w:val="00547D99"/>
    <w:rsid w:val="0055122D"/>
    <w:rsid w:val="00551BFF"/>
    <w:rsid w:val="0055301C"/>
    <w:rsid w:val="00554BB9"/>
    <w:rsid w:val="00554CA7"/>
    <w:rsid w:val="005562A9"/>
    <w:rsid w:val="00560303"/>
    <w:rsid w:val="00560644"/>
    <w:rsid w:val="005615C2"/>
    <w:rsid w:val="0056238A"/>
    <w:rsid w:val="00564322"/>
    <w:rsid w:val="00571813"/>
    <w:rsid w:val="00571DAC"/>
    <w:rsid w:val="0057241A"/>
    <w:rsid w:val="00572932"/>
    <w:rsid w:val="00572D91"/>
    <w:rsid w:val="0058018D"/>
    <w:rsid w:val="00582813"/>
    <w:rsid w:val="00582DF5"/>
    <w:rsid w:val="005840FA"/>
    <w:rsid w:val="005857D3"/>
    <w:rsid w:val="00585B07"/>
    <w:rsid w:val="00585E34"/>
    <w:rsid w:val="005870AD"/>
    <w:rsid w:val="005908D4"/>
    <w:rsid w:val="00591F19"/>
    <w:rsid w:val="005930F0"/>
    <w:rsid w:val="0059628A"/>
    <w:rsid w:val="005A1582"/>
    <w:rsid w:val="005A1D3A"/>
    <w:rsid w:val="005A479A"/>
    <w:rsid w:val="005A4B54"/>
    <w:rsid w:val="005A6EEF"/>
    <w:rsid w:val="005A73C6"/>
    <w:rsid w:val="005B35E1"/>
    <w:rsid w:val="005B4436"/>
    <w:rsid w:val="005C0529"/>
    <w:rsid w:val="005C242D"/>
    <w:rsid w:val="005C5B73"/>
    <w:rsid w:val="005D249F"/>
    <w:rsid w:val="005D28D3"/>
    <w:rsid w:val="005D3A51"/>
    <w:rsid w:val="005D42D5"/>
    <w:rsid w:val="005D56B2"/>
    <w:rsid w:val="005D5807"/>
    <w:rsid w:val="005E0103"/>
    <w:rsid w:val="005E24D1"/>
    <w:rsid w:val="005E3A8F"/>
    <w:rsid w:val="005E3BF8"/>
    <w:rsid w:val="005E5C59"/>
    <w:rsid w:val="005E6A3B"/>
    <w:rsid w:val="005F2B6B"/>
    <w:rsid w:val="005F3363"/>
    <w:rsid w:val="005F4DDB"/>
    <w:rsid w:val="005F7BC1"/>
    <w:rsid w:val="00602379"/>
    <w:rsid w:val="00602B37"/>
    <w:rsid w:val="00602EFC"/>
    <w:rsid w:val="00603A92"/>
    <w:rsid w:val="00603DD2"/>
    <w:rsid w:val="0060409A"/>
    <w:rsid w:val="00604E6F"/>
    <w:rsid w:val="00610971"/>
    <w:rsid w:val="00615307"/>
    <w:rsid w:val="006171BA"/>
    <w:rsid w:val="00620A9B"/>
    <w:rsid w:val="006227F0"/>
    <w:rsid w:val="00626C96"/>
    <w:rsid w:val="00627EC5"/>
    <w:rsid w:val="00630204"/>
    <w:rsid w:val="00636EF3"/>
    <w:rsid w:val="006404A1"/>
    <w:rsid w:val="006414E6"/>
    <w:rsid w:val="00642B4E"/>
    <w:rsid w:val="00645954"/>
    <w:rsid w:val="0064679D"/>
    <w:rsid w:val="00650125"/>
    <w:rsid w:val="00657B8A"/>
    <w:rsid w:val="00661F59"/>
    <w:rsid w:val="006655B8"/>
    <w:rsid w:val="00667C0C"/>
    <w:rsid w:val="00670EF8"/>
    <w:rsid w:val="006726A2"/>
    <w:rsid w:val="00673A4C"/>
    <w:rsid w:val="00674164"/>
    <w:rsid w:val="00674176"/>
    <w:rsid w:val="006759B6"/>
    <w:rsid w:val="006773EA"/>
    <w:rsid w:val="0068046A"/>
    <w:rsid w:val="006822BD"/>
    <w:rsid w:val="006829F2"/>
    <w:rsid w:val="006840B4"/>
    <w:rsid w:val="00692D69"/>
    <w:rsid w:val="00695897"/>
    <w:rsid w:val="0069663F"/>
    <w:rsid w:val="00697722"/>
    <w:rsid w:val="006A1200"/>
    <w:rsid w:val="006A1558"/>
    <w:rsid w:val="006A2345"/>
    <w:rsid w:val="006A5344"/>
    <w:rsid w:val="006B0E4B"/>
    <w:rsid w:val="006B35D3"/>
    <w:rsid w:val="006B43F3"/>
    <w:rsid w:val="006B5C21"/>
    <w:rsid w:val="006B5D99"/>
    <w:rsid w:val="006B69F7"/>
    <w:rsid w:val="006C128A"/>
    <w:rsid w:val="006C7A23"/>
    <w:rsid w:val="006D11AB"/>
    <w:rsid w:val="006D4CD2"/>
    <w:rsid w:val="006D6809"/>
    <w:rsid w:val="006D7FBA"/>
    <w:rsid w:val="006E206C"/>
    <w:rsid w:val="006E2BE8"/>
    <w:rsid w:val="006E4F7E"/>
    <w:rsid w:val="006E75CB"/>
    <w:rsid w:val="006E78C8"/>
    <w:rsid w:val="006F4BE7"/>
    <w:rsid w:val="006F6F93"/>
    <w:rsid w:val="006F7414"/>
    <w:rsid w:val="006F7C1E"/>
    <w:rsid w:val="00702D28"/>
    <w:rsid w:val="0070540B"/>
    <w:rsid w:val="00710980"/>
    <w:rsid w:val="0071370F"/>
    <w:rsid w:val="0071417E"/>
    <w:rsid w:val="00716958"/>
    <w:rsid w:val="007177CB"/>
    <w:rsid w:val="007211C6"/>
    <w:rsid w:val="0072133B"/>
    <w:rsid w:val="007215C6"/>
    <w:rsid w:val="00722DC3"/>
    <w:rsid w:val="00722E08"/>
    <w:rsid w:val="007247AA"/>
    <w:rsid w:val="007264E6"/>
    <w:rsid w:val="007325D0"/>
    <w:rsid w:val="00737CF5"/>
    <w:rsid w:val="00740381"/>
    <w:rsid w:val="0074063E"/>
    <w:rsid w:val="00740BAC"/>
    <w:rsid w:val="0074127E"/>
    <w:rsid w:val="0074453D"/>
    <w:rsid w:val="007537A0"/>
    <w:rsid w:val="007610A5"/>
    <w:rsid w:val="00764A82"/>
    <w:rsid w:val="007652C5"/>
    <w:rsid w:val="00770D7E"/>
    <w:rsid w:val="00771A18"/>
    <w:rsid w:val="00771DF6"/>
    <w:rsid w:val="00774C14"/>
    <w:rsid w:val="0078386A"/>
    <w:rsid w:val="00784552"/>
    <w:rsid w:val="00792D4D"/>
    <w:rsid w:val="007946CB"/>
    <w:rsid w:val="00794DF1"/>
    <w:rsid w:val="007952DC"/>
    <w:rsid w:val="007964CC"/>
    <w:rsid w:val="007A0980"/>
    <w:rsid w:val="007A34B3"/>
    <w:rsid w:val="007A3794"/>
    <w:rsid w:val="007A38C6"/>
    <w:rsid w:val="007A4599"/>
    <w:rsid w:val="007A6439"/>
    <w:rsid w:val="007B4BA5"/>
    <w:rsid w:val="007B4BC3"/>
    <w:rsid w:val="007B6352"/>
    <w:rsid w:val="007C1E19"/>
    <w:rsid w:val="007C22B7"/>
    <w:rsid w:val="007E1AA0"/>
    <w:rsid w:val="007E3309"/>
    <w:rsid w:val="007E377D"/>
    <w:rsid w:val="007F012F"/>
    <w:rsid w:val="007F1AFB"/>
    <w:rsid w:val="007F3400"/>
    <w:rsid w:val="007F6170"/>
    <w:rsid w:val="00800256"/>
    <w:rsid w:val="008017C4"/>
    <w:rsid w:val="0080228C"/>
    <w:rsid w:val="008032BA"/>
    <w:rsid w:val="0080477C"/>
    <w:rsid w:val="00810397"/>
    <w:rsid w:val="00814A97"/>
    <w:rsid w:val="00817C6D"/>
    <w:rsid w:val="00821261"/>
    <w:rsid w:val="008213DD"/>
    <w:rsid w:val="00821A5B"/>
    <w:rsid w:val="00821D13"/>
    <w:rsid w:val="008227E0"/>
    <w:rsid w:val="00823784"/>
    <w:rsid w:val="008237E7"/>
    <w:rsid w:val="008249C2"/>
    <w:rsid w:val="008252A1"/>
    <w:rsid w:val="0082680B"/>
    <w:rsid w:val="00830FD8"/>
    <w:rsid w:val="008319A5"/>
    <w:rsid w:val="008319FB"/>
    <w:rsid w:val="00835992"/>
    <w:rsid w:val="00840A2F"/>
    <w:rsid w:val="00841627"/>
    <w:rsid w:val="00844A69"/>
    <w:rsid w:val="00852AA9"/>
    <w:rsid w:val="008539F8"/>
    <w:rsid w:val="00857EF8"/>
    <w:rsid w:val="00863153"/>
    <w:rsid w:val="00871CC0"/>
    <w:rsid w:val="00874706"/>
    <w:rsid w:val="00877414"/>
    <w:rsid w:val="008819C6"/>
    <w:rsid w:val="008850D3"/>
    <w:rsid w:val="008876DB"/>
    <w:rsid w:val="0089014F"/>
    <w:rsid w:val="00891347"/>
    <w:rsid w:val="008918B3"/>
    <w:rsid w:val="00891CF8"/>
    <w:rsid w:val="00893355"/>
    <w:rsid w:val="008955BD"/>
    <w:rsid w:val="00896BB0"/>
    <w:rsid w:val="008A0A1A"/>
    <w:rsid w:val="008A2780"/>
    <w:rsid w:val="008A3C63"/>
    <w:rsid w:val="008A50C3"/>
    <w:rsid w:val="008A68AC"/>
    <w:rsid w:val="008A7FF4"/>
    <w:rsid w:val="008B1709"/>
    <w:rsid w:val="008B1FF7"/>
    <w:rsid w:val="008B482E"/>
    <w:rsid w:val="008B72D2"/>
    <w:rsid w:val="008B7771"/>
    <w:rsid w:val="008C1150"/>
    <w:rsid w:val="008C1B02"/>
    <w:rsid w:val="008C2905"/>
    <w:rsid w:val="008C3E14"/>
    <w:rsid w:val="008C4DE7"/>
    <w:rsid w:val="008C7F1A"/>
    <w:rsid w:val="008D1736"/>
    <w:rsid w:val="008D1C41"/>
    <w:rsid w:val="008D4337"/>
    <w:rsid w:val="008D68B3"/>
    <w:rsid w:val="008E2C41"/>
    <w:rsid w:val="008E58CF"/>
    <w:rsid w:val="008E78DD"/>
    <w:rsid w:val="008F0049"/>
    <w:rsid w:val="008F2446"/>
    <w:rsid w:val="008F6F67"/>
    <w:rsid w:val="008F7073"/>
    <w:rsid w:val="008F783C"/>
    <w:rsid w:val="008F7A26"/>
    <w:rsid w:val="00900167"/>
    <w:rsid w:val="0090488E"/>
    <w:rsid w:val="009064AF"/>
    <w:rsid w:val="00907AF5"/>
    <w:rsid w:val="0091329B"/>
    <w:rsid w:val="00914C30"/>
    <w:rsid w:val="00914F75"/>
    <w:rsid w:val="009204CA"/>
    <w:rsid w:val="00920F0A"/>
    <w:rsid w:val="00924D14"/>
    <w:rsid w:val="0092592B"/>
    <w:rsid w:val="00926B95"/>
    <w:rsid w:val="0092718B"/>
    <w:rsid w:val="009272B4"/>
    <w:rsid w:val="00927336"/>
    <w:rsid w:val="00927363"/>
    <w:rsid w:val="009329C1"/>
    <w:rsid w:val="00932CF1"/>
    <w:rsid w:val="00934E9D"/>
    <w:rsid w:val="00935923"/>
    <w:rsid w:val="009363F5"/>
    <w:rsid w:val="00937327"/>
    <w:rsid w:val="009373DF"/>
    <w:rsid w:val="00937C0A"/>
    <w:rsid w:val="00941BEF"/>
    <w:rsid w:val="009433D7"/>
    <w:rsid w:val="00944264"/>
    <w:rsid w:val="00944830"/>
    <w:rsid w:val="009449F0"/>
    <w:rsid w:val="0095155B"/>
    <w:rsid w:val="00951C34"/>
    <w:rsid w:val="00951DFC"/>
    <w:rsid w:val="00951F21"/>
    <w:rsid w:val="009654C9"/>
    <w:rsid w:val="0096748D"/>
    <w:rsid w:val="00967A06"/>
    <w:rsid w:val="00970337"/>
    <w:rsid w:val="009720B3"/>
    <w:rsid w:val="009723C2"/>
    <w:rsid w:val="009750A5"/>
    <w:rsid w:val="009816F8"/>
    <w:rsid w:val="00981D18"/>
    <w:rsid w:val="00984DC1"/>
    <w:rsid w:val="0098538F"/>
    <w:rsid w:val="00990B11"/>
    <w:rsid w:val="00993076"/>
    <w:rsid w:val="00993F71"/>
    <w:rsid w:val="00994566"/>
    <w:rsid w:val="009A18D1"/>
    <w:rsid w:val="009A29C7"/>
    <w:rsid w:val="009B0606"/>
    <w:rsid w:val="009B09A4"/>
    <w:rsid w:val="009B1C7C"/>
    <w:rsid w:val="009B2D98"/>
    <w:rsid w:val="009B3757"/>
    <w:rsid w:val="009B3A44"/>
    <w:rsid w:val="009C0277"/>
    <w:rsid w:val="009C057C"/>
    <w:rsid w:val="009C0643"/>
    <w:rsid w:val="009C35ED"/>
    <w:rsid w:val="009C43A6"/>
    <w:rsid w:val="009C774D"/>
    <w:rsid w:val="009D0300"/>
    <w:rsid w:val="009D059E"/>
    <w:rsid w:val="009D179C"/>
    <w:rsid w:val="009E1DBF"/>
    <w:rsid w:val="009E4507"/>
    <w:rsid w:val="009E49BE"/>
    <w:rsid w:val="009F1647"/>
    <w:rsid w:val="009F29E1"/>
    <w:rsid w:val="009F2C4E"/>
    <w:rsid w:val="00A0170F"/>
    <w:rsid w:val="00A10958"/>
    <w:rsid w:val="00A10AA4"/>
    <w:rsid w:val="00A11892"/>
    <w:rsid w:val="00A12F40"/>
    <w:rsid w:val="00A17FDC"/>
    <w:rsid w:val="00A21A58"/>
    <w:rsid w:val="00A2212B"/>
    <w:rsid w:val="00A22334"/>
    <w:rsid w:val="00A31077"/>
    <w:rsid w:val="00A3622C"/>
    <w:rsid w:val="00A37546"/>
    <w:rsid w:val="00A41399"/>
    <w:rsid w:val="00A43A34"/>
    <w:rsid w:val="00A45B23"/>
    <w:rsid w:val="00A45CD5"/>
    <w:rsid w:val="00A461B4"/>
    <w:rsid w:val="00A531A5"/>
    <w:rsid w:val="00A5321F"/>
    <w:rsid w:val="00A542E7"/>
    <w:rsid w:val="00A54DC2"/>
    <w:rsid w:val="00A552B0"/>
    <w:rsid w:val="00A56F88"/>
    <w:rsid w:val="00A6053B"/>
    <w:rsid w:val="00A64504"/>
    <w:rsid w:val="00A66E5D"/>
    <w:rsid w:val="00A708BA"/>
    <w:rsid w:val="00A71114"/>
    <w:rsid w:val="00A713A0"/>
    <w:rsid w:val="00A7194C"/>
    <w:rsid w:val="00A83624"/>
    <w:rsid w:val="00A84493"/>
    <w:rsid w:val="00A85090"/>
    <w:rsid w:val="00A909B4"/>
    <w:rsid w:val="00A90FC5"/>
    <w:rsid w:val="00A92AD1"/>
    <w:rsid w:val="00A93193"/>
    <w:rsid w:val="00A95078"/>
    <w:rsid w:val="00A95447"/>
    <w:rsid w:val="00A956B0"/>
    <w:rsid w:val="00A96769"/>
    <w:rsid w:val="00AA1494"/>
    <w:rsid w:val="00AA661C"/>
    <w:rsid w:val="00AB16C4"/>
    <w:rsid w:val="00AB27DC"/>
    <w:rsid w:val="00AB552D"/>
    <w:rsid w:val="00AB6856"/>
    <w:rsid w:val="00AC30E2"/>
    <w:rsid w:val="00AC60A9"/>
    <w:rsid w:val="00AD18F2"/>
    <w:rsid w:val="00AD361B"/>
    <w:rsid w:val="00AD3B7B"/>
    <w:rsid w:val="00AD754F"/>
    <w:rsid w:val="00AD7630"/>
    <w:rsid w:val="00AE0D89"/>
    <w:rsid w:val="00AE156B"/>
    <w:rsid w:val="00AE1F4E"/>
    <w:rsid w:val="00AE2D94"/>
    <w:rsid w:val="00AE430D"/>
    <w:rsid w:val="00AE755C"/>
    <w:rsid w:val="00AF5FF0"/>
    <w:rsid w:val="00AF6CB5"/>
    <w:rsid w:val="00B0113D"/>
    <w:rsid w:val="00B02807"/>
    <w:rsid w:val="00B02A26"/>
    <w:rsid w:val="00B02DF4"/>
    <w:rsid w:val="00B05FC9"/>
    <w:rsid w:val="00B108A0"/>
    <w:rsid w:val="00B119F4"/>
    <w:rsid w:val="00B17A1B"/>
    <w:rsid w:val="00B17D51"/>
    <w:rsid w:val="00B20607"/>
    <w:rsid w:val="00B22C62"/>
    <w:rsid w:val="00B236F1"/>
    <w:rsid w:val="00B26C86"/>
    <w:rsid w:val="00B30067"/>
    <w:rsid w:val="00B33571"/>
    <w:rsid w:val="00B36B0B"/>
    <w:rsid w:val="00B42879"/>
    <w:rsid w:val="00B43D81"/>
    <w:rsid w:val="00B44A77"/>
    <w:rsid w:val="00B456C8"/>
    <w:rsid w:val="00B51068"/>
    <w:rsid w:val="00B51E2F"/>
    <w:rsid w:val="00B5261B"/>
    <w:rsid w:val="00B54010"/>
    <w:rsid w:val="00B54290"/>
    <w:rsid w:val="00B57A14"/>
    <w:rsid w:val="00B57C22"/>
    <w:rsid w:val="00B612DF"/>
    <w:rsid w:val="00B625E1"/>
    <w:rsid w:val="00B64CAC"/>
    <w:rsid w:val="00B65A05"/>
    <w:rsid w:val="00B709B4"/>
    <w:rsid w:val="00B7113F"/>
    <w:rsid w:val="00B8032E"/>
    <w:rsid w:val="00B82D3C"/>
    <w:rsid w:val="00B82EE4"/>
    <w:rsid w:val="00B849AC"/>
    <w:rsid w:val="00B84E0F"/>
    <w:rsid w:val="00B859EC"/>
    <w:rsid w:val="00B86959"/>
    <w:rsid w:val="00B95F57"/>
    <w:rsid w:val="00B96008"/>
    <w:rsid w:val="00B9673E"/>
    <w:rsid w:val="00B97FF5"/>
    <w:rsid w:val="00BA12A0"/>
    <w:rsid w:val="00BA1A5A"/>
    <w:rsid w:val="00BA36D3"/>
    <w:rsid w:val="00BA5103"/>
    <w:rsid w:val="00BA5FD5"/>
    <w:rsid w:val="00BA6B72"/>
    <w:rsid w:val="00BA7EF2"/>
    <w:rsid w:val="00BB0004"/>
    <w:rsid w:val="00BB104A"/>
    <w:rsid w:val="00BB40ED"/>
    <w:rsid w:val="00BB41E8"/>
    <w:rsid w:val="00BB57B2"/>
    <w:rsid w:val="00BB5ED6"/>
    <w:rsid w:val="00BB77FB"/>
    <w:rsid w:val="00BC03C0"/>
    <w:rsid w:val="00BC0A85"/>
    <w:rsid w:val="00BC1BCD"/>
    <w:rsid w:val="00BC5599"/>
    <w:rsid w:val="00BC60F5"/>
    <w:rsid w:val="00BC6CB1"/>
    <w:rsid w:val="00BD0823"/>
    <w:rsid w:val="00BE2A81"/>
    <w:rsid w:val="00BE2FD5"/>
    <w:rsid w:val="00BE3454"/>
    <w:rsid w:val="00BE6204"/>
    <w:rsid w:val="00BF03E6"/>
    <w:rsid w:val="00BF1DF6"/>
    <w:rsid w:val="00BF221A"/>
    <w:rsid w:val="00C03FC0"/>
    <w:rsid w:val="00C0401C"/>
    <w:rsid w:val="00C1308C"/>
    <w:rsid w:val="00C134DB"/>
    <w:rsid w:val="00C14F75"/>
    <w:rsid w:val="00C175E5"/>
    <w:rsid w:val="00C25A85"/>
    <w:rsid w:val="00C27D1F"/>
    <w:rsid w:val="00C33DA3"/>
    <w:rsid w:val="00C407E9"/>
    <w:rsid w:val="00C4243A"/>
    <w:rsid w:val="00C436BD"/>
    <w:rsid w:val="00C460EE"/>
    <w:rsid w:val="00C5029F"/>
    <w:rsid w:val="00C5150C"/>
    <w:rsid w:val="00C52684"/>
    <w:rsid w:val="00C52FCD"/>
    <w:rsid w:val="00C5410D"/>
    <w:rsid w:val="00C55FA5"/>
    <w:rsid w:val="00C56C06"/>
    <w:rsid w:val="00C642F7"/>
    <w:rsid w:val="00C657CB"/>
    <w:rsid w:val="00C71BCC"/>
    <w:rsid w:val="00C732F1"/>
    <w:rsid w:val="00C7521E"/>
    <w:rsid w:val="00C8004E"/>
    <w:rsid w:val="00C809D1"/>
    <w:rsid w:val="00C81406"/>
    <w:rsid w:val="00C827A4"/>
    <w:rsid w:val="00C83ADA"/>
    <w:rsid w:val="00C84169"/>
    <w:rsid w:val="00C8490C"/>
    <w:rsid w:val="00C85217"/>
    <w:rsid w:val="00C861A9"/>
    <w:rsid w:val="00C94C8C"/>
    <w:rsid w:val="00C94D41"/>
    <w:rsid w:val="00C975C4"/>
    <w:rsid w:val="00C9786F"/>
    <w:rsid w:val="00CA093C"/>
    <w:rsid w:val="00CA0D75"/>
    <w:rsid w:val="00CA17AA"/>
    <w:rsid w:val="00CA282F"/>
    <w:rsid w:val="00CA3EC6"/>
    <w:rsid w:val="00CA6EFA"/>
    <w:rsid w:val="00CB038B"/>
    <w:rsid w:val="00CB1A8C"/>
    <w:rsid w:val="00CB1DA8"/>
    <w:rsid w:val="00CB2B83"/>
    <w:rsid w:val="00CB2EB7"/>
    <w:rsid w:val="00CB79DD"/>
    <w:rsid w:val="00CC1283"/>
    <w:rsid w:val="00CC5ACA"/>
    <w:rsid w:val="00CC6404"/>
    <w:rsid w:val="00CC69A8"/>
    <w:rsid w:val="00CC79AA"/>
    <w:rsid w:val="00CD00F3"/>
    <w:rsid w:val="00CD0198"/>
    <w:rsid w:val="00CD06F0"/>
    <w:rsid w:val="00CD0772"/>
    <w:rsid w:val="00CD31DB"/>
    <w:rsid w:val="00CD44F7"/>
    <w:rsid w:val="00CE069E"/>
    <w:rsid w:val="00CF2AB2"/>
    <w:rsid w:val="00CF45E0"/>
    <w:rsid w:val="00CF70CF"/>
    <w:rsid w:val="00D00F8B"/>
    <w:rsid w:val="00D0243F"/>
    <w:rsid w:val="00D04FF5"/>
    <w:rsid w:val="00D05A18"/>
    <w:rsid w:val="00D10E87"/>
    <w:rsid w:val="00D117C3"/>
    <w:rsid w:val="00D11C3A"/>
    <w:rsid w:val="00D142F3"/>
    <w:rsid w:val="00D15370"/>
    <w:rsid w:val="00D1629F"/>
    <w:rsid w:val="00D16725"/>
    <w:rsid w:val="00D16B8D"/>
    <w:rsid w:val="00D17884"/>
    <w:rsid w:val="00D237B9"/>
    <w:rsid w:val="00D32549"/>
    <w:rsid w:val="00D32C8E"/>
    <w:rsid w:val="00D33FA3"/>
    <w:rsid w:val="00D3467D"/>
    <w:rsid w:val="00D36D99"/>
    <w:rsid w:val="00D37499"/>
    <w:rsid w:val="00D37C28"/>
    <w:rsid w:val="00D419D5"/>
    <w:rsid w:val="00D43DAA"/>
    <w:rsid w:val="00D45C30"/>
    <w:rsid w:val="00D47A16"/>
    <w:rsid w:val="00D642C1"/>
    <w:rsid w:val="00D72EFD"/>
    <w:rsid w:val="00D73BCE"/>
    <w:rsid w:val="00D75E3F"/>
    <w:rsid w:val="00D80BC5"/>
    <w:rsid w:val="00D81A7A"/>
    <w:rsid w:val="00D81D9D"/>
    <w:rsid w:val="00D831F1"/>
    <w:rsid w:val="00D83D44"/>
    <w:rsid w:val="00D8645C"/>
    <w:rsid w:val="00D87539"/>
    <w:rsid w:val="00D876D6"/>
    <w:rsid w:val="00D90665"/>
    <w:rsid w:val="00D91B7D"/>
    <w:rsid w:val="00D97455"/>
    <w:rsid w:val="00DA0AED"/>
    <w:rsid w:val="00DA1CD8"/>
    <w:rsid w:val="00DA4D43"/>
    <w:rsid w:val="00DB0401"/>
    <w:rsid w:val="00DB0690"/>
    <w:rsid w:val="00DB1242"/>
    <w:rsid w:val="00DB26E5"/>
    <w:rsid w:val="00DB7412"/>
    <w:rsid w:val="00DB759A"/>
    <w:rsid w:val="00DC0717"/>
    <w:rsid w:val="00DC1A94"/>
    <w:rsid w:val="00DC3F15"/>
    <w:rsid w:val="00DC766A"/>
    <w:rsid w:val="00DD5197"/>
    <w:rsid w:val="00DE10F1"/>
    <w:rsid w:val="00DE1E14"/>
    <w:rsid w:val="00DE3DD2"/>
    <w:rsid w:val="00DE448F"/>
    <w:rsid w:val="00DE7B07"/>
    <w:rsid w:val="00DF0CAE"/>
    <w:rsid w:val="00DF1013"/>
    <w:rsid w:val="00DF1E69"/>
    <w:rsid w:val="00DF3E51"/>
    <w:rsid w:val="00DF5B8D"/>
    <w:rsid w:val="00E00139"/>
    <w:rsid w:val="00E02703"/>
    <w:rsid w:val="00E0297B"/>
    <w:rsid w:val="00E03552"/>
    <w:rsid w:val="00E0367B"/>
    <w:rsid w:val="00E04F73"/>
    <w:rsid w:val="00E04F91"/>
    <w:rsid w:val="00E073B6"/>
    <w:rsid w:val="00E10F01"/>
    <w:rsid w:val="00E13149"/>
    <w:rsid w:val="00E137A6"/>
    <w:rsid w:val="00E15B30"/>
    <w:rsid w:val="00E22088"/>
    <w:rsid w:val="00E2309D"/>
    <w:rsid w:val="00E331FC"/>
    <w:rsid w:val="00E34D95"/>
    <w:rsid w:val="00E37B60"/>
    <w:rsid w:val="00E44E55"/>
    <w:rsid w:val="00E4534D"/>
    <w:rsid w:val="00E45E2A"/>
    <w:rsid w:val="00E5035B"/>
    <w:rsid w:val="00E50B34"/>
    <w:rsid w:val="00E50D2B"/>
    <w:rsid w:val="00E50F4F"/>
    <w:rsid w:val="00E5505A"/>
    <w:rsid w:val="00E55291"/>
    <w:rsid w:val="00E55A8A"/>
    <w:rsid w:val="00E57661"/>
    <w:rsid w:val="00E62B14"/>
    <w:rsid w:val="00E65CC7"/>
    <w:rsid w:val="00E67E6A"/>
    <w:rsid w:val="00E72FBB"/>
    <w:rsid w:val="00E73A8F"/>
    <w:rsid w:val="00E75FF5"/>
    <w:rsid w:val="00E760B3"/>
    <w:rsid w:val="00E76FC2"/>
    <w:rsid w:val="00E823AF"/>
    <w:rsid w:val="00E84AF4"/>
    <w:rsid w:val="00E86E57"/>
    <w:rsid w:val="00E874A6"/>
    <w:rsid w:val="00E901A3"/>
    <w:rsid w:val="00E93419"/>
    <w:rsid w:val="00E9430C"/>
    <w:rsid w:val="00E97C51"/>
    <w:rsid w:val="00EA273D"/>
    <w:rsid w:val="00EA28C0"/>
    <w:rsid w:val="00EA78FC"/>
    <w:rsid w:val="00EA7A1A"/>
    <w:rsid w:val="00EB14A5"/>
    <w:rsid w:val="00EB1BD5"/>
    <w:rsid w:val="00EB2F36"/>
    <w:rsid w:val="00EC037F"/>
    <w:rsid w:val="00EC1B2D"/>
    <w:rsid w:val="00EC4560"/>
    <w:rsid w:val="00ED6FC8"/>
    <w:rsid w:val="00ED7BE2"/>
    <w:rsid w:val="00EE0572"/>
    <w:rsid w:val="00EE0587"/>
    <w:rsid w:val="00EE087A"/>
    <w:rsid w:val="00EE1163"/>
    <w:rsid w:val="00EE4738"/>
    <w:rsid w:val="00EE4F37"/>
    <w:rsid w:val="00EE7437"/>
    <w:rsid w:val="00EE74C0"/>
    <w:rsid w:val="00EE7BFB"/>
    <w:rsid w:val="00EE7DF0"/>
    <w:rsid w:val="00EF0CBC"/>
    <w:rsid w:val="00EF28C4"/>
    <w:rsid w:val="00EF2B57"/>
    <w:rsid w:val="00EF5FE0"/>
    <w:rsid w:val="00EF6DF7"/>
    <w:rsid w:val="00EF751E"/>
    <w:rsid w:val="00EF7F3C"/>
    <w:rsid w:val="00F00356"/>
    <w:rsid w:val="00F00E19"/>
    <w:rsid w:val="00F04782"/>
    <w:rsid w:val="00F05160"/>
    <w:rsid w:val="00F07147"/>
    <w:rsid w:val="00F075CB"/>
    <w:rsid w:val="00F12CA3"/>
    <w:rsid w:val="00F15407"/>
    <w:rsid w:val="00F16AFC"/>
    <w:rsid w:val="00F17E02"/>
    <w:rsid w:val="00F25F8B"/>
    <w:rsid w:val="00F26ED8"/>
    <w:rsid w:val="00F27BCC"/>
    <w:rsid w:val="00F27DDB"/>
    <w:rsid w:val="00F34183"/>
    <w:rsid w:val="00F36B35"/>
    <w:rsid w:val="00F4130F"/>
    <w:rsid w:val="00F41C1C"/>
    <w:rsid w:val="00F43488"/>
    <w:rsid w:val="00F4402A"/>
    <w:rsid w:val="00F455E9"/>
    <w:rsid w:val="00F519AA"/>
    <w:rsid w:val="00F52DC8"/>
    <w:rsid w:val="00F54483"/>
    <w:rsid w:val="00F5527F"/>
    <w:rsid w:val="00F56D38"/>
    <w:rsid w:val="00F66878"/>
    <w:rsid w:val="00F670F0"/>
    <w:rsid w:val="00F71C59"/>
    <w:rsid w:val="00F731FE"/>
    <w:rsid w:val="00F73FE0"/>
    <w:rsid w:val="00F771DE"/>
    <w:rsid w:val="00F772FF"/>
    <w:rsid w:val="00F82455"/>
    <w:rsid w:val="00F825B1"/>
    <w:rsid w:val="00F82CCA"/>
    <w:rsid w:val="00F832AF"/>
    <w:rsid w:val="00F85403"/>
    <w:rsid w:val="00F90B6C"/>
    <w:rsid w:val="00F91FA6"/>
    <w:rsid w:val="00F921C6"/>
    <w:rsid w:val="00F93595"/>
    <w:rsid w:val="00F93732"/>
    <w:rsid w:val="00F94B16"/>
    <w:rsid w:val="00F94B9C"/>
    <w:rsid w:val="00F970E6"/>
    <w:rsid w:val="00F97D5F"/>
    <w:rsid w:val="00FA1238"/>
    <w:rsid w:val="00FA1613"/>
    <w:rsid w:val="00FA2863"/>
    <w:rsid w:val="00FA6A7E"/>
    <w:rsid w:val="00FB0DD7"/>
    <w:rsid w:val="00FB16A9"/>
    <w:rsid w:val="00FB5729"/>
    <w:rsid w:val="00FC0BAC"/>
    <w:rsid w:val="00FC111F"/>
    <w:rsid w:val="00FC16D5"/>
    <w:rsid w:val="00FC2AA1"/>
    <w:rsid w:val="00FC302F"/>
    <w:rsid w:val="00FC3226"/>
    <w:rsid w:val="00FC3421"/>
    <w:rsid w:val="00FC40D7"/>
    <w:rsid w:val="00FC5157"/>
    <w:rsid w:val="00FC591C"/>
    <w:rsid w:val="00FC6A56"/>
    <w:rsid w:val="00FC706A"/>
    <w:rsid w:val="00FD3394"/>
    <w:rsid w:val="00FD3A9C"/>
    <w:rsid w:val="00FD7BA4"/>
    <w:rsid w:val="00FE20BD"/>
    <w:rsid w:val="00FF01AD"/>
    <w:rsid w:val="00FF0AC8"/>
    <w:rsid w:val="00FF1F6F"/>
    <w:rsid w:val="00FF3A43"/>
    <w:rsid w:val="01576DA2"/>
    <w:rsid w:val="01A964E4"/>
    <w:rsid w:val="02085675"/>
    <w:rsid w:val="022F4851"/>
    <w:rsid w:val="026F21CF"/>
    <w:rsid w:val="028629FC"/>
    <w:rsid w:val="02FB0239"/>
    <w:rsid w:val="03195159"/>
    <w:rsid w:val="039B5B6E"/>
    <w:rsid w:val="03A07B8C"/>
    <w:rsid w:val="03B8741D"/>
    <w:rsid w:val="03C24B8A"/>
    <w:rsid w:val="03EA5E52"/>
    <w:rsid w:val="041026B2"/>
    <w:rsid w:val="0426156D"/>
    <w:rsid w:val="042F6313"/>
    <w:rsid w:val="049D76C3"/>
    <w:rsid w:val="04C47F6E"/>
    <w:rsid w:val="05195EF5"/>
    <w:rsid w:val="05C05314"/>
    <w:rsid w:val="05DC0CE8"/>
    <w:rsid w:val="05F3629B"/>
    <w:rsid w:val="06035F1C"/>
    <w:rsid w:val="064A65C5"/>
    <w:rsid w:val="06D27B5C"/>
    <w:rsid w:val="06E63A8E"/>
    <w:rsid w:val="070677A2"/>
    <w:rsid w:val="07895B69"/>
    <w:rsid w:val="07CD6512"/>
    <w:rsid w:val="07D14033"/>
    <w:rsid w:val="07EE1222"/>
    <w:rsid w:val="07EE4DDF"/>
    <w:rsid w:val="07EF6488"/>
    <w:rsid w:val="07FE19D6"/>
    <w:rsid w:val="081B54CF"/>
    <w:rsid w:val="085E53BC"/>
    <w:rsid w:val="08CD1C88"/>
    <w:rsid w:val="08DF150D"/>
    <w:rsid w:val="09443519"/>
    <w:rsid w:val="0A211347"/>
    <w:rsid w:val="0A4659DB"/>
    <w:rsid w:val="0A8114FF"/>
    <w:rsid w:val="0AA479FE"/>
    <w:rsid w:val="0B266C84"/>
    <w:rsid w:val="0B7974C1"/>
    <w:rsid w:val="0B8D7114"/>
    <w:rsid w:val="0B92001D"/>
    <w:rsid w:val="0BED4E03"/>
    <w:rsid w:val="0BF00EAC"/>
    <w:rsid w:val="0C7D0506"/>
    <w:rsid w:val="0C913E17"/>
    <w:rsid w:val="0C917B0E"/>
    <w:rsid w:val="0C9B273A"/>
    <w:rsid w:val="0CB63D7A"/>
    <w:rsid w:val="0CEA12C7"/>
    <w:rsid w:val="0CF9239B"/>
    <w:rsid w:val="0DB42190"/>
    <w:rsid w:val="0EA627E5"/>
    <w:rsid w:val="0EC95C85"/>
    <w:rsid w:val="0EFD592E"/>
    <w:rsid w:val="0F1A028E"/>
    <w:rsid w:val="0F3E448E"/>
    <w:rsid w:val="0FE233F8"/>
    <w:rsid w:val="100824F0"/>
    <w:rsid w:val="10184D5C"/>
    <w:rsid w:val="10390BE8"/>
    <w:rsid w:val="104C3A69"/>
    <w:rsid w:val="10675A2D"/>
    <w:rsid w:val="10703EDE"/>
    <w:rsid w:val="108B130F"/>
    <w:rsid w:val="10A74C85"/>
    <w:rsid w:val="10F04A51"/>
    <w:rsid w:val="10F512E5"/>
    <w:rsid w:val="1140319E"/>
    <w:rsid w:val="11A402E3"/>
    <w:rsid w:val="120945EA"/>
    <w:rsid w:val="1219179A"/>
    <w:rsid w:val="121A2CF2"/>
    <w:rsid w:val="12606625"/>
    <w:rsid w:val="12687563"/>
    <w:rsid w:val="12A76297"/>
    <w:rsid w:val="12C32F26"/>
    <w:rsid w:val="12E070F9"/>
    <w:rsid w:val="130D2181"/>
    <w:rsid w:val="13197422"/>
    <w:rsid w:val="142D3859"/>
    <w:rsid w:val="145B55E2"/>
    <w:rsid w:val="14AC31F7"/>
    <w:rsid w:val="14BC5F5A"/>
    <w:rsid w:val="14D31299"/>
    <w:rsid w:val="14DC7D94"/>
    <w:rsid w:val="15724781"/>
    <w:rsid w:val="159B26AF"/>
    <w:rsid w:val="15AC376C"/>
    <w:rsid w:val="15BB209F"/>
    <w:rsid w:val="160B1746"/>
    <w:rsid w:val="16236B8C"/>
    <w:rsid w:val="16614906"/>
    <w:rsid w:val="166F19CA"/>
    <w:rsid w:val="16A2795F"/>
    <w:rsid w:val="16DF3B6C"/>
    <w:rsid w:val="170203CD"/>
    <w:rsid w:val="177A6B35"/>
    <w:rsid w:val="17AA09AF"/>
    <w:rsid w:val="184A00EA"/>
    <w:rsid w:val="18996D1E"/>
    <w:rsid w:val="18AE2647"/>
    <w:rsid w:val="190205EE"/>
    <w:rsid w:val="1954439D"/>
    <w:rsid w:val="197A63D2"/>
    <w:rsid w:val="19965986"/>
    <w:rsid w:val="1A062C3E"/>
    <w:rsid w:val="1A4A3E14"/>
    <w:rsid w:val="1B045C3F"/>
    <w:rsid w:val="1B115251"/>
    <w:rsid w:val="1B910BC9"/>
    <w:rsid w:val="1BA9718F"/>
    <w:rsid w:val="1BAE3FEC"/>
    <w:rsid w:val="1C2C25CD"/>
    <w:rsid w:val="1C7F1B70"/>
    <w:rsid w:val="1C9D7520"/>
    <w:rsid w:val="1CBB1EBF"/>
    <w:rsid w:val="1D1735EF"/>
    <w:rsid w:val="1D1D0F4A"/>
    <w:rsid w:val="1D5111FE"/>
    <w:rsid w:val="1D561BA1"/>
    <w:rsid w:val="1D5B7F7F"/>
    <w:rsid w:val="1D5F7AF9"/>
    <w:rsid w:val="1DAD2F3B"/>
    <w:rsid w:val="1E1764A1"/>
    <w:rsid w:val="1E6C0104"/>
    <w:rsid w:val="1E766CE7"/>
    <w:rsid w:val="1EC703F0"/>
    <w:rsid w:val="1ECB7EC7"/>
    <w:rsid w:val="1F2B3F62"/>
    <w:rsid w:val="1F8465CC"/>
    <w:rsid w:val="20014B53"/>
    <w:rsid w:val="202C58B8"/>
    <w:rsid w:val="20A361F9"/>
    <w:rsid w:val="20CC40E5"/>
    <w:rsid w:val="212A472A"/>
    <w:rsid w:val="21335230"/>
    <w:rsid w:val="21567CE8"/>
    <w:rsid w:val="215B16D6"/>
    <w:rsid w:val="217D1FB0"/>
    <w:rsid w:val="220666F6"/>
    <w:rsid w:val="22732C01"/>
    <w:rsid w:val="22846A9C"/>
    <w:rsid w:val="229E4793"/>
    <w:rsid w:val="22B849FC"/>
    <w:rsid w:val="22D46E80"/>
    <w:rsid w:val="23254DF5"/>
    <w:rsid w:val="236539E5"/>
    <w:rsid w:val="236A792E"/>
    <w:rsid w:val="23D84521"/>
    <w:rsid w:val="23DE58E5"/>
    <w:rsid w:val="23EE53EE"/>
    <w:rsid w:val="24EC4023"/>
    <w:rsid w:val="24F1163A"/>
    <w:rsid w:val="24FC5176"/>
    <w:rsid w:val="25592539"/>
    <w:rsid w:val="259F6836"/>
    <w:rsid w:val="25C90B7D"/>
    <w:rsid w:val="25CB1E8B"/>
    <w:rsid w:val="25FC0BA2"/>
    <w:rsid w:val="264439EB"/>
    <w:rsid w:val="265A320F"/>
    <w:rsid w:val="26623C1B"/>
    <w:rsid w:val="27345954"/>
    <w:rsid w:val="27A943D1"/>
    <w:rsid w:val="281E2392"/>
    <w:rsid w:val="282827E3"/>
    <w:rsid w:val="28360CFE"/>
    <w:rsid w:val="283616EF"/>
    <w:rsid w:val="290C38B5"/>
    <w:rsid w:val="293C1993"/>
    <w:rsid w:val="294B2A30"/>
    <w:rsid w:val="297C5317"/>
    <w:rsid w:val="29B452B6"/>
    <w:rsid w:val="29E06543"/>
    <w:rsid w:val="2A2275ED"/>
    <w:rsid w:val="2A4A2EEF"/>
    <w:rsid w:val="2A52476A"/>
    <w:rsid w:val="2A55365D"/>
    <w:rsid w:val="2AA4443C"/>
    <w:rsid w:val="2AA7149C"/>
    <w:rsid w:val="2B115662"/>
    <w:rsid w:val="2B8616A2"/>
    <w:rsid w:val="2B8E0D61"/>
    <w:rsid w:val="2C3E5B4D"/>
    <w:rsid w:val="2D1401E3"/>
    <w:rsid w:val="2D24408B"/>
    <w:rsid w:val="2D266F3F"/>
    <w:rsid w:val="2D2A6B27"/>
    <w:rsid w:val="2D41722C"/>
    <w:rsid w:val="2D6B46D4"/>
    <w:rsid w:val="2D9D1897"/>
    <w:rsid w:val="2E1B12E4"/>
    <w:rsid w:val="2E2D08CB"/>
    <w:rsid w:val="2E433BD4"/>
    <w:rsid w:val="2E4E3659"/>
    <w:rsid w:val="2F77098D"/>
    <w:rsid w:val="302D7F4C"/>
    <w:rsid w:val="30483CD4"/>
    <w:rsid w:val="308B35FE"/>
    <w:rsid w:val="30A32EA5"/>
    <w:rsid w:val="30B50A74"/>
    <w:rsid w:val="30BD239F"/>
    <w:rsid w:val="316D12A1"/>
    <w:rsid w:val="31E275DC"/>
    <w:rsid w:val="32731619"/>
    <w:rsid w:val="332C6523"/>
    <w:rsid w:val="332F7898"/>
    <w:rsid w:val="3334136A"/>
    <w:rsid w:val="3374337A"/>
    <w:rsid w:val="337C57F1"/>
    <w:rsid w:val="33CF103E"/>
    <w:rsid w:val="33DB090E"/>
    <w:rsid w:val="33F31D98"/>
    <w:rsid w:val="3454583F"/>
    <w:rsid w:val="34D057ED"/>
    <w:rsid w:val="357F345D"/>
    <w:rsid w:val="35A51E54"/>
    <w:rsid w:val="35A70F36"/>
    <w:rsid w:val="35BF48DD"/>
    <w:rsid w:val="36266C69"/>
    <w:rsid w:val="363161A0"/>
    <w:rsid w:val="36F45184"/>
    <w:rsid w:val="3736582A"/>
    <w:rsid w:val="373D10C6"/>
    <w:rsid w:val="37614343"/>
    <w:rsid w:val="37ED4B4C"/>
    <w:rsid w:val="37FE2DCB"/>
    <w:rsid w:val="38357713"/>
    <w:rsid w:val="38516D80"/>
    <w:rsid w:val="38710B06"/>
    <w:rsid w:val="38A850B2"/>
    <w:rsid w:val="38C07096"/>
    <w:rsid w:val="39065B2A"/>
    <w:rsid w:val="39171FBA"/>
    <w:rsid w:val="392F6F83"/>
    <w:rsid w:val="39642A9D"/>
    <w:rsid w:val="397440E8"/>
    <w:rsid w:val="39B83C58"/>
    <w:rsid w:val="39F01439"/>
    <w:rsid w:val="39F43738"/>
    <w:rsid w:val="3A25441B"/>
    <w:rsid w:val="3A8F41C3"/>
    <w:rsid w:val="3AE31D1C"/>
    <w:rsid w:val="3B07482A"/>
    <w:rsid w:val="3B6224F2"/>
    <w:rsid w:val="3B8D5BB4"/>
    <w:rsid w:val="3C0F06CB"/>
    <w:rsid w:val="3C5327EE"/>
    <w:rsid w:val="3C7D2A83"/>
    <w:rsid w:val="3D743CDB"/>
    <w:rsid w:val="3DC07AF6"/>
    <w:rsid w:val="3DE105AB"/>
    <w:rsid w:val="3DFF227A"/>
    <w:rsid w:val="3E00299B"/>
    <w:rsid w:val="3E304306"/>
    <w:rsid w:val="3E814998"/>
    <w:rsid w:val="3EE910CD"/>
    <w:rsid w:val="3F0062A9"/>
    <w:rsid w:val="3F7E74F4"/>
    <w:rsid w:val="3F83357C"/>
    <w:rsid w:val="3FA6268D"/>
    <w:rsid w:val="410D73A4"/>
    <w:rsid w:val="411F190F"/>
    <w:rsid w:val="41296B1B"/>
    <w:rsid w:val="413011BB"/>
    <w:rsid w:val="414D5F20"/>
    <w:rsid w:val="41A03A7B"/>
    <w:rsid w:val="41A73C3C"/>
    <w:rsid w:val="41B568C4"/>
    <w:rsid w:val="41C90680"/>
    <w:rsid w:val="41F77BF2"/>
    <w:rsid w:val="424010B3"/>
    <w:rsid w:val="42493E8E"/>
    <w:rsid w:val="42697D15"/>
    <w:rsid w:val="428C4977"/>
    <w:rsid w:val="42977E3E"/>
    <w:rsid w:val="42A2391B"/>
    <w:rsid w:val="42B024E3"/>
    <w:rsid w:val="42FA5706"/>
    <w:rsid w:val="438C2FD7"/>
    <w:rsid w:val="438F3163"/>
    <w:rsid w:val="439B13F0"/>
    <w:rsid w:val="439C056B"/>
    <w:rsid w:val="43B04DA0"/>
    <w:rsid w:val="44871753"/>
    <w:rsid w:val="459B4964"/>
    <w:rsid w:val="46327FA9"/>
    <w:rsid w:val="466C06C8"/>
    <w:rsid w:val="46AC0EB9"/>
    <w:rsid w:val="46D53631"/>
    <w:rsid w:val="46E57EA1"/>
    <w:rsid w:val="47143D01"/>
    <w:rsid w:val="4829255C"/>
    <w:rsid w:val="482E3F9F"/>
    <w:rsid w:val="482F7BFF"/>
    <w:rsid w:val="4844474E"/>
    <w:rsid w:val="48F432D4"/>
    <w:rsid w:val="495A0CAC"/>
    <w:rsid w:val="49A20885"/>
    <w:rsid w:val="49D140BB"/>
    <w:rsid w:val="49E03C68"/>
    <w:rsid w:val="49F44ECB"/>
    <w:rsid w:val="4A743D2C"/>
    <w:rsid w:val="4A752E2C"/>
    <w:rsid w:val="4ADB5FE3"/>
    <w:rsid w:val="4B277FE2"/>
    <w:rsid w:val="4B640BAF"/>
    <w:rsid w:val="4B7D4438"/>
    <w:rsid w:val="4B923F4B"/>
    <w:rsid w:val="4BEC3235"/>
    <w:rsid w:val="4C3A1FA2"/>
    <w:rsid w:val="4C7E1155"/>
    <w:rsid w:val="4C8E7D64"/>
    <w:rsid w:val="4CA51A85"/>
    <w:rsid w:val="4D8D373D"/>
    <w:rsid w:val="4D9B54BD"/>
    <w:rsid w:val="4DFA467D"/>
    <w:rsid w:val="4E5E7A74"/>
    <w:rsid w:val="4F840831"/>
    <w:rsid w:val="507F29F5"/>
    <w:rsid w:val="50BB2978"/>
    <w:rsid w:val="50C01D3C"/>
    <w:rsid w:val="510F71E4"/>
    <w:rsid w:val="515B491B"/>
    <w:rsid w:val="51D3289C"/>
    <w:rsid w:val="52097713"/>
    <w:rsid w:val="52243596"/>
    <w:rsid w:val="526606C2"/>
    <w:rsid w:val="52B95344"/>
    <w:rsid w:val="52FD1026"/>
    <w:rsid w:val="53013EDC"/>
    <w:rsid w:val="534529CD"/>
    <w:rsid w:val="535C0B74"/>
    <w:rsid w:val="53634ECF"/>
    <w:rsid w:val="537312E8"/>
    <w:rsid w:val="53767B0A"/>
    <w:rsid w:val="539007DB"/>
    <w:rsid w:val="53C22E43"/>
    <w:rsid w:val="53DE0E66"/>
    <w:rsid w:val="541B11D8"/>
    <w:rsid w:val="542C4A9B"/>
    <w:rsid w:val="544113E6"/>
    <w:rsid w:val="549A7C30"/>
    <w:rsid w:val="552575C7"/>
    <w:rsid w:val="552E7C91"/>
    <w:rsid w:val="55A4280F"/>
    <w:rsid w:val="55DC3C18"/>
    <w:rsid w:val="560154FB"/>
    <w:rsid w:val="56043603"/>
    <w:rsid w:val="56A619D5"/>
    <w:rsid w:val="56AC3BE0"/>
    <w:rsid w:val="572B3C88"/>
    <w:rsid w:val="576B4C39"/>
    <w:rsid w:val="580D5BC9"/>
    <w:rsid w:val="58BA47BE"/>
    <w:rsid w:val="58D942B3"/>
    <w:rsid w:val="58EF7663"/>
    <w:rsid w:val="58F06F37"/>
    <w:rsid w:val="58FA1B64"/>
    <w:rsid w:val="593C49F3"/>
    <w:rsid w:val="59452BF2"/>
    <w:rsid w:val="598C04F2"/>
    <w:rsid w:val="59C86835"/>
    <w:rsid w:val="5A150CEB"/>
    <w:rsid w:val="5A1D3BA6"/>
    <w:rsid w:val="5A417CB1"/>
    <w:rsid w:val="5A6A63F3"/>
    <w:rsid w:val="5AA65084"/>
    <w:rsid w:val="5B5B056F"/>
    <w:rsid w:val="5BF1724E"/>
    <w:rsid w:val="5C000ECD"/>
    <w:rsid w:val="5C8473F4"/>
    <w:rsid w:val="5CA0764D"/>
    <w:rsid w:val="5D133E0D"/>
    <w:rsid w:val="5D3F189C"/>
    <w:rsid w:val="5D3F701F"/>
    <w:rsid w:val="5D900CE9"/>
    <w:rsid w:val="5DA80DD4"/>
    <w:rsid w:val="5DC8383C"/>
    <w:rsid w:val="5DC944B4"/>
    <w:rsid w:val="5DDA257C"/>
    <w:rsid w:val="5DDD2180"/>
    <w:rsid w:val="5DFF78B5"/>
    <w:rsid w:val="5E0C6DFB"/>
    <w:rsid w:val="5E7B54F5"/>
    <w:rsid w:val="5EDB529F"/>
    <w:rsid w:val="5F3E6C4E"/>
    <w:rsid w:val="5F4A2AC8"/>
    <w:rsid w:val="5F57386C"/>
    <w:rsid w:val="60446637"/>
    <w:rsid w:val="60FE6D20"/>
    <w:rsid w:val="61053374"/>
    <w:rsid w:val="61832254"/>
    <w:rsid w:val="623B49BF"/>
    <w:rsid w:val="624A3B5C"/>
    <w:rsid w:val="629E02F8"/>
    <w:rsid w:val="63771113"/>
    <w:rsid w:val="637D3AE4"/>
    <w:rsid w:val="63AF435C"/>
    <w:rsid w:val="64146F33"/>
    <w:rsid w:val="648D3975"/>
    <w:rsid w:val="649233AB"/>
    <w:rsid w:val="64AD6D69"/>
    <w:rsid w:val="64F815D7"/>
    <w:rsid w:val="65A67180"/>
    <w:rsid w:val="66246472"/>
    <w:rsid w:val="66517943"/>
    <w:rsid w:val="666E5281"/>
    <w:rsid w:val="668E40F0"/>
    <w:rsid w:val="67642C3F"/>
    <w:rsid w:val="67644D30"/>
    <w:rsid w:val="67C37DD4"/>
    <w:rsid w:val="68A740D7"/>
    <w:rsid w:val="68EA3485"/>
    <w:rsid w:val="693377B7"/>
    <w:rsid w:val="6978328D"/>
    <w:rsid w:val="69DE2B44"/>
    <w:rsid w:val="6A06480C"/>
    <w:rsid w:val="6A23746F"/>
    <w:rsid w:val="6B082941"/>
    <w:rsid w:val="6B5605DC"/>
    <w:rsid w:val="6B594994"/>
    <w:rsid w:val="6BD05FBC"/>
    <w:rsid w:val="6BD91777"/>
    <w:rsid w:val="6C2E004A"/>
    <w:rsid w:val="6C2E43FC"/>
    <w:rsid w:val="6C891725"/>
    <w:rsid w:val="6C9D1B35"/>
    <w:rsid w:val="6CAC2BA4"/>
    <w:rsid w:val="6D0C2478"/>
    <w:rsid w:val="6D2319CD"/>
    <w:rsid w:val="6D3C2823"/>
    <w:rsid w:val="6D8A26C3"/>
    <w:rsid w:val="6DAA54AF"/>
    <w:rsid w:val="6DD42F77"/>
    <w:rsid w:val="6DDD0EE4"/>
    <w:rsid w:val="6DEF7874"/>
    <w:rsid w:val="6E4B4EE4"/>
    <w:rsid w:val="6E7561C7"/>
    <w:rsid w:val="6E97293C"/>
    <w:rsid w:val="6F0F693C"/>
    <w:rsid w:val="6F1261C3"/>
    <w:rsid w:val="6F814935"/>
    <w:rsid w:val="6F8A5598"/>
    <w:rsid w:val="6F9E4637"/>
    <w:rsid w:val="6FC838FC"/>
    <w:rsid w:val="6FFE2AEF"/>
    <w:rsid w:val="700466B8"/>
    <w:rsid w:val="70080A29"/>
    <w:rsid w:val="700953DE"/>
    <w:rsid w:val="70361E64"/>
    <w:rsid w:val="704317AD"/>
    <w:rsid w:val="704E4817"/>
    <w:rsid w:val="705160B5"/>
    <w:rsid w:val="70A52687"/>
    <w:rsid w:val="71202341"/>
    <w:rsid w:val="713F74B5"/>
    <w:rsid w:val="7166663F"/>
    <w:rsid w:val="717E737E"/>
    <w:rsid w:val="71F81B46"/>
    <w:rsid w:val="720D29F3"/>
    <w:rsid w:val="72170B15"/>
    <w:rsid w:val="72650C97"/>
    <w:rsid w:val="72CA3786"/>
    <w:rsid w:val="72DD1E82"/>
    <w:rsid w:val="735E0891"/>
    <w:rsid w:val="73C252D7"/>
    <w:rsid w:val="74026044"/>
    <w:rsid w:val="74264E1B"/>
    <w:rsid w:val="744D295E"/>
    <w:rsid w:val="74802EA2"/>
    <w:rsid w:val="757923D7"/>
    <w:rsid w:val="75D5733D"/>
    <w:rsid w:val="76124539"/>
    <w:rsid w:val="7621652A"/>
    <w:rsid w:val="76402E54"/>
    <w:rsid w:val="7657238D"/>
    <w:rsid w:val="76B92C06"/>
    <w:rsid w:val="76E7388F"/>
    <w:rsid w:val="77766137"/>
    <w:rsid w:val="77B13F88"/>
    <w:rsid w:val="782878D8"/>
    <w:rsid w:val="78460399"/>
    <w:rsid w:val="78A314FC"/>
    <w:rsid w:val="78DD2BDC"/>
    <w:rsid w:val="79053EE1"/>
    <w:rsid w:val="79312349"/>
    <w:rsid w:val="7A7D21E1"/>
    <w:rsid w:val="7A88301C"/>
    <w:rsid w:val="7AAA2F92"/>
    <w:rsid w:val="7AB132C5"/>
    <w:rsid w:val="7AB30C18"/>
    <w:rsid w:val="7AF11F00"/>
    <w:rsid w:val="7B8C08E9"/>
    <w:rsid w:val="7BDF4EBD"/>
    <w:rsid w:val="7BE36492"/>
    <w:rsid w:val="7C0A1AFB"/>
    <w:rsid w:val="7C1D5C8B"/>
    <w:rsid w:val="7C323129"/>
    <w:rsid w:val="7C4E24C2"/>
    <w:rsid w:val="7C846A43"/>
    <w:rsid w:val="7CEF41B2"/>
    <w:rsid w:val="7CFE531D"/>
    <w:rsid w:val="7D1D02B3"/>
    <w:rsid w:val="7D447701"/>
    <w:rsid w:val="7D5F62B6"/>
    <w:rsid w:val="7D73697C"/>
    <w:rsid w:val="7DEE1E87"/>
    <w:rsid w:val="7E1C5673"/>
    <w:rsid w:val="7E6E2B6F"/>
    <w:rsid w:val="7EAE7C10"/>
    <w:rsid w:val="7EB10CEF"/>
    <w:rsid w:val="7EBA34E2"/>
    <w:rsid w:val="7EEF18BB"/>
    <w:rsid w:val="7F9D5DD0"/>
    <w:rsid w:val="7FAF2360"/>
    <w:rsid w:val="7FE40CF4"/>
    <w:rsid w:val="7FE868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qFormat="1" w:unhideWhenUsed="0" w:uiPriority="0" w:semiHidden="0" w:name="index 6"/>
    <w:lsdException w:uiPriority="99" w:name="index 7"/>
    <w:lsdException w:uiPriority="99" w:name="index 8"/>
    <w:lsdException w:uiPriority="99" w:name="index 9"/>
    <w:lsdException w:qFormat="1" w:uiPriority="39" w:semiHidden="0" w:name="toc 1"/>
    <w:lsdException w:qFormat="1" w:unhideWhenUsed="0" w:uiPriority="0" w:semiHidden="0" w:name="toc 2"/>
    <w:lsdException w:uiPriority="39" w:name="toc 3"/>
    <w:lsdException w:uiPriority="39" w:name="toc 4"/>
    <w:lsdException w:qFormat="1" w:unhideWhenUsed="0" w:uiPriority="0" w:semiHidden="0"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qFormat="1"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iPriority="0" w:semiHidden="0" w:name="Body Text Indent 2"/>
    <w:lsdException w:qFormat="1"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1"/>
    <w:basedOn w:val="1"/>
    <w:next w:val="1"/>
    <w:link w:val="60"/>
    <w:qFormat/>
    <w:uiPriority w:val="9"/>
    <w:pPr>
      <w:keepNext/>
      <w:keepLines/>
      <w:spacing w:before="100" w:beforeAutospacing="1" w:after="100" w:afterAutospacing="1"/>
      <w:jc w:val="center"/>
      <w:outlineLvl w:val="0"/>
    </w:pPr>
    <w:rPr>
      <w:rFonts w:eastAsia="黑体"/>
      <w:b/>
      <w:bCs/>
      <w:kern w:val="44"/>
      <w:sz w:val="30"/>
      <w:szCs w:val="44"/>
    </w:rPr>
  </w:style>
  <w:style w:type="paragraph" w:styleId="8">
    <w:name w:val="heading 2"/>
    <w:basedOn w:val="1"/>
    <w:next w:val="1"/>
    <w:link w:val="79"/>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9">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10">
    <w:name w:val="heading 4"/>
    <w:basedOn w:val="1"/>
    <w:next w:val="1"/>
    <w:unhideWhenUsed/>
    <w:qFormat/>
    <w:uiPriority w:val="0"/>
    <w:pPr>
      <w:keepNext/>
      <w:keepLines/>
      <w:numPr>
        <w:ilvl w:val="3"/>
        <w:numId w:val="1"/>
      </w:numPr>
      <w:tabs>
        <w:tab w:val="left" w:pos="420"/>
        <w:tab w:val="clear" w:pos="0"/>
      </w:tabs>
      <w:ind w:left="0" w:firstLine="1440" w:firstLineChars="200"/>
      <w:outlineLvl w:val="3"/>
    </w:pPr>
    <w:rPr>
      <w:b/>
      <w:bCs/>
      <w:color w:val="000000"/>
      <w:szCs w:val="28"/>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adjustRightInd w:val="0"/>
    </w:pPr>
    <w:rPr>
      <w:color w:val="000000"/>
      <w:kern w:val="0"/>
      <w:sz w:val="24"/>
    </w:rPr>
  </w:style>
  <w:style w:type="paragraph" w:customStyle="1" w:styleId="3">
    <w:name w:val="纯文本1"/>
    <w:basedOn w:val="1"/>
    <w:next w:val="1"/>
    <w:qFormat/>
    <w:uiPriority w:val="0"/>
    <w:pPr>
      <w:adjustRightInd w:val="0"/>
    </w:pPr>
    <w:rPr>
      <w:rFonts w:ascii="宋体" w:hAnsi="Courier New"/>
    </w:rPr>
  </w:style>
  <w:style w:type="paragraph" w:customStyle="1" w:styleId="4">
    <w:name w:val="正文文字 6"/>
    <w:basedOn w:val="5"/>
    <w:next w:val="1"/>
    <w:qFormat/>
    <w:uiPriority w:val="0"/>
    <w:pPr>
      <w:widowControl w:val="0"/>
      <w:ind w:left="240"/>
      <w:jc w:val="both"/>
    </w:pPr>
    <w:rPr>
      <w:rFonts w:ascii="宋体"/>
      <w:bCs/>
      <w:kern w:val="2"/>
      <w:sz w:val="32"/>
      <w:szCs w:val="32"/>
      <w:lang w:val="en-US" w:eastAsia="zh-CN" w:bidi="ar-SA"/>
    </w:rPr>
  </w:style>
  <w:style w:type="paragraph" w:customStyle="1" w:styleId="5">
    <w:name w:val="图位置"/>
    <w:next w:val="6"/>
    <w:qFormat/>
    <w:uiPriority w:val="0"/>
    <w:pPr>
      <w:jc w:val="center"/>
    </w:pPr>
    <w:rPr>
      <w:rFonts w:ascii="Times New Roman" w:hAnsi="Times New Roman" w:eastAsia="宋体" w:cs="Times New Roman"/>
      <w:kern w:val="2"/>
      <w:sz w:val="24"/>
      <w:szCs w:val="21"/>
      <w:lang w:val="en-US" w:eastAsia="zh-CN" w:bidi="ar-SA"/>
    </w:rPr>
  </w:style>
  <w:style w:type="paragraph" w:customStyle="1" w:styleId="6">
    <w:name w:val="图题"/>
    <w:basedOn w:val="1"/>
    <w:next w:val="1"/>
    <w:qFormat/>
    <w:uiPriority w:val="0"/>
    <w:pPr>
      <w:jc w:val="center"/>
    </w:pPr>
    <w:rPr>
      <w:rFonts w:ascii="宋体" w:hAnsi="宋体" w:eastAsia="黑体" w:cs="Times New Roman"/>
      <w:b/>
    </w:rPr>
  </w:style>
  <w:style w:type="paragraph" w:styleId="11">
    <w:name w:val="List 3"/>
    <w:basedOn w:val="1"/>
    <w:qFormat/>
    <w:uiPriority w:val="0"/>
    <w:pPr>
      <w:autoSpaceDE w:val="0"/>
      <w:autoSpaceDN w:val="0"/>
      <w:adjustRightInd w:val="0"/>
      <w:spacing w:line="288" w:lineRule="auto"/>
      <w:ind w:left="1260" w:hanging="420"/>
      <w:jc w:val="left"/>
      <w:textAlignment w:val="baseline"/>
    </w:pPr>
    <w:rPr>
      <w:kern w:val="0"/>
      <w:szCs w:val="20"/>
    </w:rPr>
  </w:style>
  <w:style w:type="paragraph" w:styleId="12">
    <w:name w:val="E-mail Signature"/>
    <w:basedOn w:val="1"/>
    <w:next w:val="13"/>
    <w:link w:val="85"/>
    <w:qFormat/>
    <w:uiPriority w:val="0"/>
    <w:pPr>
      <w:spacing w:line="460" w:lineRule="exact"/>
      <w:ind w:firstLine="200"/>
    </w:pPr>
    <w:rPr>
      <w:sz w:val="24"/>
    </w:rPr>
  </w:style>
  <w:style w:type="paragraph" w:customStyle="1" w:styleId="13">
    <w:name w:val="文章"/>
    <w:basedOn w:val="14"/>
    <w:next w:val="16"/>
    <w:qFormat/>
    <w:uiPriority w:val="0"/>
    <w:pPr>
      <w:widowControl/>
      <w:spacing w:before="240" w:after="0"/>
      <w:ind w:left="0" w:leftChars="0" w:firstLine="480"/>
      <w:jc w:val="center"/>
    </w:pPr>
    <w:rPr>
      <w:rFonts w:ascii="宋体"/>
      <w:sz w:val="26"/>
    </w:rPr>
  </w:style>
  <w:style w:type="paragraph" w:styleId="14">
    <w:name w:val="Body Text Indent"/>
    <w:basedOn w:val="1"/>
    <w:next w:val="15"/>
    <w:link w:val="88"/>
    <w:semiHidden/>
    <w:unhideWhenUsed/>
    <w:qFormat/>
    <w:uiPriority w:val="99"/>
    <w:pPr>
      <w:spacing w:after="120"/>
      <w:ind w:left="420" w:leftChars="200"/>
    </w:pPr>
  </w:style>
  <w:style w:type="paragraph" w:styleId="15">
    <w:name w:val="Body Text"/>
    <w:basedOn w:val="1"/>
    <w:link w:val="69"/>
    <w:semiHidden/>
    <w:unhideWhenUsed/>
    <w:qFormat/>
    <w:uiPriority w:val="99"/>
    <w:pPr>
      <w:spacing w:after="120"/>
    </w:pPr>
  </w:style>
  <w:style w:type="paragraph" w:styleId="16">
    <w:name w:val="List"/>
    <w:basedOn w:val="1"/>
    <w:next w:val="17"/>
    <w:qFormat/>
    <w:uiPriority w:val="0"/>
    <w:pPr>
      <w:snapToGrid w:val="0"/>
    </w:pPr>
    <w:rPr>
      <w:sz w:val="18"/>
    </w:rPr>
  </w:style>
  <w:style w:type="paragraph" w:styleId="17">
    <w:name w:val="List Bullet 2"/>
    <w:basedOn w:val="1"/>
    <w:next w:val="18"/>
    <w:semiHidden/>
    <w:unhideWhenUsed/>
    <w:qFormat/>
    <w:uiPriority w:val="99"/>
    <w:pPr>
      <w:numPr>
        <w:ilvl w:val="0"/>
        <w:numId w:val="2"/>
      </w:numPr>
    </w:pPr>
  </w:style>
  <w:style w:type="paragraph" w:customStyle="1" w:styleId="18">
    <w:name w:val="xl70"/>
    <w:basedOn w:val="1"/>
    <w:next w:val="19"/>
    <w:qFormat/>
    <w:uiPriority w:val="0"/>
    <w:pPr>
      <w:widowControl/>
      <w:spacing w:before="100" w:beforeAutospacing="1" w:after="100" w:afterAutospacing="1"/>
      <w:jc w:val="center"/>
    </w:pPr>
    <w:rPr>
      <w:kern w:val="0"/>
      <w:sz w:val="24"/>
    </w:rPr>
  </w:style>
  <w:style w:type="paragraph" w:customStyle="1" w:styleId="19">
    <w:name w:val="正文缩进1"/>
    <w:basedOn w:val="20"/>
    <w:next w:val="21"/>
    <w:qFormat/>
    <w:uiPriority w:val="0"/>
    <w:pPr>
      <w:keepNext/>
      <w:tabs>
        <w:tab w:val="left" w:pos="-709"/>
        <w:tab w:val="left" w:pos="284"/>
      </w:tabs>
      <w:adjustRightInd w:val="0"/>
      <w:snapToGrid w:val="0"/>
      <w:ind w:firstLine="0" w:firstLineChars="0"/>
      <w:jc w:val="center"/>
      <w:textAlignment w:val="baseline"/>
    </w:pPr>
    <w:rPr>
      <w:kern w:val="0"/>
      <w:sz w:val="24"/>
    </w:rPr>
  </w:style>
  <w:style w:type="paragraph" w:styleId="20">
    <w:name w:val="Normal Indent"/>
    <w:basedOn w:val="1"/>
    <w:qFormat/>
    <w:uiPriority w:val="0"/>
    <w:pPr>
      <w:ind w:firstLine="420" w:firstLineChars="200"/>
    </w:pPr>
  </w:style>
  <w:style w:type="paragraph" w:customStyle="1" w:styleId="21">
    <w:name w:val="td1"/>
    <w:basedOn w:val="1"/>
    <w:next w:val="1"/>
    <w:qFormat/>
    <w:uiPriority w:val="0"/>
    <w:pPr>
      <w:widowControl/>
      <w:spacing w:before="280" w:after="280" w:line="300" w:lineRule="atLeast"/>
      <w:ind w:firstLine="200"/>
    </w:pPr>
    <w:rPr>
      <w:color w:val="000000"/>
      <w:sz w:val="18"/>
    </w:rPr>
  </w:style>
  <w:style w:type="paragraph" w:styleId="22">
    <w:name w:val="caption"/>
    <w:basedOn w:val="1"/>
    <w:next w:val="1"/>
    <w:semiHidden/>
    <w:unhideWhenUsed/>
    <w:qFormat/>
    <w:uiPriority w:val="0"/>
    <w:rPr>
      <w:rFonts w:ascii="Arial" w:hAnsi="Arial" w:eastAsia="黑体"/>
      <w:sz w:val="20"/>
    </w:rPr>
  </w:style>
  <w:style w:type="paragraph" w:styleId="23">
    <w:name w:val="annotation text"/>
    <w:basedOn w:val="1"/>
    <w:link w:val="67"/>
    <w:qFormat/>
    <w:uiPriority w:val="0"/>
    <w:pPr>
      <w:spacing w:line="360" w:lineRule="auto"/>
      <w:ind w:firstLine="1446" w:firstLineChars="200"/>
      <w:jc w:val="left"/>
    </w:pPr>
    <w:rPr>
      <w:sz w:val="24"/>
    </w:rPr>
  </w:style>
  <w:style w:type="paragraph" w:styleId="24">
    <w:name w:val="index 6"/>
    <w:basedOn w:val="1"/>
    <w:next w:val="1"/>
    <w:qFormat/>
    <w:uiPriority w:val="0"/>
    <w:pPr>
      <w:ind w:left="2100"/>
    </w:pPr>
  </w:style>
  <w:style w:type="paragraph" w:styleId="25">
    <w:name w:val="toc 5"/>
    <w:basedOn w:val="1"/>
    <w:next w:val="1"/>
    <w:qFormat/>
    <w:uiPriority w:val="0"/>
    <w:pPr>
      <w:ind w:left="1440"/>
      <w:jc w:val="left"/>
    </w:pPr>
    <w:rPr>
      <w:sz w:val="20"/>
    </w:rPr>
  </w:style>
  <w:style w:type="paragraph" w:styleId="26">
    <w:name w:val="Plain Text"/>
    <w:basedOn w:val="1"/>
    <w:qFormat/>
    <w:uiPriority w:val="0"/>
    <w:rPr>
      <w:rFonts w:ascii="宋体" w:hAnsi="Courier New"/>
      <w:szCs w:val="20"/>
    </w:rPr>
  </w:style>
  <w:style w:type="paragraph" w:styleId="27">
    <w:name w:val="List Bullet 5"/>
    <w:basedOn w:val="1"/>
    <w:semiHidden/>
    <w:unhideWhenUsed/>
    <w:qFormat/>
    <w:uiPriority w:val="99"/>
    <w:pPr>
      <w:numPr>
        <w:ilvl w:val="0"/>
        <w:numId w:val="3"/>
      </w:numPr>
    </w:pPr>
  </w:style>
  <w:style w:type="paragraph" w:styleId="28">
    <w:name w:val="Body Text Indent 2"/>
    <w:basedOn w:val="1"/>
    <w:next w:val="15"/>
    <w:unhideWhenUsed/>
    <w:qFormat/>
    <w:uiPriority w:val="0"/>
    <w:pPr>
      <w:keepNext w:val="0"/>
      <w:keepLines w:val="0"/>
      <w:widowControl w:val="0"/>
      <w:suppressLineNumbers w:val="0"/>
      <w:snapToGrid w:val="0"/>
      <w:spacing w:before="0" w:beforeAutospacing="0" w:after="0" w:afterAutospacing="0" w:line="360" w:lineRule="auto"/>
      <w:ind w:left="0" w:right="0" w:firstLine="480" w:firstLineChars="200"/>
      <w:jc w:val="both"/>
    </w:pPr>
    <w:rPr>
      <w:rFonts w:hint="default" w:ascii="Times New Roman" w:hAnsi="Times New Roman" w:eastAsia="宋体" w:cs="Times New Roman"/>
      <w:kern w:val="2"/>
      <w:sz w:val="24"/>
      <w:szCs w:val="24"/>
      <w:lang w:val="en-US" w:eastAsia="zh-CN" w:bidi="ar"/>
    </w:rPr>
  </w:style>
  <w:style w:type="paragraph" w:styleId="29">
    <w:name w:val="Balloon Text"/>
    <w:basedOn w:val="1"/>
    <w:link w:val="68"/>
    <w:semiHidden/>
    <w:unhideWhenUsed/>
    <w:qFormat/>
    <w:uiPriority w:val="99"/>
    <w:rPr>
      <w:sz w:val="18"/>
      <w:szCs w:val="18"/>
    </w:rPr>
  </w:style>
  <w:style w:type="paragraph" w:styleId="30">
    <w:name w:val="footer"/>
    <w:basedOn w:val="1"/>
    <w:link w:val="56"/>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31">
    <w:name w:val="header"/>
    <w:basedOn w:val="1"/>
    <w:link w:val="55"/>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32">
    <w:name w:val="toc 1"/>
    <w:basedOn w:val="1"/>
    <w:next w:val="1"/>
    <w:unhideWhenUsed/>
    <w:qFormat/>
    <w:uiPriority w:val="39"/>
  </w:style>
  <w:style w:type="paragraph" w:styleId="33">
    <w:name w:val="Body Text Indent 3"/>
    <w:basedOn w:val="1"/>
    <w:link w:val="78"/>
    <w:semiHidden/>
    <w:unhideWhenUsed/>
    <w:qFormat/>
    <w:uiPriority w:val="99"/>
    <w:pPr>
      <w:spacing w:after="120"/>
      <w:ind w:left="420" w:leftChars="200"/>
    </w:pPr>
    <w:rPr>
      <w:sz w:val="16"/>
      <w:szCs w:val="16"/>
    </w:rPr>
  </w:style>
  <w:style w:type="paragraph" w:styleId="34">
    <w:name w:val="toc 2"/>
    <w:basedOn w:val="1"/>
    <w:next w:val="12"/>
    <w:qFormat/>
    <w:uiPriority w:val="0"/>
    <w:pPr>
      <w:ind w:left="210"/>
      <w:jc w:val="left"/>
    </w:pPr>
    <w:rPr>
      <w:smallCaps/>
      <w:sz w:val="20"/>
      <w:szCs w:val="20"/>
    </w:rPr>
  </w:style>
  <w:style w:type="paragraph" w:styleId="35">
    <w:name w:val="Normal (Web)"/>
    <w:basedOn w:val="1"/>
    <w:next w:val="1"/>
    <w:link w:val="57"/>
    <w:qFormat/>
    <w:uiPriority w:val="99"/>
    <w:pPr>
      <w:widowControl/>
      <w:spacing w:before="100" w:beforeAutospacing="1" w:after="100" w:afterAutospacing="1"/>
      <w:jc w:val="left"/>
    </w:pPr>
    <w:rPr>
      <w:rFonts w:ascii="宋体" w:hAnsi="宋体" w:cstheme="minorBidi"/>
      <w:sz w:val="24"/>
      <w:szCs w:val="22"/>
    </w:rPr>
  </w:style>
  <w:style w:type="paragraph" w:styleId="36">
    <w:name w:val="Body Text First Indent"/>
    <w:basedOn w:val="15"/>
    <w:link w:val="70"/>
    <w:unhideWhenUsed/>
    <w:qFormat/>
    <w:uiPriority w:val="0"/>
    <w:pPr>
      <w:ind w:firstLine="420" w:firstLineChars="100"/>
    </w:pPr>
    <w:rPr>
      <w:szCs w:val="20"/>
    </w:rPr>
  </w:style>
  <w:style w:type="paragraph" w:styleId="37">
    <w:name w:val="Body Text First Indent 2"/>
    <w:basedOn w:val="14"/>
    <w:next w:val="1"/>
    <w:qFormat/>
    <w:uiPriority w:val="0"/>
    <w:pPr>
      <w:widowControl/>
      <w:adjustRightInd/>
      <w:ind w:firstLine="420"/>
      <w:jc w:val="left"/>
      <w:textAlignment w:val="auto"/>
    </w:pPr>
    <w:rPr>
      <w:kern w:val="0"/>
      <w:sz w:val="28"/>
      <w:szCs w:val="20"/>
    </w:rPr>
  </w:style>
  <w:style w:type="table" w:styleId="39">
    <w:name w:val="Table Grid"/>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qFormat/>
    <w:uiPriority w:val="22"/>
    <w:rPr>
      <w:b/>
      <w:bCs/>
    </w:rPr>
  </w:style>
  <w:style w:type="character" w:styleId="42">
    <w:name w:val="page number"/>
    <w:basedOn w:val="40"/>
    <w:qFormat/>
    <w:uiPriority w:val="0"/>
  </w:style>
  <w:style w:type="character" w:styleId="43">
    <w:name w:val="Hyperlink"/>
    <w:basedOn w:val="40"/>
    <w:unhideWhenUsed/>
    <w:qFormat/>
    <w:uiPriority w:val="99"/>
    <w:rPr>
      <w:color w:val="0000FF"/>
      <w:u w:val="single"/>
    </w:rPr>
  </w:style>
  <w:style w:type="character" w:styleId="44">
    <w:name w:val="annotation reference"/>
    <w:basedOn w:val="40"/>
    <w:unhideWhenUsed/>
    <w:qFormat/>
    <w:uiPriority w:val="0"/>
    <w:rPr>
      <w:sz w:val="21"/>
      <w:szCs w:val="21"/>
    </w:rPr>
  </w:style>
  <w:style w:type="paragraph" w:customStyle="1" w:styleId="45">
    <w:name w:val="正文 首行缩进:  2 字符"/>
    <w:basedOn w:val="1"/>
    <w:qFormat/>
    <w:uiPriority w:val="0"/>
    <w:pPr>
      <w:spacing w:before="0" w:line="240" w:lineRule="auto"/>
      <w:ind w:firstLine="579" w:firstLineChars="200"/>
    </w:pPr>
    <w:rPr>
      <w:rFonts w:ascii="Times New Roman" w:hAnsi="Times New Roman" w:cs="宋体"/>
      <w:sz w:val="28"/>
      <w:szCs w:val="20"/>
    </w:rPr>
  </w:style>
  <w:style w:type="paragraph" w:customStyle="1" w:styleId="46">
    <w:name w:val="TT标题"/>
    <w:basedOn w:val="1"/>
    <w:qFormat/>
    <w:uiPriority w:val="0"/>
    <w:pPr>
      <w:jc w:val="center"/>
    </w:pPr>
    <w:rPr>
      <w:rFonts w:cs="宋体"/>
      <w:b/>
      <w:szCs w:val="20"/>
    </w:rPr>
  </w:style>
  <w:style w:type="paragraph" w:customStyle="1" w:styleId="47">
    <w:name w:val="样式35"/>
    <w:basedOn w:val="48"/>
    <w:next w:val="49"/>
    <w:qFormat/>
    <w:uiPriority w:val="0"/>
    <w:pPr>
      <w:tabs>
        <w:tab w:val="left" w:pos="0"/>
        <w:tab w:val="left" w:pos="360"/>
        <w:tab w:val="left" w:pos="432"/>
        <w:tab w:val="left" w:pos="480"/>
        <w:tab w:val="left" w:pos="540"/>
        <w:tab w:val="left" w:pos="567"/>
        <w:tab w:val="left" w:pos="720"/>
      </w:tabs>
      <w:spacing w:line="312" w:lineRule="auto"/>
      <w:ind w:firstLine="567"/>
      <w:jc w:val="center"/>
    </w:pPr>
    <w:rPr>
      <w:rFonts w:ascii="宋体"/>
      <w:szCs w:val="21"/>
    </w:rPr>
  </w:style>
  <w:style w:type="paragraph" w:customStyle="1" w:styleId="48">
    <w:name w:val="表 内容"/>
    <w:basedOn w:val="1"/>
    <w:qFormat/>
    <w:uiPriority w:val="0"/>
    <w:pPr>
      <w:spacing w:line="276" w:lineRule="auto"/>
      <w:jc w:val="center"/>
    </w:pPr>
    <w:rPr>
      <w:rFonts w:ascii="仿宋" w:hAnsi="仿宋" w:eastAsia="仿宋"/>
      <w:sz w:val="24"/>
    </w:rPr>
  </w:style>
  <w:style w:type="paragraph" w:customStyle="1" w:styleId="49">
    <w:name w:val="font6"/>
    <w:basedOn w:val="1"/>
    <w:next w:val="34"/>
    <w:qFormat/>
    <w:uiPriority w:val="0"/>
    <w:pPr>
      <w:widowControl/>
      <w:spacing w:before="280" w:after="280"/>
    </w:pPr>
  </w:style>
  <w:style w:type="paragraph" w:customStyle="1" w:styleId="50">
    <w:name w:val="样式26"/>
    <w:basedOn w:val="51"/>
    <w:qFormat/>
    <w:uiPriority w:val="0"/>
    <w:pPr>
      <w:tabs>
        <w:tab w:val="left" w:pos="0"/>
        <w:tab w:val="left" w:pos="360"/>
        <w:tab w:val="left" w:pos="480"/>
        <w:tab w:val="left" w:pos="540"/>
        <w:tab w:val="left" w:pos="567"/>
        <w:tab w:val="left" w:pos="720"/>
      </w:tabs>
    </w:pPr>
  </w:style>
  <w:style w:type="paragraph" w:customStyle="1" w:styleId="51">
    <w:name w:val="样式21"/>
    <w:basedOn w:val="52"/>
    <w:qFormat/>
    <w:uiPriority w:val="0"/>
    <w:pPr>
      <w:tabs>
        <w:tab w:val="left" w:pos="0"/>
        <w:tab w:val="left" w:pos="360"/>
        <w:tab w:val="left" w:pos="480"/>
        <w:tab w:val="left" w:pos="540"/>
        <w:tab w:val="left" w:pos="720"/>
      </w:tabs>
      <w:spacing w:beforeLines="50" w:afterLines="50" w:line="360" w:lineRule="auto"/>
      <w:ind w:left="720" w:hanging="720"/>
      <w:outlineLvl w:val="2"/>
    </w:pPr>
    <w:rPr>
      <w:rFonts w:eastAsia="MS Mincho"/>
      <w:kern w:val="0"/>
      <w:sz w:val="24"/>
      <w:szCs w:val="32"/>
    </w:rPr>
  </w:style>
  <w:style w:type="paragraph" w:customStyle="1" w:styleId="52">
    <w:name w:val="样式5"/>
    <w:basedOn w:val="53"/>
    <w:qFormat/>
    <w:uiPriority w:val="0"/>
    <w:pPr>
      <w:tabs>
        <w:tab w:val="left" w:pos="0"/>
        <w:tab w:val="left" w:pos="360"/>
        <w:tab w:val="left" w:pos="480"/>
      </w:tabs>
      <w:ind w:left="482" w:firstLine="0" w:firstLineChars="0"/>
    </w:pPr>
    <w:rPr>
      <w:rFonts w:eastAsia="仿宋_GB2312"/>
      <w:sz w:val="21"/>
      <w:szCs w:val="24"/>
    </w:rPr>
  </w:style>
  <w:style w:type="paragraph" w:customStyle="1" w:styleId="53">
    <w:name w:val="样式12"/>
    <w:basedOn w:val="54"/>
    <w:qFormat/>
    <w:uiPriority w:val="0"/>
    <w:pPr>
      <w:tabs>
        <w:tab w:val="left" w:pos="0"/>
        <w:tab w:val="left" w:pos="360"/>
        <w:tab w:val="left" w:pos="480"/>
      </w:tabs>
      <w:ind w:firstLine="200" w:firstLineChars="200"/>
    </w:pPr>
    <w:rPr>
      <w:rFonts w:ascii="Times New Roman" w:hAnsi="Times New Roman" w:eastAsia="宋体"/>
    </w:rPr>
  </w:style>
  <w:style w:type="paragraph" w:customStyle="1" w:styleId="54">
    <w:name w:val="样式 标题 3标题 3 Char标题3H3h33rd level第二层条三级标题ReHead 3 WSA头..."/>
    <w:basedOn w:val="9"/>
    <w:qFormat/>
    <w:uiPriority w:val="0"/>
    <w:pPr>
      <w:widowControl/>
      <w:spacing w:before="260" w:after="260" w:line="415" w:lineRule="auto"/>
      <w:jc w:val="left"/>
    </w:pPr>
    <w:rPr>
      <w:rFonts w:ascii="Times New Roman" w:hAnsi="Times New Roman" w:eastAsia="黑体" w:cs="宋体"/>
      <w:color w:val="FF0000"/>
      <w:kern w:val="0"/>
      <w:lang w:val="en-US" w:eastAsia="zh-CN"/>
    </w:rPr>
  </w:style>
  <w:style w:type="character" w:customStyle="1" w:styleId="55">
    <w:name w:val="页眉 字符"/>
    <w:basedOn w:val="40"/>
    <w:link w:val="31"/>
    <w:qFormat/>
    <w:uiPriority w:val="99"/>
    <w:rPr>
      <w:sz w:val="18"/>
      <w:szCs w:val="18"/>
    </w:rPr>
  </w:style>
  <w:style w:type="character" w:customStyle="1" w:styleId="56">
    <w:name w:val="页脚 字符"/>
    <w:basedOn w:val="40"/>
    <w:link w:val="30"/>
    <w:qFormat/>
    <w:uiPriority w:val="99"/>
    <w:rPr>
      <w:sz w:val="18"/>
      <w:szCs w:val="18"/>
    </w:rPr>
  </w:style>
  <w:style w:type="character" w:customStyle="1" w:styleId="57">
    <w:name w:val="普通(网站) 字符"/>
    <w:link w:val="35"/>
    <w:qFormat/>
    <w:locked/>
    <w:uiPriority w:val="0"/>
    <w:rPr>
      <w:rFonts w:ascii="宋体" w:hAnsi="宋体" w:eastAsia="宋体"/>
      <w:sz w:val="24"/>
    </w:rPr>
  </w:style>
  <w:style w:type="character" w:customStyle="1" w:styleId="58">
    <w:name w:val="表格 Char"/>
    <w:link w:val="59"/>
    <w:qFormat/>
    <w:locked/>
    <w:uiPriority w:val="0"/>
    <w:rPr>
      <w:rFonts w:ascii="宋体"/>
    </w:rPr>
  </w:style>
  <w:style w:type="paragraph" w:customStyle="1" w:styleId="59">
    <w:name w:val="表格"/>
    <w:basedOn w:val="1"/>
    <w:next w:val="1"/>
    <w:link w:val="58"/>
    <w:qFormat/>
    <w:uiPriority w:val="0"/>
    <w:pPr>
      <w:adjustRightInd w:val="0"/>
      <w:snapToGrid w:val="0"/>
      <w:spacing w:beforeLines="10" w:afterLines="10" w:line="259" w:lineRule="auto"/>
      <w:jc w:val="center"/>
    </w:pPr>
    <w:rPr>
      <w:rFonts w:ascii="宋体" w:hAnsiTheme="minorHAnsi" w:eastAsiaTheme="minorEastAsia" w:cstheme="minorBidi"/>
      <w:szCs w:val="22"/>
    </w:rPr>
  </w:style>
  <w:style w:type="character" w:customStyle="1" w:styleId="60">
    <w:name w:val="标题 1 字符"/>
    <w:basedOn w:val="40"/>
    <w:link w:val="7"/>
    <w:qFormat/>
    <w:uiPriority w:val="9"/>
    <w:rPr>
      <w:rFonts w:ascii="Times New Roman" w:hAnsi="Times New Roman" w:eastAsia="黑体" w:cs="Times New Roman"/>
      <w:b/>
      <w:bCs/>
      <w:kern w:val="44"/>
      <w:sz w:val="30"/>
      <w:szCs w:val="44"/>
    </w:rPr>
  </w:style>
  <w:style w:type="character" w:customStyle="1" w:styleId="61">
    <w:name w:val="表头 Char"/>
    <w:link w:val="62"/>
    <w:qFormat/>
    <w:uiPriority w:val="0"/>
    <w:rPr>
      <w:rFonts w:ascii="Times New Roman" w:hAnsi="Times New Roman" w:eastAsia="宋体"/>
      <w:b/>
    </w:rPr>
  </w:style>
  <w:style w:type="paragraph" w:customStyle="1" w:styleId="62">
    <w:name w:val="表头"/>
    <w:basedOn w:val="63"/>
    <w:next w:val="1"/>
    <w:link w:val="61"/>
    <w:qFormat/>
    <w:uiPriority w:val="0"/>
    <w:pPr>
      <w:jc w:val="center"/>
    </w:pPr>
    <w:rPr>
      <w:rFonts w:cstheme="minorBidi"/>
      <w:szCs w:val="22"/>
    </w:rPr>
  </w:style>
  <w:style w:type="paragraph" w:customStyle="1" w:styleId="63">
    <w:name w:val="表标题"/>
    <w:basedOn w:val="15"/>
    <w:next w:val="15"/>
    <w:link w:val="80"/>
    <w:qFormat/>
    <w:uiPriority w:val="0"/>
    <w:pPr>
      <w:numPr>
        <w:ilvl w:val="4"/>
        <w:numId w:val="4"/>
      </w:numPr>
      <w:adjustRightInd w:val="0"/>
      <w:snapToGrid w:val="0"/>
      <w:spacing w:before="50" w:beforeLines="50"/>
      <w:jc w:val="center"/>
    </w:pPr>
    <w:rPr>
      <w:rFonts w:eastAsiaTheme="minorEastAsia" w:cstheme="minorBidi"/>
      <w:b/>
      <w:bCs/>
      <w:color w:val="000000"/>
      <w:sz w:val="24"/>
      <w:szCs w:val="48"/>
    </w:rPr>
  </w:style>
  <w:style w:type="paragraph" w:styleId="64">
    <w:name w:val="No Spacing"/>
    <w:link w:val="75"/>
    <w:qFormat/>
    <w:uiPriority w:val="1"/>
    <w:pPr>
      <w:widowControl w:val="0"/>
      <w:spacing w:before="10" w:beforeLines="10" w:after="10" w:afterLines="10"/>
      <w:jc w:val="center"/>
    </w:pPr>
    <w:rPr>
      <w:rFonts w:ascii="Times New Roman" w:hAnsi="Times New Roman" w:eastAsia="宋体" w:cs="Times New Roman"/>
      <w:kern w:val="2"/>
      <w:sz w:val="21"/>
      <w:szCs w:val="24"/>
      <w:lang w:val="en-US" w:eastAsia="zh-CN" w:bidi="ar-SA"/>
    </w:rPr>
  </w:style>
  <w:style w:type="paragraph" w:customStyle="1" w:styleId="65">
    <w:name w:val="无间隔1"/>
    <w:basedOn w:val="1"/>
    <w:qFormat/>
    <w:uiPriority w:val="99"/>
    <w:pPr>
      <w:spacing w:beforeLines="25" w:afterLines="25"/>
      <w:jc w:val="center"/>
    </w:pPr>
    <w:rPr>
      <w:szCs w:val="21"/>
    </w:rPr>
  </w:style>
  <w:style w:type="paragraph" w:customStyle="1" w:styleId="66">
    <w:name w:val="小四"/>
    <w:basedOn w:val="1"/>
    <w:qFormat/>
    <w:uiPriority w:val="0"/>
    <w:pPr>
      <w:spacing w:line="360" w:lineRule="auto"/>
      <w:ind w:firstLine="200" w:firstLineChars="200"/>
    </w:pPr>
    <w:rPr>
      <w:bCs/>
      <w:color w:val="000000"/>
      <w:sz w:val="24"/>
    </w:rPr>
  </w:style>
  <w:style w:type="character" w:customStyle="1" w:styleId="67">
    <w:name w:val="批注文字 字符"/>
    <w:basedOn w:val="40"/>
    <w:link w:val="23"/>
    <w:qFormat/>
    <w:uiPriority w:val="0"/>
    <w:rPr>
      <w:rFonts w:ascii="Times New Roman" w:hAnsi="Times New Roman" w:eastAsia="宋体" w:cs="Times New Roman"/>
      <w:sz w:val="24"/>
      <w:szCs w:val="24"/>
    </w:rPr>
  </w:style>
  <w:style w:type="character" w:customStyle="1" w:styleId="68">
    <w:name w:val="批注框文本 字符"/>
    <w:basedOn w:val="40"/>
    <w:link w:val="29"/>
    <w:semiHidden/>
    <w:qFormat/>
    <w:uiPriority w:val="99"/>
    <w:rPr>
      <w:rFonts w:ascii="Times New Roman" w:hAnsi="Times New Roman" w:eastAsia="宋体" w:cs="Times New Roman"/>
      <w:sz w:val="18"/>
      <w:szCs w:val="18"/>
    </w:rPr>
  </w:style>
  <w:style w:type="character" w:customStyle="1" w:styleId="69">
    <w:name w:val="正文文本 字符"/>
    <w:basedOn w:val="40"/>
    <w:link w:val="15"/>
    <w:semiHidden/>
    <w:qFormat/>
    <w:uiPriority w:val="99"/>
    <w:rPr>
      <w:rFonts w:ascii="Times New Roman" w:hAnsi="Times New Roman" w:eastAsia="宋体" w:cs="Times New Roman"/>
      <w:szCs w:val="24"/>
    </w:rPr>
  </w:style>
  <w:style w:type="character" w:customStyle="1" w:styleId="70">
    <w:name w:val="正文文本首行缩进 字符"/>
    <w:basedOn w:val="69"/>
    <w:link w:val="36"/>
    <w:qFormat/>
    <w:uiPriority w:val="0"/>
    <w:rPr>
      <w:rFonts w:ascii="Times New Roman" w:hAnsi="Times New Roman" w:eastAsia="宋体" w:cs="Times New Roman"/>
      <w:szCs w:val="20"/>
    </w:rPr>
  </w:style>
  <w:style w:type="paragraph" w:customStyle="1" w:styleId="71">
    <w:name w:val="表文字"/>
    <w:basedOn w:val="1"/>
    <w:qFormat/>
    <w:uiPriority w:val="0"/>
    <w:pPr>
      <w:spacing w:line="320" w:lineRule="exact"/>
      <w:jc w:val="center"/>
    </w:pPr>
    <w:rPr>
      <w:rFonts w:ascii="Calibri" w:hAnsi="Calibri"/>
      <w:szCs w:val="20"/>
    </w:rPr>
  </w:style>
  <w:style w:type="character" w:customStyle="1" w:styleId="72">
    <w:name w:val="fontstyle01"/>
    <w:basedOn w:val="40"/>
    <w:qFormat/>
    <w:uiPriority w:val="0"/>
    <w:rPr>
      <w:rFonts w:hint="eastAsia" w:ascii="宋体" w:hAnsi="宋体" w:eastAsia="宋体"/>
      <w:color w:val="000000"/>
      <w:sz w:val="24"/>
      <w:szCs w:val="24"/>
    </w:rPr>
  </w:style>
  <w:style w:type="character" w:customStyle="1" w:styleId="73">
    <w:name w:val="fontstyle11"/>
    <w:basedOn w:val="40"/>
    <w:qFormat/>
    <w:uiPriority w:val="0"/>
    <w:rPr>
      <w:rFonts w:hint="default" w:ascii="Times New Roman" w:hAnsi="Times New Roman" w:cs="Times New Roman"/>
      <w:color w:val="000000"/>
      <w:sz w:val="24"/>
      <w:szCs w:val="24"/>
    </w:rPr>
  </w:style>
  <w:style w:type="character" w:customStyle="1" w:styleId="74">
    <w:name w:val="fontstyle21"/>
    <w:basedOn w:val="40"/>
    <w:qFormat/>
    <w:uiPriority w:val="0"/>
    <w:rPr>
      <w:rFonts w:hint="default" w:ascii="Calibri" w:hAnsi="Calibri" w:cs="Calibri"/>
      <w:color w:val="000000"/>
      <w:sz w:val="24"/>
      <w:szCs w:val="24"/>
    </w:rPr>
  </w:style>
  <w:style w:type="character" w:customStyle="1" w:styleId="75">
    <w:name w:val="无间隔 字符"/>
    <w:link w:val="64"/>
    <w:qFormat/>
    <w:uiPriority w:val="1"/>
    <w:rPr>
      <w:rFonts w:ascii="Times New Roman" w:hAnsi="Times New Roman" w:eastAsia="宋体" w:cs="Times New Roman"/>
      <w:szCs w:val="24"/>
    </w:rPr>
  </w:style>
  <w:style w:type="paragraph" w:styleId="76">
    <w:name w:val="List Paragraph"/>
    <w:basedOn w:val="1"/>
    <w:qFormat/>
    <w:uiPriority w:val="34"/>
    <w:pPr>
      <w:ind w:firstLine="420" w:firstLineChars="200"/>
    </w:pPr>
  </w:style>
  <w:style w:type="character" w:customStyle="1" w:styleId="77">
    <w:name w:val="rgroup"/>
    <w:basedOn w:val="40"/>
    <w:qFormat/>
    <w:uiPriority w:val="0"/>
  </w:style>
  <w:style w:type="character" w:customStyle="1" w:styleId="78">
    <w:name w:val="正文文本缩进 3 字符"/>
    <w:basedOn w:val="40"/>
    <w:link w:val="33"/>
    <w:semiHidden/>
    <w:qFormat/>
    <w:uiPriority w:val="99"/>
    <w:rPr>
      <w:rFonts w:ascii="Times New Roman" w:hAnsi="Times New Roman" w:eastAsia="宋体" w:cs="Times New Roman"/>
      <w:sz w:val="16"/>
      <w:szCs w:val="16"/>
    </w:rPr>
  </w:style>
  <w:style w:type="character" w:customStyle="1" w:styleId="79">
    <w:name w:val="标题 2 字符"/>
    <w:basedOn w:val="40"/>
    <w:link w:val="8"/>
    <w:qFormat/>
    <w:uiPriority w:val="9"/>
    <w:rPr>
      <w:rFonts w:asciiTheme="majorHAnsi" w:hAnsiTheme="majorHAnsi" w:eastAsiaTheme="majorEastAsia" w:cstheme="majorBidi"/>
      <w:b/>
      <w:bCs/>
      <w:sz w:val="32"/>
      <w:szCs w:val="32"/>
    </w:rPr>
  </w:style>
  <w:style w:type="character" w:customStyle="1" w:styleId="80">
    <w:name w:val="表标题 Char Char"/>
    <w:link w:val="63"/>
    <w:qFormat/>
    <w:uiPriority w:val="0"/>
    <w:rPr>
      <w:rFonts w:ascii="Times New Roman" w:hAnsi="Times New Roman"/>
      <w:b/>
      <w:bCs/>
      <w:color w:val="000000"/>
      <w:sz w:val="24"/>
      <w:szCs w:val="48"/>
    </w:rPr>
  </w:style>
  <w:style w:type="paragraph" w:customStyle="1" w:styleId="81">
    <w:name w:val="标题四"/>
    <w:basedOn w:val="1"/>
    <w:next w:val="1"/>
    <w:qFormat/>
    <w:uiPriority w:val="0"/>
    <w:pPr>
      <w:numPr>
        <w:ilvl w:val="3"/>
        <w:numId w:val="4"/>
      </w:numPr>
      <w:adjustRightInd w:val="0"/>
      <w:snapToGrid w:val="0"/>
      <w:spacing w:line="360" w:lineRule="auto"/>
      <w:jc w:val="left"/>
      <w:outlineLvl w:val="3"/>
    </w:pPr>
    <w:rPr>
      <w:b/>
      <w:sz w:val="24"/>
    </w:rPr>
  </w:style>
  <w:style w:type="paragraph" w:customStyle="1" w:styleId="82">
    <w:name w:val="标题三"/>
    <w:basedOn w:val="1"/>
    <w:next w:val="1"/>
    <w:qFormat/>
    <w:uiPriority w:val="0"/>
    <w:pPr>
      <w:numPr>
        <w:ilvl w:val="2"/>
        <w:numId w:val="4"/>
      </w:numPr>
      <w:adjustRightInd w:val="0"/>
      <w:snapToGrid w:val="0"/>
      <w:spacing w:before="50" w:beforeLines="50" w:after="50" w:afterLines="50" w:line="360" w:lineRule="auto"/>
      <w:jc w:val="left"/>
      <w:outlineLvl w:val="2"/>
    </w:pPr>
    <w:rPr>
      <w:b/>
      <w:sz w:val="28"/>
      <w:szCs w:val="22"/>
      <w:lang w:val="zh-CN"/>
    </w:rPr>
  </w:style>
  <w:style w:type="paragraph" w:customStyle="1" w:styleId="83">
    <w:name w:val="标题二"/>
    <w:basedOn w:val="1"/>
    <w:next w:val="1"/>
    <w:qFormat/>
    <w:uiPriority w:val="0"/>
    <w:pPr>
      <w:numPr>
        <w:ilvl w:val="1"/>
        <w:numId w:val="4"/>
      </w:numPr>
      <w:adjustRightInd w:val="0"/>
      <w:snapToGrid w:val="0"/>
      <w:spacing w:before="156" w:beforeLines="50" w:after="156" w:afterLines="50" w:line="360" w:lineRule="auto"/>
      <w:jc w:val="left"/>
      <w:outlineLvl w:val="1"/>
    </w:pPr>
    <w:rPr>
      <w:b/>
      <w:sz w:val="30"/>
      <w:szCs w:val="30"/>
    </w:rPr>
  </w:style>
  <w:style w:type="paragraph" w:customStyle="1" w:styleId="84">
    <w:name w:val="Table Paragraph"/>
    <w:basedOn w:val="1"/>
    <w:qFormat/>
    <w:uiPriority w:val="1"/>
    <w:pPr>
      <w:autoSpaceDE w:val="0"/>
      <w:autoSpaceDN w:val="0"/>
      <w:adjustRightInd w:val="0"/>
      <w:spacing w:before="25" w:beforeLines="25" w:after="25" w:afterLines="25"/>
      <w:jc w:val="center"/>
    </w:pPr>
    <w:rPr>
      <w:kern w:val="0"/>
    </w:rPr>
  </w:style>
  <w:style w:type="character" w:customStyle="1" w:styleId="85">
    <w:name w:val="电子邮件签名 字符"/>
    <w:basedOn w:val="40"/>
    <w:link w:val="12"/>
    <w:qFormat/>
    <w:uiPriority w:val="0"/>
    <w:rPr>
      <w:rFonts w:ascii="Times New Roman" w:hAnsi="Times New Roman" w:eastAsia="宋体" w:cs="Times New Roman"/>
      <w:sz w:val="24"/>
      <w:szCs w:val="24"/>
    </w:rPr>
  </w:style>
  <w:style w:type="paragraph" w:customStyle="1" w:styleId="86">
    <w:name w:val="正文内容"/>
    <w:basedOn w:val="1"/>
    <w:link w:val="87"/>
    <w:qFormat/>
    <w:uiPriority w:val="0"/>
    <w:pPr>
      <w:spacing w:line="360" w:lineRule="auto"/>
      <w:ind w:firstLine="200" w:firstLineChars="200"/>
      <w:jc w:val="left"/>
    </w:pPr>
    <w:rPr>
      <w:sz w:val="24"/>
    </w:rPr>
  </w:style>
  <w:style w:type="character" w:customStyle="1" w:styleId="87">
    <w:name w:val="正文内容 Char"/>
    <w:link w:val="86"/>
    <w:qFormat/>
    <w:uiPriority w:val="0"/>
    <w:rPr>
      <w:rFonts w:ascii="Times New Roman" w:hAnsi="Times New Roman" w:eastAsia="宋体" w:cs="Times New Roman"/>
      <w:sz w:val="24"/>
      <w:szCs w:val="24"/>
    </w:rPr>
  </w:style>
  <w:style w:type="character" w:customStyle="1" w:styleId="88">
    <w:name w:val="正文文本缩进 字符"/>
    <w:basedOn w:val="40"/>
    <w:link w:val="14"/>
    <w:semiHidden/>
    <w:qFormat/>
    <w:uiPriority w:val="99"/>
    <w:rPr>
      <w:rFonts w:ascii="Times New Roman" w:hAnsi="Times New Roman" w:eastAsia="宋体" w:cs="Times New Roman"/>
      <w:szCs w:val="24"/>
    </w:rPr>
  </w:style>
  <w:style w:type="character" w:customStyle="1" w:styleId="89">
    <w:name w:val="text_tban4"/>
    <w:basedOn w:val="40"/>
    <w:qFormat/>
    <w:uiPriority w:val="0"/>
  </w:style>
  <w:style w:type="character" w:customStyle="1" w:styleId="90">
    <w:name w:val="fontstyle31"/>
    <w:basedOn w:val="40"/>
    <w:qFormat/>
    <w:uiPriority w:val="0"/>
    <w:rPr>
      <w:rFonts w:hint="default" w:ascii="TimesNewRomanPSMT" w:hAnsi="TimesNewRomanPSMT"/>
      <w:color w:val="000000"/>
      <w:sz w:val="32"/>
      <w:szCs w:val="32"/>
    </w:rPr>
  </w:style>
  <w:style w:type="character" w:customStyle="1" w:styleId="91">
    <w:name w:val="text_czf0o"/>
    <w:basedOn w:val="40"/>
    <w:qFormat/>
    <w:uiPriority w:val="0"/>
  </w:style>
  <w:style w:type="character" w:customStyle="1" w:styleId="92">
    <w:name w:val="报告正文 Char"/>
    <w:link w:val="93"/>
    <w:qFormat/>
    <w:uiPriority w:val="0"/>
    <w:rPr>
      <w:rFonts w:ascii="宋体" w:hAnsi="Calibri" w:cs="黑体"/>
      <w:sz w:val="24"/>
    </w:rPr>
  </w:style>
  <w:style w:type="paragraph" w:customStyle="1" w:styleId="93">
    <w:name w:val="报告正文"/>
    <w:basedOn w:val="1"/>
    <w:link w:val="92"/>
    <w:qFormat/>
    <w:uiPriority w:val="0"/>
    <w:pPr>
      <w:adjustRightInd w:val="0"/>
      <w:snapToGrid w:val="0"/>
      <w:spacing w:line="360" w:lineRule="auto"/>
      <w:ind w:firstLine="200" w:firstLineChars="200"/>
    </w:pPr>
    <w:rPr>
      <w:rFonts w:ascii="宋体" w:hAnsi="Calibri" w:cs="黑体" w:eastAsiaTheme="minorEastAsia"/>
      <w:sz w:val="24"/>
      <w:szCs w:val="22"/>
    </w:rPr>
  </w:style>
  <w:style w:type="paragraph" w:customStyle="1" w:styleId="94">
    <w:name w:val="0正文"/>
    <w:basedOn w:val="15"/>
    <w:link w:val="95"/>
    <w:qFormat/>
    <w:uiPriority w:val="0"/>
    <w:pPr>
      <w:spacing w:line="360" w:lineRule="auto"/>
      <w:ind w:firstLine="482"/>
    </w:pPr>
    <w:rPr>
      <w:kern w:val="0"/>
      <w:sz w:val="24"/>
      <w:szCs w:val="20"/>
      <w:lang w:bidi="en-US"/>
    </w:rPr>
  </w:style>
  <w:style w:type="character" w:customStyle="1" w:styleId="95">
    <w:name w:val="0正文 Char"/>
    <w:link w:val="94"/>
    <w:qFormat/>
    <w:uiPriority w:val="0"/>
    <w:rPr>
      <w:rFonts w:ascii="Times New Roman" w:hAnsi="Times New Roman" w:eastAsia="宋体" w:cs="Times New Roman"/>
      <w:kern w:val="0"/>
      <w:sz w:val="24"/>
      <w:szCs w:val="20"/>
      <w:lang w:bidi="en-US"/>
    </w:rPr>
  </w:style>
  <w:style w:type="character" w:customStyle="1" w:styleId="96">
    <w:name w:val="报告表  段 Char"/>
    <w:qFormat/>
    <w:uiPriority w:val="0"/>
    <w:rPr>
      <w:rFonts w:ascii="宋体"/>
      <w:sz w:val="24"/>
    </w:rPr>
  </w:style>
  <w:style w:type="paragraph" w:customStyle="1" w:styleId="97">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98">
    <w:name w:val="_Style 5"/>
    <w:next w:val="24"/>
    <w:qFormat/>
    <w:uiPriority w:val="0"/>
    <w:pPr>
      <w:widowControl w:val="0"/>
      <w:ind w:firstLine="200" w:firstLineChars="200"/>
      <w:jc w:val="both"/>
    </w:pPr>
    <w:rPr>
      <w:rFonts w:ascii="Calibri" w:hAnsi="Calibri" w:eastAsia="宋体" w:cs="宋体"/>
      <w:kern w:val="2"/>
      <w:sz w:val="24"/>
      <w:szCs w:val="24"/>
      <w:lang w:val="en-US" w:eastAsia="zh-CN" w:bidi="ar-SA"/>
    </w:rPr>
  </w:style>
  <w:style w:type="paragraph" w:customStyle="1" w:styleId="99">
    <w:name w:val="正文 03"/>
    <w:basedOn w:val="1"/>
    <w:qFormat/>
    <w:uiPriority w:val="0"/>
    <w:pPr>
      <w:autoSpaceDE w:val="0"/>
      <w:autoSpaceDN w:val="0"/>
      <w:adjustRightInd w:val="0"/>
      <w:textAlignment w:val="baseline"/>
    </w:pPr>
    <w:rPr>
      <w:rFonts w:eastAsia="楷体_GB2312"/>
      <w:kern w:val="0"/>
      <w:sz w:val="24"/>
      <w:szCs w:val="20"/>
    </w:rPr>
  </w:style>
  <w:style w:type="character" w:customStyle="1" w:styleId="100">
    <w:name w:val="font31"/>
    <w:basedOn w:val="40"/>
    <w:qFormat/>
    <w:uiPriority w:val="0"/>
    <w:rPr>
      <w:rFonts w:hint="default" w:ascii="Times New Roman" w:hAnsi="Times New Roman" w:cs="Times New Roman"/>
      <w:color w:val="000000"/>
      <w:sz w:val="21"/>
      <w:szCs w:val="21"/>
      <w:u w:val="none"/>
    </w:rPr>
  </w:style>
  <w:style w:type="character" w:customStyle="1" w:styleId="101">
    <w:name w:val="font21"/>
    <w:basedOn w:val="40"/>
    <w:qFormat/>
    <w:uiPriority w:val="0"/>
    <w:rPr>
      <w:rFonts w:hint="eastAsia" w:ascii="宋体" w:hAnsi="宋体" w:eastAsia="宋体" w:cs="宋体"/>
      <w:color w:val="000000"/>
      <w:sz w:val="21"/>
      <w:szCs w:val="21"/>
      <w:u w:val="none"/>
    </w:rPr>
  </w:style>
  <w:style w:type="character" w:customStyle="1" w:styleId="102">
    <w:name w:val="font01"/>
    <w:basedOn w:val="40"/>
    <w:qFormat/>
    <w:uiPriority w:val="0"/>
    <w:rPr>
      <w:rFonts w:hint="eastAsia" w:ascii="宋体" w:hAnsi="宋体" w:eastAsia="宋体" w:cs="宋体"/>
      <w:color w:val="000000"/>
      <w:sz w:val="24"/>
      <w:szCs w:val="24"/>
      <w:u w:val="none"/>
    </w:rPr>
  </w:style>
  <w:style w:type="character" w:customStyle="1" w:styleId="103">
    <w:name w:val="font11"/>
    <w:basedOn w:val="40"/>
    <w:qFormat/>
    <w:uiPriority w:val="0"/>
    <w:rPr>
      <w:rFonts w:hint="default" w:ascii="Times New Roman" w:hAnsi="Times New Roman" w:cs="Times New Roman"/>
      <w:color w:val="000000"/>
      <w:sz w:val="24"/>
      <w:szCs w:val="24"/>
      <w:u w:val="none"/>
    </w:rPr>
  </w:style>
  <w:style w:type="character" w:customStyle="1" w:styleId="104">
    <w:name w:val="font41"/>
    <w:basedOn w:val="40"/>
    <w:qFormat/>
    <w:uiPriority w:val="0"/>
    <w:rPr>
      <w:rFonts w:hint="eastAsia" w:ascii="宋体" w:hAnsi="宋体" w:eastAsia="宋体" w:cs="宋体"/>
      <w:color w:val="000000"/>
      <w:sz w:val="24"/>
      <w:szCs w:val="24"/>
      <w:u w:val="none"/>
    </w:rPr>
  </w:style>
  <w:style w:type="character" w:customStyle="1" w:styleId="105">
    <w:name w:val="font61"/>
    <w:basedOn w:val="40"/>
    <w:qFormat/>
    <w:uiPriority w:val="0"/>
    <w:rPr>
      <w:rFonts w:hint="default" w:ascii="Times New Roman" w:hAnsi="Times New Roman" w:cs="Times New Roman"/>
      <w:color w:val="000000"/>
      <w:sz w:val="21"/>
      <w:szCs w:val="21"/>
      <w:u w:val="none"/>
    </w:rPr>
  </w:style>
  <w:style w:type="character" w:customStyle="1" w:styleId="106">
    <w:name w:val="font71"/>
    <w:basedOn w:val="40"/>
    <w:qFormat/>
    <w:uiPriority w:val="0"/>
    <w:rPr>
      <w:rFonts w:hint="default" w:ascii="Times New Roman" w:hAnsi="Times New Roman" w:cs="Times New Roman"/>
      <w:color w:val="000000"/>
      <w:sz w:val="21"/>
      <w:szCs w:val="21"/>
      <w:u w:val="none"/>
      <w:vertAlign w:val="superscript"/>
    </w:rPr>
  </w:style>
  <w:style w:type="character" w:customStyle="1" w:styleId="107">
    <w:name w:val="font51"/>
    <w:basedOn w:val="40"/>
    <w:qFormat/>
    <w:uiPriority w:val="0"/>
    <w:rPr>
      <w:rFonts w:hint="default" w:ascii="Times New Roman" w:hAnsi="Times New Roman" w:cs="Times New Roman"/>
      <w:color w:val="000000"/>
      <w:sz w:val="21"/>
      <w:szCs w:val="21"/>
      <w:u w:val="none"/>
      <w:vertAlign w:val="superscript"/>
    </w:rPr>
  </w:style>
  <w:style w:type="paragraph" w:customStyle="1" w:styleId="108">
    <w:name w:val="Body Text 22"/>
    <w:basedOn w:val="1"/>
    <w:qFormat/>
    <w:uiPriority w:val="0"/>
    <w:pPr>
      <w:adjustRightInd w:val="0"/>
      <w:spacing w:line="440" w:lineRule="atLeast"/>
      <w:ind w:firstLine="480"/>
      <w:textAlignment w:val="baseline"/>
    </w:pPr>
    <w:rPr>
      <w:rFonts w:ascii="Arial" w:hAnsi="Arial" w:eastAsia="仿宋_GB2312"/>
      <w:sz w:val="24"/>
    </w:rPr>
  </w:style>
  <w:style w:type="paragraph" w:customStyle="1" w:styleId="109">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110">
    <w:name w:val="表后正文"/>
    <w:basedOn w:val="28"/>
    <w:qFormat/>
    <w:uiPriority w:val="0"/>
    <w:pPr>
      <w:widowControl/>
      <w:adjustRightInd w:val="0"/>
      <w:spacing w:beforeLines="50" w:after="0" w:line="480" w:lineRule="exact"/>
      <w:ind w:left="0" w:leftChars="0" w:firstLine="560" w:firstLineChars="200"/>
      <w:jc w:val="left"/>
      <w:textAlignment w:val="baseline"/>
    </w:pPr>
    <w:rPr>
      <w:rFonts w:eastAsia="楷体_GB2312"/>
      <w:color w:val="000000"/>
      <w:kern w:val="0"/>
      <w:sz w:val="28"/>
      <w:szCs w:val="20"/>
    </w:rPr>
  </w:style>
  <w:style w:type="paragraph" w:customStyle="1" w:styleId="111">
    <w:name w:val="[正文格式]"/>
    <w:basedOn w:val="1"/>
    <w:qFormat/>
    <w:uiPriority w:val="0"/>
    <w:pPr>
      <w:spacing w:line="480" w:lineRule="exact"/>
      <w:ind w:firstLine="200" w:firstLineChars="200"/>
    </w:pPr>
    <w:rPr>
      <w:rFonts w:ascii="Times New Roman" w:hAnsi="Times New Roman"/>
    </w:rPr>
  </w:style>
  <w:style w:type="paragraph" w:customStyle="1" w:styleId="112">
    <w:name w:val="Table Text"/>
    <w:basedOn w:val="1"/>
    <w:semiHidden/>
    <w:qFormat/>
    <w:uiPriority w:val="0"/>
    <w:rPr>
      <w:rFonts w:ascii="宋体" w:hAnsi="宋体" w:eastAsia="宋体" w:cs="宋体"/>
      <w:sz w:val="24"/>
      <w:szCs w:val="24"/>
      <w:lang w:val="en-US" w:eastAsia="en-US" w:bidi="ar-SA"/>
    </w:rPr>
  </w:style>
  <w:style w:type="paragraph" w:customStyle="1" w:styleId="113">
    <w:name w:val="我的表格"/>
    <w:basedOn w:val="1"/>
    <w:qFormat/>
    <w:uiPriority w:val="0"/>
    <w:pPr>
      <w:adjustRightInd w:val="0"/>
      <w:snapToGrid w:val="0"/>
      <w:jc w:val="center"/>
    </w:pPr>
    <w:rPr>
      <w:rFonts w:ascii="Times New Roman" w:hAnsi="Times New Roman" w:eastAsia="宋体" w:cs="Times New Roman"/>
      <w:szCs w:val="20"/>
    </w:rPr>
  </w:style>
  <w:style w:type="character" w:customStyle="1" w:styleId="114">
    <w:name w:val="font91"/>
    <w:basedOn w:val="40"/>
    <w:qFormat/>
    <w:uiPriority w:val="0"/>
    <w:rPr>
      <w:rFonts w:hint="default" w:ascii="Times New Roman" w:hAnsi="Times New Roman" w:cs="Times New Roman"/>
      <w:b/>
      <w:bCs/>
      <w:color w:val="000000"/>
      <w:sz w:val="21"/>
      <w:szCs w:val="21"/>
      <w:u w:val="none"/>
    </w:rPr>
  </w:style>
  <w:style w:type="paragraph" w:customStyle="1" w:styleId="115">
    <w:name w:val="表格格式"/>
    <w:qFormat/>
    <w:uiPriority w:val="0"/>
    <w:pPr>
      <w:spacing w:line="240" w:lineRule="auto"/>
      <w:ind w:firstLine="0" w:firstLineChars="0"/>
      <w:jc w:val="center"/>
    </w:pPr>
    <w:rPr>
      <w:rFonts w:ascii="Times New Roman" w:hAnsi="Times New Roman" w:eastAsia="宋体" w:cs="宋体"/>
      <w:sz w:val="21"/>
      <w:szCs w:val="21"/>
      <w:lang w:val="en-US" w:eastAsia="zh-CN" w:bidi="ar-SA"/>
    </w:rPr>
  </w:style>
  <w:style w:type="character" w:customStyle="1" w:styleId="116">
    <w:name w:val="font81"/>
    <w:basedOn w:val="40"/>
    <w:qFormat/>
    <w:uiPriority w:val="0"/>
    <w:rPr>
      <w:rFonts w:hint="default" w:ascii="Times New Roman" w:hAnsi="Times New Roman" w:cs="Times New Roman"/>
      <w:b/>
      <w:bCs/>
      <w:color w:val="000000"/>
      <w:sz w:val="21"/>
      <w:szCs w:val="21"/>
      <w:u w:val="none"/>
      <w:vertAlign w:val="superscript"/>
    </w:rPr>
  </w:style>
  <w:style w:type="character" w:customStyle="1" w:styleId="117">
    <w:name w:val="font112"/>
    <w:basedOn w:val="40"/>
    <w:qFormat/>
    <w:uiPriority w:val="0"/>
    <w:rPr>
      <w:rFonts w:hint="default" w:ascii="Times New Roman" w:hAnsi="Times New Roman" w:cs="Times New Roman"/>
      <w:b/>
      <w:bCs/>
      <w:color w:val="000000"/>
      <w:sz w:val="21"/>
      <w:szCs w:val="21"/>
      <w:u w:val="none"/>
    </w:rPr>
  </w:style>
  <w:style w:type="character" w:customStyle="1" w:styleId="118">
    <w:name w:val="font121"/>
    <w:basedOn w:val="40"/>
    <w:qFormat/>
    <w:uiPriority w:val="0"/>
    <w:rPr>
      <w:rFonts w:hint="default" w:ascii="Times New Roman" w:hAnsi="Times New Roman" w:cs="Times New Roman"/>
      <w:b/>
      <w:bCs/>
      <w:color w:val="000000"/>
      <w:sz w:val="21"/>
      <w:szCs w:val="21"/>
      <w:u w:val="none"/>
      <w:vertAlign w:val="superscript"/>
    </w:rPr>
  </w:style>
  <w:style w:type="character" w:customStyle="1" w:styleId="119">
    <w:name w:val="font101"/>
    <w:basedOn w:val="40"/>
    <w:qFormat/>
    <w:uiPriority w:val="0"/>
    <w:rPr>
      <w:rFonts w:hint="eastAsia" w:ascii="宋体" w:hAnsi="宋体" w:eastAsia="宋体" w:cs="宋体"/>
      <w:color w:val="000000"/>
      <w:sz w:val="21"/>
      <w:szCs w:val="21"/>
      <w:u w:val="none"/>
    </w:rPr>
  </w:style>
  <w:style w:type="paragraph" w:customStyle="1" w:styleId="120">
    <w:name w:val="表格内容xxx"/>
    <w:basedOn w:val="1"/>
    <w:qFormat/>
    <w:uiPriority w:val="0"/>
    <w:pPr>
      <w:adjustRightInd w:val="0"/>
      <w:snapToGrid w:val="0"/>
      <w:spacing w:line="240" w:lineRule="auto"/>
      <w:ind w:firstLine="0" w:firstLineChars="0"/>
      <w:jc w:val="center"/>
    </w:pPr>
    <w:rPr>
      <w:rFonts w:ascii="Times New Roman" w:hAnsi="Times New Roman" w:eastAsia="宋体" w:cs="Times New Roman"/>
      <w:color w:val="000000"/>
      <w:sz w:val="21"/>
    </w:rPr>
  </w:style>
  <w:style w:type="character" w:customStyle="1" w:styleId="121">
    <w:name w:val="font181"/>
    <w:basedOn w:val="40"/>
    <w:qFormat/>
    <w:uiPriority w:val="0"/>
    <w:rPr>
      <w:rFonts w:hint="eastAsia" w:ascii="宋体" w:hAnsi="宋体" w:eastAsia="宋体" w:cs="宋体"/>
      <w:b/>
      <w:bCs/>
      <w:color w:val="000000"/>
      <w:sz w:val="24"/>
      <w:szCs w:val="24"/>
      <w:u w:val="none"/>
    </w:rPr>
  </w:style>
  <w:style w:type="character" w:customStyle="1" w:styleId="122">
    <w:name w:val="font131"/>
    <w:basedOn w:val="40"/>
    <w:qFormat/>
    <w:uiPriority w:val="0"/>
    <w:rPr>
      <w:rFonts w:hint="default" w:ascii="Times New Roman" w:hAnsi="Times New Roman" w:cs="Times New Roman"/>
      <w:b/>
      <w:bCs/>
      <w:color w:val="000000"/>
      <w:sz w:val="18"/>
      <w:szCs w:val="18"/>
      <w:u w:val="none"/>
    </w:rPr>
  </w:style>
  <w:style w:type="character" w:customStyle="1" w:styleId="123">
    <w:name w:val="font191"/>
    <w:basedOn w:val="40"/>
    <w:qFormat/>
    <w:uiPriority w:val="0"/>
    <w:rPr>
      <w:rFonts w:hint="default" w:ascii="Times New Roman" w:hAnsi="Times New Roman" w:cs="Times New Roman"/>
      <w:color w:val="000000"/>
      <w:sz w:val="22"/>
      <w:szCs w:val="22"/>
      <w:u w:val="none"/>
      <w:vertAlign w:val="subscript"/>
    </w:rPr>
  </w:style>
  <w:style w:type="character" w:customStyle="1" w:styleId="124">
    <w:name w:val="font151"/>
    <w:basedOn w:val="40"/>
    <w:qFormat/>
    <w:uiPriority w:val="0"/>
    <w:rPr>
      <w:rFonts w:hint="eastAsia" w:ascii="宋体" w:hAnsi="宋体" w:eastAsia="宋体" w:cs="宋体"/>
      <w:color w:val="000000"/>
      <w:sz w:val="18"/>
      <w:szCs w:val="18"/>
      <w:u w:val="none"/>
    </w:rPr>
  </w:style>
  <w:style w:type="character" w:customStyle="1" w:styleId="125">
    <w:name w:val="font201"/>
    <w:basedOn w:val="40"/>
    <w:qFormat/>
    <w:uiPriority w:val="0"/>
    <w:rPr>
      <w:rFonts w:hint="eastAsia" w:ascii="宋体" w:hAnsi="宋体" w:eastAsia="宋体" w:cs="宋体"/>
      <w:color w:val="000000"/>
      <w:sz w:val="24"/>
      <w:szCs w:val="24"/>
      <w:u w:val="none"/>
    </w:rPr>
  </w:style>
  <w:style w:type="paragraph" w:customStyle="1" w:styleId="126">
    <w:name w:val="00正文"/>
    <w:basedOn w:val="28"/>
    <w:qFormat/>
    <w:uiPriority w:val="0"/>
    <w:pPr>
      <w:tabs>
        <w:tab w:val="left" w:pos="602"/>
      </w:tabs>
      <w:spacing w:after="0" w:line="300" w:lineRule="auto"/>
      <w:ind w:left="0" w:leftChars="0" w:firstLine="480" w:firstLineChars="200"/>
    </w:pPr>
    <w:rPr>
      <w:snapToGrid w:val="0"/>
      <w:sz w:val="24"/>
      <w:szCs w:val="24"/>
    </w:rPr>
  </w:style>
  <w:style w:type="paragraph" w:customStyle="1" w:styleId="127">
    <w:name w:val="表格样式"/>
    <w:basedOn w:val="1"/>
    <w:qFormat/>
    <w:uiPriority w:val="0"/>
    <w:pPr>
      <w:spacing w:line="240" w:lineRule="auto"/>
      <w:ind w:firstLine="0" w:firstLineChars="0"/>
      <w:jc w:val="center"/>
    </w:pPr>
    <w:rPr>
      <w:rFonts w:ascii="Times New Roman" w:hAnsi="Times New Roman"/>
      <w:color w:val="000000"/>
      <w:sz w:val="21"/>
      <w:szCs w:val="21"/>
    </w:rPr>
  </w:style>
  <w:style w:type="paragraph" w:customStyle="1" w:styleId="128">
    <w:name w:val="表文"/>
    <w:basedOn w:val="1"/>
    <w:qFormat/>
    <w:uiPriority w:val="0"/>
    <w:pPr>
      <w:autoSpaceDE w:val="0"/>
      <w:autoSpaceDN w:val="0"/>
      <w:adjustRightInd w:val="0"/>
      <w:spacing w:line="360" w:lineRule="atLeast"/>
      <w:jc w:val="center"/>
      <w:textAlignment w:val="baseline"/>
    </w:pPr>
    <w:rPr>
      <w:rFonts w:ascii="宋体" w:hAnsi="Tms Rmn"/>
      <w:kern w:val="0"/>
      <w:szCs w:val="20"/>
    </w:rPr>
  </w:style>
  <w:style w:type="paragraph" w:customStyle="1" w:styleId="129">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paragraph" w:customStyle="1" w:styleId="130">
    <w:name w:val="报告表 段"/>
    <w:basedOn w:val="1"/>
    <w:qFormat/>
    <w:uiPriority w:val="0"/>
    <w:pPr>
      <w:spacing w:line="360" w:lineRule="auto"/>
      <w:ind w:firstLine="470" w:firstLineChars="196"/>
    </w:pPr>
    <w:rPr>
      <w:rFonts w:ascii="宋体" w:hAnsi="宋体" w:eastAsia="宋体" w:cs="Times New Roman"/>
      <w:bCs/>
      <w:sz w:val="24"/>
    </w:rPr>
  </w:style>
  <w:style w:type="paragraph" w:customStyle="1" w:styleId="131">
    <w:name w:val="国寰正文"/>
    <w:unhideWhenUsed/>
    <w:qFormat/>
    <w:uiPriority w:val="0"/>
    <w:pPr>
      <w:adjustRightInd w:val="0"/>
      <w:snapToGrid w:val="0"/>
      <w:spacing w:beforeLines="0" w:afterLines="0" w:line="360" w:lineRule="auto"/>
      <w:ind w:firstLine="200" w:firstLineChars="200"/>
    </w:pPr>
    <w:rPr>
      <w:rFonts w:hint="default" w:ascii="Times New Roman" w:hAnsi="Times New Roman" w:eastAsia="宋体" w:cs="Times New Roman"/>
      <w:kern w:val="2"/>
      <w:sz w:val="24"/>
      <w:szCs w:val="24"/>
    </w:rPr>
  </w:style>
  <w:style w:type="paragraph" w:customStyle="1" w:styleId="132">
    <w:name w:val="图表名称"/>
    <w:basedOn w:val="36"/>
    <w:next w:val="93"/>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customStyle="1" w:styleId="133">
    <w:name w:val="6-正文"/>
    <w:basedOn w:val="1"/>
    <w:qFormat/>
    <w:uiPriority w:val="0"/>
    <w:rPr>
      <w:szCs w:val="28"/>
    </w:rPr>
  </w:style>
  <w:style w:type="paragraph" w:customStyle="1" w:styleId="134">
    <w:name w:val="表格内容1"/>
    <w:basedOn w:val="1"/>
    <w:qFormat/>
    <w:uiPriority w:val="0"/>
    <w:pPr>
      <w:adjustRightInd w:val="0"/>
      <w:snapToGrid w:val="0"/>
      <w:spacing w:before="15" w:beforeLines="15" w:after="15" w:afterLines="15" w:line="300" w:lineRule="exact"/>
      <w:jc w:val="center"/>
    </w:pPr>
    <w:rPr>
      <w:kern w:val="0"/>
    </w:rPr>
  </w:style>
  <w:style w:type="paragraph" w:customStyle="1" w:styleId="135">
    <w:name w:val="（一）"/>
    <w:basedOn w:val="1"/>
    <w:qFormat/>
    <w:uiPriority w:val="0"/>
    <w:pPr>
      <w:numPr>
        <w:ilvl w:val="0"/>
        <w:numId w:val="5"/>
      </w:numPr>
      <w:spacing w:line="400" w:lineRule="exact"/>
    </w:pPr>
    <w:rPr>
      <w:b/>
      <w:sz w:val="24"/>
    </w:rPr>
  </w:style>
  <w:style w:type="paragraph" w:customStyle="1" w:styleId="136">
    <w:name w:val="正文小四"/>
    <w:basedOn w:val="1"/>
    <w:qFormat/>
    <w:uiPriority w:val="0"/>
    <w:pPr>
      <w:spacing w:line="360" w:lineRule="auto"/>
      <w:ind w:firstLine="420" w:firstLineChars="200"/>
    </w:pPr>
    <w:rPr>
      <w:rFonts w:ascii="Times New Roman" w:hAnsi="Times New Roman"/>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image" Target="media/image1.jpeg"/><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jpe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theme" Target="theme/theme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4.xml"/><Relationship Id="rId69" Type="http://schemas.openxmlformats.org/officeDocument/2006/relationships/image" Target="media/image58.png"/><Relationship Id="rId68" Type="http://schemas.openxmlformats.org/officeDocument/2006/relationships/image" Target="media/image57.jpeg"/><Relationship Id="rId67" Type="http://schemas.openxmlformats.org/officeDocument/2006/relationships/image" Target="media/image56.png"/><Relationship Id="rId66" Type="http://schemas.openxmlformats.org/officeDocument/2006/relationships/image" Target="media/image55.jpeg"/><Relationship Id="rId65" Type="http://schemas.openxmlformats.org/officeDocument/2006/relationships/image" Target="media/image54.png"/><Relationship Id="rId64" Type="http://schemas.openxmlformats.org/officeDocument/2006/relationships/image" Target="media/image53.jpeg"/><Relationship Id="rId63" Type="http://schemas.openxmlformats.org/officeDocument/2006/relationships/image" Target="media/image52.png"/><Relationship Id="rId62" Type="http://schemas.openxmlformats.org/officeDocument/2006/relationships/image" Target="media/image51.jpe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1.xml"/><Relationship Id="rId59" Type="http://schemas.openxmlformats.org/officeDocument/2006/relationships/image" Target="media/image48.pn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png"/><Relationship Id="rId55" Type="http://schemas.openxmlformats.org/officeDocument/2006/relationships/image" Target="media/image44.jpe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jpeg"/><Relationship Id="rId42" Type="http://schemas.openxmlformats.org/officeDocument/2006/relationships/image" Target="media/image31.png"/><Relationship Id="rId41" Type="http://schemas.openxmlformats.org/officeDocument/2006/relationships/image" Target="media/image30.jpe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emf"/><Relationship Id="rId26" Type="http://schemas.openxmlformats.org/officeDocument/2006/relationships/oleObject" Target="embeddings/oleObject3.bin"/><Relationship Id="rId25" Type="http://schemas.openxmlformats.org/officeDocument/2006/relationships/image" Target="media/image15.emf"/><Relationship Id="rId24" Type="http://schemas.openxmlformats.org/officeDocument/2006/relationships/oleObject" Target="embeddings/oleObject2.bin"/><Relationship Id="rId23" Type="http://schemas.openxmlformats.org/officeDocument/2006/relationships/image" Target="media/image14.emf"/><Relationship Id="rId22" Type="http://schemas.openxmlformats.org/officeDocument/2006/relationships/oleObject" Target="embeddings/oleObject1.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8" Type="http://schemas.openxmlformats.org/officeDocument/2006/relationships/fontTable" Target="fontTable.xml"/><Relationship Id="rId127" Type="http://schemas.openxmlformats.org/officeDocument/2006/relationships/customXml" Target="../customXml/item3.xml"/><Relationship Id="rId126" Type="http://schemas.openxmlformats.org/officeDocument/2006/relationships/customXml" Target="../customXml/item2.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4.jpe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image" Target="media/image3.jpeg"/><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eac7d697-62c1-4280-b7b3-c265cee92f04</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4F8B7084</paraID>
      <start>0</start>
      <end>10</end>
      <status>modified</status>
      <modifiedWord>“三线一单”</modifiedWord>
      <trackRevisions>true</trackRevisions>
    </reviewItem>
    <reviewItem>
      <errorID>0f32a5dc-942c-449d-adda-4b075b417e97</errorID>
      <errorWord>生态环境空间管控</errorWord>
      <group>L1_Political</group>
      <groupName>政治性问题</groupName>
      <ability>L2_Keyword</ability>
      <abilityName>固定表述</abilityName>
      <candidateList>
        <item>生态环境分区管控</item>
      </candidateList>
      <explain>词汇“生态环境分区管控”在特定场景下为固定表述形式，请确认此处的“生态环境空间管控”是否存在不当。</explain>
      <paraID>175A028D</paraID>
      <start>21</start>
      <end>29</end>
      <status>unmodified</status>
      <modifiedWord/>
      <trackRevisions>false</trackRevisions>
    </reviewItem>
    <reviewItem>
      <errorID>12774d94-dfb6-4084-8a25-384fa2ea4cb5</errorID>
      <errorWord>上线</errorWord>
      <group>L1_Word</group>
      <groupName>字词问题</groupName>
      <ability>L2_Typo</ability>
      <abilityName>字词错误</abilityName>
      <candidateList>
        <item>上限</item>
      </candidateList>
      <explain/>
      <paraID>441D935A</paraID>
      <start>66</start>
      <end>68</end>
      <status>unmodified</status>
      <modifiedWord/>
      <trackRevisions>false</trackRevisions>
    </reviewItem>
    <reviewItem>
      <errorID>779951cf-743c-4b29-9f85-b3cf6a69024a</errorID>
      <errorWord>区</errorWord>
      <group>L1_Word</group>
      <groupName>字词问题</groupName>
      <ability>L2_Typo</ability>
      <abilityName>字词错误</abilityName>
      <candidateList>
        <item>区要</item>
      </candidateList>
      <explain/>
      <paraID>7F39F204</paraID>
      <start>291</start>
      <end>292</end>
      <status>unmodified</status>
      <modifiedWord/>
      <trackRevisions>false</trackRevisions>
    </reviewItem>
    <reviewItem>
      <errorID>3bb77057-9a9d-4d25-b4e5-2e7faf801b0b</errorID>
      <errorWord>，</errorWord>
      <group>L1_Word</group>
      <groupName>字词问题</groupName>
      <ability>L2_Typo</ability>
      <abilityName>字词错误</abilityName>
      <candidateList>
        <item>，对</item>
      </candidateList>
      <explain/>
      <paraID>6045A879</paraID>
      <start>37</start>
      <end>38</end>
      <status>unmodified</status>
      <modifiedWord/>
      <trackRevisions>false</trackRevisions>
    </reviewItem>
    <reviewItem>
      <errorID>031a0be8-b9fe-4844-bcba-649578687d1f</errorID>
      <errorWord>城乡结合部</errorWord>
      <group>L1_Word</group>
      <groupName>字词问题</groupName>
      <ability>L2_Typo</ability>
      <abilityName>字词错误</abilityName>
      <candidateList>
        <item>城乡接合部</item>
      </candidateList>
      <explain/>
      <paraID>42D97A19</paraID>
      <start>34</start>
      <end>39</end>
      <status>unmodified</status>
      <modifiedWord/>
      <trackRevisions>false</trackRevisions>
    </reviewItem>
    <reviewItem>
      <errorID>32cfb548-e064-4d58-8802-d6c2f1037ffc</errorID>
      <errorWord>其它</errorWord>
      <group>L1_Word</group>
      <groupName>字词问题</groupName>
      <ability>L2_Alias</ability>
      <abilityName>也作/曾用词</abilityName>
      <candidateList>
        <item>其他</item>
      </candidateList>
      <explain>词汇[其它]为不规范表述或旧称，其规范书面表述为[其他]。</explain>
      <paraID> 3A4D4CF</paraID>
      <start>5</start>
      <end>7</end>
      <status>unmodified</status>
      <modifiedWord/>
      <trackRevisions>false</trackRevisions>
    </reviewItem>
    <reviewItem>
      <errorID>4d90e9cd-355e-43bf-82e3-71722c971b97</errorID>
      <errorWord>胶粘剂</errorWord>
      <group>L1_Word</group>
      <groupName>字词问题</groupName>
      <ability>L2_Typo</ability>
      <abilityName>字词错误</abilityName>
      <candidateList>
        <item>胶黏剂</item>
      </candidateList>
      <explain/>
      <paraID>59505D9B</paraID>
      <start>119</start>
      <end>122</end>
      <status>ignored</status>
      <modifiedWord/>
      <trackRevisions>false</trackRevisions>
    </reviewItem>
    <reviewItem>
      <errorID>8cea5697-e121-4b2c-9c7f-eec0dfeeea55</errorID>
      <errorWord>胶粘剂</errorWord>
      <group>L1_Word</group>
      <groupName>字词问题</groupName>
      <ability>L2_Typo</ability>
      <abilityName>字词错误</abilityName>
      <candidateList>
        <item>胶黏剂</item>
      </candidateList>
      <explain/>
      <paraID>53B0184D</paraID>
      <start>59</start>
      <end>62</end>
      <status>ignored</status>
      <modifiedWord/>
      <trackRevisions>false</trackRevisions>
    </reviewItem>
    <reviewItem>
      <errorID>b39f3fbd-0b0f-428b-9fa4-5979c9c01543</errorID>
      <errorWord>史</errorWord>
      <group>L1_Word</group>
      <groupName>字词问题</groupName>
      <ability>L2_Typo</ability>
      <abilityName>字词错误</abilityName>
      <candidateList>
        <item>史文</item>
      </candidateList>
      <explain/>
      <paraID>5267514F</paraID>
      <start>27</start>
      <end>28</end>
      <status>unmodified</status>
      <modifiedWord/>
      <trackRevisions>false</trackRevisions>
    </reviewItem>
    <reviewItem>
      <errorID>09f2bf77-0f0f-4dac-96eb-015a7cfe2671</errorID>
      <errorWord>胶粘</errorWord>
      <group>L1_Word</group>
      <groupName>字词问题</groupName>
      <ability>L2_Typo</ability>
      <abilityName>字词错误</abilityName>
      <candidateList>
        <item>胶黏</item>
      </candidateList>
      <explain/>
      <paraID>22113D34</paraID>
      <start>8</start>
      <end>10</end>
      <status>unmodified</status>
      <modifiedWord/>
      <trackRevisions>false</trackRevisions>
    </reviewItem>
    <reviewItem>
      <errorID>6d8cff5f-c0aa-4152-9d9d-11442959b4ea</errorID>
      <errorWord>胶粘剂</errorWord>
      <group>L1_Word</group>
      <groupName>字词问题</groupName>
      <ability>L2_Typo</ability>
      <abilityName>字词错误</abilityName>
      <candidateList>
        <item>胶黏剂</item>
      </candidateList>
      <explain/>
      <paraID>22113D34</paraID>
      <start>170</start>
      <end>173</end>
      <status>ignored</status>
      <modifiedWord/>
      <trackRevisions>false</trackRevisions>
    </reviewItem>
    <reviewItem>
      <errorID>854db1f4-3413-4ed7-96da-622ba77df4ef</errorID>
      <errorWord>低</errorWord>
      <group>L1_Word</group>
      <groupName>字词问题</groupName>
      <ability>L2_Typo</ability>
      <abilityName>字词错误</abilityName>
      <candidateList>
        <item>低于</item>
      </candidateList>
      <explain/>
      <paraID>190E4376</paraID>
      <start>62</start>
      <end>63</end>
      <status>unmodified</status>
      <modifiedWord/>
      <trackRevisions>false</trackRevisions>
    </reviewItem>
    <reviewItem>
      <errorID>a84469d2-e4e1-4ca1-97dc-1fecb966baa4</errorID>
      <errorWord>（</errorWord>
      <group>L1_Punc</group>
      <groupName>标点问题</groupName>
      <ability>L2_Punc</ability>
      <abilityName>标点符号检查</abilityName>
      <candidateList/>
      <explain>同一形式括号套用。</explain>
      <paraID>190E4376</paraID>
      <start>218</start>
      <end>219</end>
      <status>unmodified</status>
      <modifiedWord/>
      <trackRevisions>false</trackRevisions>
    </reviewItem>
    <reviewItem>
      <errorID>85de551c-1858-4da7-82a7-16c260a39164</errorID>
      <errorWord>）</errorWord>
      <group>L1_Punc</group>
      <groupName>标点问题</groupName>
      <ability>L2_Punc</ability>
      <abilityName>标点符号检查</abilityName>
      <candidateList/>
      <explain>同一形式括号套用。</explain>
      <paraID>190E4376</paraID>
      <start>226</start>
      <end>227</end>
      <status>unmodified</status>
      <modifiedWord/>
      <trackRevisions>false</trackRevisions>
    </reviewItem>
    <reviewItem>
      <errorID>28017084-1165-4854-9b2c-c80f42f2e2a5</errorID>
      <errorWord>含括</errorWord>
      <group>L1_Word</group>
      <groupName>字词问题</groupName>
      <ability>L2_Typo</ability>
      <abilityName>字词错误</abilityName>
      <candidateList>
        <item>含</item>
      </candidateList>
      <explain/>
      <paraID>4F5A9815</paraID>
      <start>39</start>
      <end>41</end>
      <status>unmodified</status>
      <modifiedWord/>
      <trackRevisions>false</trackRevisions>
    </reviewItem>
    <reviewItem>
      <errorID>ff988ed4-0723-4946-80df-0766108ccdbe</errorID>
      <errorWord>)</errorWord>
      <group>L1_Format</group>
      <groupName>格式问题</groupName>
      <ability>L2_HalfPunc</ability>
      <abilityName>全半角检查</abilityName>
      <candidateList>
        <item>）</item>
      </candidateList>
      <explain>文本全半角错误。</explain>
      <paraID>70B7FE42</paraID>
      <start>109</start>
      <end>110</end>
      <status>unmodified</status>
      <modifiedWord/>
      <trackRevisions>false</trackRevisions>
    </reviewItem>
    <reviewItem>
      <errorID>46c6a14f-15f3-4548-97be-fe4b8363f1ed</errorID>
      <errorWord>)</errorWord>
      <group>L1_Format</group>
      <groupName>格式问题</groupName>
      <ability>L2_HalfPunc</ability>
      <abilityName>全半角检查</abilityName>
      <candidateList>
        <item>）</item>
      </candidateList>
      <explain>文本全半角错误。</explain>
      <paraID>70B7FE42</paraID>
      <start>126</start>
      <end>127</end>
      <status>unmodified</status>
      <modifiedWord/>
      <trackRevisions>false</trackRevisions>
    </reviewItem>
    <reviewItem>
      <errorID>bd7fba27-7d29-4d6a-8f82-dc074165eaf1</errorID>
      <errorWord>热塑型</errorWord>
      <group>L1_Word</group>
      <groupName>字词问题</groupName>
      <ability>L2_Typo</ability>
      <abilityName>字词错误</abilityName>
      <candidateList>
        <item>热塑性</item>
      </candidateList>
      <explain>存在发音相同字词的误用。</explain>
      <paraID>54586E49</paraID>
      <start>121</start>
      <end>124</end>
      <status>unmodified</status>
      <modifiedWord/>
      <trackRevisions>false</trackRevisions>
    </reviewItem>
    <reviewItem>
      <errorID>7a255909-01e4-4085-aa42-357f05049553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22ECEF3E</paraID>
      <start>61</start>
      <end>62</end>
      <status>unmodified</status>
      <modifiedWord/>
      <trackRevisions>false</trackRevisions>
    </reviewItem>
    <reviewItem>
      <errorID>f56283d7-257d-42ef-82fc-a651597c09a9</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24CEDE61</paraID>
      <start>1</start>
      <end>2</end>
      <status>unmodified</status>
      <modifiedWord/>
      <trackRevisions>false</trackRevisions>
    </reviewItem>
    <reviewItem>
      <errorID>de6c1741-a97c-43d8-b470-b5305609b4e1</errorID>
      <errorWord>(</errorWord>
      <group>L1_Format</group>
      <groupName>格式问题</groupName>
      <ability>L2_HalfPunc</ability>
      <abilityName>全半角检查</abilityName>
      <candidateList>
        <item>（</item>
      </candidateList>
      <explain>文本全半角错误。</explain>
      <paraID>24CEDE61</paraID>
      <start>3</start>
      <end>4</end>
      <status>unmodified</status>
      <modifiedWord/>
      <trackRevisions>false</trackRevisions>
    </reviewItem>
    <reviewItem>
      <errorID>bdd42388-d1e3-42e0-bd9f-b3ad18146100</errorID>
      <errorWord>)</errorWord>
      <group>L1_Format</group>
      <groupName>格式问题</groupName>
      <ability>L2_HalfPunc</ability>
      <abilityName>全半角检查</abilityName>
      <candidateList>
        <item>）</item>
      </candidateList>
      <explain>文本全半角错误。</explain>
      <paraID>24CEDE61</paraID>
      <start>14</start>
      <end>15</end>
      <status>unmodified</status>
      <modifiedWord/>
      <trackRevisions>false</trackRevisions>
    </reviewItem>
    <reviewItem>
      <errorID>22e659b5-b0d3-4896-a72e-8e66233765e8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24CEDE61</paraID>
      <start>20</start>
      <end>21</end>
      <status>unmodified</status>
      <modifiedWord/>
      <trackRevisions>false</trackRevisions>
    </reviewItem>
    <reviewItem>
      <errorID>fb147224-274c-4cd3-a7e4-b0c3e90ea884</errorID>
      <errorWord>)</errorWord>
      <group>L1_Format</group>
      <groupName>格式问题</groupName>
      <ability>L2_HalfPunc</ability>
      <abilityName>全半角检查</abilityName>
      <candidateList>
        <item>）</item>
      </candidateList>
      <explain>文本全半角错误。</explain>
      <paraID>69EE2E2C</paraID>
      <start>10</start>
      <end>11</end>
      <status>unmodified</status>
      <modifiedWord/>
      <trackRevisions>false</trackRevisions>
    </reviewItem>
    <reviewItem>
      <errorID>862eacef-c0d3-4eca-abfa-069893998219</errorID>
      <errorWord>,</errorWord>
      <group>L1_Format</group>
      <groupName>格式问题</groupName>
      <ability>L2_HalfPunc</ability>
      <abilityName>全半角检查</abilityName>
      <candidateList>
        <item>，</item>
      </candidateList>
      <explain>文本全半角错误。</explain>
      <paraID>50EEC361</paraID>
      <start>1</start>
      <end>2</end>
      <status>unmodified</status>
      <modifiedWord/>
      <trackRevisions>false</trackRevisions>
    </reviewItem>
    <reviewItem>
      <errorID>5373cefc-b906-4d80-bad5-248418acb6a3</errorID>
      <errorWord>)</errorWord>
      <group>L1_Format</group>
      <groupName>格式问题</groupName>
      <ability>L2_HalfPunc</ability>
      <abilityName>全半角检查</abilityName>
      <candidateList>
        <item>）</item>
      </candidateList>
      <explain>文本全半角错误。</explain>
      <paraID>50EEC361</paraID>
      <start>15</start>
      <end>16</end>
      <status>unmodified</status>
      <modifiedWord/>
      <trackRevisions>false</trackRevisions>
    </reviewItem>
    <reviewItem>
      <errorID>13e64625-e25c-49d9-a99b-5fdaa87dbead</errorID>
      <errorWord>)</errorWord>
      <group>L1_Format</group>
      <groupName>格式问题</groupName>
      <ability>L2_HalfPunc</ability>
      <abilityName>全半角检查</abilityName>
      <candidateList>
        <item>）</item>
      </candidateList>
      <explain>文本全半角错误。</explain>
      <paraID>710A3527</paraID>
      <start>14</start>
      <end>15</end>
      <status>unmodified</status>
      <modifiedWord/>
      <trackRevisions>false</trackRevisions>
    </reviewItem>
    <reviewItem>
      <errorID>46e057fe-232a-4338-a174-7685338b1e02</errorID>
      <errorWord>粘稠</errorWord>
      <group>L1_Word</group>
      <groupName>字词问题</groupName>
      <ability>L2_Typo</ability>
      <abilityName>字词错误</abilityName>
      <candidateList>
        <item>黏稠</item>
      </candidateList>
      <explain>存在发音相同字词的误用。</explain>
      <paraID>277A8745</paraID>
      <start>0</start>
      <end>2</end>
      <status>unmodified</status>
      <modifiedWord/>
      <trackRevisions>false</trackRevisions>
    </reviewItem>
    <reviewItem>
      <errorID>2886d7f2-3e80-4f2c-8756-65f865273c22</errorID>
      <errorWord>蒸汽压</errorWord>
      <group>L1_Word</group>
      <groupName>字词问题</groupName>
      <ability>L2_Typo</ability>
      <abilityName>字词错误</abilityName>
      <candidateList>
        <item>蒸气压</item>
      </candidateList>
      <explain/>
      <paraID>277A8745</paraID>
      <start>39</start>
      <end>42</end>
      <status>unmodified</status>
      <modifiedWord/>
      <trackRevisions>false</trackRevisions>
    </reviewItem>
    <reviewItem>
      <errorID>9058fb2e-6b57-475f-a08e-eee1a6ed4657</errorID>
      <errorWord>黃</errorWord>
      <group>L1_Word</group>
      <groupName>字词问题</groupName>
      <ability>L2_Fanti</ability>
      <abilityName>繁转简</abilityName>
      <candidateList>
        <item>黄</item>
      </candidateList>
      <explain/>
      <paraID>75FADFC0</paraID>
      <start>0</start>
      <end>1</end>
      <status>unmodified</status>
      <modifiedWord/>
      <trackRevisions>false</trackRevisions>
    </reviewItem>
    <reviewItem>
      <errorID>985ec5b9-250c-4197-bfd5-029517543667</errorID>
      <errorWord>理</errorWord>
      <group>L1_Word</group>
      <groupName>字词问题</groupName>
      <ability>L2_Typo</ability>
      <abilityName>字词错误</abilityName>
      <candidateList>
        <item>理性</item>
      </candidateList>
      <explain/>
      <paraID>729D1CBE</paraID>
      <start>6</start>
      <end>7</end>
      <status>unmodified</status>
      <modifiedWord/>
      <trackRevisions>false</trackRevisions>
    </reviewItem>
    <reviewItem>
      <errorID>7691784c-3734-4d95-a7e2-c81732de674c</errorID>
      <errorWord>~</errorWord>
      <group>L1_Format</group>
      <groupName>格式问题</groupName>
      <ability>L2_HalfPunc</ability>
      <abilityName>全半角检查</abilityName>
      <candidateList>
        <item>～</item>
      </candidateList>
      <explain>文本全半角错误。</explain>
      <paraID>3BA47F66</paraID>
      <start>153</start>
      <end>154</end>
      <status>unmodified</status>
      <modifiedWord/>
      <trackRevisions>false</trackRevisions>
    </reviewItem>
    <reviewItem>
      <errorID>0e565885-8afc-442d-8041-0c2ef0b4b306</errorID>
      <errorWord>人眼</errorWord>
      <group>L1_Word</group>
      <groupName>字词问题</groupName>
      <ability>L2_Typo</ability>
      <abilityName>字词错误</abilityName>
      <candidateList>
        <item>入眼</item>
      </candidateList>
      <explain>存在字形相近字词的误用。</explain>
      <paraID>2B4B4D1B</paraID>
      <start>53</start>
      <end>55</end>
      <status>unmodified</status>
      <modifiedWord/>
      <trackRevisions>false</trackRevisions>
    </reviewItem>
    <reviewItem>
      <errorID>94d756f0-0f10-4bc4-b4b9-a3df1be500d9</errorID>
      <errorWord>胶粘剂</errorWord>
      <group>L1_Word</group>
      <groupName>字词问题</groupName>
      <ability>L2_Typo</ability>
      <abilityName>字词错误</abilityName>
      <candidateList>
        <item>胶黏剂</item>
      </candidateList>
      <explain/>
      <paraID>74E27DAE</paraID>
      <start>67</start>
      <end>70</end>
      <status>ignored</status>
      <modifiedWord/>
      <trackRevisions>false</trackRevisions>
    </reviewItem>
    <reviewItem>
      <errorID>cf682603-c71e-416d-9eb9-e373f0b3b939</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434C99EC</paraID>
      <start>17</start>
      <end>18</end>
      <status>unmodified</status>
      <modifiedWord/>
      <trackRevisions>false</trackRevisions>
    </reviewItem>
    <reviewItem>
      <errorID>ecc73898-9be7-406e-8943-31927db94441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D65C7E0</paraID>
      <start>11</start>
      <end>12</end>
      <status>unmodified</status>
      <modifiedWord/>
      <trackRevisions>false</trackRevisions>
    </reviewItem>
    <reviewItem>
      <errorID>203e39de-b44c-4bf5-bfe7-6ae2ae082d81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61C42E7C</paraID>
      <start>0</start>
      <end>2</end>
      <status>unmodified</status>
      <modifiedWord/>
      <trackRevisions>false</trackRevisions>
    </reviewItem>
    <reviewItem>
      <errorID>1e5a1669-c608-48eb-b6a4-6c631109a00d</errorID>
      <errorWord>一</errorWord>
      <group>L1_Word</group>
      <groupName>字词问题</groupName>
      <ability>L2_Typo</ability>
      <abilityName>字词错误</abilityName>
      <candidateList>
        <item>-</item>
      </candidateList>
      <explain/>
      <paraID>61C42E7C</paraID>
      <start>3</start>
      <end>4</end>
      <status>unmodified</status>
      <modifiedWord/>
      <trackRevisions>false</trackRevisions>
    </reviewItem>
    <reviewItem>
      <errorID>55add675-5a7e-4c6d-9b89-83fb739b48c8</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5613A265</paraID>
      <start>18</start>
      <end>20</end>
      <status>unmodified</status>
      <modifiedWord/>
      <trackRevisions>false</trackRevisions>
    </reviewItem>
    <reviewItem>
      <errorID>32193685-91b8-459f-a06a-8751720a3140</errorID>
      <errorWord>~</errorWord>
      <group>L1_Format</group>
      <groupName>格式问题</groupName>
      <ability>L2_HalfPunc</ability>
      <abilityName>全半角检查</abilityName>
      <candidateList>
        <item>～</item>
      </candidateList>
      <explain>文本全半角错误。</explain>
      <paraID>69D4E3C7</paraID>
      <start>153</start>
      <end>154</end>
      <status>unmodified</status>
      <modifiedWord/>
      <trackRevisions>false</trackRevisions>
    </reviewItem>
    <reviewItem>
      <errorID>613c37ad-56c2-4401-af77-733b64d46831</errorID>
      <errorWord>（</errorWord>
      <group>L1_Format</group>
      <groupName>格式问题</groupName>
      <ability>L2_HalfPunc</ability>
      <abilityName>全半角检查</abilityName>
      <candidateList>
        <item>(</item>
      </candidateList>
      <explain>文本全半角错误。</explain>
      <paraID>79CCBBA4</paraID>
      <start>0</start>
      <end>1</end>
      <status>unmodified</status>
      <modifiedWord/>
      <trackRevisions>false</trackRevisions>
    </reviewItem>
    <reviewItem>
      <errorID>95ff9ba6-bb05-4583-8512-f027cd11734f</errorID>
      <errorWord>）</errorWord>
      <group>L1_Format</group>
      <groupName>格式问题</groupName>
      <ability>L2_HalfPunc</ability>
      <abilityName>全半角检查</abilityName>
      <candidateList>
        <item>)</item>
      </candidateList>
      <explain>文本全半角错误。</explain>
      <paraID>79CCBBA4</paraID>
      <start>4</start>
      <end>5</end>
      <status>unmodified</status>
      <modifiedWord/>
      <trackRevisions>false</trackRevisions>
    </reviewItem>
    <reviewItem>
      <errorID>d14115cf-f267-40c5-9b29-e7a51a63d40a</errorID>
      <errorWord>（</errorWord>
      <group>L1_Punc</group>
      <groupName>标点问题</groupName>
      <ability>L2_Punc</ability>
      <abilityName>标点符号检查</abilityName>
      <candidateList/>
      <explain>同一形式括号套用。</explain>
      <paraID>586CBECB</paraID>
      <start>79</start>
      <end>80</end>
      <status>unmodified</status>
      <modifiedWord/>
      <trackRevisions>false</trackRevisions>
    </reviewItem>
    <reviewItem>
      <errorID>165cd5c1-cdc1-4509-b973-7c28de79abfc</errorID>
      <errorWord>）</errorWord>
      <group>L1_Punc</group>
      <groupName>标点问题</groupName>
      <ability>L2_Punc</ability>
      <abilityName>标点符号检查</abilityName>
      <candidateList/>
      <explain>同一形式括号套用。</explain>
      <paraID>586CBECB</paraID>
      <start>81</start>
      <end>82</end>
      <status>unmodified</status>
      <modifiedWord/>
      <trackRevisions>false</trackRevisions>
    </reviewItem>
    <reviewItem>
      <errorID>f7cfc28c-48ab-4ad0-a431-1e3f05a73acb</errorID>
      <errorWord>含括</errorWord>
      <group>L1_Word</group>
      <groupName>字词问题</groupName>
      <ability>L2_Typo</ability>
      <abilityName>字词错误</abilityName>
      <candidateList>
        <item>涵括</item>
      </candidateList>
      <explain>存在发音相同字词的误用。</explain>
      <paraID>146C5DD6</paraID>
      <start>13</start>
      <end>15</end>
      <status>unmodified</status>
      <modifiedWord/>
      <trackRevisions>false</trackRevisions>
    </reviewItem>
    <reviewItem>
      <errorID>61b51776-8fe9-4f45-b759-e8dee0f537e9</errorID>
      <errorWord>污水厂</errorWord>
      <group>L1_Word</group>
      <groupName>字词问题</groupName>
      <ability>L2_Typo</ability>
      <abilityName>字词错误</abilityName>
      <candidateList>
        <item>污水处理厂</item>
      </candidateList>
      <explain/>
      <paraID>1ED2B332</paraID>
      <start>76</start>
      <end>79</end>
      <status>unmodified</status>
      <modifiedWord/>
      <trackRevisions>false</trackRevisions>
    </reviewItem>
    <reviewItem>
      <errorID>88c9907f-77f4-482a-9214-1fcf64b07e7b</errorID>
      <errorWord>污水厂</errorWord>
      <group>L1_Word</group>
      <groupName>字词问题</groupName>
      <ability>L2_Typo</ability>
      <abilityName>字词错误</abilityName>
      <candidateList>
        <item>污水处理厂</item>
      </candidateList>
      <explain/>
      <paraID>1ED2B332</paraID>
      <start>156</start>
      <end>159</end>
      <status>unmodified</status>
      <modifiedWord/>
      <trackRevisions>false</trackRevisions>
    </reviewItem>
    <reviewItem>
      <errorID>7669d1f5-8a25-43d6-9313-8e6b127eeaea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6E395C6D</paraID>
      <start>18</start>
      <end>19</end>
      <status>unmodified</status>
      <modifiedWord/>
      <trackRevisions>false</trackRevisions>
    </reviewItem>
    <reviewItem>
      <errorID>51a42d85-c048-4ab9-9c4e-184dd1dc6334</errorID>
      <errorWord>:</errorWord>
      <group>L1_Format</group>
      <groupName>格式问题</groupName>
      <ability>L2_HalfPunc</ability>
      <abilityName>全半角检查</abilityName>
      <candidateList>
        <item>：</item>
      </candidateList>
      <explain>文本全半角错误。</explain>
      <paraID>6E6FA460</paraID>
      <start>137</start>
      <end>138</end>
      <status>unmodified</status>
      <modifiedWord/>
      <trackRevisions>false</trackRevisions>
    </reviewItem>
    <reviewItem>
      <errorID>5f810032-6689-425a-96f1-a117c8a15885</errorID>
      <errorWord>分解温度分解温度</errorWord>
      <group>L1_Word</group>
      <groupName>字词问题</groupName>
      <ability>L2_Typo</ability>
      <abilityName>字词错误</abilityName>
      <candidateList>
        <item>分解温度</item>
      </candidateList>
      <explain/>
      <paraID>441C94A3</paraID>
      <start>128</start>
      <end>140</end>
      <status>modified</status>
      <modifiedWord>分解温度</modifiedWord>
      <trackRevisions>true</trackRevisions>
    </reviewItem>
    <reviewItem>
      <errorID>d516ed1f-8b60-4efb-aaad-dbfba48e1a26</errorID>
      <errorWord>（</errorWord>
      <group>L1_Format</group>
      <groupName>格式问题</groupName>
      <ability>L2_HalfPunc</ability>
      <abilityName>全半角检查</abilityName>
      <candidateList>
        <item>(</item>
      </candidateList>
      <explain>文本全半角错误。</explain>
      <paraID> 413EBD5</paraID>
      <start>0</start>
      <end>1</end>
      <status>unmodified</status>
      <modifiedWord/>
      <trackRevisions>false</trackRevisions>
    </reviewItem>
    <reviewItem>
      <errorID>192ab969-2090-4ad3-966a-f2dbf72bfafd</errorID>
      <errorWord>）</errorWord>
      <group>L1_Format</group>
      <groupName>格式问题</groupName>
      <ability>L2_HalfPunc</ability>
      <abilityName>全半角检查</abilityName>
      <candidateList>
        <item>)</item>
      </candidateList>
      <explain>文本全半角错误。</explain>
      <paraID> 413EBD5</paraID>
      <start>6</start>
      <end>7</end>
      <status>unmodified</status>
      <modifiedWord/>
      <trackRevisions>false</trackRevisions>
    </reviewItem>
    <reviewItem>
      <errorID>b15ce75b-c574-4ec4-a5a9-49df75af6725</errorID>
      <errorWord>消音器</errorWord>
      <group>L1_Word</group>
      <groupName>字词问题</groupName>
      <ability>L2_Typo</ability>
      <abilityName>字词错误</abilityName>
      <candidateList>
        <item>消声器</item>
      </candidateList>
      <explain/>
      <paraID>34C71A47</paraID>
      <start>69</start>
      <end>72</end>
      <status>unmodified</status>
      <modifiedWord/>
      <trackRevisions>false</trackRevisions>
    </reviewItem>
    <reviewItem>
      <errorID>79815dea-2e4c-48a3-8692-174d520dfe6b</errorID>
      <errorWord>)</errorWord>
      <group>L1_Format</group>
      <groupName>格式问题</groupName>
      <ability>L2_HalfPunc</ability>
      <abilityName>全半角检查</abilityName>
      <candidateList>
        <item>）</item>
      </candidateList>
      <explain>文本全半角错误。</explain>
      <paraID>34C71A47</paraID>
      <start>114</start>
      <end>115</end>
      <status>unmodified</status>
      <modifiedWord/>
      <trackRevisions>false</trackRevisions>
    </reviewItem>
    <reviewItem>
      <errorID>b1870f63-0548-4d6f-97bc-83e3162cd91a</errorID>
      <errorWord>)</errorWord>
      <group>L1_Format</group>
      <groupName>格式问题</groupName>
      <ability>L2_HalfPunc</ability>
      <abilityName>全半角检查</abilityName>
      <candidateList>
        <item>）</item>
      </candidateList>
      <explain>文本全半角错误。</explain>
      <paraID>3A78D3C8</paraID>
      <start>11</start>
      <end>12</end>
      <status>unmodified</status>
      <modifiedWord/>
      <trackRevisions>false</trackRevisions>
    </reviewItem>
    <reviewItem>
      <errorID>f3d496cd-b334-41b4-88b2-a9c3b4660a31</errorID>
      <errorWord>（</errorWord>
      <group>L1_Format</group>
      <groupName>格式问题</groupName>
      <ability>L2_HalfPunc</ability>
      <abilityName>全半角检查</abilityName>
      <candidateList>
        <item>(</item>
      </candidateList>
      <explain>文本全半角错误。</explain>
      <paraID>211AD88C</paraID>
      <start>1</start>
      <end>2</end>
      <status>unmodified</status>
      <modifiedWord/>
      <trackRevisions>false</trackRevisions>
    </reviewItem>
    <reviewItem>
      <errorID>a997a4ec-2ddb-4f4d-97e6-4731925ea0f6</errorID>
      <errorWord>）</errorWord>
      <group>L1_Format</group>
      <groupName>格式问题</groupName>
      <ability>L2_HalfPunc</ability>
      <abilityName>全半角检查</abilityName>
      <candidateList>
        <item>)</item>
      </candidateList>
      <explain>文本全半角错误。</explain>
      <paraID>211AD88C</paraID>
      <start>5</start>
      <end>6</end>
      <status>unmodified</status>
      <modifiedWord/>
      <trackRevisions>false</trackRevisions>
    </reviewItem>
    <reviewItem>
      <errorID>bcce7675-bac8-4c13-a1be-0beaccfb0e8a</errorID>
      <errorWord>（</errorWord>
      <group>L1_Format</group>
      <groupName>格式问题</groupName>
      <ability>L2_HalfPunc</ability>
      <abilityName>全半角检查</abilityName>
      <candidateList>
        <item>(</item>
      </candidateList>
      <explain>文本全半角错误。</explain>
      <paraID> 8E2F569</paraID>
      <start>1</start>
      <end>2</end>
      <status>unmodified</status>
      <modifiedWord/>
      <trackRevisions>false</trackRevisions>
    </reviewItem>
    <reviewItem>
      <errorID>91344788-a0ca-4520-8af2-3e089a1ea889</errorID>
      <errorWord>）</errorWord>
      <group>L1_Format</group>
      <groupName>格式问题</groupName>
      <ability>L2_HalfPunc</ability>
      <abilityName>全半角检查</abilityName>
      <candidateList>
        <item>)</item>
      </candidateList>
      <explain>文本全半角错误。</explain>
      <paraID> 8E2F569</paraID>
      <start>5</start>
      <end>6</end>
      <status>unmodified</status>
      <modifiedWord/>
      <trackRevisions>false</trackRevisions>
    </reviewItem>
    <reviewItem>
      <errorID>310ad7af-f2ef-4ccb-bc51-6d5d744d5345</errorID>
      <errorWord>（</errorWord>
      <group>L1_Format</group>
      <groupName>格式问题</groupName>
      <ability>L2_HalfPunc</ability>
      <abilityName>全半角检查</abilityName>
      <candidateList>
        <item>(</item>
      </candidateList>
      <explain>文本全半角错误。</explain>
      <paraID>71103BAF</paraID>
      <start>1</start>
      <end>2</end>
      <status>unmodified</status>
      <modifiedWord/>
      <trackRevisions>false</trackRevisions>
    </reviewItem>
    <reviewItem>
      <errorID>2bf67aab-862f-4dc3-bd1e-86c43a978c6f</errorID>
      <errorWord>）</errorWord>
      <group>L1_Format</group>
      <groupName>格式问题</groupName>
      <ability>L2_HalfPunc</ability>
      <abilityName>全半角检查</abilityName>
      <candidateList>
        <item>)</item>
      </candidateList>
      <explain>文本全半角错误。</explain>
      <paraID>71103BAF</paraID>
      <start>5</start>
      <end>6</end>
      <status>unmodified</status>
      <modifiedWord/>
      <trackRevisions>false</trackRevisions>
    </reviewItem>
    <reviewItem>
      <errorID>f59effd6-ec1a-464f-9de3-66188b241091</errorID>
      <errorWord>（</errorWord>
      <group>L1_Format</group>
      <groupName>格式问题</groupName>
      <ability>L2_HalfPunc</ability>
      <abilityName>全半角检查</abilityName>
      <candidateList>
        <item>(</item>
      </candidateList>
      <explain>文本全半角错误。</explain>
      <paraID>55520885</paraID>
      <start>1</start>
      <end>2</end>
      <status>unmodified</status>
      <modifiedWord/>
      <trackRevisions>false</trackRevisions>
    </reviewItem>
    <reviewItem>
      <errorID>7bf0e7cc-d548-4aee-8a82-81d50b062087</errorID>
      <errorWord>）</errorWord>
      <group>L1_Format</group>
      <groupName>格式问题</groupName>
      <ability>L2_HalfPunc</ability>
      <abilityName>全半角检查</abilityName>
      <candidateList>
        <item>)</item>
      </candidateList>
      <explain>文本全半角错误。</explain>
      <paraID>55520885</paraID>
      <start>5</start>
      <end>6</end>
      <status>unmodified</status>
      <modifiedWord/>
      <trackRevisions>false</trackRevisions>
    </reviewItem>
    <reviewItem>
      <errorID>42428262-7c96-48df-b326-db1367237082</errorID>
      <errorWord>（</errorWord>
      <group>L1_Format</group>
      <groupName>格式问题</groupName>
      <ability>L2_HalfPunc</ability>
      <abilityName>全半角检查</abilityName>
      <candidateList>
        <item>(</item>
      </candidateList>
      <explain>文本全半角错误。</explain>
      <paraID>178C593D</paraID>
      <start>1</start>
      <end>2</end>
      <status>unmodified</status>
      <modifiedWord/>
      <trackRevisions>false</trackRevisions>
    </reviewItem>
    <reviewItem>
      <errorID>123e2a5b-52b7-4743-9f6a-32c6dcb94a5e</errorID>
      <errorWord>）</errorWord>
      <group>L1_Format</group>
      <groupName>格式问题</groupName>
      <ability>L2_HalfPunc</ability>
      <abilityName>全半角检查</abilityName>
      <candidateList>
        <item>)</item>
      </candidateList>
      <explain>文本全半角错误。</explain>
      <paraID>178C593D</paraID>
      <start>5</start>
      <end>6</end>
      <status>unmodified</status>
      <modifiedWord/>
      <trackRevisions>false</trackRevisions>
    </reviewItem>
    <reviewItem>
      <errorID>a92de6cb-81e4-4a62-8b48-6f2745f9a347</errorID>
      <errorWord>（</errorWord>
      <group>L1_Format</group>
      <groupName>格式问题</groupName>
      <ability>L2_HalfPunc</ability>
      <abilityName>全半角检查</abilityName>
      <candidateList>
        <item>(</item>
      </candidateList>
      <explain>文本全半角错误。</explain>
      <paraID>22B4ED98</paraID>
      <start>12</start>
      <end>13</end>
      <status>unmodified</status>
      <modifiedWord/>
      <trackRevisions>false</trackRevisions>
    </reviewItem>
    <reviewItem>
      <errorID>3e65b0d8-e3b2-4416-b5da-91c49d1e2e44</errorID>
      <errorWord>）</errorWord>
      <group>L1_Format</group>
      <groupName>格式问题</groupName>
      <ability>L2_HalfPunc</ability>
      <abilityName>全半角检查</abilityName>
      <candidateList>
        <item>)</item>
      </candidateList>
      <explain>文本全半角错误。</explain>
      <paraID>22B4ED98</paraID>
      <start>14</start>
      <end>15</end>
      <status>unmodified</status>
      <modifiedWord/>
      <trackRevisions>false</trackRevisions>
    </reviewItem>
    <reviewItem>
      <errorID>9d78c30a-e0b8-4227-9211-e7bac5003fde</errorID>
      <errorWord>（</errorWord>
      <group>L1_Format</group>
      <groupName>格式问题</groupName>
      <ability>L2_HalfPunc</ability>
      <abilityName>全半角检查</abilityName>
      <candidateList>
        <item>(</item>
      </candidateList>
      <explain>文本全半角错误。</explain>
      <paraID>22B4ED98</paraID>
      <start>16</start>
      <end>17</end>
      <status>unmodified</status>
      <modifiedWord/>
      <trackRevisions>false</trackRevisions>
    </reviewItem>
    <reviewItem>
      <errorID>1fb46a43-5aec-4c56-a909-aed83610f324</errorID>
      <errorWord>）（</errorWord>
      <group>L1_Format</group>
      <groupName>格式问题</groupName>
      <ability>L2_HalfPunc</ability>
      <abilityName>全半角检查</abilityName>
      <candidateList>
        <item>)(</item>
      </candidateList>
      <explain>文本全半角错误。</explain>
      <paraID>22B4ED98</paraID>
      <start>22</start>
      <end>24</end>
      <status>unmodified</status>
      <modifiedWord/>
      <trackRevisions>false</trackRevisions>
    </reviewItem>
    <reviewItem>
      <errorID>14ae1a15-ab38-4d10-9dba-d827ec188fc9</errorID>
      <errorWord>）</errorWord>
      <group>L1_Format</group>
      <groupName>格式问题</groupName>
      <ability>L2_HalfPunc</ability>
      <abilityName>全半角检查</abilityName>
      <candidateList>
        <item>)</item>
      </candidateList>
      <explain>文本全半角错误。</explain>
      <paraID>22B4ED98</paraID>
      <start>27</start>
      <end>28</end>
      <status>unmodified</status>
      <modifiedWord/>
      <trackRevisions>false</trackRevisions>
    </reviewItem>
    <reviewItem>
      <errorID>ba43fe41-816f-477c-9cfd-9a4dc61e212d</errorID>
      <errorWord>（</errorWord>
      <group>L1_Format</group>
      <groupName>格式问题</groupName>
      <ability>L2_HalfPunc</ability>
      <abilityName>全半角检查</abilityName>
      <candidateList>
        <item>(</item>
      </candidateList>
      <explain>文本全半角错误。</explain>
      <paraID>4766AA56</paraID>
      <start>1</start>
      <end>2</end>
      <status>unmodified</status>
      <modifiedWord/>
      <trackRevisions>false</trackRevisions>
    </reviewItem>
    <reviewItem>
      <errorID>8a9e123d-7af6-48eb-b276-7505150755d8</errorID>
      <errorWord>）</errorWord>
      <group>L1_Format</group>
      <groupName>格式问题</groupName>
      <ability>L2_HalfPunc</ability>
      <abilityName>全半角检查</abilityName>
      <candidateList>
        <item>)</item>
      </candidateList>
      <explain>文本全半角错误。</explain>
      <paraID>4766AA56</paraID>
      <start>5</start>
      <end>6</end>
      <status>unmodified</status>
      <modifiedWord/>
      <trackRevisions>false</trackRevisions>
    </reviewItem>
    <reviewItem>
      <errorID>3271fa5b-ed91-4d1b-bc33-8ea32dfd189c</errorID>
      <errorWord>（</errorWord>
      <group>L1_Format</group>
      <groupName>格式问题</groupName>
      <ability>L2_HalfPunc</ability>
      <abilityName>全半角检查</abilityName>
      <candidateList>
        <item>(</item>
      </candidateList>
      <explain>文本全半角错误。</explain>
      <paraID>68332F4B</paraID>
      <start>1</start>
      <end>2</end>
      <status>unmodified</status>
      <modifiedWord/>
      <trackRevisions>false</trackRevisions>
    </reviewItem>
    <reviewItem>
      <errorID>4ee31234-905a-4f8f-a93d-2415c812983b</errorID>
      <errorWord>）</errorWord>
      <group>L1_Format</group>
      <groupName>格式问题</groupName>
      <ability>L2_HalfPunc</ability>
      <abilityName>全半角检查</abilityName>
      <candidateList>
        <item>)</item>
      </candidateList>
      <explain>文本全半角错误。</explain>
      <paraID>68332F4B</paraID>
      <start>5</start>
      <end>6</end>
      <status>unmodified</status>
      <modifiedWord/>
      <trackRevisions>false</trackRevisions>
    </reviewItem>
    <reviewItem>
      <errorID>5ce37f95-8c09-420a-8de8-3887d82f0168</errorID>
      <errorWord>（</errorWord>
      <group>L1_Punc</group>
      <groupName>标点问题</groupName>
      <ability>L2_Punc</ability>
      <abilityName>标点符号检查</abilityName>
      <candidateList>
        <item/>
      </candidateList>
      <explain>同一形式括号套用。</explain>
      <paraID>1B3832FC</paraID>
      <start>9</start>
      <end>10</end>
      <status>unmodified</status>
      <modifiedWord/>
      <trackRevisions>false</trackRevisions>
    </reviewItem>
    <reviewItem>
      <errorID>05980adc-b95e-4f6c-ad5f-4ffa0dc0ee56</errorID>
      <errorWord>(</errorWord>
      <group>L1_Punc</group>
      <groupName>标点问题</groupName>
      <ability>L2_Punc</ability>
      <abilityName>标点符号检查</abilityName>
      <candidateList/>
      <explain>同一形式括号套用。</explain>
      <paraID>1B3832FC</paraID>
      <start>15</start>
      <end>16</end>
      <status>unmodified</status>
      <modifiedWord/>
      <trackRevisions>false</trackRevisions>
    </reviewItem>
    <reviewItem>
      <errorID>bf29e556-c2e2-4847-9d8e-1cbf53393caf</errorID>
      <errorWord>)</errorWord>
      <group>L1_Punc</group>
      <groupName>标点问题</groupName>
      <ability>L2_Punc</ability>
      <abilityName>标点符号检查</abilityName>
      <candidateList/>
      <explain>同一形式括号套用。</explain>
      <paraID>1B3832FC</paraID>
      <start>17</start>
      <end>18</end>
      <status>unmodified</status>
      <modifiedWord/>
      <trackRevisions>false</trackRevisions>
    </reviewItem>
    <reviewItem>
      <errorID>55bb4ab3-3241-4a25-b948-198ca8e1b21d</errorID>
      <errorWord>）</errorWord>
      <group>L1_Punc</group>
      <groupName>标点问题</groupName>
      <ability>L2_Punc</ability>
      <abilityName>标点符号检查</abilityName>
      <candidateList/>
      <explain>同一形式括号套用。</explain>
      <paraID>1B3832FC</paraID>
      <start>18</start>
      <end>19</end>
      <status>unmodified</status>
      <modifiedWord/>
      <trackRevisions>false</trackRevisions>
    </reviewItem>
    <reviewItem>
      <errorID>9d34488e-74f1-4837-9128-d66c6a0f7655</errorID>
      <errorWord>)</errorWord>
      <group>L1_Format</group>
      <groupName>格式问题</groupName>
      <ability>L2_HalfPunc</ability>
      <abilityName>全半角检查</abilityName>
      <candidateList>
        <item>）</item>
      </candidateList>
      <explain>文本全半角错误。</explain>
      <paraID>77B65528</paraID>
      <start>91</start>
      <end>92</end>
      <status>unmodified</status>
      <modifiedWord/>
      <trackRevisions>false</trackRevisions>
    </reviewItem>
    <reviewItem>
      <errorID>24384ff8-b444-47f9-8444-ccda9c8b3ba5</errorID>
      <errorWord>产</errorWord>
      <group>L1_Word</group>
      <groupName>字词问题</groupName>
      <ability>L2_Typo</ability>
      <abilityName>字词错误</abilityName>
      <candidateList>
        <item>厂</item>
      </candidateList>
      <explain/>
      <paraID>27DC22A0</paraID>
      <start>14</start>
      <end>15</end>
      <status>unmodified</status>
      <modifiedWord/>
      <trackRevisions>false</trackRevisions>
    </reviewItem>
    <reviewItem>
      <errorID>4eac6ddb-0952-4f97-893c-7e129e60eb49</errorID>
      <errorWord>(</errorWord>
      <group>L1_Format</group>
      <groupName>格式问题</groupName>
      <ability>L2_HalfPunc</ability>
      <abilityName>全半角检查</abilityName>
      <candidateList>
        <item>（</item>
      </candidateList>
      <explain>文本全半角错误。</explain>
      <paraID>32FC986E</paraID>
      <start>2</start>
      <end>4</end>
      <status>modified</status>
      <modifiedWord>（</modifiedWord>
      <trackRevisions>true</trackRevisions>
    </reviewItem>
    <reviewItem>
      <errorID>2373ef4c-2d7e-4168-8e4c-c6f4489da202</errorID>
      <errorWord>)</errorWord>
      <group>L1_Format</group>
      <groupName>格式问题</groupName>
      <ability>L2_HalfPunc</ability>
      <abilityName>全半角检查</abilityName>
      <candidateList>
        <item>）</item>
      </candidateList>
      <explain>文本全半角错误。</explain>
      <paraID>32FC986E</paraID>
      <start>7</start>
      <end>9</end>
      <status>modified</status>
      <modifiedWord>）</modifiedWord>
      <trackRevisions>true</trackRevisions>
    </reviewItem>
    <reviewItem>
      <errorID>45043377-2143-4563-bdae-91976739ebef</errorID>
      <errorWord>《固体废物分类与代码目录》（2024年）</errorWord>
      <group>L1_Knowledge</group>
      <groupName>知识性问题</groupName>
      <ability>L2_Knowledge</ability>
      <abilityName>其他知识</abilityName>
      <candidateList>
        <item>《固体废物分类与代码目录（2024年）》</item>
      </candidateList>
      <explain>疑似政策文件、法律法规名称等书写不规范，请注意检查。</explain>
      <paraID>17A60A78</paraID>
      <start>41</start>
      <end>61</end>
      <status>unmodified</status>
      <modifiedWord/>
      <trackRevisions>false</trackRevisions>
    </reviewItem>
    <reviewItem>
      <errorID>aae3fb6d-ab86-4b18-94a5-9fe7d09cf563</errorID>
      <errorWord>《固体废物分类与代码目录》（2024年）</errorWord>
      <group>L1_Knowledge</group>
      <groupName>知识性问题</groupName>
      <ability>L2_Knowledge</ability>
      <abilityName>其他知识</abilityName>
      <candidateList>
        <item>《固体废物分类与代码目录（2024年）》</item>
      </candidateList>
      <explain>疑似政策文件、法律法规名称等书写不规范，请注意检查。</explain>
      <paraID>7DCA2D23</paraID>
      <start>40</start>
      <end>60</end>
      <status>unmodified</status>
      <modifiedWord/>
      <trackRevisions>false</trackRevisions>
    </reviewItem>
    <reviewItem>
      <errorID>b1c6325e-c1cd-4590-ab5e-fedc49fbe62b</errorID>
      <errorWord>《固体废物分类与代码目录》（2024年）</errorWord>
      <group>L1_Knowledge</group>
      <groupName>知识性问题</groupName>
      <ability>L2_Knowledge</ability>
      <abilityName>其他知识</abilityName>
      <candidateList>
        <item>《固体废物分类与代码目录（2024年）》</item>
      </candidateList>
      <explain>疑似政策文件、法律法规名称等书写不规范，请注意检查。</explain>
      <paraID>3F335522</paraID>
      <start>167</start>
      <end>187</end>
      <status>unmodified</status>
      <modifiedWord/>
      <trackRevisions>false</trackRevisions>
    </reviewItem>
    <reviewItem>
      <errorID>c4ee4619-f7ae-4e8e-a545-cac521d9ba0c</errorID>
      <errorWord>(</errorWord>
      <group>L1_Format</group>
      <groupName>格式问题</groupName>
      <ability>L2_HalfPunc</ability>
      <abilityName>全半角检查</abilityName>
      <candidateList>
        <item>（</item>
      </candidateList>
      <explain>文本全半角错误。</explain>
      <paraID>47B85114</paraID>
      <start>3</start>
      <end>4</end>
      <status>unmodified</status>
      <modifiedWord/>
      <trackRevisions>false</trackRevisions>
    </reviewItem>
    <reviewItem>
      <errorID>405c7b4a-2fde-416f-9cc9-74b0a1536bc8</errorID>
      <errorWord>)</errorWord>
      <group>L1_Format</group>
      <groupName>格式问题</groupName>
      <ability>L2_HalfPunc</ability>
      <abilityName>全半角检查</abilityName>
      <candidateList>
        <item>）</item>
      </candidateList>
      <explain>文本全半角错误。</explain>
      <paraID>47B85114</paraID>
      <start>7</start>
      <end>8</end>
      <status>unmodified</status>
      <modifiedWord/>
      <trackRevisions>false</trackRevisions>
    </reviewItem>
    <reviewItem>
      <errorID>112f289d-7e55-498a-8afa-6415c8adf128</errorID>
      <errorWord>，</errorWord>
      <group>L1_Format</group>
      <groupName>格式问题</groupName>
      <ability>L2_HalfPunc</ability>
      <abilityName>全半角检查</abilityName>
      <candidateList>
        <item>,</item>
      </candidateList>
      <explain>文本全半角错误。</explain>
      <paraID> FECD4B0</paraID>
      <start>4</start>
      <end>5</end>
      <status>unmodified</status>
      <modifiedWord/>
      <trackRevisions>false</trackRevisions>
    </reviewItem>
    <reviewItem>
      <errorID>0eb60cc6-8d89-4feb-ac87-5bb409d31bf2</errorID>
      <errorWord>，</errorWord>
      <group>L1_Format</group>
      <groupName>格式问题</groupName>
      <ability>L2_HalfPunc</ability>
      <abilityName>全半角检查</abilityName>
      <candidateList>
        <item>,</item>
      </candidateList>
      <explain>文本全半角错误。</explain>
      <paraID>529C42C4</paraID>
      <start>4</start>
      <end>5</end>
      <status>unmodified</status>
      <modifiedWord/>
      <trackRevisions>false</trackRevisions>
    </reviewItem>
    <reviewItem>
      <errorID>a4f0f078-c20f-4499-8856-bb5b2bb0363e</errorID>
      <errorWord>，</errorWord>
      <group>L1_Format</group>
      <groupName>格式问题</groupName>
      <ability>L2_HalfPunc</ability>
      <abilityName>全半角检查</abilityName>
      <candidateList>
        <item>,</item>
      </candidateList>
      <explain>文本全半角错误。</explain>
      <paraID>3DA44DC9</paraID>
      <start>4</start>
      <end>5</end>
      <status>unmodified</status>
      <modifiedWord/>
      <trackRevisions>false</trackRevisions>
    </reviewItem>
    <reviewItem>
      <errorID>7d33c396-755f-4c8b-a1b0-2ac3a3ae587a</errorID>
      <errorWord>，</errorWord>
      <group>L1_Format</group>
      <groupName>格式问题</groupName>
      <ability>L2_HalfPunc</ability>
      <abilityName>全半角检查</abilityName>
      <candidateList>
        <item>,</item>
      </candidateList>
      <explain>文本全半角错误。</explain>
      <paraID>631757AB</paraID>
      <start>4</start>
      <end>5</end>
      <status>unmodified</status>
      <modifiedWord/>
      <trackRevisions>false</trackRevisions>
    </reviewItem>
    <reviewItem>
      <errorID>90c7f729-3fff-48de-a44c-a1042ab02927</errorID>
      <errorWord>，</errorWord>
      <group>L1_Format</group>
      <groupName>格式问题</groupName>
      <ability>L2_HalfPunc</ability>
      <abilityName>全半角检查</abilityName>
      <candidateList>
        <item>,</item>
      </candidateList>
      <explain>文本全半角错误。</explain>
      <paraID>2D937441</paraID>
      <start>4</start>
      <end>5</end>
      <status>unmodified</status>
      <modifiedWord/>
      <trackRevisions>false</trackRevisions>
    </reviewItem>
    <reviewItem>
      <errorID>86fdd7e6-bc1f-4b93-baf9-9c2812b739d6</errorID>
      <errorWord>，</errorWord>
      <group>L1_Format</group>
      <groupName>格式问题</groupName>
      <ability>L2_HalfPunc</ability>
      <abilityName>全半角检查</abilityName>
      <candidateList>
        <item>,</item>
      </candidateList>
      <explain>文本全半角错误。</explain>
      <paraID>1FE32934</paraID>
      <start>4</start>
      <end>5</end>
      <status>unmodified</status>
      <modifiedWord/>
      <trackRevisions>false</trackRevisions>
    </reviewItem>
    <reviewItem>
      <errorID>25931cad-bf76-4e9e-abdb-4b5108544d65</errorID>
      <errorWord>月</errorWord>
      <group>L1_Word</group>
      <groupName>字词问题</groupName>
      <ability>L2_Typo</ability>
      <abilityName>字词错误</abilityName>
      <candidateList>
        <item>月计</item>
      </candidateList>
      <explain/>
      <paraID>4C013220</paraID>
      <start>100</start>
      <end>103</end>
      <status>modified</status>
      <modifiedWord>月计</modifiedWord>
      <trackRevisions>true</trackRevisions>
    </reviewItem>
    <reviewItem>
      <errorID>60f3e225-9cca-4103-9f83-1c12f0211294</errorID>
      <errorWord>，</errorWord>
      <group>L1_Format</group>
      <groupName>格式问题</groupName>
      <ability>L2_HalfPunc</ability>
      <abilityName>全半角检查</abilityName>
      <candidateList>
        <item>,</item>
      </candidateList>
      <explain>文本全半角错误。</explain>
      <paraID>585311D8</paraID>
      <start>4</start>
      <end>5</end>
      <status>unmodified</status>
      <modifiedWord/>
      <trackRevisions>false</trackRevisions>
    </reviewItem>
    <reviewItem>
      <errorID>d9036f4c-91de-4c1c-8f62-1d1c85bdc21e</errorID>
      <errorWord>，</errorWord>
      <group>L1_Format</group>
      <groupName>格式问题</groupName>
      <ability>L2_HalfPunc</ability>
      <abilityName>全半角检查</abilityName>
      <candidateList>
        <item>,</item>
      </candidateList>
      <explain>文本全半角错误。</explain>
      <paraID>35796ED2</paraID>
      <start>4</start>
      <end>5</end>
      <status>unmodified</status>
      <modifiedWord/>
      <trackRevisions>false</trackRevisions>
    </reviewItem>
    <reviewItem>
      <errorID>3944ccf6-0990-49c6-89c9-12baf08283b2</errorID>
      <errorWord>，</errorWord>
      <group>L1_Format</group>
      <groupName>格式问题</groupName>
      <ability>L2_HalfPunc</ability>
      <abilityName>全半角检查</abilityName>
      <candidateList>
        <item>,</item>
      </candidateList>
      <explain>文本全半角错误。</explain>
      <paraID>27152257</paraID>
      <start>4</start>
      <end>5</end>
      <status>unmodified</status>
      <modifiedWord/>
      <trackRevisions>false</trackRevisions>
    </reviewItem>
    <reviewItem>
      <errorID>d1c5d1d8-60ad-4ad7-8ec4-67eeb2c44287</errorID>
      <errorWord>，</errorWord>
      <group>L1_Format</group>
      <groupName>格式问题</groupName>
      <ability>L2_HalfPunc</ability>
      <abilityName>全半角检查</abilityName>
      <candidateList>
        <item>,</item>
      </candidateList>
      <explain>文本全半角错误。</explain>
      <paraID>3C99E0C2</paraID>
      <start>4</start>
      <end>5</end>
      <status>unmodified</status>
      <modifiedWord/>
      <trackRevisions>false</trackRevisions>
    </reviewItem>
    <reviewItem>
      <errorID>49ffde26-e9b0-4561-bf06-8795ec8377a3</errorID>
      <errorWord>，</errorWord>
      <group>L1_Format</group>
      <groupName>格式问题</groupName>
      <ability>L2_HalfPunc</ability>
      <abilityName>全半角检查</abilityName>
      <candidateList>
        <item>,</item>
      </candidateList>
      <explain>文本全半角错误。</explain>
      <paraID>1FE991D5</paraID>
      <start>4</start>
      <end>5</end>
      <status>unmodified</status>
      <modifiedWord/>
      <trackRevisions>false</trackRevisions>
    </reviewItem>
    <reviewItem>
      <errorID>699a8728-088b-4b3d-a257-d4c34190e688</errorID>
      <errorWord>，</errorWord>
      <group>L1_Format</group>
      <groupName>格式问题</groupName>
      <ability>L2_HalfPunc</ability>
      <abilityName>全半角检查</abilityName>
      <candidateList>
        <item>, </item>
      </candidateList>
      <explain>文本全半角错误。</explain>
      <paraID>1072F5E1</paraID>
      <start>1</start>
      <end>2</end>
      <status>unmodified</status>
      <modifiedWord/>
      <trackRevisions>false</trackRevisions>
    </reviewItem>
    <reviewItem>
      <errorID>ebc18342-3e68-4876-94a0-4b2513cb7fa1</errorID>
      <errorWord>，</errorWord>
      <group>L1_Word</group>
      <groupName>字词问题</groupName>
      <ability>L2_Typo</ability>
      <abilityName>字词错误</abilityName>
      <candidateList>
        <item>，对</item>
      </candidateList>
      <explain/>
      <paraID> 2735B1D</paraID>
      <start>30</start>
      <end>31</end>
      <status>unmodified</status>
      <modifiedWord/>
      <trackRevisions>false</trackRevisions>
    </reviewItem>
    <reviewItem>
      <errorID>d6159c24-18d3-4ca6-a0fc-28b2bdb6c9b2</errorID>
      <errorWord>排查出</errorWord>
      <group>L1_Word</group>
      <groupName>字词问题</groupName>
      <ability>L2_Typo</ability>
      <abilityName>字词错误</abilityName>
      <candidateList>
        <item>排查</item>
      </candidateList>
      <explain>〈动〉对一定范围内的人、单位、设备等进行逐个检查或审查：～安全隐患｜～犯罪嫌疑人。</explain>
      <paraID> 358C8A5</paraID>
      <start>12</start>
      <end>15</end>
      <status>unmodified</status>
      <modifiedWord/>
      <trackRevisions>false</trackRevisions>
    </reviewItem>
    <reviewItem>
      <errorID>0b4eabd9-a539-43e7-8e49-c5d03a908271</errorID>
      <errorWord>内河</errorWord>
      <group>L1_Word</group>
      <groupName>字词问题</groupName>
      <ability>L2_Typo</ability>
      <abilityName>字词错误</abilityName>
      <candidateList>
        <item>河</item>
      </candidateList>
      <explain/>
      <paraID>55656F66</paraID>
      <start>8</start>
      <end>10</end>
      <status>unmodified</status>
      <modifiedWord/>
      <trackRevisions>false</trackRevisions>
    </reviewItem>
    <reviewItem>
      <errorID>9b8def1f-7ef3-4ba5-b4c5-ca10a84f8523</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4970B6E9</paraID>
      <start>31</start>
      <end>35</end>
      <status>unmodified</status>
      <modifiedWord/>
      <trackRevisions>false</trackRevisions>
    </reviewItem>
    <reviewItem>
      <errorID>f197ab47-164f-4681-9968-57fae21cb7aa</errorID>
      <errorWord>下</errorWord>
      <group>L1_Word</group>
      <groupName>字词问题</groupName>
      <ability>L2_Typo</ability>
      <abilityName>字词错误</abilityName>
      <candidateList>
        <item>所</item>
      </candidateList>
      <explain>存在字形相近字词的误用。</explain>
      <paraID>3FBAB8D1</paraID>
      <start>56</start>
      <end>57</end>
      <status>unmodified</status>
      <modifiedWord/>
      <trackRevisions>false</trackRevisions>
    </reviewItem>
    <reviewItem>
      <errorID>eacfc4df-cc7f-4719-892a-9782a08bb170</errorID>
      <errorWord>措</errorWord>
      <group>L1_Word</group>
      <groupName>字词问题</groupName>
      <ability>L2_Typo</ability>
      <abilityName>字词错误</abilityName>
      <candidateList>
        <item>措施</item>
      </candidateList>
      <explain>〈名〉针对某种情况而采取的处理办法（用于较大的事情）：计划已经订出，～应该跟上。</explain>
      <paraID>223E6CD6</paraID>
      <start>4</start>
      <end>7</end>
      <status>modified</status>
      <modifiedWord>措施</modifiedWord>
      <trackRevisions>true</trackRevisions>
    </reviewItem>
    <reviewItem>
      <errorID>f376f619-d335-4d56-aa0e-1f2602e77cfc</errorID>
      <errorWord>包括不限于</errorWord>
      <group>L1_Word</group>
      <groupName>字词问题</groupName>
      <ability>L2_Typo</ability>
      <abilityName>字词错误</abilityName>
      <candidateList>
        <item>包括但不限于</item>
      </candidateList>
      <explain/>
      <paraID>3FCDCF80</paraID>
      <start>77</start>
      <end>82</end>
      <status>unmodified</status>
      <modifiedWord/>
      <trackRevisions>false</trackRevisions>
    </reviewItem>
    <reviewItem>
      <errorID>67018804-468a-45cb-b9bf-8a1a0b148e66</errorID>
      <errorWord>（</errorWord>
      <group>L1_Format</group>
      <groupName>格式问题</groupName>
      <ability>L2_HalfPunc</ability>
      <abilityName>全半角检查</abilityName>
      <candidateList>
        <item>(</item>
      </candidateList>
      <explain>文本全半角错误。</explain>
      <paraID>3000F2CD</paraID>
      <start>0</start>
      <end>1</end>
      <status>unmodified</status>
      <modifiedWord/>
      <trackRevisions>false</trackRevisions>
    </reviewItem>
    <reviewItem>
      <errorID>12f10a7d-bc49-45fe-8ebf-4c04a7d90508</errorID>
      <errorWord>）</errorWord>
      <group>L1_Format</group>
      <groupName>格式问题</groupName>
      <ability>L2_HalfPunc</ability>
      <abilityName>全半角检查</abilityName>
      <candidateList>
        <item>)</item>
      </candidateList>
      <explain>文本全半角错误。</explain>
      <paraID>3000F2CD</paraID>
      <start>6</start>
      <end>7</end>
      <status>unmodified</status>
      <modifiedWord/>
      <trackRevisions>false</trackRevisions>
    </reviewItem>
    <reviewItem>
      <errorID>e8ff250f-8e35-45b7-b426-8b060755ef92</errorID>
      <errorWord>绿化的</errorWord>
      <group>L1_Word</group>
      <groupName>字词问题</groupName>
      <ability>L2_Typo</ability>
      <abilityName>字词错误</abilityName>
      <candidateList>
        <item>绿化</item>
      </candidateList>
      <explain/>
      <paraID>73127660</paraID>
      <start>5</start>
      <end>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2EA9B66-A80D-4F60-996F-8540B03A894E}">
  <ds:schemaRefs/>
</ds:datastoreItem>
</file>

<file path=customXml/itemProps3.xml><?xml version="1.0" encoding="utf-8"?>
<ds:datastoreItem xmlns:ds="http://schemas.openxmlformats.org/officeDocument/2006/customXml" ds:itemID="{41602860-6918-456a-be25-78794bfc43d4}">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155</Pages>
  <Words>47689</Words>
  <Characters>55460</Characters>
  <Lines>1</Lines>
  <Paragraphs>1</Paragraphs>
  <TotalTime>1</TotalTime>
  <ScaleCrop>false</ScaleCrop>
  <LinksUpToDate>false</LinksUpToDate>
  <CharactersWithSpaces>55517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2021-06-18T09:55:00Z</dcterms:created>
  <dc:creator>Administrator</dc:creator>
  <cp:lastModifiedBy>杨宗祺-Swi</cp:lastModifiedBy>
  <dcterms:modified xsi:type="dcterms:W3CDTF">2026-04-29T01:31:15Z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CFA64293B35A4251B38FD2C7EDF6B5CF_13</vt:lpwstr>
  </property>
  <property fmtid="{D5CDD505-2E9C-101B-9397-08002B2CF9AE}" pid="4" name="KSOTemplateDocerSaveRecord">
    <vt:lpwstr>eyJoZGlkIjoiYTY3NjljNDJiNDZmNDUzMTJiY2Y2OGFhMmE2ZDkwMDMiLCJ1c2VySWQiOiIzNzQ0OTk2MDAifQ==</vt:lpwstr>
  </property>
</Properties>
</file>